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C88" w:rsidRDefault="00E54C88" w:rsidP="00620EC8">
      <w:pPr>
        <w:pStyle w:val="Title"/>
      </w:pPr>
      <w:bookmarkStart w:id="0" w:name="_Toc367449240"/>
      <w:bookmarkStart w:id="1" w:name="_Toc367449728"/>
      <w:bookmarkStart w:id="2" w:name="_Toc367888625"/>
      <w:bookmarkStart w:id="3" w:name="_Toc368056828"/>
      <w:bookmarkStart w:id="4" w:name="_Toc368058743"/>
      <w:bookmarkStart w:id="5" w:name="_Toc383612194"/>
      <w:bookmarkStart w:id="6" w:name="_Toc446345088"/>
      <w:bookmarkStart w:id="7" w:name="_Toc448923137"/>
      <w:bookmarkStart w:id="8" w:name="_Toc451860850"/>
      <w:bookmarkStart w:id="9" w:name="_Toc452370315"/>
      <w:bookmarkStart w:id="10" w:name="_Toc454365026"/>
      <w:bookmarkStart w:id="11" w:name="_Toc454876448"/>
      <w:bookmarkStart w:id="12" w:name="_Toc454961572"/>
      <w:bookmarkStart w:id="13" w:name="_Toc454966673"/>
      <w:bookmarkStart w:id="14" w:name="_Toc455399561"/>
      <w:bookmarkStart w:id="15" w:name="_Toc455486393"/>
      <w:bookmarkStart w:id="16" w:name="_GoBack"/>
      <w:bookmarkEnd w:id="16"/>
      <w:r>
        <w:t xml:space="preserve">Annual </w:t>
      </w:r>
      <w:r w:rsidRPr="007166FD">
        <w:t>Report</w:t>
      </w:r>
      <w:bookmarkEnd w:id="0"/>
      <w:bookmarkEnd w:id="1"/>
      <w:bookmarkEnd w:id="2"/>
      <w:bookmarkEnd w:id="3"/>
      <w:bookmarkEnd w:id="4"/>
      <w:r>
        <w:br/>
        <w:t>201</w:t>
      </w:r>
      <w:bookmarkEnd w:id="5"/>
      <w:r w:rsidR="006C6A70">
        <w:t>5</w:t>
      </w:r>
      <w:bookmarkEnd w:id="6"/>
      <w:bookmarkEnd w:id="7"/>
      <w:bookmarkEnd w:id="8"/>
      <w:bookmarkEnd w:id="9"/>
      <w:bookmarkEnd w:id="10"/>
      <w:bookmarkEnd w:id="11"/>
      <w:bookmarkEnd w:id="12"/>
      <w:bookmarkEnd w:id="13"/>
      <w:bookmarkEnd w:id="14"/>
      <w:bookmarkEnd w:id="15"/>
    </w:p>
    <w:p w:rsidR="00E54C88" w:rsidRPr="001A06AC" w:rsidRDefault="00076D0B" w:rsidP="001A06AC">
      <w:pPr>
        <w:pStyle w:val="StyleBefore288pt"/>
      </w:pPr>
      <w:r>
        <w:rPr>
          <w:noProof/>
          <w:lang w:eastAsia="en-IE"/>
        </w:rPr>
        <w:drawing>
          <wp:inline distT="0" distB="0" distL="0" distR="0">
            <wp:extent cx="2303481" cy="1627094"/>
            <wp:effectExtent l="19050" t="0" r="1569" b="0"/>
            <wp:docPr id="1" name="Picture 1" descr="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Disability Authority logo"/>
                    <pic:cNvPicPr>
                      <a:picLocks noChangeAspect="1" noChangeArrowheads="1"/>
                    </pic:cNvPicPr>
                  </pic:nvPicPr>
                  <pic:blipFill>
                    <a:blip r:embed="rId8"/>
                    <a:srcRect/>
                    <a:stretch>
                      <a:fillRect/>
                    </a:stretch>
                  </pic:blipFill>
                  <pic:spPr bwMode="auto">
                    <a:xfrm>
                      <a:off x="0" y="0"/>
                      <a:ext cx="2303481" cy="1627094"/>
                    </a:xfrm>
                    <a:prstGeom prst="rect">
                      <a:avLst/>
                    </a:prstGeom>
                    <a:noFill/>
                    <a:ln w="9525">
                      <a:noFill/>
                      <a:miter lim="800000"/>
                      <a:headEnd/>
                      <a:tailEnd/>
                    </a:ln>
                  </pic:spPr>
                </pic:pic>
              </a:graphicData>
            </a:graphic>
          </wp:inline>
        </w:drawing>
      </w:r>
    </w:p>
    <w:p w:rsidR="00D9377D" w:rsidRDefault="005A5EE6">
      <w:pPr>
        <w:pStyle w:val="TOC1"/>
        <w:rPr>
          <w:rFonts w:asciiTheme="minorHAnsi" w:eastAsiaTheme="minorEastAsia" w:hAnsiTheme="minorHAnsi" w:cstheme="minorBidi"/>
          <w:b w:val="0"/>
          <w:noProof/>
          <w:sz w:val="22"/>
          <w:szCs w:val="22"/>
          <w:lang w:eastAsia="en-IE"/>
        </w:rPr>
      </w:pPr>
      <w:r>
        <w:lastRenderedPageBreak/>
        <w:fldChar w:fldCharType="begin"/>
      </w:r>
      <w:r w:rsidR="00E54C88">
        <w:instrText xml:space="preserve"> TOC \o "1-1" \h \z \u </w:instrText>
      </w:r>
      <w:r>
        <w:fldChar w:fldCharType="separate"/>
      </w:r>
      <w:hyperlink w:anchor="_Toc455486394" w:history="1">
        <w:r w:rsidR="00D9377D" w:rsidRPr="00EC1FD8">
          <w:rPr>
            <w:rStyle w:val="Hyperlink"/>
            <w:noProof/>
          </w:rPr>
          <w:t>Chairperson’s statement</w:t>
        </w:r>
        <w:r w:rsidR="00D9377D">
          <w:rPr>
            <w:noProof/>
            <w:webHidden/>
          </w:rPr>
          <w:tab/>
        </w:r>
        <w:r w:rsidR="00D9377D">
          <w:rPr>
            <w:noProof/>
            <w:webHidden/>
          </w:rPr>
          <w:fldChar w:fldCharType="begin"/>
        </w:r>
        <w:r w:rsidR="00D9377D">
          <w:rPr>
            <w:noProof/>
            <w:webHidden/>
          </w:rPr>
          <w:instrText xml:space="preserve"> PAGEREF _Toc455486394 \h </w:instrText>
        </w:r>
        <w:r w:rsidR="00D9377D">
          <w:rPr>
            <w:noProof/>
            <w:webHidden/>
          </w:rPr>
        </w:r>
        <w:r w:rsidR="00D9377D">
          <w:rPr>
            <w:noProof/>
            <w:webHidden/>
          </w:rPr>
          <w:fldChar w:fldCharType="separate"/>
        </w:r>
        <w:r w:rsidR="00D9377D">
          <w:rPr>
            <w:noProof/>
            <w:webHidden/>
          </w:rPr>
          <w:t>3</w:t>
        </w:r>
        <w:r w:rsidR="00D9377D">
          <w:rPr>
            <w:noProof/>
            <w:webHidden/>
          </w:rPr>
          <w:fldChar w:fldCharType="end"/>
        </w:r>
      </w:hyperlink>
    </w:p>
    <w:p w:rsidR="00D9377D" w:rsidRDefault="00CD5258">
      <w:pPr>
        <w:pStyle w:val="TOC1"/>
        <w:rPr>
          <w:rFonts w:asciiTheme="minorHAnsi" w:eastAsiaTheme="minorEastAsia" w:hAnsiTheme="minorHAnsi" w:cstheme="minorBidi"/>
          <w:b w:val="0"/>
          <w:noProof/>
          <w:sz w:val="22"/>
          <w:szCs w:val="22"/>
          <w:lang w:eastAsia="en-IE"/>
        </w:rPr>
      </w:pPr>
      <w:hyperlink w:anchor="_Toc455486395" w:history="1">
        <w:r w:rsidR="00D9377D" w:rsidRPr="00EC1FD8">
          <w:rPr>
            <w:rStyle w:val="Hyperlink"/>
            <w:noProof/>
          </w:rPr>
          <w:t>Overview and policy context</w:t>
        </w:r>
        <w:r w:rsidR="00D9377D">
          <w:rPr>
            <w:noProof/>
            <w:webHidden/>
          </w:rPr>
          <w:tab/>
        </w:r>
        <w:r w:rsidR="00D9377D">
          <w:rPr>
            <w:noProof/>
            <w:webHidden/>
          </w:rPr>
          <w:fldChar w:fldCharType="begin"/>
        </w:r>
        <w:r w:rsidR="00D9377D">
          <w:rPr>
            <w:noProof/>
            <w:webHidden/>
          </w:rPr>
          <w:instrText xml:space="preserve"> PAGEREF _Toc455486395 \h </w:instrText>
        </w:r>
        <w:r w:rsidR="00D9377D">
          <w:rPr>
            <w:noProof/>
            <w:webHidden/>
          </w:rPr>
        </w:r>
        <w:r w:rsidR="00D9377D">
          <w:rPr>
            <w:noProof/>
            <w:webHidden/>
          </w:rPr>
          <w:fldChar w:fldCharType="separate"/>
        </w:r>
        <w:r w:rsidR="00D9377D">
          <w:rPr>
            <w:noProof/>
            <w:webHidden/>
          </w:rPr>
          <w:t>7</w:t>
        </w:r>
        <w:r w:rsidR="00D9377D">
          <w:rPr>
            <w:noProof/>
            <w:webHidden/>
          </w:rPr>
          <w:fldChar w:fldCharType="end"/>
        </w:r>
      </w:hyperlink>
    </w:p>
    <w:p w:rsidR="00D9377D" w:rsidRDefault="00CD5258">
      <w:pPr>
        <w:pStyle w:val="TOC1"/>
        <w:rPr>
          <w:rFonts w:asciiTheme="minorHAnsi" w:eastAsiaTheme="minorEastAsia" w:hAnsiTheme="minorHAnsi" w:cstheme="minorBidi"/>
          <w:b w:val="0"/>
          <w:noProof/>
          <w:sz w:val="22"/>
          <w:szCs w:val="22"/>
          <w:lang w:eastAsia="en-IE"/>
        </w:rPr>
      </w:pPr>
      <w:hyperlink w:anchor="_Toc455486396" w:history="1">
        <w:r w:rsidR="00D9377D" w:rsidRPr="00EC1FD8">
          <w:rPr>
            <w:rStyle w:val="Hyperlink"/>
            <w:noProof/>
          </w:rPr>
          <w:t>Strategic priority 1:  National Disability Strategy</w:t>
        </w:r>
        <w:r w:rsidR="00D9377D">
          <w:rPr>
            <w:noProof/>
            <w:webHidden/>
          </w:rPr>
          <w:tab/>
        </w:r>
        <w:r w:rsidR="00D9377D">
          <w:rPr>
            <w:noProof/>
            <w:webHidden/>
          </w:rPr>
          <w:fldChar w:fldCharType="begin"/>
        </w:r>
        <w:r w:rsidR="00D9377D">
          <w:rPr>
            <w:noProof/>
            <w:webHidden/>
          </w:rPr>
          <w:instrText xml:space="preserve"> PAGEREF _Toc455486396 \h </w:instrText>
        </w:r>
        <w:r w:rsidR="00D9377D">
          <w:rPr>
            <w:noProof/>
            <w:webHidden/>
          </w:rPr>
        </w:r>
        <w:r w:rsidR="00D9377D">
          <w:rPr>
            <w:noProof/>
            <w:webHidden/>
          </w:rPr>
          <w:fldChar w:fldCharType="separate"/>
        </w:r>
        <w:r w:rsidR="00D9377D">
          <w:rPr>
            <w:noProof/>
            <w:webHidden/>
          </w:rPr>
          <w:t>8</w:t>
        </w:r>
        <w:r w:rsidR="00D9377D">
          <w:rPr>
            <w:noProof/>
            <w:webHidden/>
          </w:rPr>
          <w:fldChar w:fldCharType="end"/>
        </w:r>
      </w:hyperlink>
    </w:p>
    <w:p w:rsidR="00D9377D" w:rsidRDefault="00CD5258">
      <w:pPr>
        <w:pStyle w:val="TOC1"/>
        <w:rPr>
          <w:rFonts w:asciiTheme="minorHAnsi" w:eastAsiaTheme="minorEastAsia" w:hAnsiTheme="minorHAnsi" w:cstheme="minorBidi"/>
          <w:b w:val="0"/>
          <w:noProof/>
          <w:sz w:val="22"/>
          <w:szCs w:val="22"/>
          <w:lang w:eastAsia="en-IE"/>
        </w:rPr>
      </w:pPr>
      <w:hyperlink w:anchor="_Toc455486397" w:history="1">
        <w:r w:rsidR="00D9377D" w:rsidRPr="00EC1FD8">
          <w:rPr>
            <w:rStyle w:val="Hyperlink"/>
            <w:noProof/>
          </w:rPr>
          <w:t>Strategic priority 2:  Living independently in the community</w:t>
        </w:r>
        <w:r w:rsidR="00D9377D">
          <w:rPr>
            <w:noProof/>
            <w:webHidden/>
          </w:rPr>
          <w:tab/>
        </w:r>
        <w:r w:rsidR="00D9377D">
          <w:rPr>
            <w:noProof/>
            <w:webHidden/>
          </w:rPr>
          <w:fldChar w:fldCharType="begin"/>
        </w:r>
        <w:r w:rsidR="00D9377D">
          <w:rPr>
            <w:noProof/>
            <w:webHidden/>
          </w:rPr>
          <w:instrText xml:space="preserve"> PAGEREF _Toc455486397 \h </w:instrText>
        </w:r>
        <w:r w:rsidR="00D9377D">
          <w:rPr>
            <w:noProof/>
            <w:webHidden/>
          </w:rPr>
        </w:r>
        <w:r w:rsidR="00D9377D">
          <w:rPr>
            <w:noProof/>
            <w:webHidden/>
          </w:rPr>
          <w:fldChar w:fldCharType="separate"/>
        </w:r>
        <w:r w:rsidR="00D9377D">
          <w:rPr>
            <w:noProof/>
            <w:webHidden/>
          </w:rPr>
          <w:t>18</w:t>
        </w:r>
        <w:r w:rsidR="00D9377D">
          <w:rPr>
            <w:noProof/>
            <w:webHidden/>
          </w:rPr>
          <w:fldChar w:fldCharType="end"/>
        </w:r>
      </w:hyperlink>
    </w:p>
    <w:p w:rsidR="00D9377D" w:rsidRDefault="00CD5258">
      <w:pPr>
        <w:pStyle w:val="TOC1"/>
        <w:rPr>
          <w:rFonts w:asciiTheme="minorHAnsi" w:eastAsiaTheme="minorEastAsia" w:hAnsiTheme="minorHAnsi" w:cstheme="minorBidi"/>
          <w:b w:val="0"/>
          <w:noProof/>
          <w:sz w:val="22"/>
          <w:szCs w:val="22"/>
          <w:lang w:eastAsia="en-IE"/>
        </w:rPr>
      </w:pPr>
      <w:hyperlink w:anchor="_Toc455486398" w:history="1">
        <w:r w:rsidR="00D9377D" w:rsidRPr="00EC1FD8">
          <w:rPr>
            <w:rStyle w:val="Hyperlink"/>
            <w:noProof/>
          </w:rPr>
          <w:t>Strategic priority 3:  Universal Design of the environment</w:t>
        </w:r>
        <w:r w:rsidR="00D9377D">
          <w:rPr>
            <w:noProof/>
            <w:webHidden/>
          </w:rPr>
          <w:tab/>
        </w:r>
        <w:r w:rsidR="00D9377D">
          <w:rPr>
            <w:noProof/>
            <w:webHidden/>
          </w:rPr>
          <w:fldChar w:fldCharType="begin"/>
        </w:r>
        <w:r w:rsidR="00D9377D">
          <w:rPr>
            <w:noProof/>
            <w:webHidden/>
          </w:rPr>
          <w:instrText xml:space="preserve"> PAGEREF _Toc455486398 \h </w:instrText>
        </w:r>
        <w:r w:rsidR="00D9377D">
          <w:rPr>
            <w:noProof/>
            <w:webHidden/>
          </w:rPr>
        </w:r>
        <w:r w:rsidR="00D9377D">
          <w:rPr>
            <w:noProof/>
            <w:webHidden/>
          </w:rPr>
          <w:fldChar w:fldCharType="separate"/>
        </w:r>
        <w:r w:rsidR="00D9377D">
          <w:rPr>
            <w:noProof/>
            <w:webHidden/>
          </w:rPr>
          <w:t>23</w:t>
        </w:r>
        <w:r w:rsidR="00D9377D">
          <w:rPr>
            <w:noProof/>
            <w:webHidden/>
          </w:rPr>
          <w:fldChar w:fldCharType="end"/>
        </w:r>
      </w:hyperlink>
    </w:p>
    <w:p w:rsidR="00D9377D" w:rsidRDefault="00CD5258">
      <w:pPr>
        <w:pStyle w:val="TOC1"/>
        <w:rPr>
          <w:rFonts w:asciiTheme="minorHAnsi" w:eastAsiaTheme="minorEastAsia" w:hAnsiTheme="minorHAnsi" w:cstheme="minorBidi"/>
          <w:b w:val="0"/>
          <w:noProof/>
          <w:sz w:val="22"/>
          <w:szCs w:val="22"/>
          <w:lang w:eastAsia="en-IE"/>
        </w:rPr>
      </w:pPr>
      <w:hyperlink w:anchor="_Toc455486399" w:history="1">
        <w:r w:rsidR="00D9377D" w:rsidRPr="00EC1FD8">
          <w:rPr>
            <w:rStyle w:val="Hyperlink"/>
            <w:noProof/>
          </w:rPr>
          <w:t>Strategic priority 4:  Effective and efficient organisation</w:t>
        </w:r>
        <w:r w:rsidR="00D9377D">
          <w:rPr>
            <w:noProof/>
            <w:webHidden/>
          </w:rPr>
          <w:tab/>
        </w:r>
        <w:r w:rsidR="00D9377D">
          <w:rPr>
            <w:noProof/>
            <w:webHidden/>
          </w:rPr>
          <w:fldChar w:fldCharType="begin"/>
        </w:r>
        <w:r w:rsidR="00D9377D">
          <w:rPr>
            <w:noProof/>
            <w:webHidden/>
          </w:rPr>
          <w:instrText xml:space="preserve"> PAGEREF _Toc455486399 \h </w:instrText>
        </w:r>
        <w:r w:rsidR="00D9377D">
          <w:rPr>
            <w:noProof/>
            <w:webHidden/>
          </w:rPr>
        </w:r>
        <w:r w:rsidR="00D9377D">
          <w:rPr>
            <w:noProof/>
            <w:webHidden/>
          </w:rPr>
          <w:fldChar w:fldCharType="separate"/>
        </w:r>
        <w:r w:rsidR="00D9377D">
          <w:rPr>
            <w:noProof/>
            <w:webHidden/>
          </w:rPr>
          <w:t>30</w:t>
        </w:r>
        <w:r w:rsidR="00D9377D">
          <w:rPr>
            <w:noProof/>
            <w:webHidden/>
          </w:rPr>
          <w:fldChar w:fldCharType="end"/>
        </w:r>
      </w:hyperlink>
    </w:p>
    <w:p w:rsidR="00D9377D" w:rsidRDefault="00CD5258">
      <w:pPr>
        <w:pStyle w:val="TOC1"/>
        <w:rPr>
          <w:rFonts w:asciiTheme="minorHAnsi" w:eastAsiaTheme="minorEastAsia" w:hAnsiTheme="minorHAnsi" w:cstheme="minorBidi"/>
          <w:b w:val="0"/>
          <w:noProof/>
          <w:sz w:val="22"/>
          <w:szCs w:val="22"/>
          <w:lang w:eastAsia="en-IE"/>
        </w:rPr>
      </w:pPr>
      <w:hyperlink w:anchor="_Toc455486400" w:history="1">
        <w:r w:rsidR="00D9377D" w:rsidRPr="00EC1FD8">
          <w:rPr>
            <w:rStyle w:val="Hyperlink"/>
            <w:noProof/>
          </w:rPr>
          <w:t>Financial</w:t>
        </w:r>
        <w:r w:rsidR="00D9377D" w:rsidRPr="00EC1FD8">
          <w:rPr>
            <w:rStyle w:val="Hyperlink"/>
            <w:noProof/>
            <w:lang w:val="en-GB"/>
          </w:rPr>
          <w:t xml:space="preserve"> Statements for Year ended 31 December 2015</w:t>
        </w:r>
        <w:r w:rsidR="00D9377D">
          <w:rPr>
            <w:noProof/>
            <w:webHidden/>
          </w:rPr>
          <w:tab/>
        </w:r>
        <w:r w:rsidR="00D9377D">
          <w:rPr>
            <w:noProof/>
            <w:webHidden/>
          </w:rPr>
          <w:fldChar w:fldCharType="begin"/>
        </w:r>
        <w:r w:rsidR="00D9377D">
          <w:rPr>
            <w:noProof/>
            <w:webHidden/>
          </w:rPr>
          <w:instrText xml:space="preserve"> PAGEREF _Toc455486400 \h </w:instrText>
        </w:r>
        <w:r w:rsidR="00D9377D">
          <w:rPr>
            <w:noProof/>
            <w:webHidden/>
          </w:rPr>
        </w:r>
        <w:r w:rsidR="00D9377D">
          <w:rPr>
            <w:noProof/>
            <w:webHidden/>
          </w:rPr>
          <w:fldChar w:fldCharType="separate"/>
        </w:r>
        <w:r w:rsidR="00D9377D">
          <w:rPr>
            <w:noProof/>
            <w:webHidden/>
          </w:rPr>
          <w:t>35</w:t>
        </w:r>
        <w:r w:rsidR="00D9377D">
          <w:rPr>
            <w:noProof/>
            <w:webHidden/>
          </w:rPr>
          <w:fldChar w:fldCharType="end"/>
        </w:r>
      </w:hyperlink>
    </w:p>
    <w:p w:rsidR="00D9377D" w:rsidRDefault="00CD5258">
      <w:pPr>
        <w:pStyle w:val="TOC1"/>
        <w:rPr>
          <w:rFonts w:asciiTheme="minorHAnsi" w:eastAsiaTheme="minorEastAsia" w:hAnsiTheme="minorHAnsi" w:cstheme="minorBidi"/>
          <w:b w:val="0"/>
          <w:noProof/>
          <w:sz w:val="22"/>
          <w:szCs w:val="22"/>
          <w:lang w:eastAsia="en-IE"/>
        </w:rPr>
      </w:pPr>
      <w:hyperlink w:anchor="_Toc455486401" w:history="1">
        <w:r w:rsidR="00D9377D" w:rsidRPr="00EC1FD8">
          <w:rPr>
            <w:rStyle w:val="Hyperlink"/>
            <w:noProof/>
          </w:rPr>
          <w:t>Appendix 1:  Authority and other committees in 2015</w:t>
        </w:r>
        <w:r w:rsidR="00D9377D">
          <w:rPr>
            <w:noProof/>
            <w:webHidden/>
          </w:rPr>
          <w:tab/>
        </w:r>
        <w:r w:rsidR="00D9377D">
          <w:rPr>
            <w:noProof/>
            <w:webHidden/>
          </w:rPr>
          <w:fldChar w:fldCharType="begin"/>
        </w:r>
        <w:r w:rsidR="00D9377D">
          <w:rPr>
            <w:noProof/>
            <w:webHidden/>
          </w:rPr>
          <w:instrText xml:space="preserve"> PAGEREF _Toc455486401 \h </w:instrText>
        </w:r>
        <w:r w:rsidR="00D9377D">
          <w:rPr>
            <w:noProof/>
            <w:webHidden/>
          </w:rPr>
        </w:r>
        <w:r w:rsidR="00D9377D">
          <w:rPr>
            <w:noProof/>
            <w:webHidden/>
          </w:rPr>
          <w:fldChar w:fldCharType="separate"/>
        </w:r>
        <w:r w:rsidR="00D9377D">
          <w:rPr>
            <w:noProof/>
            <w:webHidden/>
          </w:rPr>
          <w:t>67</w:t>
        </w:r>
        <w:r w:rsidR="00D9377D">
          <w:rPr>
            <w:noProof/>
            <w:webHidden/>
          </w:rPr>
          <w:fldChar w:fldCharType="end"/>
        </w:r>
      </w:hyperlink>
    </w:p>
    <w:p w:rsidR="00D9377D" w:rsidRDefault="00CD5258">
      <w:pPr>
        <w:pStyle w:val="TOC1"/>
        <w:rPr>
          <w:rFonts w:asciiTheme="minorHAnsi" w:eastAsiaTheme="minorEastAsia" w:hAnsiTheme="minorHAnsi" w:cstheme="minorBidi"/>
          <w:b w:val="0"/>
          <w:noProof/>
          <w:sz w:val="22"/>
          <w:szCs w:val="22"/>
          <w:lang w:eastAsia="en-IE"/>
        </w:rPr>
      </w:pPr>
      <w:hyperlink w:anchor="_Toc455486402" w:history="1">
        <w:r w:rsidR="00D9377D" w:rsidRPr="00EC1FD8">
          <w:rPr>
            <w:rStyle w:val="Hyperlink"/>
            <w:noProof/>
          </w:rPr>
          <w:t>Appendix 2:  Representation on external bodies in 2015</w:t>
        </w:r>
        <w:r w:rsidR="00D9377D">
          <w:rPr>
            <w:noProof/>
            <w:webHidden/>
          </w:rPr>
          <w:tab/>
        </w:r>
        <w:r w:rsidR="00D9377D">
          <w:rPr>
            <w:noProof/>
            <w:webHidden/>
          </w:rPr>
          <w:fldChar w:fldCharType="begin"/>
        </w:r>
        <w:r w:rsidR="00D9377D">
          <w:rPr>
            <w:noProof/>
            <w:webHidden/>
          </w:rPr>
          <w:instrText xml:space="preserve"> PAGEREF _Toc455486402 \h </w:instrText>
        </w:r>
        <w:r w:rsidR="00D9377D">
          <w:rPr>
            <w:noProof/>
            <w:webHidden/>
          </w:rPr>
        </w:r>
        <w:r w:rsidR="00D9377D">
          <w:rPr>
            <w:noProof/>
            <w:webHidden/>
          </w:rPr>
          <w:fldChar w:fldCharType="separate"/>
        </w:r>
        <w:r w:rsidR="00D9377D">
          <w:rPr>
            <w:noProof/>
            <w:webHidden/>
          </w:rPr>
          <w:t>69</w:t>
        </w:r>
        <w:r w:rsidR="00D9377D">
          <w:rPr>
            <w:noProof/>
            <w:webHidden/>
          </w:rPr>
          <w:fldChar w:fldCharType="end"/>
        </w:r>
      </w:hyperlink>
    </w:p>
    <w:p w:rsidR="00D9377D" w:rsidRDefault="00CD5258">
      <w:pPr>
        <w:pStyle w:val="TOC1"/>
        <w:rPr>
          <w:rFonts w:asciiTheme="minorHAnsi" w:eastAsiaTheme="minorEastAsia" w:hAnsiTheme="minorHAnsi" w:cstheme="minorBidi"/>
          <w:b w:val="0"/>
          <w:noProof/>
          <w:sz w:val="22"/>
          <w:szCs w:val="22"/>
          <w:lang w:eastAsia="en-IE"/>
        </w:rPr>
      </w:pPr>
      <w:hyperlink w:anchor="_Toc455486403" w:history="1">
        <w:r w:rsidR="00D9377D" w:rsidRPr="00EC1FD8">
          <w:rPr>
            <w:rStyle w:val="Hyperlink"/>
            <w:noProof/>
          </w:rPr>
          <w:t>Appendix 3:  Publications in 2015</w:t>
        </w:r>
        <w:r w:rsidR="00D9377D">
          <w:rPr>
            <w:noProof/>
            <w:webHidden/>
          </w:rPr>
          <w:tab/>
        </w:r>
        <w:r w:rsidR="00D9377D">
          <w:rPr>
            <w:noProof/>
            <w:webHidden/>
          </w:rPr>
          <w:fldChar w:fldCharType="begin"/>
        </w:r>
        <w:r w:rsidR="00D9377D">
          <w:rPr>
            <w:noProof/>
            <w:webHidden/>
          </w:rPr>
          <w:instrText xml:space="preserve"> PAGEREF _Toc455486403 \h </w:instrText>
        </w:r>
        <w:r w:rsidR="00D9377D">
          <w:rPr>
            <w:noProof/>
            <w:webHidden/>
          </w:rPr>
        </w:r>
        <w:r w:rsidR="00D9377D">
          <w:rPr>
            <w:noProof/>
            <w:webHidden/>
          </w:rPr>
          <w:fldChar w:fldCharType="separate"/>
        </w:r>
        <w:r w:rsidR="00D9377D">
          <w:rPr>
            <w:noProof/>
            <w:webHidden/>
          </w:rPr>
          <w:t>72</w:t>
        </w:r>
        <w:r w:rsidR="00D9377D">
          <w:rPr>
            <w:noProof/>
            <w:webHidden/>
          </w:rPr>
          <w:fldChar w:fldCharType="end"/>
        </w:r>
      </w:hyperlink>
    </w:p>
    <w:p w:rsidR="00D9377D" w:rsidRDefault="00CD5258">
      <w:pPr>
        <w:pStyle w:val="TOC1"/>
        <w:rPr>
          <w:rFonts w:asciiTheme="minorHAnsi" w:eastAsiaTheme="minorEastAsia" w:hAnsiTheme="minorHAnsi" w:cstheme="minorBidi"/>
          <w:b w:val="0"/>
          <w:noProof/>
          <w:sz w:val="22"/>
          <w:szCs w:val="22"/>
          <w:lang w:eastAsia="en-IE"/>
        </w:rPr>
      </w:pPr>
      <w:hyperlink w:anchor="_Toc455486404" w:history="1">
        <w:r w:rsidR="00D9377D" w:rsidRPr="00EC1FD8">
          <w:rPr>
            <w:rStyle w:val="Hyperlink"/>
            <w:noProof/>
          </w:rPr>
          <w:t>Appendix 4:  Policy advice papers in 2015</w:t>
        </w:r>
        <w:r w:rsidR="00D9377D">
          <w:rPr>
            <w:noProof/>
            <w:webHidden/>
          </w:rPr>
          <w:tab/>
        </w:r>
        <w:r w:rsidR="00D9377D">
          <w:rPr>
            <w:noProof/>
            <w:webHidden/>
          </w:rPr>
          <w:fldChar w:fldCharType="begin"/>
        </w:r>
        <w:r w:rsidR="00D9377D">
          <w:rPr>
            <w:noProof/>
            <w:webHidden/>
          </w:rPr>
          <w:instrText xml:space="preserve"> PAGEREF _Toc455486404 \h </w:instrText>
        </w:r>
        <w:r w:rsidR="00D9377D">
          <w:rPr>
            <w:noProof/>
            <w:webHidden/>
          </w:rPr>
        </w:r>
        <w:r w:rsidR="00D9377D">
          <w:rPr>
            <w:noProof/>
            <w:webHidden/>
          </w:rPr>
          <w:fldChar w:fldCharType="separate"/>
        </w:r>
        <w:r w:rsidR="00D9377D">
          <w:rPr>
            <w:noProof/>
            <w:webHidden/>
          </w:rPr>
          <w:t>73</w:t>
        </w:r>
        <w:r w:rsidR="00D9377D">
          <w:rPr>
            <w:noProof/>
            <w:webHidden/>
          </w:rPr>
          <w:fldChar w:fldCharType="end"/>
        </w:r>
      </w:hyperlink>
    </w:p>
    <w:p w:rsidR="00E54C88" w:rsidRDefault="005A5EE6" w:rsidP="00C83107">
      <w:r>
        <w:fldChar w:fldCharType="end"/>
      </w:r>
    </w:p>
    <w:p w:rsidR="00E54C88" w:rsidRPr="00ED077E" w:rsidRDefault="00E54C88" w:rsidP="006D595B">
      <w:pPr>
        <w:pStyle w:val="Heading1"/>
      </w:pPr>
      <w:bookmarkStart w:id="17" w:name="_Toc455486394"/>
      <w:r w:rsidRPr="00D05FD0">
        <w:lastRenderedPageBreak/>
        <w:t>Chairperson</w:t>
      </w:r>
      <w:r w:rsidR="004114D4">
        <w:t>’</w:t>
      </w:r>
      <w:r w:rsidRPr="00D05FD0">
        <w:t>s statement</w:t>
      </w:r>
      <w:bookmarkEnd w:id="17"/>
    </w:p>
    <w:p w:rsidR="00BA3CDD" w:rsidRPr="00BA3CDD" w:rsidRDefault="00BA3CDD" w:rsidP="00BA3CDD">
      <w:pPr>
        <w:rPr>
          <w:lang w:eastAsia="en-GB"/>
        </w:rPr>
      </w:pPr>
      <w:r w:rsidRPr="00BA3CDD">
        <w:rPr>
          <w:lang w:eastAsia="en-GB"/>
        </w:rPr>
        <w:t>I am pleased to present the annual report of the National Disability Authority (NDA) for 2015 to the Minister for Justice and Equality</w:t>
      </w:r>
      <w:r>
        <w:rPr>
          <w:lang w:eastAsia="en-GB"/>
        </w:rPr>
        <w:t>.</w:t>
      </w:r>
      <w:r w:rsidRPr="00BA3CDD">
        <w:rPr>
          <w:lang w:eastAsia="en-GB"/>
        </w:rPr>
        <w:t xml:space="preserve"> This report outlines the activities and outputs of the National Disability Authority, to deliver on the final year of our 3</w:t>
      </w:r>
      <w:r>
        <w:rPr>
          <w:lang w:eastAsia="en-GB"/>
        </w:rPr>
        <w:t>-</w:t>
      </w:r>
      <w:r w:rsidRPr="00BA3CDD">
        <w:rPr>
          <w:lang w:eastAsia="en-GB"/>
        </w:rPr>
        <w:t>year strategic plan 2013</w:t>
      </w:r>
      <w:r w:rsidR="006E42DD">
        <w:rPr>
          <w:lang w:eastAsia="en-GB"/>
        </w:rPr>
        <w:t>–</w:t>
      </w:r>
      <w:r w:rsidRPr="00BA3CDD">
        <w:rPr>
          <w:lang w:eastAsia="en-GB"/>
        </w:rPr>
        <w:t>2015.</w:t>
      </w:r>
    </w:p>
    <w:p w:rsidR="00BA3CDD" w:rsidRPr="00BA3CDD" w:rsidRDefault="00BA3CDD" w:rsidP="00BA3CDD">
      <w:pPr>
        <w:rPr>
          <w:lang w:eastAsia="en-GB"/>
        </w:rPr>
      </w:pPr>
      <w:r w:rsidRPr="00BA3CDD">
        <w:rPr>
          <w:lang w:eastAsia="en-GB"/>
        </w:rPr>
        <w:t xml:space="preserve">As the independent state body with statutory duty to provide </w:t>
      </w:r>
      <w:r w:rsidR="006E42DD" w:rsidRPr="00BA3CDD">
        <w:rPr>
          <w:lang w:eastAsia="en-GB"/>
        </w:rPr>
        <w:t>evidence</w:t>
      </w:r>
      <w:r w:rsidR="006E42DD">
        <w:rPr>
          <w:lang w:eastAsia="en-GB"/>
        </w:rPr>
        <w:t>-</w:t>
      </w:r>
      <w:r w:rsidRPr="00BA3CDD">
        <w:rPr>
          <w:lang w:eastAsia="en-GB"/>
        </w:rPr>
        <w:t>informed advice to the Government and officials on policy and practice relevant to the everyday lives of people with disabilities,</w:t>
      </w:r>
      <w:r>
        <w:rPr>
          <w:lang w:eastAsia="en-GB"/>
        </w:rPr>
        <w:t xml:space="preserve"> </w:t>
      </w:r>
      <w:r w:rsidRPr="00BA3CDD">
        <w:rPr>
          <w:lang w:eastAsia="en-GB"/>
        </w:rPr>
        <w:t>we are committed to ensuring we focus our work to impact real changes in policy implementation on the ground.</w:t>
      </w:r>
      <w:r>
        <w:rPr>
          <w:lang w:eastAsia="en-GB"/>
        </w:rPr>
        <w:t xml:space="preserve"> </w:t>
      </w:r>
      <w:r w:rsidRPr="00BA3CDD">
        <w:rPr>
          <w:lang w:eastAsia="en-GB"/>
        </w:rPr>
        <w:t>This is guided by our vision, our strategic goals</w:t>
      </w:r>
      <w:r w:rsidR="00644E38">
        <w:rPr>
          <w:lang w:eastAsia="en-GB"/>
        </w:rPr>
        <w:t>,</w:t>
      </w:r>
      <w:r w:rsidRPr="00BA3CDD">
        <w:rPr>
          <w:lang w:eastAsia="en-GB"/>
        </w:rPr>
        <w:t xml:space="preserve"> and the opportunity to influence the shaping and delivery of policy ongoing so that people with disabilities can have greater participation in Irish society and can live the lives of their choosing.</w:t>
      </w:r>
      <w:r>
        <w:rPr>
          <w:lang w:eastAsia="en-GB"/>
        </w:rPr>
        <w:t xml:space="preserve"> </w:t>
      </w:r>
      <w:r w:rsidR="009452B1" w:rsidRPr="009452B1">
        <w:rPr>
          <w:lang w:eastAsia="en-GB"/>
        </w:rPr>
        <w:t xml:space="preserve">Universal Design of the environment is key to ensuring everyone can access and easily use services, products, facilities, </w:t>
      </w:r>
      <w:r w:rsidR="006E42DD">
        <w:rPr>
          <w:lang w:eastAsia="en-GB"/>
        </w:rPr>
        <w:t xml:space="preserve">information and communication technology, </w:t>
      </w:r>
      <w:r w:rsidR="009452B1" w:rsidRPr="009452B1">
        <w:rPr>
          <w:lang w:eastAsia="en-GB"/>
        </w:rPr>
        <w:t xml:space="preserve">and the </w:t>
      </w:r>
      <w:r w:rsidR="006E42DD">
        <w:rPr>
          <w:lang w:eastAsia="en-GB"/>
        </w:rPr>
        <w:t xml:space="preserve">general </w:t>
      </w:r>
      <w:r w:rsidR="009452B1" w:rsidRPr="009452B1">
        <w:rPr>
          <w:lang w:eastAsia="en-GB"/>
        </w:rPr>
        <w:t>built environment as independently as possible</w:t>
      </w:r>
      <w:r w:rsidRPr="00BA3CDD">
        <w:rPr>
          <w:lang w:eastAsia="en-GB"/>
        </w:rPr>
        <w:t>.</w:t>
      </w:r>
      <w:r>
        <w:rPr>
          <w:lang w:eastAsia="en-GB"/>
        </w:rPr>
        <w:t xml:space="preserve"> </w:t>
      </w:r>
      <w:r w:rsidRPr="00BA3CDD">
        <w:rPr>
          <w:lang w:eastAsia="en-GB"/>
        </w:rPr>
        <w:t>Our work programme for 2015 covered target areas for promoting the adoption of universal design in practice.</w:t>
      </w:r>
      <w:r>
        <w:rPr>
          <w:lang w:eastAsia="en-GB"/>
        </w:rPr>
        <w:t xml:space="preserve"> </w:t>
      </w:r>
      <w:r w:rsidRPr="00BA3CDD">
        <w:rPr>
          <w:lang w:eastAsia="en-GB"/>
        </w:rPr>
        <w:t>As 2015 was the Irish Design Year</w:t>
      </w:r>
      <w:r w:rsidR="006E42DD">
        <w:rPr>
          <w:lang w:eastAsia="en-GB"/>
        </w:rPr>
        <w:t>,</w:t>
      </w:r>
      <w:r w:rsidRPr="00BA3CDD">
        <w:rPr>
          <w:lang w:eastAsia="en-GB"/>
        </w:rPr>
        <w:t xml:space="preserve"> we focused</w:t>
      </w:r>
      <w:r>
        <w:rPr>
          <w:lang w:eastAsia="en-GB"/>
        </w:rPr>
        <w:t xml:space="preserve"> on </w:t>
      </w:r>
      <w:r w:rsidRPr="00BA3CDD">
        <w:rPr>
          <w:lang w:eastAsia="en-GB"/>
        </w:rPr>
        <w:t>a number of partnership initiatives with key stakeholders in the desi</w:t>
      </w:r>
      <w:r>
        <w:rPr>
          <w:lang w:eastAsia="en-GB"/>
        </w:rPr>
        <w:t>gn sector.</w:t>
      </w:r>
    </w:p>
    <w:p w:rsidR="00644E38" w:rsidRDefault="00BA3CDD">
      <w:pPr>
        <w:pStyle w:val="NormalBeforeList"/>
        <w:rPr>
          <w:lang w:eastAsia="en-GB"/>
        </w:rPr>
      </w:pPr>
      <w:r w:rsidRPr="00BA3CDD">
        <w:rPr>
          <w:lang w:eastAsia="en-GB"/>
        </w:rPr>
        <w:t>I am pleased to advise on the progress we made in the following areas in</w:t>
      </w:r>
      <w:r w:rsidR="00FB58F6" w:rsidRPr="00264853">
        <w:rPr>
          <w:lang w:eastAsia="en-GB"/>
        </w:rPr>
        <w:t> </w:t>
      </w:r>
      <w:r w:rsidRPr="00BA3CDD">
        <w:rPr>
          <w:lang w:eastAsia="en-GB"/>
        </w:rPr>
        <w:t>particular</w:t>
      </w:r>
      <w:r w:rsidR="006E42DD">
        <w:rPr>
          <w:lang w:eastAsia="en-GB"/>
        </w:rPr>
        <w:t>:</w:t>
      </w:r>
    </w:p>
    <w:p w:rsidR="00BA3CDD" w:rsidRPr="00BA3CDD" w:rsidRDefault="00BA3CDD" w:rsidP="00C46D91">
      <w:pPr>
        <w:pStyle w:val="ListBullet"/>
        <w:rPr>
          <w:lang w:eastAsia="en-GB"/>
        </w:rPr>
      </w:pPr>
      <w:r w:rsidRPr="00C46D91">
        <w:rPr>
          <w:b/>
          <w:lang w:eastAsia="en-GB"/>
        </w:rPr>
        <w:t>Enhancing employment opportunities for persons with disabilities:</w:t>
      </w:r>
      <w:r>
        <w:rPr>
          <w:lang w:eastAsia="en-GB"/>
        </w:rPr>
        <w:t xml:space="preserve"> </w:t>
      </w:r>
      <w:r w:rsidRPr="00BA3CDD">
        <w:rPr>
          <w:lang w:eastAsia="en-GB"/>
        </w:rPr>
        <w:t>We have conducted research and advised over the years on key employment, training</w:t>
      </w:r>
      <w:r w:rsidR="006E42DD">
        <w:rPr>
          <w:lang w:eastAsia="en-GB"/>
        </w:rPr>
        <w:t>,</w:t>
      </w:r>
      <w:r w:rsidRPr="00BA3CDD">
        <w:rPr>
          <w:lang w:eastAsia="en-GB"/>
        </w:rPr>
        <w:t xml:space="preserve"> and education policy areas to support the achievement of this goal.</w:t>
      </w:r>
      <w:r>
        <w:rPr>
          <w:lang w:eastAsia="en-GB"/>
        </w:rPr>
        <w:t xml:space="preserve"> </w:t>
      </w:r>
      <w:r w:rsidRPr="00BA3CDD">
        <w:rPr>
          <w:lang w:eastAsia="en-GB"/>
        </w:rPr>
        <w:t>We have been delighted to support and guide the development of the Comprehensive Employment Strategy for Persons with Disabilities by officials</w:t>
      </w:r>
      <w:r>
        <w:rPr>
          <w:lang w:eastAsia="en-GB"/>
        </w:rPr>
        <w:t>,</w:t>
      </w:r>
      <w:r w:rsidRPr="00BA3CDD">
        <w:rPr>
          <w:lang w:eastAsia="en-GB"/>
        </w:rPr>
        <w:t xml:space="preserve"> which was launched by the Taoiseach on 2</w:t>
      </w:r>
      <w:r w:rsidR="006E42DD">
        <w:rPr>
          <w:lang w:eastAsia="en-GB"/>
        </w:rPr>
        <w:t>nd</w:t>
      </w:r>
      <w:r w:rsidRPr="00BA3CDD">
        <w:rPr>
          <w:lang w:eastAsia="en-GB"/>
        </w:rPr>
        <w:t xml:space="preserve"> October 2015.</w:t>
      </w:r>
      <w:r>
        <w:rPr>
          <w:lang w:eastAsia="en-GB"/>
        </w:rPr>
        <w:t xml:space="preserve"> </w:t>
      </w:r>
      <w:r w:rsidRPr="00BA3CDD">
        <w:rPr>
          <w:lang w:eastAsia="en-GB"/>
        </w:rPr>
        <w:t>We will continue to play our part in guiding its implementation, delivering on specific actions ourselves</w:t>
      </w:r>
      <w:r w:rsidR="006E42DD">
        <w:rPr>
          <w:lang w:eastAsia="en-GB"/>
        </w:rPr>
        <w:t>,</w:t>
      </w:r>
      <w:r w:rsidRPr="00BA3CDD">
        <w:rPr>
          <w:lang w:eastAsia="en-GB"/>
        </w:rPr>
        <w:t xml:space="preserve"> and monitoring progress in the overall delivery and outcomes of the strategy.</w:t>
      </w:r>
      <w:r>
        <w:rPr>
          <w:lang w:eastAsia="en-GB"/>
        </w:rPr>
        <w:t xml:space="preserve"> </w:t>
      </w:r>
      <w:r w:rsidR="00C46D91">
        <w:rPr>
          <w:lang w:eastAsia="en-GB"/>
        </w:rPr>
        <w:br/>
      </w:r>
      <w:r w:rsidR="00C46D91">
        <w:rPr>
          <w:lang w:eastAsia="en-GB"/>
        </w:rPr>
        <w:br/>
      </w:r>
      <w:r w:rsidRPr="00BA3CDD">
        <w:rPr>
          <w:lang w:eastAsia="en-GB"/>
        </w:rPr>
        <w:t>We were pleased to see a continued improvement in the numbers of persons with disabilities employed in the public sector, with the overall level reported at 3</w:t>
      </w:r>
      <w:r w:rsidR="006E42DD">
        <w:rPr>
          <w:lang w:eastAsia="en-GB"/>
        </w:rPr>
        <w:t>½</w:t>
      </w:r>
      <w:r w:rsidRPr="00BA3CDD">
        <w:rPr>
          <w:lang w:eastAsia="en-GB"/>
        </w:rPr>
        <w:t>%.</w:t>
      </w:r>
      <w:r>
        <w:rPr>
          <w:lang w:eastAsia="en-GB"/>
        </w:rPr>
        <w:t xml:space="preserve"> </w:t>
      </w:r>
      <w:r w:rsidRPr="00BA3CDD">
        <w:rPr>
          <w:lang w:eastAsia="en-GB"/>
        </w:rPr>
        <w:t>However, as set out in our statutory report</w:t>
      </w:r>
      <w:r>
        <w:rPr>
          <w:lang w:eastAsia="en-GB"/>
        </w:rPr>
        <w:t xml:space="preserve"> on </w:t>
      </w:r>
      <w:r w:rsidRPr="00BA3CDD">
        <w:rPr>
          <w:lang w:eastAsia="en-GB"/>
        </w:rPr>
        <w:t>compliance by public bodies in 2014 published last year, it is clear that not all bodies are fully compliant.</w:t>
      </w:r>
      <w:r>
        <w:rPr>
          <w:lang w:eastAsia="en-GB"/>
        </w:rPr>
        <w:t xml:space="preserve"> </w:t>
      </w:r>
      <w:r w:rsidRPr="00BA3CDD">
        <w:rPr>
          <w:lang w:eastAsia="en-GB"/>
        </w:rPr>
        <w:t>Last year we issued our first formal determination of non-compliance by the HSE with the requirements for employment under Part 5 of the Disability Act.</w:t>
      </w:r>
      <w:r>
        <w:rPr>
          <w:lang w:eastAsia="en-GB"/>
        </w:rPr>
        <w:t xml:space="preserve"> </w:t>
      </w:r>
      <w:r w:rsidRPr="00BA3CDD">
        <w:rPr>
          <w:lang w:eastAsia="en-GB"/>
        </w:rPr>
        <w:t>We have since directed that they implement specific measures to address, further to approval by the Minister for Health.</w:t>
      </w:r>
      <w:r>
        <w:rPr>
          <w:lang w:eastAsia="en-GB"/>
        </w:rPr>
        <w:t xml:space="preserve"> </w:t>
      </w:r>
      <w:r w:rsidRPr="00BA3CDD">
        <w:rPr>
          <w:lang w:eastAsia="en-GB"/>
        </w:rPr>
        <w:t>We look forward to seeing these being progressed from 2016.</w:t>
      </w:r>
    </w:p>
    <w:p w:rsidR="00BA3CDD" w:rsidRPr="00BA3CDD" w:rsidRDefault="00BA3CDD" w:rsidP="00C46D91">
      <w:pPr>
        <w:pStyle w:val="ListBullet"/>
        <w:rPr>
          <w:lang w:eastAsia="en-GB"/>
        </w:rPr>
      </w:pPr>
      <w:r w:rsidRPr="00BA3CDD">
        <w:rPr>
          <w:b/>
          <w:lang w:eastAsia="en-GB"/>
        </w:rPr>
        <w:t>Transforming Lives</w:t>
      </w:r>
      <w:r>
        <w:rPr>
          <w:b/>
          <w:lang w:eastAsia="en-GB"/>
        </w:rPr>
        <w:t>:</w:t>
      </w:r>
      <w:r w:rsidRPr="00BA3CDD">
        <w:rPr>
          <w:b/>
          <w:lang w:eastAsia="en-GB"/>
        </w:rPr>
        <w:t xml:space="preserve"> </w:t>
      </w:r>
      <w:r w:rsidRPr="00BA3CDD">
        <w:rPr>
          <w:lang w:eastAsia="en-GB"/>
        </w:rPr>
        <w:t xml:space="preserve">Much of our work in 2015 entailed a range of projects that together guide the implementation of the national programme </w:t>
      </w:r>
      <w:r w:rsidR="006E42DD">
        <w:rPr>
          <w:lang w:eastAsia="en-GB"/>
        </w:rPr>
        <w:t>“</w:t>
      </w:r>
      <w:r w:rsidRPr="00BA3CDD">
        <w:rPr>
          <w:lang w:eastAsia="en-GB"/>
        </w:rPr>
        <w:t>Transforming Lives</w:t>
      </w:r>
      <w:r w:rsidR="006E42DD">
        <w:rPr>
          <w:lang w:eastAsia="en-GB"/>
        </w:rPr>
        <w:t>”</w:t>
      </w:r>
      <w:r w:rsidRPr="00BA3CDD">
        <w:rPr>
          <w:lang w:eastAsia="en-GB"/>
        </w:rPr>
        <w:t>.</w:t>
      </w:r>
      <w:r>
        <w:rPr>
          <w:lang w:eastAsia="en-GB"/>
        </w:rPr>
        <w:t xml:space="preserve"> </w:t>
      </w:r>
      <w:r w:rsidRPr="00BA3CDD">
        <w:rPr>
          <w:lang w:eastAsia="en-GB"/>
        </w:rPr>
        <w:t>This programme</w:t>
      </w:r>
      <w:r w:rsidR="006E42DD">
        <w:rPr>
          <w:lang w:eastAsia="en-GB"/>
        </w:rPr>
        <w:t>,</w:t>
      </w:r>
      <w:r w:rsidRPr="00BA3CDD">
        <w:rPr>
          <w:lang w:eastAsia="en-GB"/>
        </w:rPr>
        <w:t xml:space="preserve"> when implemented</w:t>
      </w:r>
      <w:r w:rsidR="006E42DD">
        <w:rPr>
          <w:lang w:eastAsia="en-GB"/>
        </w:rPr>
        <w:t>,</w:t>
      </w:r>
      <w:r w:rsidRPr="00BA3CDD">
        <w:rPr>
          <w:lang w:eastAsia="en-GB"/>
        </w:rPr>
        <w:t xml:space="preserve"> will see a move to </w:t>
      </w:r>
      <w:r w:rsidR="006E42DD" w:rsidRPr="00BA3CDD">
        <w:rPr>
          <w:lang w:eastAsia="en-GB"/>
        </w:rPr>
        <w:t>person</w:t>
      </w:r>
      <w:r w:rsidR="006E42DD">
        <w:rPr>
          <w:lang w:eastAsia="en-GB"/>
        </w:rPr>
        <w:t>-</w:t>
      </w:r>
      <w:r w:rsidRPr="00BA3CDD">
        <w:rPr>
          <w:lang w:eastAsia="en-GB"/>
        </w:rPr>
        <w:t xml:space="preserve">centred supports that enable people with disabilities </w:t>
      </w:r>
      <w:r w:rsidR="006E42DD">
        <w:rPr>
          <w:lang w:eastAsia="en-GB"/>
        </w:rPr>
        <w:t xml:space="preserve">to </w:t>
      </w:r>
      <w:r w:rsidRPr="00BA3CDD">
        <w:rPr>
          <w:lang w:eastAsia="en-GB"/>
        </w:rPr>
        <w:t xml:space="preserve">have choice and control in their lives, </w:t>
      </w:r>
      <w:r w:rsidR="006E42DD">
        <w:rPr>
          <w:lang w:eastAsia="en-GB"/>
        </w:rPr>
        <w:t xml:space="preserve">and </w:t>
      </w:r>
      <w:r w:rsidRPr="00BA3CDD">
        <w:rPr>
          <w:lang w:eastAsia="en-GB"/>
        </w:rPr>
        <w:t>to be part of the co</w:t>
      </w:r>
      <w:r>
        <w:rPr>
          <w:lang w:eastAsia="en-GB"/>
        </w:rPr>
        <w:t>mmunity.</w:t>
      </w:r>
    </w:p>
    <w:p w:rsidR="00BA3CDD" w:rsidRPr="00BA3CDD" w:rsidRDefault="00BA3CDD" w:rsidP="00C46D91">
      <w:pPr>
        <w:pStyle w:val="ListBullet"/>
        <w:rPr>
          <w:lang w:eastAsia="en-GB"/>
        </w:rPr>
      </w:pPr>
      <w:r w:rsidRPr="00BA3CDD">
        <w:rPr>
          <w:b/>
          <w:lang w:eastAsia="en-GB"/>
        </w:rPr>
        <w:t>Systems to ensure quality and safe residential services</w:t>
      </w:r>
      <w:r>
        <w:rPr>
          <w:lang w:eastAsia="en-GB"/>
        </w:rPr>
        <w:t xml:space="preserve">: </w:t>
      </w:r>
      <w:r w:rsidRPr="00BA3CDD">
        <w:rPr>
          <w:lang w:eastAsia="en-GB"/>
        </w:rPr>
        <w:t>Following a request from the Minister for Disability in the Department of Health, we undertook a review of the impact and learning one year</w:t>
      </w:r>
      <w:r>
        <w:rPr>
          <w:lang w:eastAsia="en-GB"/>
        </w:rPr>
        <w:t xml:space="preserve"> on </w:t>
      </w:r>
      <w:r w:rsidRPr="00BA3CDD">
        <w:rPr>
          <w:lang w:eastAsia="en-GB"/>
        </w:rPr>
        <w:t>from the implementation of standards, regulations and an independent inspection process by HIQA.</w:t>
      </w:r>
      <w:r>
        <w:rPr>
          <w:lang w:eastAsia="en-GB"/>
        </w:rPr>
        <w:t xml:space="preserve"> </w:t>
      </w:r>
      <w:r w:rsidRPr="00BA3CDD">
        <w:rPr>
          <w:lang w:eastAsia="en-GB"/>
        </w:rPr>
        <w:t>The Project ran over 2015 and entailed detailed analysis of findings plus wide ranging consultation with persons with disabilities, their families, staff in services,</w:t>
      </w:r>
      <w:r>
        <w:rPr>
          <w:lang w:eastAsia="en-GB"/>
        </w:rPr>
        <w:t xml:space="preserve"> </w:t>
      </w:r>
      <w:r w:rsidRPr="00BA3CDD">
        <w:rPr>
          <w:lang w:eastAsia="en-GB"/>
        </w:rPr>
        <w:t>HIQA, HSE</w:t>
      </w:r>
      <w:r w:rsidR="006E42DD">
        <w:rPr>
          <w:lang w:eastAsia="en-GB"/>
        </w:rPr>
        <w:t>,</w:t>
      </w:r>
      <w:r w:rsidRPr="00BA3CDD">
        <w:rPr>
          <w:lang w:eastAsia="en-GB"/>
        </w:rPr>
        <w:t xml:space="preserve"> and disability bodies.</w:t>
      </w:r>
      <w:r>
        <w:rPr>
          <w:lang w:eastAsia="en-GB"/>
        </w:rPr>
        <w:t xml:space="preserve"> </w:t>
      </w:r>
      <w:r w:rsidRPr="00BA3CDD">
        <w:rPr>
          <w:lang w:eastAsia="en-GB"/>
        </w:rPr>
        <w:t>The report will provide learning to guide improvements and will inform the NDA’s advice</w:t>
      </w:r>
      <w:r>
        <w:rPr>
          <w:lang w:eastAsia="en-GB"/>
        </w:rPr>
        <w:t xml:space="preserve"> on </w:t>
      </w:r>
      <w:r w:rsidRPr="00BA3CDD">
        <w:rPr>
          <w:lang w:eastAsia="en-GB"/>
        </w:rPr>
        <w:t>same.</w:t>
      </w:r>
    </w:p>
    <w:p w:rsidR="00BA3CDD" w:rsidRPr="00BA3CDD" w:rsidRDefault="00BA3CDD" w:rsidP="00C46D91">
      <w:pPr>
        <w:pStyle w:val="ListBullet"/>
        <w:rPr>
          <w:lang w:eastAsia="en-GB"/>
        </w:rPr>
      </w:pPr>
      <w:r w:rsidRPr="00BA3CDD">
        <w:rPr>
          <w:b/>
          <w:lang w:eastAsia="en-GB"/>
        </w:rPr>
        <w:t>Accessible Services</w:t>
      </w:r>
      <w:r>
        <w:rPr>
          <w:b/>
          <w:lang w:eastAsia="en-GB"/>
        </w:rPr>
        <w:t xml:space="preserve">: </w:t>
      </w:r>
      <w:r w:rsidRPr="00BA3CDD">
        <w:rPr>
          <w:lang w:eastAsia="en-GB"/>
        </w:rPr>
        <w:t>We were pleased to see our work with the HSE</w:t>
      </w:r>
      <w:r>
        <w:rPr>
          <w:lang w:eastAsia="en-GB"/>
        </w:rPr>
        <w:t xml:space="preserve"> on </w:t>
      </w:r>
      <w:r w:rsidRPr="00BA3CDD">
        <w:rPr>
          <w:lang w:eastAsia="en-GB"/>
        </w:rPr>
        <w:t>guidelines for accessible health services come to fruition with an official launch in 2015.</w:t>
      </w:r>
      <w:r>
        <w:rPr>
          <w:lang w:eastAsia="en-GB"/>
        </w:rPr>
        <w:t xml:space="preserve"> </w:t>
      </w:r>
      <w:r w:rsidRPr="00BA3CDD">
        <w:rPr>
          <w:lang w:eastAsia="en-GB"/>
        </w:rPr>
        <w:t>The guidelines are being rolled out in training for HSE staff.</w:t>
      </w:r>
    </w:p>
    <w:p w:rsidR="00BA3CDD" w:rsidRPr="00BA3CDD" w:rsidRDefault="00BA3CDD" w:rsidP="00C46D91">
      <w:pPr>
        <w:pStyle w:val="ListBullet"/>
        <w:rPr>
          <w:lang w:eastAsia="en-GB"/>
        </w:rPr>
      </w:pPr>
      <w:r w:rsidRPr="00BA3CDD">
        <w:rPr>
          <w:b/>
          <w:lang w:eastAsia="en-GB"/>
        </w:rPr>
        <w:t>Focus</w:t>
      </w:r>
      <w:r>
        <w:rPr>
          <w:b/>
          <w:lang w:eastAsia="en-GB"/>
        </w:rPr>
        <w:t xml:space="preserve"> on </w:t>
      </w:r>
      <w:r w:rsidRPr="00BA3CDD">
        <w:rPr>
          <w:b/>
          <w:lang w:eastAsia="en-GB"/>
        </w:rPr>
        <w:t>Autism</w:t>
      </w:r>
      <w:r>
        <w:rPr>
          <w:b/>
          <w:lang w:eastAsia="en-GB"/>
        </w:rPr>
        <w:t>:</w:t>
      </w:r>
      <w:r>
        <w:rPr>
          <w:lang w:eastAsia="en-GB"/>
        </w:rPr>
        <w:t xml:space="preserve"> </w:t>
      </w:r>
      <w:r w:rsidRPr="00BA3CDD">
        <w:rPr>
          <w:lang w:eastAsia="en-GB"/>
        </w:rPr>
        <w:t>We continued to work with Departments and agencies to guide</w:t>
      </w:r>
      <w:r>
        <w:rPr>
          <w:lang w:eastAsia="en-GB"/>
        </w:rPr>
        <w:t xml:space="preserve"> on </w:t>
      </w:r>
      <w:r w:rsidRPr="00BA3CDD">
        <w:rPr>
          <w:lang w:eastAsia="en-GB"/>
        </w:rPr>
        <w:t>how policies and practice could better take account of the needs of persons with autism.</w:t>
      </w:r>
      <w:r>
        <w:rPr>
          <w:lang w:eastAsia="en-GB"/>
        </w:rPr>
        <w:t xml:space="preserve"> </w:t>
      </w:r>
      <w:r w:rsidRPr="00BA3CDD">
        <w:rPr>
          <w:lang w:eastAsia="en-GB"/>
        </w:rPr>
        <w:t>This informed a programme of actions adopted for roll out as part of the National Disability Strategy.</w:t>
      </w:r>
      <w:r>
        <w:rPr>
          <w:lang w:eastAsia="en-GB"/>
        </w:rPr>
        <w:t xml:space="preserve"> </w:t>
      </w:r>
      <w:r w:rsidRPr="00BA3CDD">
        <w:rPr>
          <w:lang w:eastAsia="en-GB"/>
        </w:rPr>
        <w:t>We also ran a productive workshop with representatives from the justice sector to inform guidelines</w:t>
      </w:r>
      <w:r>
        <w:rPr>
          <w:lang w:eastAsia="en-GB"/>
        </w:rPr>
        <w:t xml:space="preserve"> on </w:t>
      </w:r>
      <w:r w:rsidRPr="00BA3CDD">
        <w:rPr>
          <w:lang w:eastAsia="en-GB"/>
        </w:rPr>
        <w:t>engaging and supporting those with autism who come in contact with the justice</w:t>
      </w:r>
      <w:r w:rsidR="006E42DD" w:rsidRPr="005D596A">
        <w:t> </w:t>
      </w:r>
      <w:r w:rsidRPr="00BA3CDD">
        <w:rPr>
          <w:lang w:eastAsia="en-GB"/>
        </w:rPr>
        <w:t>system.</w:t>
      </w:r>
    </w:p>
    <w:p w:rsidR="00BA3CDD" w:rsidRPr="00BA3CDD" w:rsidRDefault="00BA3CDD" w:rsidP="00C46D91">
      <w:pPr>
        <w:pStyle w:val="ListBullet"/>
        <w:rPr>
          <w:lang w:eastAsia="en-GB"/>
        </w:rPr>
      </w:pPr>
      <w:r w:rsidRPr="00BA3CDD">
        <w:rPr>
          <w:b/>
          <w:lang w:eastAsia="en-GB"/>
        </w:rPr>
        <w:t>Mainstream Public Services</w:t>
      </w:r>
      <w:r>
        <w:rPr>
          <w:b/>
          <w:lang w:eastAsia="en-GB"/>
        </w:rPr>
        <w:t xml:space="preserve">: </w:t>
      </w:r>
      <w:r w:rsidRPr="00BA3CDD">
        <w:rPr>
          <w:lang w:eastAsia="en-GB"/>
        </w:rPr>
        <w:t>In marking the fifteenth anniversary of the NDA</w:t>
      </w:r>
      <w:r w:rsidR="006E42DD">
        <w:rPr>
          <w:lang w:eastAsia="en-GB"/>
        </w:rPr>
        <w:t>,</w:t>
      </w:r>
      <w:r w:rsidRPr="00BA3CDD">
        <w:rPr>
          <w:lang w:eastAsia="en-GB"/>
        </w:rPr>
        <w:t xml:space="preserve"> we focused our annual conference</w:t>
      </w:r>
      <w:r>
        <w:rPr>
          <w:lang w:eastAsia="en-GB"/>
        </w:rPr>
        <w:t xml:space="preserve"> on </w:t>
      </w:r>
      <w:r w:rsidRPr="00BA3CDD">
        <w:rPr>
          <w:lang w:eastAsia="en-GB"/>
        </w:rPr>
        <w:t>inclusive mainstream public services</w:t>
      </w:r>
      <w:r>
        <w:rPr>
          <w:lang w:eastAsia="en-GB"/>
        </w:rPr>
        <w:t xml:space="preserve"> </w:t>
      </w:r>
      <w:r w:rsidRPr="00BA3CDD">
        <w:rPr>
          <w:lang w:eastAsia="en-GB"/>
        </w:rPr>
        <w:t>and the role of planning and leadership.</w:t>
      </w:r>
      <w:r>
        <w:rPr>
          <w:lang w:eastAsia="en-GB"/>
        </w:rPr>
        <w:t xml:space="preserve"> </w:t>
      </w:r>
      <w:r w:rsidRPr="00BA3CDD">
        <w:rPr>
          <w:lang w:eastAsia="en-GB"/>
        </w:rPr>
        <w:t xml:space="preserve">It was our first </w:t>
      </w:r>
      <w:r w:rsidR="006E42DD" w:rsidRPr="00BA3CDD">
        <w:rPr>
          <w:lang w:eastAsia="en-GB"/>
        </w:rPr>
        <w:t>cross</w:t>
      </w:r>
      <w:r w:rsidR="006E42DD">
        <w:rPr>
          <w:lang w:eastAsia="en-GB"/>
        </w:rPr>
        <w:t>-</w:t>
      </w:r>
      <w:r w:rsidRPr="00BA3CDD">
        <w:rPr>
          <w:lang w:eastAsia="en-GB"/>
        </w:rPr>
        <w:t>border event and covered key service areas including online services, employment supports, and disability awareness.</w:t>
      </w:r>
    </w:p>
    <w:p w:rsidR="00BA3CDD" w:rsidRPr="00BA3CDD" w:rsidRDefault="00BA3CDD" w:rsidP="00C46D91">
      <w:pPr>
        <w:pStyle w:val="ListBullet"/>
        <w:rPr>
          <w:lang w:eastAsia="en-GB"/>
        </w:rPr>
      </w:pPr>
      <w:r w:rsidRPr="00BA3CDD">
        <w:rPr>
          <w:b/>
          <w:lang w:eastAsia="en-GB"/>
        </w:rPr>
        <w:t>Education and Universal Design</w:t>
      </w:r>
      <w:r>
        <w:rPr>
          <w:b/>
          <w:lang w:eastAsia="en-GB"/>
        </w:rPr>
        <w:t>:</w:t>
      </w:r>
      <w:r>
        <w:rPr>
          <w:lang w:eastAsia="en-GB"/>
        </w:rPr>
        <w:t xml:space="preserve"> </w:t>
      </w:r>
      <w:r w:rsidRPr="00BA3CDD">
        <w:rPr>
          <w:lang w:eastAsia="en-GB"/>
        </w:rPr>
        <w:t>We ran a conference in partnership with stakeholders</w:t>
      </w:r>
      <w:r>
        <w:rPr>
          <w:lang w:eastAsia="en-GB"/>
        </w:rPr>
        <w:t xml:space="preserve"> on </w:t>
      </w:r>
      <w:r w:rsidRPr="00BA3CDD">
        <w:rPr>
          <w:lang w:eastAsia="en-GB"/>
        </w:rPr>
        <w:t>this theme in November 2015 to mark Irish Design Year and</w:t>
      </w:r>
      <w:r w:rsidR="006E42DD">
        <w:rPr>
          <w:lang w:eastAsia="en-GB"/>
        </w:rPr>
        <w:t>—</w:t>
      </w:r>
      <w:r w:rsidRPr="00BA3CDD">
        <w:rPr>
          <w:lang w:eastAsia="en-GB"/>
        </w:rPr>
        <w:t>further to our statutory duty</w:t>
      </w:r>
      <w:r w:rsidR="006E42DD">
        <w:rPr>
          <w:lang w:eastAsia="en-GB"/>
        </w:rPr>
        <w:t>—</w:t>
      </w:r>
      <w:r w:rsidRPr="00BA3CDD">
        <w:rPr>
          <w:lang w:eastAsia="en-GB"/>
        </w:rPr>
        <w:t>to promote education</w:t>
      </w:r>
      <w:r>
        <w:rPr>
          <w:lang w:eastAsia="en-GB"/>
        </w:rPr>
        <w:t xml:space="preserve"> on </w:t>
      </w:r>
      <w:r w:rsidRPr="00BA3CDD">
        <w:rPr>
          <w:lang w:eastAsia="en-GB"/>
        </w:rPr>
        <w:t>universal design for the relevant professions.</w:t>
      </w:r>
      <w:r>
        <w:rPr>
          <w:lang w:eastAsia="en-GB"/>
        </w:rPr>
        <w:t xml:space="preserve"> </w:t>
      </w:r>
      <w:r w:rsidRPr="00BA3CDD">
        <w:rPr>
          <w:lang w:eastAsia="en-GB"/>
        </w:rPr>
        <w:t xml:space="preserve">Partners included Institute of Technology, Blanchardstown, Dublin City University, </w:t>
      </w:r>
      <w:r>
        <w:rPr>
          <w:lang w:eastAsia="en-GB"/>
        </w:rPr>
        <w:t xml:space="preserve">and </w:t>
      </w:r>
      <w:r w:rsidRPr="00BA3CDD">
        <w:rPr>
          <w:lang w:eastAsia="en-GB"/>
        </w:rPr>
        <w:t>National Standards Authority.</w:t>
      </w:r>
      <w:r>
        <w:rPr>
          <w:lang w:eastAsia="en-GB"/>
        </w:rPr>
        <w:t xml:space="preserve"> </w:t>
      </w:r>
      <w:r w:rsidRPr="00BA3CDD">
        <w:rPr>
          <w:lang w:eastAsia="en-GB"/>
        </w:rPr>
        <w:t xml:space="preserve">The conference provided an excellent opportunity to highlight what </w:t>
      </w:r>
      <w:r w:rsidR="006E42DD">
        <w:rPr>
          <w:lang w:eastAsia="en-GB"/>
        </w:rPr>
        <w:t>w</w:t>
      </w:r>
      <w:r w:rsidRPr="00BA3CDD">
        <w:rPr>
          <w:lang w:eastAsia="en-GB"/>
        </w:rPr>
        <w:t>orks well in teaching universal design in range of disciplines.</w:t>
      </w:r>
    </w:p>
    <w:p w:rsidR="00BA3CDD" w:rsidRPr="00BA3CDD" w:rsidRDefault="00BA3CDD" w:rsidP="00C46D91">
      <w:pPr>
        <w:pStyle w:val="ListBullet"/>
        <w:rPr>
          <w:lang w:eastAsia="en-GB"/>
        </w:rPr>
      </w:pPr>
      <w:r w:rsidRPr="00BA3CDD">
        <w:rPr>
          <w:b/>
          <w:lang w:eastAsia="en-GB"/>
        </w:rPr>
        <w:t>Understanding Universal Design</w:t>
      </w:r>
      <w:r w:rsidR="00C46D91">
        <w:rPr>
          <w:b/>
          <w:lang w:eastAsia="en-GB"/>
        </w:rPr>
        <w:t>:</w:t>
      </w:r>
      <w:r>
        <w:rPr>
          <w:lang w:eastAsia="en-GB"/>
        </w:rPr>
        <w:t xml:space="preserve"> </w:t>
      </w:r>
      <w:r w:rsidRPr="00BA3CDD">
        <w:rPr>
          <w:lang w:eastAsia="en-GB"/>
        </w:rPr>
        <w:t>We ran a Grand Universal Design Challenge in 2015.</w:t>
      </w:r>
      <w:r>
        <w:rPr>
          <w:lang w:eastAsia="en-GB"/>
        </w:rPr>
        <w:t xml:space="preserve"> </w:t>
      </w:r>
      <w:r w:rsidRPr="00BA3CDD">
        <w:rPr>
          <w:lang w:eastAsia="en-GB"/>
        </w:rPr>
        <w:t>Enterprise Ireland came on board so that</w:t>
      </w:r>
      <w:r w:rsidR="006E42DD">
        <w:rPr>
          <w:lang w:eastAsia="en-GB"/>
        </w:rPr>
        <w:t>,</w:t>
      </w:r>
      <w:r w:rsidRPr="00BA3CDD">
        <w:rPr>
          <w:lang w:eastAsia="en-GB"/>
        </w:rPr>
        <w:t xml:space="preserve"> </w:t>
      </w:r>
      <w:r w:rsidR="006E42DD" w:rsidRPr="00BA3CDD">
        <w:rPr>
          <w:lang w:eastAsia="en-GB"/>
        </w:rPr>
        <w:t>for the first time</w:t>
      </w:r>
      <w:r w:rsidR="006E42DD">
        <w:rPr>
          <w:lang w:eastAsia="en-GB"/>
        </w:rPr>
        <w:t>,</w:t>
      </w:r>
      <w:r w:rsidR="006E42DD" w:rsidRPr="00BA3CDD">
        <w:rPr>
          <w:lang w:eastAsia="en-GB"/>
        </w:rPr>
        <w:t xml:space="preserve"> </w:t>
      </w:r>
      <w:r w:rsidRPr="00BA3CDD">
        <w:rPr>
          <w:lang w:eastAsia="en-GB"/>
        </w:rPr>
        <w:t>the Challenge included the award of grants for further development of the winning ideas.</w:t>
      </w:r>
    </w:p>
    <w:p w:rsidR="00BA3CDD" w:rsidRPr="00BA3CDD" w:rsidRDefault="00BA3CDD" w:rsidP="00644E38">
      <w:pPr>
        <w:pStyle w:val="NormalAfterList"/>
        <w:rPr>
          <w:lang w:eastAsia="en-GB"/>
        </w:rPr>
      </w:pPr>
      <w:r w:rsidRPr="00BA3CDD">
        <w:rPr>
          <w:lang w:eastAsia="en-GB"/>
        </w:rPr>
        <w:t>It was the first full year that the current Authority was in place, and I would like to thank my fellow members for their work throughout 2015, especially for their contribution and engagement in the development of the strategy for the NDA for the next 3 years.</w:t>
      </w:r>
      <w:r>
        <w:rPr>
          <w:lang w:eastAsia="en-GB"/>
        </w:rPr>
        <w:t xml:space="preserve"> </w:t>
      </w:r>
      <w:r w:rsidRPr="00BA3CDD">
        <w:rPr>
          <w:lang w:eastAsia="en-GB"/>
        </w:rPr>
        <w:t>I would also like to thank all of the members of our Finance and Audit Committees for their work and guidance over the year.</w:t>
      </w:r>
    </w:p>
    <w:p w:rsidR="00BA3CDD" w:rsidRPr="00BA3CDD" w:rsidRDefault="00BA3CDD" w:rsidP="00BA3CDD">
      <w:pPr>
        <w:rPr>
          <w:lang w:eastAsia="en-GB"/>
        </w:rPr>
      </w:pPr>
      <w:r w:rsidRPr="00BA3CDD">
        <w:rPr>
          <w:lang w:eastAsia="en-GB"/>
        </w:rPr>
        <w:t>I would like to take this opportunity to also thank the staff of Disability Policy section in the Department of Justice and Equality for their support and engagement, as well as the staff of the Financial Shared Services unit, shared IT support services</w:t>
      </w:r>
      <w:r w:rsidR="000622DF">
        <w:rPr>
          <w:lang w:eastAsia="en-GB"/>
        </w:rPr>
        <w:t>,</w:t>
      </w:r>
      <w:r w:rsidRPr="00BA3CDD">
        <w:rPr>
          <w:lang w:eastAsia="en-GB"/>
        </w:rPr>
        <w:t xml:space="preserve"> and print management service, for their continued support to the National Disability Authority.</w:t>
      </w:r>
      <w:r>
        <w:rPr>
          <w:lang w:eastAsia="en-GB"/>
        </w:rPr>
        <w:t xml:space="preserve"> </w:t>
      </w:r>
    </w:p>
    <w:p w:rsidR="00BA3CDD" w:rsidRPr="00BA3CDD" w:rsidRDefault="00BA3CDD" w:rsidP="00BA3CDD">
      <w:pPr>
        <w:rPr>
          <w:lang w:eastAsia="en-GB"/>
        </w:rPr>
      </w:pPr>
      <w:r w:rsidRPr="00BA3CDD">
        <w:rPr>
          <w:lang w:eastAsia="en-GB"/>
        </w:rPr>
        <w:t>Finally, I would like to recognise the commitment, energy, expertise</w:t>
      </w:r>
      <w:r w:rsidR="000622DF">
        <w:rPr>
          <w:lang w:eastAsia="en-GB"/>
        </w:rPr>
        <w:t>,</w:t>
      </w:r>
      <w:r w:rsidRPr="00BA3CDD">
        <w:rPr>
          <w:lang w:eastAsia="en-GB"/>
        </w:rPr>
        <w:t xml:space="preserve"> and high standard of work that was delivered by the staff and management of the National Disability Authority.</w:t>
      </w:r>
      <w:r>
        <w:rPr>
          <w:lang w:eastAsia="en-GB"/>
        </w:rPr>
        <w:t xml:space="preserve"> </w:t>
      </w:r>
      <w:r w:rsidRPr="00BA3CDD">
        <w:rPr>
          <w:lang w:eastAsia="en-GB"/>
        </w:rPr>
        <w:t xml:space="preserve">Their dedication and determination to ensuring the NDA can guide real and lasting change in the lives of people with disabilities is evident in the work they have progressed in 2015. </w:t>
      </w:r>
    </w:p>
    <w:p w:rsidR="00D57A99" w:rsidRPr="00264853" w:rsidRDefault="00183CD3" w:rsidP="00994B9D">
      <w:r>
        <w:rPr>
          <w:lang w:eastAsia="en-GB"/>
        </w:rPr>
        <w:br/>
      </w:r>
      <w:r>
        <w:rPr>
          <w:lang w:eastAsia="en-GB"/>
        </w:rPr>
        <w:br/>
      </w:r>
      <w:r w:rsidR="00BA3CDD" w:rsidRPr="00BA3CDD">
        <w:rPr>
          <w:lang w:eastAsia="en-GB"/>
        </w:rPr>
        <w:t>Helen Guinan</w:t>
      </w:r>
      <w:r w:rsidR="002E230E">
        <w:rPr>
          <w:lang w:eastAsia="en-GB"/>
        </w:rPr>
        <w:t>,</w:t>
      </w:r>
      <w:r w:rsidR="00BA3CDD">
        <w:rPr>
          <w:lang w:eastAsia="en-GB"/>
        </w:rPr>
        <w:br/>
      </w:r>
      <w:r w:rsidR="00BA3CDD" w:rsidRPr="00BA3CDD">
        <w:rPr>
          <w:lang w:eastAsia="en-GB"/>
        </w:rPr>
        <w:t>Chairperson</w:t>
      </w:r>
    </w:p>
    <w:p w:rsidR="00653D8B" w:rsidRDefault="00653D8B">
      <w:pPr>
        <w:spacing w:after="0"/>
        <w:rPr>
          <w:rFonts w:ascii="Rockwell" w:hAnsi="Rockwell" w:cs="Arial"/>
          <w:b/>
          <w:bCs/>
          <w:color w:val="BF2296"/>
          <w:kern w:val="32"/>
          <w:sz w:val="56"/>
          <w:szCs w:val="32"/>
        </w:rPr>
      </w:pPr>
      <w:r>
        <w:br w:type="page"/>
      </w:r>
    </w:p>
    <w:p w:rsidR="00653D8B" w:rsidRDefault="00653D8B">
      <w:pPr>
        <w:spacing w:after="0"/>
        <w:rPr>
          <w:rFonts w:ascii="Rockwell" w:hAnsi="Rockwell" w:cs="Arial"/>
          <w:b/>
          <w:bCs/>
          <w:color w:val="BF2296"/>
          <w:kern w:val="32"/>
          <w:sz w:val="56"/>
          <w:szCs w:val="32"/>
        </w:rPr>
      </w:pPr>
      <w:r>
        <w:br w:type="page"/>
      </w:r>
    </w:p>
    <w:p w:rsidR="00E54C88" w:rsidRDefault="00E54C88" w:rsidP="007A3B86">
      <w:pPr>
        <w:pStyle w:val="Heading1"/>
      </w:pPr>
      <w:bookmarkStart w:id="18" w:name="_Toc455486395"/>
      <w:r>
        <w:t>Overview and policy context</w:t>
      </w:r>
      <w:bookmarkEnd w:id="18"/>
    </w:p>
    <w:p w:rsidR="00D05FD0" w:rsidRPr="00D05FD0" w:rsidRDefault="00D05FD0" w:rsidP="00D05FD0">
      <w:pPr>
        <w:pStyle w:val="NormalAfterList"/>
      </w:pPr>
      <w:r w:rsidRPr="00D05FD0">
        <w:t>Over the three year period of the National Disability Authority</w:t>
      </w:r>
      <w:r w:rsidR="004114D4">
        <w:t>’</w:t>
      </w:r>
      <w:r w:rsidRPr="00D05FD0">
        <w:t>s Strategic Plan 2013</w:t>
      </w:r>
      <w:r>
        <w:t>–</w:t>
      </w:r>
      <w:r w:rsidRPr="00D05FD0">
        <w:t xml:space="preserve">15, we have delivered a wide-ranging programme of work under all the key elements and objectives of the strategic framework. </w:t>
      </w:r>
    </w:p>
    <w:p w:rsidR="00D05FD0" w:rsidRPr="00264853" w:rsidRDefault="00846397" w:rsidP="00570491">
      <w:r w:rsidRPr="00846397">
        <w:t>The strategic plan had been approved by the Minister for Justice and Equality in June 2012, but inevitably there have been changes over the intervening period in terms of some of the key performance indicators. This was largely due to significant pieces of additional work undertaken, guided by requests for research, information and advice from the Minister, government departments and agencies and by changes and developments that arose in the policy landscape. In addition, with the loss of personnel who could not be replaced, the NDA operated with fewer staff than envisaged when the strategic plan had been drafted. External circumstances would have impacted on timeframes for projects and their focus also.</w:t>
      </w:r>
    </w:p>
    <w:p w:rsidR="00D05FD0" w:rsidRPr="00D05FD0" w:rsidRDefault="00D05FD0" w:rsidP="00FB58F6">
      <w:pPr>
        <w:pStyle w:val="NormalBeforeList"/>
      </w:pPr>
      <w:r w:rsidRPr="00D05FD0">
        <w:t>Major new projects that were undertaken by the National Disability Authority in the three ye</w:t>
      </w:r>
      <w:r>
        <w:t>ar period included:</w:t>
      </w:r>
    </w:p>
    <w:p w:rsidR="00D05FD0" w:rsidRPr="00D05FD0" w:rsidRDefault="00D05FD0" w:rsidP="00FB58F6">
      <w:pPr>
        <w:pStyle w:val="ListBullet"/>
      </w:pPr>
      <w:r w:rsidRPr="00D05FD0">
        <w:t>Facilitating, at the request of Government, the preparation of the comprehensive employment strategy for people with disabilities and associated action plan</w:t>
      </w:r>
    </w:p>
    <w:p w:rsidR="00D05FD0" w:rsidRPr="00D05FD0" w:rsidRDefault="00D05FD0" w:rsidP="00D05FD0">
      <w:pPr>
        <w:pStyle w:val="ListBullet"/>
      </w:pPr>
      <w:r w:rsidRPr="00D05FD0">
        <w:t>Research and analysis, at the request of the Minister of State for Disability and Mental Health, of the operation of the new system of regulation, standards and inspection of residential disability services, which took effect from end 2013</w:t>
      </w:r>
    </w:p>
    <w:p w:rsidR="00D05FD0" w:rsidRPr="00D05FD0" w:rsidRDefault="00D05FD0" w:rsidP="00D05FD0">
      <w:pPr>
        <w:pStyle w:val="ListBullet"/>
      </w:pPr>
      <w:r w:rsidRPr="00D05FD0">
        <w:t>Significant work with the Department of Health and the HSE on implementing the Transforming Lives programme of reforms, and undertaking some of the analytic work to underpin the reform programme</w:t>
      </w:r>
    </w:p>
    <w:p w:rsidR="00D05FD0" w:rsidRPr="00D05FD0" w:rsidRDefault="00D05FD0" w:rsidP="00D05FD0">
      <w:pPr>
        <w:pStyle w:val="ListBullet"/>
      </w:pPr>
      <w:r w:rsidRPr="00D05FD0">
        <w:t>Leading out on drafting and a nationwide consultation exercise on national standards for disability support services in line with the HSE</w:t>
      </w:r>
      <w:r w:rsidR="004114D4">
        <w:t>’</w:t>
      </w:r>
      <w:r w:rsidRPr="00D05FD0">
        <w:t>s New Directions policy</w:t>
      </w:r>
    </w:p>
    <w:p w:rsidR="00D05FD0" w:rsidRPr="00D05FD0" w:rsidRDefault="00D05FD0" w:rsidP="00D05FD0">
      <w:pPr>
        <w:pStyle w:val="ListBullet"/>
      </w:pPr>
      <w:r w:rsidRPr="00D05FD0">
        <w:t>Research, mapping of supports and programmes, and consultation with people in the autism community, to guide on a programme of additional actions in relation to autism incorporated into the National Disability Strategy</w:t>
      </w:r>
    </w:p>
    <w:p w:rsidR="00D05FD0" w:rsidRPr="00D05FD0" w:rsidRDefault="00D05FD0" w:rsidP="00D05FD0">
      <w:pPr>
        <w:pStyle w:val="ListBullet"/>
      </w:pPr>
      <w:r w:rsidRPr="00D05FD0">
        <w:t>Organising a programme of regional consultations on the objectives for the next National Disability Strategy Inclusion Plan post 2016</w:t>
      </w:r>
    </w:p>
    <w:p w:rsidR="00D05FD0" w:rsidRDefault="00D05FD0" w:rsidP="00D05FD0">
      <w:pPr>
        <w:pStyle w:val="ListBullet"/>
      </w:pPr>
      <w:r w:rsidRPr="00D05FD0">
        <w:t>Research and guidance on Universal Design Homes</w:t>
      </w:r>
    </w:p>
    <w:p w:rsidR="00D57A99" w:rsidRDefault="00D57A99" w:rsidP="00D05FD0">
      <w:pPr>
        <w:pStyle w:val="ListBullet"/>
      </w:pPr>
      <w:r>
        <w:t>Roll out of the universal design in practice in the tourism sector.</w:t>
      </w:r>
    </w:p>
    <w:p w:rsidR="00D57A99" w:rsidRPr="00BB2378" w:rsidRDefault="00D57A99" w:rsidP="0083125C">
      <w:r w:rsidRPr="00BB2378">
        <w:t>Over the course of 2015 the National Disability Implementation Plan was in its final year for implementation.</w:t>
      </w:r>
      <w:r w:rsidR="00082556">
        <w:t xml:space="preserve"> </w:t>
      </w:r>
      <w:r w:rsidRPr="00BB2378">
        <w:t>The Department of Justice and Equality led out on preparations to develop a strategy and actions for the next period to be delivered by a wide range of government departments and agencies.</w:t>
      </w:r>
      <w:r w:rsidR="00082556">
        <w:t xml:space="preserve"> </w:t>
      </w:r>
      <w:r w:rsidRPr="00BB2378">
        <w:t>The National Disability Authority was tasked with facilitating independent consultation to guide the strategic priorities and objectives as a first step.</w:t>
      </w:r>
      <w:r w:rsidR="00082556">
        <w:t xml:space="preserve"> </w:t>
      </w:r>
      <w:r w:rsidRPr="00BB2378">
        <w:t>This entailed regional meetings, focus groups and online submissions.</w:t>
      </w:r>
    </w:p>
    <w:p w:rsidR="00D57A99" w:rsidRPr="00BB2378" w:rsidRDefault="00D57A99" w:rsidP="0083125C">
      <w:r w:rsidRPr="00BB2378">
        <w:t>The finalisation of the national Comprehensive Employment Strategy for Persons with Disabilities as approved by Government and launched in October 2015 was a significant development, as was the establishment of an Implementation Group with an independent chairperson to monitor and report on progress.</w:t>
      </w:r>
    </w:p>
    <w:p w:rsidR="00E54C88" w:rsidRDefault="00BB2378" w:rsidP="0083125C">
      <w:r w:rsidRPr="00BB2378">
        <w:t>These particular developments will play a major part in the future work and strategies of the National Disability Authority.</w:t>
      </w:r>
    </w:p>
    <w:p w:rsidR="00E54C88" w:rsidRDefault="00E54C88" w:rsidP="00653D8B">
      <w:pPr>
        <w:pStyle w:val="Heading1"/>
        <w:pageBreakBefore w:val="0"/>
      </w:pPr>
      <w:bookmarkStart w:id="19" w:name="_Toc455486396"/>
      <w:r w:rsidRPr="006C6A70">
        <w:rPr>
          <w:b w:val="0"/>
        </w:rPr>
        <w:t>Strategic priority 1</w:t>
      </w:r>
      <w:r w:rsidR="00864B9D" w:rsidRPr="006C6A70">
        <w:rPr>
          <w:b w:val="0"/>
        </w:rPr>
        <w:t xml:space="preserve">: </w:t>
      </w:r>
      <w:r w:rsidR="006C6A70">
        <w:br/>
      </w:r>
      <w:r w:rsidRPr="006D595B">
        <w:t>National Disability Strategy</w:t>
      </w:r>
      <w:bookmarkEnd w:id="19"/>
    </w:p>
    <w:p w:rsidR="00E54C88" w:rsidRPr="004B7CEB" w:rsidRDefault="004114D4" w:rsidP="004B7CEB">
      <w:pPr>
        <w:rPr>
          <w:b/>
        </w:rPr>
      </w:pPr>
      <w:r>
        <w:rPr>
          <w:b/>
        </w:rPr>
        <w:t>“</w:t>
      </w:r>
      <w:r w:rsidR="00E54C88" w:rsidRPr="004B7CEB">
        <w:rPr>
          <w:b/>
        </w:rPr>
        <w:t>To support the effective delivery of the National Disability Strategy Implementation Plan through our research, advice and guidance to Government Departments and public bodies and to monitor the outcomes for people with disabilities.</w:t>
      </w:r>
      <w:r>
        <w:rPr>
          <w:b/>
        </w:rPr>
        <w:t>”</w:t>
      </w:r>
    </w:p>
    <w:p w:rsidR="00D05FD0" w:rsidRDefault="00D05FD0" w:rsidP="00D05FD0">
      <w:r>
        <w:t xml:space="preserve">The National Disability Authority continued to advise Government Departments on disability policy and practice, and in particular, on the implementation of the </w:t>
      </w:r>
      <w:r w:rsidRPr="0083125C">
        <w:t>commitments in the National Disability Strategy Implementation Plan 2013</w:t>
      </w:r>
      <w:r w:rsidR="00871A62">
        <w:t>–</w:t>
      </w:r>
      <w:r w:rsidRPr="0083125C">
        <w:t xml:space="preserve">15. </w:t>
      </w:r>
      <w:r w:rsidR="00BB2378" w:rsidRPr="0083125C">
        <w:t>This was progressed through bilateral engagement, input via committees and through specific projects.</w:t>
      </w:r>
      <w:r w:rsidR="00082556">
        <w:t xml:space="preserve"> </w:t>
      </w:r>
      <w:r w:rsidRPr="0083125C">
        <w:t>Some highlights of that work are shown here</w:t>
      </w:r>
      <w:r>
        <w:t>.</w:t>
      </w:r>
    </w:p>
    <w:p w:rsidR="00D05FD0" w:rsidRDefault="00D05FD0" w:rsidP="00D05FD0">
      <w:pPr>
        <w:pStyle w:val="Heading2"/>
      </w:pPr>
      <w:r>
        <w:t>Advice to Department of Health and HSE</w:t>
      </w:r>
    </w:p>
    <w:p w:rsidR="00D05FD0" w:rsidRDefault="00D05FD0" w:rsidP="00D05FD0">
      <w:pPr>
        <w:pStyle w:val="Heading4"/>
      </w:pPr>
      <w:r>
        <w:t>National Guidelines on Accessible Health and Social Care Services</w:t>
      </w:r>
    </w:p>
    <w:p w:rsidR="00D05FD0" w:rsidRPr="00264853" w:rsidRDefault="00D05FD0" w:rsidP="00D05FD0">
      <w:r w:rsidRPr="00264853">
        <w:t>These guidelines were launched by Minister of State Kathleen Lynch, TD and Mr. Tony O</w:t>
      </w:r>
      <w:r w:rsidR="004114D4" w:rsidRPr="00264853">
        <w:t>’</w:t>
      </w:r>
      <w:r w:rsidRPr="00264853">
        <w:t xml:space="preserve">Brien Director General, HSE in early 2015. The </w:t>
      </w:r>
      <w:r w:rsidR="00027496" w:rsidRPr="00264853">
        <w:t>guidelines were developed by the HSE in partnership with the National Disability Authority and give</w:t>
      </w:r>
      <w:r w:rsidRPr="00264853">
        <w:t xml:space="preserve"> practical guidance on how to plan and deliver health and social care services that are accessible to patients or service users with a disability.</w:t>
      </w:r>
      <w:r w:rsidR="004114D4" w:rsidRPr="00264853">
        <w:t xml:space="preserve"> </w:t>
      </w:r>
      <w:r w:rsidRPr="00264853">
        <w:t>The HSE has undertaken a programme of staf</w:t>
      </w:r>
      <w:r w:rsidR="00264853">
        <w:t>f training on these guidelines.</w:t>
      </w:r>
    </w:p>
    <w:p w:rsidR="00D05FD0" w:rsidRDefault="00D05FD0" w:rsidP="00D05FD0">
      <w:pPr>
        <w:pStyle w:val="Heading3"/>
      </w:pPr>
      <w:r>
        <w:t xml:space="preserve">Transforming Lives </w:t>
      </w:r>
      <w:r w:rsidR="00871A62" w:rsidRPr="008C2A08">
        <w:t>—</w:t>
      </w:r>
      <w:r w:rsidR="00871A62">
        <w:t xml:space="preserve"> </w:t>
      </w:r>
      <w:r>
        <w:t>National Disability Authority</w:t>
      </w:r>
    </w:p>
    <w:p w:rsidR="00D05FD0" w:rsidRDefault="00D05FD0" w:rsidP="00D05FD0">
      <w:r>
        <w:t>The National Disability Authority is a member of the Steering Group on implementation of the Transforming Lives programme arising from</w:t>
      </w:r>
      <w:r w:rsidR="004114D4">
        <w:t xml:space="preserve"> </w:t>
      </w:r>
      <w:r>
        <w:t xml:space="preserve">the </w:t>
      </w:r>
      <w:r w:rsidR="00080C2B">
        <w:t>“</w:t>
      </w:r>
      <w:r w:rsidRPr="00080C2B">
        <w:t>Value for Money and Policy Review of Disability Services</w:t>
      </w:r>
      <w:r w:rsidR="00080C2B">
        <w:t>”</w:t>
      </w:r>
      <w:r>
        <w:t xml:space="preserve"> in Ireland, and of a number of the subgroups appointed by the HSE</w:t>
      </w:r>
      <w:r w:rsidR="0083125C">
        <w:t xml:space="preserve"> to advance its implementation.</w:t>
      </w:r>
    </w:p>
    <w:p w:rsidR="00D05FD0" w:rsidRDefault="00D05FD0" w:rsidP="00264853">
      <w:pPr>
        <w:pStyle w:val="NormalBeforeList"/>
      </w:pPr>
      <w:r>
        <w:t>Specific pieces of work undertaken include:</w:t>
      </w:r>
    </w:p>
    <w:p w:rsidR="00D05FD0" w:rsidRDefault="00D05FD0" w:rsidP="0083125C">
      <w:pPr>
        <w:pStyle w:val="ListBullet"/>
      </w:pPr>
      <w:r>
        <w:t xml:space="preserve">The development of interim Standards for </w:t>
      </w:r>
      <w:r w:rsidR="00080C2B">
        <w:t>“</w:t>
      </w:r>
      <w:r w:rsidRPr="00080C2B">
        <w:t>New Directions</w:t>
      </w:r>
      <w:r w:rsidR="00080C2B">
        <w:t>”</w:t>
      </w:r>
      <w:r>
        <w:t>, the new approach to Adult Day Services. These standards have now been ratified by the HSE for implementation under the New Directions programme</w:t>
      </w:r>
    </w:p>
    <w:p w:rsidR="00D05FD0" w:rsidRDefault="00D05FD0" w:rsidP="0083125C">
      <w:pPr>
        <w:pStyle w:val="ListBullet"/>
      </w:pPr>
      <w:r>
        <w:t>Advice to the HSE in developing the policy on Safeguarding Adults from Abuse and provided inputs to the sub group on Advocacy services for people in residential settings, as well as, advice on CCTV usage</w:t>
      </w:r>
    </w:p>
    <w:p w:rsidR="00D05FD0" w:rsidRDefault="00D05FD0" w:rsidP="0083125C">
      <w:pPr>
        <w:pStyle w:val="ListBullet"/>
      </w:pPr>
      <w:r>
        <w:t>Continued engagement with HSE and Department of Health around a national information/data framework for disability services, and management of a piece of research, funded by the HSE, in that regard</w:t>
      </w:r>
    </w:p>
    <w:p w:rsidR="00D05FD0" w:rsidRDefault="00D05FD0" w:rsidP="0083125C">
      <w:pPr>
        <w:pStyle w:val="ListBullet"/>
      </w:pPr>
      <w:r>
        <w:t>Continued research and consultation around the development of a national outcomes framework for disability services</w:t>
      </w:r>
    </w:p>
    <w:p w:rsidR="00D05FD0" w:rsidRDefault="00D05FD0" w:rsidP="0083125C">
      <w:pPr>
        <w:pStyle w:val="ListBullet"/>
      </w:pPr>
      <w:r>
        <w:t>Ongoing research around forecasting future service need in the light of demographic developments</w:t>
      </w:r>
    </w:p>
    <w:p w:rsidR="00D05FD0" w:rsidRDefault="00D05FD0" w:rsidP="0083125C">
      <w:pPr>
        <w:pStyle w:val="ListBullet"/>
      </w:pPr>
      <w:r>
        <w:t>A major project on evaluation and costing of the new service model</w:t>
      </w:r>
    </w:p>
    <w:p w:rsidR="00D05FD0" w:rsidRDefault="00D05FD0" w:rsidP="00D05FD0">
      <w:pPr>
        <w:pStyle w:val="Heading2"/>
      </w:pPr>
      <w:r>
        <w:t>Review of HIQA inspection process of residential services for adults and children with disabilities</w:t>
      </w:r>
    </w:p>
    <w:p w:rsidR="00D05FD0" w:rsidRDefault="00D05FD0" w:rsidP="00D05FD0">
      <w:pPr>
        <w:autoSpaceDE w:val="0"/>
        <w:autoSpaceDN w:val="0"/>
        <w:adjustRightInd w:val="0"/>
      </w:pPr>
      <w:r>
        <w:t xml:space="preserve">The National Disability </w:t>
      </w:r>
      <w:r w:rsidRPr="006C3C62">
        <w:t xml:space="preserve">Authority at the request of </w:t>
      </w:r>
      <w:r w:rsidR="00BB2378" w:rsidRPr="006C3C62">
        <w:t xml:space="preserve">the </w:t>
      </w:r>
      <w:r w:rsidR="00FB58F6" w:rsidRPr="006C3C62">
        <w:t>Minister for Mental Health, Disability and Older People</w:t>
      </w:r>
      <w:r w:rsidR="00BB2378" w:rsidRPr="006C3C62">
        <w:t xml:space="preserve"> at the Department of Health </w:t>
      </w:r>
      <w:r w:rsidRPr="006C3C62">
        <w:t>conducted an independent r</w:t>
      </w:r>
      <w:r>
        <w:t>eview of the experience of regulation, standards and inspections of residential services for people with disabilities, with a particular focus on the first year of operation. Such r</w:t>
      </w:r>
      <w:r w:rsidRPr="00087937">
        <w:t xml:space="preserve">esidential services are </w:t>
      </w:r>
      <w:r w:rsidRPr="001424AA">
        <w:t xml:space="preserve">provided for just </w:t>
      </w:r>
      <w:r w:rsidR="00027496" w:rsidRPr="001424AA">
        <w:t>fewer than</w:t>
      </w:r>
      <w:r w:rsidRPr="001424AA">
        <w:t xml:space="preserve"> 9,000 people with disabilities at approx</w:t>
      </w:r>
      <w:r>
        <w:t>imately</w:t>
      </w:r>
      <w:r w:rsidRPr="001424AA">
        <w:t xml:space="preserve"> 1,200 locations</w:t>
      </w:r>
      <w:r>
        <w:t>.</w:t>
      </w:r>
      <w:r w:rsidRPr="001424AA">
        <w:t xml:space="preserve"> Designated centres range from large congregated settings to community group homes to supported independent living. Sometimes</w:t>
      </w:r>
      <w:r>
        <w:t>,</w:t>
      </w:r>
      <w:r w:rsidRPr="001424AA">
        <w:t xml:space="preserve"> a group of residences is treated as a single designated centre. The relevant</w:t>
      </w:r>
      <w:r>
        <w:t xml:space="preserve"> Regulations and Standards came into force in November 2013 and the Health Information and Quality Authority (HIQA) began inspections from that date. </w:t>
      </w:r>
    </w:p>
    <w:p w:rsidR="00D05FD0" w:rsidRDefault="00D05FD0" w:rsidP="00D05FD0">
      <w:r>
        <w:t>The National Disability Authority</w:t>
      </w:r>
      <w:r w:rsidR="004114D4">
        <w:t>’</w:t>
      </w:r>
      <w:r>
        <w:t xml:space="preserve">s Review included quantitative and qualitative analysis of published reports, and engagement with key participants in the process, including residents, family members, staff, service provider managements, the Health </w:t>
      </w:r>
      <w:r w:rsidR="0046125B">
        <w:t>I</w:t>
      </w:r>
      <w:r>
        <w:t xml:space="preserve">nformation and Quality Authority (HIQA), the HSE, and disability organisations. A sample of 192 reports covering the first year was selected for in-depth analysis. This was complemented by a summary statistical analysis of all HIQA </w:t>
      </w:r>
      <w:r w:rsidRPr="00853B91">
        <w:t>published reports as of 17</w:t>
      </w:r>
      <w:r>
        <w:t xml:space="preserve"> August 2015. The National Disability Authority presented a report of its findings to the Minister at the end of 2015. The report will be published in early 2016.</w:t>
      </w:r>
    </w:p>
    <w:p w:rsidR="00D05FD0" w:rsidRDefault="00D05FD0" w:rsidP="00D05FD0">
      <w:pPr>
        <w:pStyle w:val="Heading2"/>
      </w:pPr>
      <w:r>
        <w:t>Comprehensive Employment Strategy for People with Disabilities</w:t>
      </w:r>
    </w:p>
    <w:p w:rsidR="00D05FD0" w:rsidRDefault="00D05FD0" w:rsidP="00D05FD0">
      <w:pPr>
        <w:pStyle w:val="Heading3"/>
      </w:pPr>
      <w:r>
        <w:t>Support and facilitation to develop the strategy</w:t>
      </w:r>
    </w:p>
    <w:p w:rsidR="00D05FD0" w:rsidRDefault="00D05FD0" w:rsidP="00D05FD0">
      <w:r>
        <w:t xml:space="preserve">In </w:t>
      </w:r>
      <w:r w:rsidRPr="00E7373A">
        <w:t>October 2015, the Government published a ten-year comprehensive employment strategy for people with disabilities. This cross-government approach will bring together actions by different government departments and state agencies to address the barriers and challenges to employment of people with disabilities.</w:t>
      </w:r>
      <w:r w:rsidR="004114D4">
        <w:t xml:space="preserve"> </w:t>
      </w:r>
      <w:r>
        <w:t xml:space="preserve">The strategy includes an </w:t>
      </w:r>
      <w:r w:rsidRPr="00FB58F6">
        <w:t>initial</w:t>
      </w:r>
      <w:r w:rsidR="00BB2378" w:rsidRPr="00FB58F6">
        <w:t xml:space="preserve"> three</w:t>
      </w:r>
      <w:r w:rsidR="00FB58F6" w:rsidRPr="00FB58F6">
        <w:t>-</w:t>
      </w:r>
      <w:r w:rsidR="00BB2378" w:rsidRPr="00FB58F6">
        <w:t>year</w:t>
      </w:r>
      <w:r w:rsidRPr="00FB58F6">
        <w:t xml:space="preserve"> A</w:t>
      </w:r>
      <w:r>
        <w:t>ction Plan with specific timetabled commitments. The National Disability Authority had been charged by Government with facilitating development of the strategy through background research on what works, undertaking consultation with people with disabilities, guidance on targets, engaging with Government Departments around commitments to be included in the Action Plan, and assistance in preparing the text of the strategy. That includes an illustration of possible pathways to employment. The NDA advised on the content of the strategy, and the process for monitor</w:t>
      </w:r>
      <w:r w:rsidR="00FB58F6">
        <w:t>ing and measuring impact.</w:t>
      </w:r>
    </w:p>
    <w:p w:rsidR="00BB2378" w:rsidRPr="00FB58F6" w:rsidRDefault="00BB2378" w:rsidP="00D05FD0">
      <w:r w:rsidRPr="00FB58F6">
        <w:t>The National Disability Authority was appointed within its role as independent advisor to membership of the implementation group established by the Minister to monitor and oversee implementation of the Strategy. The group has an independent chair</w:t>
      </w:r>
      <w:r w:rsidR="00FB58F6">
        <w:t>,</w:t>
      </w:r>
      <w:r w:rsidRPr="00FB58F6">
        <w:t xml:space="preserve"> Fergus Finlay</w:t>
      </w:r>
      <w:r w:rsidR="00FB58F6">
        <w:t>,</w:t>
      </w:r>
      <w:r w:rsidRPr="00FB58F6">
        <w:t xml:space="preserve"> who will report to the Minister on progress and make recommendations.</w:t>
      </w:r>
    </w:p>
    <w:p w:rsidR="00D05FD0" w:rsidRPr="00E7373A" w:rsidRDefault="00D05FD0" w:rsidP="00D05FD0">
      <w:pPr>
        <w:pStyle w:val="Heading2"/>
      </w:pPr>
      <w:r>
        <w:t>Peer-led employer support service and helpline on disability</w:t>
      </w:r>
    </w:p>
    <w:p w:rsidR="00D05FD0" w:rsidRDefault="00D05FD0" w:rsidP="00D05FD0">
      <w:r>
        <w:t>The Government decided that the commitment in the strategy to a three-year pilot of a peer-led employer support service and helpline would be funded</w:t>
      </w:r>
      <w:r w:rsidR="00C54354">
        <w:t xml:space="preserve"> and th</w:t>
      </w:r>
      <w:r w:rsidR="00C54354" w:rsidRPr="006C3C62">
        <w:t xml:space="preserve">at the National Disability Authority would oversee and fund this initiative. </w:t>
      </w:r>
      <w:r w:rsidRPr="00E7373A">
        <w:t>The aim of this service is to build and enhance employer capacity to recruit and retain staff with disabilities by having a p</w:t>
      </w:r>
      <w:r>
        <w:t xml:space="preserve">eer to peer service which provides </w:t>
      </w:r>
      <w:r w:rsidRPr="00E7373A">
        <w:t>authoritative advice and information</w:t>
      </w:r>
      <w:r>
        <w:t xml:space="preserve">. </w:t>
      </w:r>
    </w:p>
    <w:p w:rsidR="00D05FD0" w:rsidRDefault="00D05FD0" w:rsidP="00D05FD0">
      <w:r>
        <w:t xml:space="preserve">The National Disability Authority commissioned the three national employer umbrella groups, IBEC, ISME, and Chambers Ireland to jointly provide such a service to all employers nationwide. An integral part of the arrangement is that the organisations are to use their mainstream channels and membership network to engage with employers on disability issues. The service will deliver on the key employer commitments set out in the </w:t>
      </w:r>
      <w:r w:rsidR="004A1C89">
        <w:t>“</w:t>
      </w:r>
      <w:r>
        <w:t>Engage Employers</w:t>
      </w:r>
      <w:r w:rsidR="004A1C89">
        <w:t>”</w:t>
      </w:r>
      <w:r>
        <w:t xml:space="preserve"> section of the Action Plan under the comprehensive employment strategy. The proposal received from the employer consortium in response to the specification prepared by the NDA was independently reviewed, fine tuned and agreed. To enable the service get up and running from the start of 2016, start-up funding was given in 2015 to enable recruitment of staff and development of an information website on disability for employers. The service is open to employers whether or not they are members of one of the participating umbrella bodies.</w:t>
      </w:r>
      <w:r w:rsidR="004114D4">
        <w:t xml:space="preserve"> </w:t>
      </w:r>
    </w:p>
    <w:p w:rsidR="00D05FD0" w:rsidRDefault="00D05FD0" w:rsidP="00D05FD0">
      <w:pPr>
        <w:pStyle w:val="Heading2"/>
      </w:pPr>
      <w:r>
        <w:t xml:space="preserve">Employment research and guidance </w:t>
      </w:r>
    </w:p>
    <w:p w:rsidR="00D05FD0" w:rsidRPr="00E7373A" w:rsidRDefault="00D05FD0" w:rsidP="00D05FD0">
      <w:pPr>
        <w:pStyle w:val="Heading3"/>
      </w:pPr>
      <w:r>
        <w:t xml:space="preserve">Research on </w:t>
      </w:r>
      <w:r w:rsidRPr="00E7373A">
        <w:t>Vocational Rehabilitation Service</w:t>
      </w:r>
      <w:r>
        <w:t>s</w:t>
      </w:r>
    </w:p>
    <w:p w:rsidR="00D05FD0" w:rsidRDefault="00D05FD0" w:rsidP="00D05FD0">
      <w:r w:rsidRPr="00E7373A">
        <w:t xml:space="preserve">A study was </w:t>
      </w:r>
      <w:r w:rsidRPr="006C3C62">
        <w:t xml:space="preserve">commissioned </w:t>
      </w:r>
      <w:r w:rsidR="00C54354" w:rsidRPr="006C3C62">
        <w:t xml:space="preserve">by the National Disability Authority </w:t>
      </w:r>
      <w:r w:rsidRPr="006C3C62">
        <w:t>on Good Practice in Vocational Reh</w:t>
      </w:r>
      <w:r w:rsidRPr="00E7373A">
        <w:t>abilitation in</w:t>
      </w:r>
      <w:r>
        <w:t xml:space="preserve"> other</w:t>
      </w:r>
      <w:r w:rsidRPr="00E7373A">
        <w:t xml:space="preserve"> jurisdictions</w:t>
      </w:r>
      <w:r>
        <w:t>, with a focus on the design of systems.</w:t>
      </w:r>
      <w:r w:rsidRPr="00E7373A">
        <w:t xml:space="preserve"> </w:t>
      </w:r>
      <w:r>
        <w:t xml:space="preserve">The draft final report received at end 2015 covers systems and services in twelve jurisdictions, four of which were studied in depth. The findings were discussed with key Departments and agencies at </w:t>
      </w:r>
      <w:r w:rsidRPr="00E7373A">
        <w:t>a roundtable hosted by the NDA in December 2015</w:t>
      </w:r>
      <w:r>
        <w:t xml:space="preserve">. </w:t>
      </w:r>
    </w:p>
    <w:p w:rsidR="00D05FD0" w:rsidRDefault="00D05FD0" w:rsidP="00D05FD0">
      <w:pPr>
        <w:pStyle w:val="Heading3"/>
      </w:pPr>
      <w:r>
        <w:t>Research Promotion Grant Scheme on Employment theme</w:t>
      </w:r>
    </w:p>
    <w:p w:rsidR="00D05FD0" w:rsidRDefault="00D05FD0" w:rsidP="00D05FD0">
      <w:r>
        <w:t xml:space="preserve">The annual Research Promotion Grant Scheme in 2014 was on the theme of employment, and offered grants of up to €25,000 to projects selected through an open competitive process. Four projects were completed or substantially completed in 2015. </w:t>
      </w:r>
    </w:p>
    <w:p w:rsidR="00D05FD0" w:rsidRPr="00C54354" w:rsidRDefault="00D05FD0" w:rsidP="00D05FD0">
      <w:pPr>
        <w:pStyle w:val="Heading4"/>
        <w:rPr>
          <w:szCs w:val="26"/>
        </w:rPr>
      </w:pPr>
      <w:r w:rsidRPr="00C54354">
        <w:rPr>
          <w:szCs w:val="26"/>
        </w:rPr>
        <w:t>a. Research on education and employment experiences of people with a disability</w:t>
      </w:r>
    </w:p>
    <w:p w:rsidR="00D05FD0" w:rsidRDefault="00D05FD0" w:rsidP="00264853">
      <w:pPr>
        <w:pStyle w:val="NormalBeforeList"/>
      </w:pPr>
      <w:r>
        <w:t>This research was conducted by the Economic and Social Research Institute, based on a statistical analysis of data in the National Disability Survey 2006. Key findings were</w:t>
      </w:r>
      <w:r w:rsidR="00264853">
        <w:t>:</w:t>
      </w:r>
    </w:p>
    <w:p w:rsidR="00D05FD0" w:rsidRDefault="00D05FD0" w:rsidP="00D05FD0">
      <w:pPr>
        <w:pStyle w:val="ListBullet"/>
      </w:pPr>
      <w:r>
        <w:t xml:space="preserve">People </w:t>
      </w:r>
      <w:r w:rsidRPr="0003502F">
        <w:t>who were affected by their disability during their school years tended to have lower levels of educational qualifications than the wider population</w:t>
      </w:r>
    </w:p>
    <w:p w:rsidR="00D05FD0" w:rsidRDefault="00D05FD0" w:rsidP="00D05FD0">
      <w:pPr>
        <w:pStyle w:val="ListBullet"/>
      </w:pPr>
      <w:r w:rsidRPr="000734C1">
        <w:t xml:space="preserve">17 per cent </w:t>
      </w:r>
      <w:r>
        <w:t xml:space="preserve">of people with disabilities </w:t>
      </w:r>
      <w:r w:rsidRPr="000734C1">
        <w:t>missed some time</w:t>
      </w:r>
      <w:r>
        <w:t xml:space="preserve"> in school because of their disability and 15 per cent left school sooner than they would have liked</w:t>
      </w:r>
    </w:p>
    <w:p w:rsidR="00D05FD0" w:rsidRDefault="00D05FD0" w:rsidP="00D05FD0">
      <w:pPr>
        <w:pStyle w:val="ListBullet"/>
      </w:pPr>
      <w:r>
        <w:t>Most working-age people with a disability have worked in the past (56</w:t>
      </w:r>
      <w:r w:rsidRPr="005D7130">
        <w:t xml:space="preserve"> per cent</w:t>
      </w:r>
      <w:r>
        <w:t>) or are currently working (29 per cent)</w:t>
      </w:r>
    </w:p>
    <w:p w:rsidR="00D05FD0" w:rsidRDefault="00D05FD0" w:rsidP="00D05FD0">
      <w:pPr>
        <w:pStyle w:val="ListBullet"/>
      </w:pPr>
      <w:r>
        <w:t>The highest proportion who have never had a job, or who have left a job because of a disability, is among those with poor health, low stamina, or mental health difficulties</w:t>
      </w:r>
    </w:p>
    <w:p w:rsidR="00D05FD0" w:rsidRDefault="00D05FD0" w:rsidP="00D05FD0">
      <w:pPr>
        <w:pStyle w:val="ListBullet"/>
      </w:pPr>
      <w:r>
        <w:t>Those who left work because of a disability tended to be older adults, people with mental health difficulties, and those with prob</w:t>
      </w:r>
      <w:r w:rsidR="0046125B">
        <w:t>lems of health, pain or stamina</w:t>
      </w:r>
    </w:p>
    <w:p w:rsidR="00D05FD0" w:rsidRDefault="00D05FD0" w:rsidP="00D05FD0">
      <w:pPr>
        <w:pStyle w:val="ListBullet"/>
      </w:pPr>
      <w:r>
        <w:t>About half of those not in work state they would like a job if the circumstances were right</w:t>
      </w:r>
    </w:p>
    <w:p w:rsidR="00D05FD0" w:rsidRDefault="00D05FD0" w:rsidP="006C3C62">
      <w:pPr>
        <w:pStyle w:val="ListBullet"/>
      </w:pPr>
      <w:r>
        <w:t>Survey participants were asked what would support them to hold a job. Flexible work arrangements such as reduced hours were identified by 46%</w:t>
      </w:r>
      <w:r w:rsidR="004114D4">
        <w:t xml:space="preserve"> </w:t>
      </w:r>
      <w:r>
        <w:t>cent, modified job tasks by 29% and disability accessibility modifications by 32%</w:t>
      </w:r>
      <w:r w:rsidR="00985F06">
        <w:t>.</w:t>
      </w:r>
    </w:p>
    <w:p w:rsidR="00D05FD0" w:rsidRDefault="00D05FD0" w:rsidP="00D05FD0">
      <w:pPr>
        <w:pStyle w:val="Heading4"/>
        <w:rPr>
          <w:rFonts w:eastAsia="MS Gothic"/>
        </w:rPr>
      </w:pPr>
      <w:r>
        <w:rPr>
          <w:rFonts w:eastAsia="MS Gothic"/>
        </w:rPr>
        <w:t>b. Research on return to work after stroke</w:t>
      </w:r>
    </w:p>
    <w:p w:rsidR="00D05FD0" w:rsidRPr="00053C9F" w:rsidRDefault="00D05FD0" w:rsidP="00D05FD0">
      <w:pPr>
        <w:rPr>
          <w:rFonts w:eastAsia="MS Gothic"/>
        </w:rPr>
      </w:pPr>
      <w:r>
        <w:rPr>
          <w:rFonts w:eastAsia="MS Gothic"/>
        </w:rPr>
        <w:t>R</w:t>
      </w:r>
      <w:r w:rsidRPr="00BC3679">
        <w:rPr>
          <w:rFonts w:eastAsia="MS Gothic"/>
        </w:rPr>
        <w:t>esearch on factors associated with return to work after stroke</w:t>
      </w:r>
      <w:r>
        <w:rPr>
          <w:rFonts w:eastAsia="MS Gothic"/>
        </w:rPr>
        <w:t xml:space="preserve"> was conducted by the Royal College of Surgeons in Ireland. This research included a literature review, a national survey of stroke survivors as well as focus groups and semi</w:t>
      </w:r>
      <w:r w:rsidR="0046125B">
        <w:rPr>
          <w:rFonts w:eastAsia="MS Gothic"/>
        </w:rPr>
        <w:t>-</w:t>
      </w:r>
      <w:r>
        <w:rPr>
          <w:rFonts w:eastAsia="MS Gothic"/>
        </w:rPr>
        <w:t xml:space="preserve">structured interviews. The findings emphasised the importance of a </w:t>
      </w:r>
      <w:r>
        <w:t xml:space="preserve">multidisciplinary approach to assist people who have experienced stroke return to work, as well as communication between healthcare professionals and employers. Fatigue was identified as a key hidden difficulty people faced in resuming employment. Gradual phased return to work was found as important in facilitating successful transition back to work. </w:t>
      </w:r>
    </w:p>
    <w:p w:rsidR="00D05FD0" w:rsidRPr="00F02FEB" w:rsidRDefault="00D05FD0" w:rsidP="00D05FD0">
      <w:pPr>
        <w:pStyle w:val="Heading4"/>
      </w:pPr>
      <w:r>
        <w:t>c. The impact of fatigue on w</w:t>
      </w:r>
      <w:r w:rsidRPr="00F02FEB">
        <w:t>ork ability of people with rheumatic</w:t>
      </w:r>
      <w:r w:rsidR="004A1C89">
        <w:t> </w:t>
      </w:r>
      <w:r w:rsidRPr="00F02FEB">
        <w:t>disease</w:t>
      </w:r>
    </w:p>
    <w:p w:rsidR="00D05FD0" w:rsidRDefault="00D05FD0" w:rsidP="00264853">
      <w:pPr>
        <w:pStyle w:val="NormalBeforeList"/>
      </w:pPr>
      <w:r>
        <w:t>About a third of sick absences from work arise due to musculoskeletal conditions of which different forms of arthritis or rheumatic disease are among the most common. This study focused on the influence of fatigue associated with these conditions on the ability to work. The research was conducted by the School of Physiotherapy, Trinity College Dublin. The study included a survey of about 300 people, most of whom who were currently working, as well as semi-structured interviews and focus groups. Key findings were</w:t>
      </w:r>
      <w:r w:rsidR="00264853">
        <w:t>:</w:t>
      </w:r>
    </w:p>
    <w:p w:rsidR="00D05FD0" w:rsidRDefault="00D05FD0" w:rsidP="00D05FD0">
      <w:pPr>
        <w:pStyle w:val="ListBullet"/>
        <w:rPr>
          <w:lang w:val="en-GB"/>
        </w:rPr>
      </w:pPr>
      <w:r w:rsidRPr="00AA6557">
        <w:rPr>
          <w:lang w:val="en-GB"/>
        </w:rPr>
        <w:t>Fatigue is a pervasive symptom in employed individuals with rheumatic disease</w:t>
      </w:r>
    </w:p>
    <w:p w:rsidR="00D05FD0" w:rsidRPr="00AA6557" w:rsidRDefault="00D05FD0" w:rsidP="00D05FD0">
      <w:pPr>
        <w:pStyle w:val="ListBullet"/>
        <w:rPr>
          <w:lang w:val="en-GB"/>
        </w:rPr>
      </w:pPr>
      <w:r w:rsidRPr="00AA6557">
        <w:rPr>
          <w:lang w:val="en-GB"/>
        </w:rPr>
        <w:t>Physical demands of work, and fitting in with work schedules were the two reported areas of greatest difficulty</w:t>
      </w:r>
      <w:r>
        <w:rPr>
          <w:lang w:val="en-GB"/>
        </w:rPr>
        <w:t>, and higher fatigue levels meant greater difficulties</w:t>
      </w:r>
    </w:p>
    <w:p w:rsidR="00D05FD0" w:rsidRDefault="00D05FD0" w:rsidP="00D05FD0">
      <w:pPr>
        <w:pStyle w:val="ListBullet"/>
        <w:rPr>
          <w:lang w:val="en-GB"/>
        </w:rPr>
      </w:pPr>
      <w:r>
        <w:rPr>
          <w:lang w:val="en-GB"/>
        </w:rPr>
        <w:t>A significant number of respondents had another concurrent condition</w:t>
      </w:r>
    </w:p>
    <w:p w:rsidR="00D05FD0" w:rsidRDefault="00D05FD0" w:rsidP="00D05FD0">
      <w:pPr>
        <w:pStyle w:val="ListBullet"/>
        <w:rPr>
          <w:lang w:val="en-GB"/>
        </w:rPr>
      </w:pPr>
      <w:r>
        <w:rPr>
          <w:lang w:val="en-GB"/>
        </w:rPr>
        <w:t>Younger workers tended to experience more difficulties related to fatigue</w:t>
      </w:r>
    </w:p>
    <w:p w:rsidR="00D05FD0" w:rsidRDefault="00D05FD0" w:rsidP="00D05FD0">
      <w:pPr>
        <w:pStyle w:val="ListBullet"/>
        <w:rPr>
          <w:lang w:val="en-GB"/>
        </w:rPr>
      </w:pPr>
      <w:r>
        <w:rPr>
          <w:lang w:val="en-GB"/>
        </w:rPr>
        <w:t>Employers tended to have little awareness of the fatigue issue</w:t>
      </w:r>
    </w:p>
    <w:p w:rsidR="00D05FD0" w:rsidRPr="00BC3679" w:rsidRDefault="00D05FD0" w:rsidP="00D05FD0">
      <w:pPr>
        <w:pStyle w:val="Heading4"/>
      </w:pPr>
      <w:r>
        <w:t xml:space="preserve">d. Transitions from education and training to employment for people with disabilities </w:t>
      </w:r>
    </w:p>
    <w:p w:rsidR="00D05FD0" w:rsidRPr="00E7373A" w:rsidRDefault="00D05FD0" w:rsidP="00D05FD0">
      <w:r>
        <w:t xml:space="preserve">A research contract was granted to Dublin City University to look at </w:t>
      </w:r>
      <w:r w:rsidRPr="00E6251F">
        <w:t>Transitions from Education and Training to Employment for People with Disabilities.</w:t>
      </w:r>
      <w:r w:rsidR="004114D4">
        <w:t xml:space="preserve"> </w:t>
      </w:r>
      <w:r w:rsidRPr="00E6251F">
        <w:t>This report i</w:t>
      </w:r>
      <w:r>
        <w:t>s due for completion in 2016.</w:t>
      </w:r>
      <w:r w:rsidR="004114D4">
        <w:t xml:space="preserve"> </w:t>
      </w:r>
    </w:p>
    <w:p w:rsidR="00D05FD0" w:rsidRPr="00E7373A" w:rsidRDefault="00D05FD0" w:rsidP="00D05FD0">
      <w:pPr>
        <w:pStyle w:val="Heading3"/>
      </w:pPr>
      <w:r>
        <w:t>Employer guide to r</w:t>
      </w:r>
      <w:r w:rsidRPr="00E7373A">
        <w:t xml:space="preserve">etaining </w:t>
      </w:r>
      <w:r>
        <w:t>s</w:t>
      </w:r>
      <w:r w:rsidRPr="00E7373A">
        <w:t>taff with acquired disability</w:t>
      </w:r>
    </w:p>
    <w:p w:rsidR="00D05FD0" w:rsidRDefault="00D05FD0" w:rsidP="00D05FD0">
      <w:r>
        <w:t>A revised version of the NDA</w:t>
      </w:r>
      <w:r w:rsidR="004114D4">
        <w:t>’</w:t>
      </w:r>
      <w:r>
        <w:t xml:space="preserve">s guide with updated contact details for reconfigured state employment support bodies was prepared, designed and printed. Copies of the Guide were circulated to relevant organisations and via different employer networks. </w:t>
      </w:r>
    </w:p>
    <w:p w:rsidR="00D05FD0" w:rsidRDefault="00D05FD0" w:rsidP="00D05FD0">
      <w:pPr>
        <w:pStyle w:val="Heading2"/>
      </w:pPr>
      <w:r>
        <w:t>National Disability Strategy Implementation Plan</w:t>
      </w:r>
    </w:p>
    <w:p w:rsidR="00D05FD0" w:rsidRDefault="00D05FD0" w:rsidP="00D05FD0">
      <w:r>
        <w:t>We continued to participate in the National Disa</w:t>
      </w:r>
      <w:r w:rsidR="00365AFD">
        <w:t>bility Strategy Implement</w:t>
      </w:r>
      <w:r w:rsidR="00365AFD" w:rsidRPr="006C3C62">
        <w:t>ation G</w:t>
      </w:r>
      <w:r w:rsidRPr="006C3C62">
        <w:t>roup</w:t>
      </w:r>
      <w:r w:rsidR="00365AFD" w:rsidRPr="006C3C62">
        <w:t xml:space="preserve"> chaired by the Minister</w:t>
      </w:r>
      <w:r w:rsidRPr="006C3C62">
        <w:t>, and to p</w:t>
      </w:r>
      <w:r>
        <w:t>rovide the secretariat for the Disability Stakeholder</w:t>
      </w:r>
      <w:r w:rsidR="00BF497E">
        <w:t>s</w:t>
      </w:r>
      <w:r>
        <w:t xml:space="preserve"> Group. </w:t>
      </w:r>
    </w:p>
    <w:p w:rsidR="00D05FD0" w:rsidRDefault="00D05FD0" w:rsidP="00D05FD0">
      <w:pPr>
        <w:pStyle w:val="Heading3"/>
      </w:pPr>
      <w:r>
        <w:t>Consultation on next Nationa</w:t>
      </w:r>
      <w:r w:rsidR="00570491">
        <w:t>l Disability Strategy Inclusion Plan</w:t>
      </w:r>
      <w:r>
        <w:t xml:space="preserve"> </w:t>
      </w:r>
    </w:p>
    <w:p w:rsidR="00D05FD0" w:rsidRDefault="00D05FD0" w:rsidP="00D05FD0">
      <w:r w:rsidRPr="00A95D97">
        <w:t xml:space="preserve">We advised the Department of </w:t>
      </w:r>
      <w:r>
        <w:t xml:space="preserve">Justice </w:t>
      </w:r>
      <w:r w:rsidRPr="00A95D97">
        <w:t>and Equality in relation to the process for developing a ne</w:t>
      </w:r>
      <w:r w:rsidRPr="006C3C62">
        <w:t>w National Disability Strategy Inclusion Plan 2016</w:t>
      </w:r>
      <w:r w:rsidR="006C3C62">
        <w:t>–</w:t>
      </w:r>
      <w:r w:rsidRPr="006C3C62">
        <w:t xml:space="preserve">2018. </w:t>
      </w:r>
      <w:r w:rsidR="00365AFD" w:rsidRPr="006C3C62">
        <w:t>This included facilitating independent consultation on strategic priorities and objectives</w:t>
      </w:r>
      <w:r w:rsidR="006C3C62" w:rsidRPr="006C3C62">
        <w:t>.</w:t>
      </w:r>
      <w:r w:rsidR="00365AFD" w:rsidRPr="006C3C62">
        <w:t xml:space="preserve"> </w:t>
      </w:r>
      <w:r w:rsidRPr="006C3C62">
        <w:t>W</w:t>
      </w:r>
      <w:r>
        <w:t xml:space="preserve">e assisted with national and regional consultation which included an invitation for submissions, an online consultation, a series </w:t>
      </w:r>
      <w:r w:rsidRPr="00A95D97">
        <w:t xml:space="preserve">of regional consultations (Dublin, Tullamore and Cork) </w:t>
      </w:r>
      <w:r>
        <w:t>and a focus group of people with intellectual disability. Almost 300 people took part in one strand or another of the consultation exercise. The NDA has arranged analysis of the findings whi</w:t>
      </w:r>
      <w:r w:rsidR="006C3C62">
        <w:t>ch will be ready in early 2016.</w:t>
      </w:r>
      <w:r w:rsidRPr="00A95D97">
        <w:t xml:space="preserve"> </w:t>
      </w:r>
    </w:p>
    <w:p w:rsidR="00D05FD0" w:rsidRDefault="00D05FD0" w:rsidP="00D05FD0">
      <w:pPr>
        <w:pStyle w:val="Heading3"/>
      </w:pPr>
      <w:r>
        <w:t xml:space="preserve">Disability Stakeholders </w:t>
      </w:r>
      <w:r w:rsidR="00BF497E">
        <w:t>Group</w:t>
      </w:r>
    </w:p>
    <w:p w:rsidR="00D05FD0" w:rsidRDefault="00D05FD0" w:rsidP="00D05FD0">
      <w:r>
        <w:t>The national Disability Stakeholder</w:t>
      </w:r>
      <w:r w:rsidR="00BF497E">
        <w:t>s</w:t>
      </w:r>
      <w:r>
        <w:t xml:space="preserve"> Group has an independent Chair appointed by the Minister. It consists of the main disability umbrella organisations, along with a number of individuals with lived experience of disability. This group provides advice on the monitoring and implementation of the National Disability Strategy. The National Disability Authority provides the secretariat for the Group. The Disability Stakeholders Group held four ordinary meetings in 2015 and participated in one National Disability Strategy Implementation Group meeting, provided input into the mid-term review of the existing plan, as well as providing advice on the development of a new implementation plan </w:t>
      </w:r>
      <w:r w:rsidRPr="005D596A">
        <w:t>in</w:t>
      </w:r>
      <w:r w:rsidR="004A1C89" w:rsidRPr="005D596A">
        <w:t> </w:t>
      </w:r>
      <w:r w:rsidRPr="005D596A">
        <w:t>2016</w:t>
      </w:r>
      <w:r>
        <w:t>.</w:t>
      </w:r>
    </w:p>
    <w:p w:rsidR="00D05FD0" w:rsidRDefault="00D05FD0" w:rsidP="00D05FD0">
      <w:pPr>
        <w:pStyle w:val="Heading2"/>
      </w:pPr>
      <w:r>
        <w:t xml:space="preserve">Programme of actions on autism </w:t>
      </w:r>
    </w:p>
    <w:p w:rsidR="00D05FD0" w:rsidRDefault="00D05FD0" w:rsidP="00D05FD0">
      <w:r>
        <w:t xml:space="preserve">The Cabinet Committee on Social Policy adopted a Programme of Actions on Autism, informed by research and advice from the National Disability Authority, and by consultation we had undertaken with autism organisations and representatives of people with autism. </w:t>
      </w:r>
      <w:r w:rsidRPr="005A6498">
        <w:t xml:space="preserve">A key theme to emerge from the consultation with autism stakeholders was that there was a need for significant awareness raising and the development of guidance within the public sector in Ireland around </w:t>
      </w:r>
      <w:r w:rsidRPr="00264853">
        <w:t>autism.</w:t>
      </w:r>
      <w:r w:rsidRPr="00264853">
        <w:rPr>
          <w:rFonts w:eastAsia="SimSun"/>
        </w:rPr>
        <w:t xml:space="preserve"> </w:t>
      </w:r>
      <w:r w:rsidRPr="00264853">
        <w:t>The</w:t>
      </w:r>
      <w:r>
        <w:t xml:space="preserve"> programme is designed within the framework of the National Disability Strategy and strengthens it on the autism dimension. Government Departments and state agencies have responsibility to </w:t>
      </w:r>
      <w:r w:rsidR="00027496">
        <w:t>deliver</w:t>
      </w:r>
      <w:r>
        <w:t xml:space="preserve"> specific commitments under this programme. </w:t>
      </w:r>
    </w:p>
    <w:p w:rsidR="00D05FD0" w:rsidRDefault="00D05FD0" w:rsidP="00D05FD0">
      <w:r>
        <w:t xml:space="preserve">In addition, some specific actions in the programme are being progressed by the National Disability Authority, including a review of the </w:t>
      </w:r>
      <w:r w:rsidRPr="00103B20">
        <w:t>Code of Practice on Accessibility of Public Services and Information Provided by Public Bodies</w:t>
      </w:r>
      <w:r>
        <w:t xml:space="preserve"> in the light of any specific issues for people with autism; development of guidance for housing officials; and development of guidance for the justice system</w:t>
      </w:r>
      <w:r w:rsidR="0046125B">
        <w:t>.</w:t>
      </w:r>
    </w:p>
    <w:p w:rsidR="00D05FD0" w:rsidRDefault="00D05FD0" w:rsidP="00D05FD0">
      <w:pPr>
        <w:pStyle w:val="Heading2"/>
      </w:pPr>
      <w:r>
        <w:t xml:space="preserve">Advice on Justice matters </w:t>
      </w:r>
    </w:p>
    <w:p w:rsidR="00D05FD0" w:rsidRDefault="00D05FD0" w:rsidP="00D05FD0">
      <w:r>
        <w:t xml:space="preserve">The National Disability Authority </w:t>
      </w:r>
      <w:r w:rsidRPr="009B46D6">
        <w:t xml:space="preserve">continued to promote access to the justice system for people with disabilities. </w:t>
      </w:r>
      <w:r>
        <w:t>We met with the Garda</w:t>
      </w:r>
      <w:r w:rsidRPr="00264853">
        <w:t>í</w:t>
      </w:r>
      <w:r>
        <w:t xml:space="preserve"> on implementing the EU Victims of Crime Directive as regards crime victims with disabilities. </w:t>
      </w:r>
      <w:r w:rsidRPr="009B46D6">
        <w:t xml:space="preserve">We held a workshop with </w:t>
      </w:r>
      <w:r w:rsidRPr="00264853">
        <w:rPr>
          <w:rFonts w:cs="Helv"/>
          <w:lang w:eastAsia="en-IE"/>
        </w:rPr>
        <w:t xml:space="preserve">representatives from the Justice sector, including the Courts Service, Prison Service, Probation and the </w:t>
      </w:r>
      <w:r w:rsidR="00027496" w:rsidRPr="00264853">
        <w:rPr>
          <w:rFonts w:cs="Helv"/>
          <w:lang w:eastAsia="en-IE"/>
        </w:rPr>
        <w:t>Gardaí</w:t>
      </w:r>
      <w:r w:rsidRPr="00264853">
        <w:rPr>
          <w:rFonts w:cs="Helv"/>
          <w:lang w:eastAsia="en-IE"/>
        </w:rPr>
        <w:t xml:space="preserve">, to inform development of guidance for the Justice professionals on engaging and supporting people with autism who come into contact with the system. </w:t>
      </w:r>
      <w:r>
        <w:t xml:space="preserve">We made a submission to the Criminal Law section of the Department of Justice on their Discussion Paper on Sexual Offences against Vulnerable Persons and we continued to provide advice in the context of the Criminal Law (Sexual Offences) Bill 2015. </w:t>
      </w:r>
    </w:p>
    <w:p w:rsidR="00D05FD0" w:rsidRDefault="00D05FD0" w:rsidP="00D05FD0">
      <w:pPr>
        <w:pStyle w:val="Heading2"/>
      </w:pPr>
      <w:r>
        <w:t>Advice to Department of Children and Youth Affairs</w:t>
      </w:r>
    </w:p>
    <w:p w:rsidR="00D05FD0" w:rsidRDefault="00D05FD0" w:rsidP="00D05FD0">
      <w:pPr>
        <w:pStyle w:val="Heading3"/>
      </w:pPr>
      <w:r>
        <w:t>Interdepartmental working group on special needs in preschools</w:t>
      </w:r>
    </w:p>
    <w:p w:rsidR="00D05FD0" w:rsidRDefault="00D05FD0" w:rsidP="00D05FD0">
      <w:r>
        <w:t>The National Disability Authority was an active member of the interdepartmental working group on addressing the requirements of children with special needs in mainstream pre-school Early Childhood and Education settings. Previous research done by the National Disability Authority on international practice on the inclusion of children with disabilities in pre</w:t>
      </w:r>
      <w:r w:rsidR="00CB3C45">
        <w:t>-</w:t>
      </w:r>
      <w:r>
        <w:t>schools informed the work of this group. The working group</w:t>
      </w:r>
      <w:r w:rsidR="004114D4">
        <w:t>’</w:t>
      </w:r>
      <w:r>
        <w:t xml:space="preserve">s report on </w:t>
      </w:r>
      <w:r w:rsidR="00080C2B">
        <w:t>“</w:t>
      </w:r>
      <w:r w:rsidRPr="00080C2B">
        <w:t>Supporting Access to the Early Childhood Care and Education programme for children with a disability</w:t>
      </w:r>
      <w:r w:rsidR="00080C2B">
        <w:t>”</w:t>
      </w:r>
      <w:r>
        <w:t xml:space="preserve"> was published in September 2015. An implementation plan has now been approved by Government and the National Disability Authority will continue to support the work of the Department of Children and Youth Affairs in the implementation of this new model of support for children with disabilities in 2016.</w:t>
      </w:r>
    </w:p>
    <w:p w:rsidR="00D05FD0" w:rsidRDefault="00D05FD0" w:rsidP="00D05FD0">
      <w:pPr>
        <w:pStyle w:val="Heading2"/>
      </w:pPr>
      <w:r>
        <w:t>Access to mainstream public services</w:t>
      </w:r>
    </w:p>
    <w:p w:rsidR="00D05FD0" w:rsidRPr="007032D0" w:rsidRDefault="00D05FD0" w:rsidP="00D05FD0">
      <w:pPr>
        <w:pStyle w:val="Heading3"/>
      </w:pPr>
      <w:r>
        <w:t>Request to review statutory Code of Practice</w:t>
      </w:r>
    </w:p>
    <w:p w:rsidR="00D05FD0" w:rsidRPr="00A95D97" w:rsidRDefault="00D05FD0" w:rsidP="00D05FD0">
      <w:r w:rsidRPr="00A95D97">
        <w:t xml:space="preserve">A request was received from the Minister to review the Statutory </w:t>
      </w:r>
      <w:r w:rsidRPr="00EB384A">
        <w:t>Code of Practice on Accessibility of Public Services and Information Provided by Public Bodies</w:t>
      </w:r>
      <w:r w:rsidRPr="00A95D97">
        <w:t xml:space="preserve">, in particular in relation to autism, and a consultation was held with relevant interests to inform that review. </w:t>
      </w:r>
    </w:p>
    <w:p w:rsidR="00D05FD0" w:rsidRDefault="00D05FD0" w:rsidP="00D05FD0">
      <w:pPr>
        <w:pStyle w:val="Heading3"/>
        <w:rPr>
          <w:rFonts w:eastAsia="SimSun"/>
          <w:lang w:eastAsia="en-IE"/>
        </w:rPr>
      </w:pPr>
      <w:r>
        <w:rPr>
          <w:rFonts w:eastAsia="SimSun"/>
          <w:lang w:eastAsia="en-IE"/>
        </w:rPr>
        <w:t xml:space="preserve">NDA Annual Conference </w:t>
      </w:r>
      <w:r w:rsidR="00A30312">
        <w:rPr>
          <w:rFonts w:eastAsia="SimSun"/>
          <w:lang w:eastAsia="en-IE"/>
        </w:rPr>
        <w:t>—</w:t>
      </w:r>
      <w:r>
        <w:rPr>
          <w:rFonts w:eastAsia="SimSun"/>
          <w:lang w:eastAsia="en-IE"/>
        </w:rPr>
        <w:t xml:space="preserve"> inclusive mainstream public</w:t>
      </w:r>
      <w:r w:rsidR="00A30312">
        <w:rPr>
          <w:rFonts w:eastAsia="SimSun"/>
          <w:lang w:eastAsia="en-IE"/>
        </w:rPr>
        <w:t> </w:t>
      </w:r>
      <w:r>
        <w:rPr>
          <w:rFonts w:eastAsia="SimSun"/>
          <w:lang w:eastAsia="en-IE"/>
        </w:rPr>
        <w:t>services</w:t>
      </w:r>
    </w:p>
    <w:p w:rsidR="00D05FD0" w:rsidRDefault="00D05FD0" w:rsidP="00D05FD0">
      <w:pPr>
        <w:rPr>
          <w:rFonts w:eastAsia="SimSun"/>
          <w:lang w:eastAsia="en-IE"/>
        </w:rPr>
      </w:pPr>
      <w:r>
        <w:rPr>
          <w:rFonts w:eastAsia="SimSun"/>
          <w:lang w:eastAsia="en-IE"/>
        </w:rPr>
        <w:t>The National Disability Authority</w:t>
      </w:r>
      <w:r w:rsidR="004114D4">
        <w:rPr>
          <w:rFonts w:eastAsia="SimSun"/>
          <w:lang w:eastAsia="en-IE"/>
        </w:rPr>
        <w:t>’</w:t>
      </w:r>
      <w:r>
        <w:rPr>
          <w:rFonts w:eastAsia="SimSun"/>
          <w:lang w:eastAsia="en-IE"/>
        </w:rPr>
        <w:t xml:space="preserve">s Annual Conference took place on Monday 12 October 2015 in Dublin on the theme </w:t>
      </w:r>
      <w:r w:rsidRPr="007028EA">
        <w:rPr>
          <w:rFonts w:eastAsia="SimSun"/>
          <w:bCs/>
          <w:lang w:eastAsia="en-IE"/>
        </w:rPr>
        <w:t xml:space="preserve">Planning and </w:t>
      </w:r>
      <w:r>
        <w:rPr>
          <w:rFonts w:eastAsia="SimSun"/>
          <w:bCs/>
          <w:lang w:eastAsia="en-IE"/>
        </w:rPr>
        <w:t>L</w:t>
      </w:r>
      <w:r w:rsidRPr="007028EA">
        <w:rPr>
          <w:rFonts w:eastAsia="SimSun"/>
          <w:bCs/>
          <w:lang w:eastAsia="en-IE"/>
        </w:rPr>
        <w:t xml:space="preserve">eadership for </w:t>
      </w:r>
      <w:r>
        <w:rPr>
          <w:rFonts w:eastAsia="SimSun"/>
          <w:bCs/>
          <w:lang w:eastAsia="en-IE"/>
        </w:rPr>
        <w:t>I</w:t>
      </w:r>
      <w:r w:rsidRPr="007028EA">
        <w:rPr>
          <w:rFonts w:eastAsia="SimSun"/>
          <w:bCs/>
          <w:lang w:eastAsia="en-IE"/>
        </w:rPr>
        <w:t xml:space="preserve">nclusive </w:t>
      </w:r>
      <w:r>
        <w:rPr>
          <w:rFonts w:eastAsia="SimSun"/>
          <w:bCs/>
          <w:lang w:eastAsia="en-IE"/>
        </w:rPr>
        <w:t>M</w:t>
      </w:r>
      <w:r w:rsidRPr="007028EA">
        <w:rPr>
          <w:rFonts w:eastAsia="SimSun"/>
          <w:bCs/>
          <w:lang w:eastAsia="en-IE"/>
        </w:rPr>
        <w:t xml:space="preserve">ainstream </w:t>
      </w:r>
      <w:r>
        <w:rPr>
          <w:rFonts w:eastAsia="SimSun"/>
          <w:bCs/>
          <w:lang w:eastAsia="en-IE"/>
        </w:rPr>
        <w:t>P</w:t>
      </w:r>
      <w:r w:rsidRPr="007028EA">
        <w:rPr>
          <w:rFonts w:eastAsia="SimSun"/>
          <w:bCs/>
          <w:lang w:eastAsia="en-IE"/>
        </w:rPr>
        <w:t xml:space="preserve">ublic </w:t>
      </w:r>
      <w:r>
        <w:rPr>
          <w:rFonts w:eastAsia="SimSun"/>
          <w:bCs/>
          <w:lang w:eastAsia="en-IE"/>
        </w:rPr>
        <w:t>S</w:t>
      </w:r>
      <w:r w:rsidRPr="007028EA">
        <w:rPr>
          <w:rFonts w:eastAsia="SimSun"/>
          <w:bCs/>
          <w:lang w:eastAsia="en-IE"/>
        </w:rPr>
        <w:t xml:space="preserve">ervices for </w:t>
      </w:r>
      <w:r>
        <w:rPr>
          <w:rFonts w:eastAsia="SimSun"/>
          <w:bCs/>
          <w:lang w:eastAsia="en-IE"/>
        </w:rPr>
        <w:t>P</w:t>
      </w:r>
      <w:r w:rsidRPr="007028EA">
        <w:rPr>
          <w:rFonts w:eastAsia="SimSun"/>
          <w:bCs/>
          <w:lang w:eastAsia="en-IE"/>
        </w:rPr>
        <w:t xml:space="preserve">eople with </w:t>
      </w:r>
      <w:r>
        <w:rPr>
          <w:rFonts w:eastAsia="SimSun"/>
          <w:bCs/>
          <w:lang w:eastAsia="en-IE"/>
        </w:rPr>
        <w:t>D</w:t>
      </w:r>
      <w:r w:rsidRPr="007028EA">
        <w:rPr>
          <w:rFonts w:eastAsia="SimSun"/>
          <w:bCs/>
          <w:lang w:eastAsia="en-IE"/>
        </w:rPr>
        <w:t>isabilities.</w:t>
      </w:r>
      <w:r>
        <w:rPr>
          <w:rFonts w:eastAsia="SimSun"/>
          <w:b/>
          <w:bCs/>
          <w:lang w:eastAsia="en-IE"/>
        </w:rPr>
        <w:t xml:space="preserve"> </w:t>
      </w:r>
      <w:r>
        <w:rPr>
          <w:rFonts w:eastAsia="SimSun"/>
          <w:bCs/>
          <w:lang w:eastAsia="en-IE"/>
        </w:rPr>
        <w:t xml:space="preserve">This marked fifteen years since the announcement as Government policy that public services would be obliged to serve people with disabilities as an integral part of their mainstream services to the public, a policy given legal effect in Part 3 of the Disability Act 2005. </w:t>
      </w:r>
      <w:r>
        <w:rPr>
          <w:rFonts w:eastAsia="SimSun"/>
          <w:lang w:eastAsia="en-IE"/>
        </w:rPr>
        <w:t xml:space="preserve">The conference had a </w:t>
      </w:r>
      <w:r>
        <w:rPr>
          <w:rFonts w:eastAsia="SimSun" w:cs="Gill Sans"/>
          <w:szCs w:val="26"/>
          <w:lang w:eastAsia="en-IE"/>
        </w:rPr>
        <w:t>cross-border focus, with speakers from the Republic and Northern Ireland, as well as the UK and Canada, and examples of initiatives to successfully include people with disabilities. Contributions covered leadership for change</w:t>
      </w:r>
      <w:r w:rsidR="00871A62">
        <w:rPr>
          <w:rFonts w:eastAsia="SimSun" w:cs="Gill Sans"/>
          <w:szCs w:val="26"/>
          <w:lang w:eastAsia="en-IE"/>
        </w:rPr>
        <w:t xml:space="preserve">, </w:t>
      </w:r>
      <w:r>
        <w:rPr>
          <w:rFonts w:eastAsia="SimSun" w:cs="Gill Sans"/>
          <w:szCs w:val="26"/>
          <w:lang w:eastAsia="en-IE"/>
        </w:rPr>
        <w:t>disability and age-inclusive local authorities</w:t>
      </w:r>
      <w:r w:rsidR="00871A62">
        <w:rPr>
          <w:rFonts w:eastAsia="SimSun" w:cs="Gill Sans"/>
          <w:szCs w:val="26"/>
          <w:lang w:eastAsia="en-IE"/>
        </w:rPr>
        <w:t xml:space="preserve">, </w:t>
      </w:r>
      <w:r>
        <w:rPr>
          <w:rFonts w:eastAsia="SimSun" w:cs="Gill Sans"/>
          <w:szCs w:val="26"/>
          <w:lang w:eastAsia="en-IE"/>
        </w:rPr>
        <w:t>universally-designed digital and online services</w:t>
      </w:r>
      <w:r w:rsidR="00871A62">
        <w:rPr>
          <w:rFonts w:eastAsia="SimSun" w:cs="Gill Sans"/>
          <w:szCs w:val="26"/>
          <w:lang w:eastAsia="en-IE"/>
        </w:rPr>
        <w:t xml:space="preserve">, </w:t>
      </w:r>
      <w:r>
        <w:rPr>
          <w:rFonts w:eastAsia="SimSun" w:cs="Gill Sans"/>
          <w:szCs w:val="26"/>
          <w:lang w:eastAsia="en-IE"/>
        </w:rPr>
        <w:t xml:space="preserve">and employment of people with disabilities. The conference was attended by 155 people including senior public servants, people with disabilities and </w:t>
      </w:r>
      <w:r>
        <w:rPr>
          <w:rFonts w:eastAsia="SimSun"/>
          <w:lang w:eastAsia="en-IE"/>
        </w:rPr>
        <w:t>disability organisations from the Republic and Northern Ireland. Conference presentations are on the NDA</w:t>
      </w:r>
      <w:r w:rsidR="004114D4">
        <w:rPr>
          <w:rFonts w:eastAsia="SimSun"/>
          <w:lang w:eastAsia="en-IE"/>
        </w:rPr>
        <w:t>’</w:t>
      </w:r>
      <w:r>
        <w:rPr>
          <w:rFonts w:eastAsia="SimSun"/>
          <w:lang w:eastAsia="en-IE"/>
        </w:rPr>
        <w:t>s website at www.nda.ie.</w:t>
      </w:r>
    </w:p>
    <w:p w:rsidR="00D05FD0" w:rsidRPr="00A95D97" w:rsidRDefault="00D05FD0" w:rsidP="00D05FD0">
      <w:pPr>
        <w:pStyle w:val="Heading2"/>
      </w:pPr>
      <w:r w:rsidRPr="00A95D97">
        <w:t>Monitoring impact of National Disability Strategy</w:t>
      </w:r>
    </w:p>
    <w:p w:rsidR="00D05FD0" w:rsidRPr="00A95D97" w:rsidRDefault="00D05FD0" w:rsidP="00D05FD0">
      <w:r>
        <w:t>During 2015, t</w:t>
      </w:r>
      <w:r w:rsidRPr="00A95D97">
        <w:t xml:space="preserve">he NDA published </w:t>
      </w:r>
      <w:r>
        <w:t xml:space="preserve">on its website </w:t>
      </w:r>
      <w:r w:rsidRPr="00A95D97">
        <w:t xml:space="preserve">the results of a survey it had commissioned on National Disability Strategy Indicators in 2013, and comparing the results with previous similar surveys for 2009 and 2011. </w:t>
      </w:r>
      <w:r>
        <w:t xml:space="preserve">This focused on accessibility of transport and local facilities, heritage sites, and use of technology. </w:t>
      </w:r>
    </w:p>
    <w:p w:rsidR="00D05FD0" w:rsidRDefault="00D05FD0" w:rsidP="00D05FD0">
      <w:pPr>
        <w:pStyle w:val="Heading2"/>
      </w:pPr>
      <w:r>
        <w:t xml:space="preserve">Monitoring public sector employment </w:t>
      </w:r>
    </w:p>
    <w:p w:rsidR="00D05FD0" w:rsidRDefault="00D05FD0" w:rsidP="00D05FD0">
      <w:pPr>
        <w:pStyle w:val="Heading3"/>
        <w:rPr>
          <w:rFonts w:eastAsia="SimSun"/>
          <w:lang w:eastAsia="en-IE"/>
        </w:rPr>
      </w:pPr>
      <w:r>
        <w:rPr>
          <w:rFonts w:eastAsia="SimSun"/>
          <w:lang w:eastAsia="en-IE"/>
        </w:rPr>
        <w:t>Reported employment of people with disabilities in the public sector at</w:t>
      </w:r>
      <w:r w:rsidR="004114D4">
        <w:rPr>
          <w:rFonts w:eastAsia="SimSun"/>
          <w:lang w:eastAsia="en-IE"/>
        </w:rPr>
        <w:t xml:space="preserve"> </w:t>
      </w:r>
      <w:r>
        <w:rPr>
          <w:rFonts w:eastAsia="SimSun"/>
          <w:lang w:eastAsia="en-IE"/>
        </w:rPr>
        <w:t>3.5% in 2014</w:t>
      </w:r>
    </w:p>
    <w:p w:rsidR="00D05FD0" w:rsidRDefault="00D05FD0" w:rsidP="00D05FD0">
      <w:pPr>
        <w:rPr>
          <w:rFonts w:eastAsia="SimSun"/>
          <w:lang w:eastAsia="en-IE"/>
        </w:rPr>
      </w:pPr>
      <w:r>
        <w:rPr>
          <w:rFonts w:eastAsia="SimSun"/>
          <w:lang w:eastAsia="en-IE"/>
        </w:rPr>
        <w:t xml:space="preserve">The National Disability produced its eighth report on employment of people with disabilities in the public sector during 2015. This showed that a reported 3.5% of staff employed in public sector bodies at end 2014 were people with disabilities. This is a slight increase from 3.4% in 2013. This is the fourth successive year of exceeding the 3% target provided in the Disability Act 2005. </w:t>
      </w:r>
    </w:p>
    <w:p w:rsidR="00D05FD0" w:rsidRDefault="00D05FD0" w:rsidP="00D05FD0">
      <w:pPr>
        <w:rPr>
          <w:rFonts w:eastAsia="SimSun"/>
          <w:lang w:eastAsia="en-IE"/>
        </w:rPr>
      </w:pPr>
      <w:r>
        <w:rPr>
          <w:rFonts w:eastAsia="SimSun"/>
          <w:lang w:eastAsia="en-IE"/>
        </w:rPr>
        <w:t xml:space="preserve">The total number of employees with recorded disabilities was 6,771, an increase of 307 from the 2013 figure. This is the highest number of staff with disabilities recorded since the process of statutory monitoring began, and against a backdrop of an increase of about 2,700 in the total number of staff employed in the bodies which reported. </w:t>
      </w:r>
    </w:p>
    <w:p w:rsidR="00D05FD0" w:rsidRPr="00264853" w:rsidRDefault="00D05FD0" w:rsidP="00264853">
      <w:r>
        <w:rPr>
          <w:rFonts w:eastAsia="SimSun"/>
          <w:lang w:eastAsia="en-IE"/>
        </w:rPr>
        <w:t xml:space="preserve">The National Disability Authority has advised that recruitment should be a key focus area for public bodies over the coming year. There is an opportunity to use increased recruitment activity to help bodies not currently reaching the 3% target to achieve that goal. For those currently over the target, a focus on recruitment of staff with disabilities will build in a margin to cope with future retirements. Public bodies should ensure that their recruitment activities are </w:t>
      </w:r>
      <w:r w:rsidR="00A27893">
        <w:rPr>
          <w:rFonts w:eastAsia="SimSun"/>
          <w:lang w:eastAsia="en-IE"/>
        </w:rPr>
        <w:t>“</w:t>
      </w:r>
      <w:r>
        <w:rPr>
          <w:rFonts w:eastAsia="SimSun"/>
          <w:lang w:eastAsia="en-IE"/>
        </w:rPr>
        <w:t>disability-proofed</w:t>
      </w:r>
      <w:r w:rsidR="00871A62">
        <w:rPr>
          <w:rFonts w:eastAsia="SimSun"/>
          <w:lang w:eastAsia="en-IE"/>
        </w:rPr>
        <w:t>”</w:t>
      </w:r>
      <w:r>
        <w:rPr>
          <w:rFonts w:eastAsia="SimSun"/>
          <w:lang w:eastAsia="en-IE"/>
        </w:rPr>
        <w:t xml:space="preserve"> to give candidates with disabilities a fair opportunity to demonstrate their abilities. It is noted that the Government</w:t>
      </w:r>
      <w:r w:rsidR="004114D4">
        <w:rPr>
          <w:rFonts w:eastAsia="SimSun"/>
          <w:lang w:eastAsia="en-IE"/>
        </w:rPr>
        <w:t>’</w:t>
      </w:r>
      <w:r>
        <w:rPr>
          <w:rFonts w:eastAsia="SimSun"/>
          <w:lang w:eastAsia="en-IE"/>
        </w:rPr>
        <w:t>s Comprehensive Employment Strategy for People with Disabilities provides for a phased increase of the 3% target to reach 6% by 2024, and for an examination of current recruitment processes and channels.</w:t>
      </w:r>
    </w:p>
    <w:p w:rsidR="00D05FD0" w:rsidRDefault="00D05FD0" w:rsidP="00D05FD0">
      <w:pPr>
        <w:pStyle w:val="Heading3"/>
        <w:rPr>
          <w:rFonts w:eastAsia="SimSun"/>
          <w:lang w:eastAsia="en-IE"/>
        </w:rPr>
      </w:pPr>
      <w:r>
        <w:rPr>
          <w:rFonts w:eastAsia="SimSun"/>
          <w:lang w:eastAsia="en-IE"/>
        </w:rPr>
        <w:t>Compliance with Part 5 requirements</w:t>
      </w:r>
    </w:p>
    <w:p w:rsidR="00D05FD0" w:rsidRDefault="00D05FD0" w:rsidP="00264853">
      <w:pPr>
        <w:pStyle w:val="NormalBeforeList"/>
        <w:rPr>
          <w:rFonts w:eastAsia="SimSun"/>
          <w:lang w:eastAsia="en-IE"/>
        </w:rPr>
      </w:pPr>
      <w:r>
        <w:rPr>
          <w:rFonts w:eastAsia="SimSun"/>
          <w:lang w:eastAsia="en-IE"/>
        </w:rPr>
        <w:t>Section 49 of the Disability Act provides a process in relation to public bodies that are found non-compliant with their obligations under Part 5 of the Act in two successive years. These obligations can be summarised as</w:t>
      </w:r>
      <w:r w:rsidR="00264853">
        <w:rPr>
          <w:rFonts w:eastAsia="SimSun"/>
          <w:lang w:eastAsia="en-IE"/>
        </w:rPr>
        <w:t>:</w:t>
      </w:r>
    </w:p>
    <w:p w:rsidR="00D05FD0" w:rsidRDefault="00D05FD0" w:rsidP="00D05FD0">
      <w:pPr>
        <w:pStyle w:val="ListBullet"/>
        <w:rPr>
          <w:rFonts w:eastAsia="SimSun"/>
          <w:lang w:eastAsia="en-IE"/>
        </w:rPr>
      </w:pPr>
      <w:r>
        <w:rPr>
          <w:rFonts w:eastAsia="SimSun"/>
          <w:lang w:eastAsia="en-IE"/>
        </w:rPr>
        <w:t>Insofar as practicable, to promote and support the employment of people with disabilities</w:t>
      </w:r>
    </w:p>
    <w:p w:rsidR="00D05FD0" w:rsidRDefault="00D05FD0" w:rsidP="00D05FD0">
      <w:pPr>
        <w:pStyle w:val="ListBullet"/>
        <w:rPr>
          <w:rFonts w:eastAsia="SimSun"/>
          <w:lang w:eastAsia="en-IE"/>
        </w:rPr>
      </w:pPr>
      <w:r>
        <w:rPr>
          <w:rFonts w:eastAsia="SimSun"/>
          <w:lang w:eastAsia="en-IE"/>
        </w:rPr>
        <w:t>To meet the target proportion (currently set at 3%) of employees with disabilities, unless there are good reasons to the contrary</w:t>
      </w:r>
    </w:p>
    <w:p w:rsidR="00D05FD0" w:rsidRDefault="00D05FD0" w:rsidP="00264853">
      <w:pPr>
        <w:rPr>
          <w:rFonts w:eastAsia="SimSun"/>
          <w:lang w:eastAsia="en-IE"/>
        </w:rPr>
      </w:pPr>
      <w:r>
        <w:rPr>
          <w:rFonts w:eastAsia="SimSun"/>
          <w:lang w:eastAsia="en-IE"/>
        </w:rPr>
        <w:t xml:space="preserve">In line with the statutory procedures, a number of public bodies were formally contacted for additional information in relation to their results for 2012 and 2013. Of these, following consideration of the information supplied in response to successive requests, the Authority formally deemed the Health Service Executive to be non-compliant in these years. The Authority sought the statutory consent of the Minister for Health to formally request the Health Service Executive to undertake a set of specific measures intended to bring it towards compliance with the Act. Under the legislation, it is mandatory for the Health Service Executive to comply with any such statutory request for action. </w:t>
      </w:r>
    </w:p>
    <w:p w:rsidR="00D05FD0" w:rsidRPr="00570491" w:rsidRDefault="00D05FD0" w:rsidP="00570491">
      <w:pPr>
        <w:pStyle w:val="Heading2"/>
      </w:pPr>
      <w:r>
        <w:t xml:space="preserve">Promoting </w:t>
      </w:r>
      <w:r w:rsidRPr="00932EEA">
        <w:t>positive attitudes to disability</w:t>
      </w:r>
    </w:p>
    <w:p w:rsidR="00D05FD0" w:rsidRPr="00932EEA" w:rsidRDefault="00D05FD0" w:rsidP="00D05FD0">
      <w:r>
        <w:t>T</w:t>
      </w:r>
      <w:r w:rsidRPr="00932EEA">
        <w:t xml:space="preserve">he National Disability Authority </w:t>
      </w:r>
      <w:r>
        <w:t>advised the Department of Justice and Equality on proposals in relation to the Department</w:t>
      </w:r>
      <w:r w:rsidR="004114D4">
        <w:t>’</w:t>
      </w:r>
      <w:r>
        <w:t>s D</w:t>
      </w:r>
      <w:r w:rsidRPr="00932EEA">
        <w:t xml:space="preserve">isability </w:t>
      </w:r>
      <w:r>
        <w:t>A</w:t>
      </w:r>
      <w:r w:rsidRPr="00932EEA">
        <w:t xml:space="preserve">wareness </w:t>
      </w:r>
      <w:r>
        <w:t>I</w:t>
      </w:r>
      <w:r w:rsidRPr="00932EEA">
        <w:t xml:space="preserve">nitiatives </w:t>
      </w:r>
      <w:r>
        <w:t>F</w:t>
      </w:r>
      <w:r w:rsidRPr="00932EEA">
        <w:t>und</w:t>
      </w:r>
      <w:r>
        <w:t xml:space="preserve"> 2015, and provided ass</w:t>
      </w:r>
      <w:r w:rsidR="00365AFD">
        <w:t xml:space="preserve">istance in implementing these. </w:t>
      </w:r>
    </w:p>
    <w:p w:rsidR="00D05FD0" w:rsidRPr="00932EEA" w:rsidRDefault="00D05FD0" w:rsidP="00D05FD0">
      <w:r>
        <w:t>T</w:t>
      </w:r>
      <w:r w:rsidRPr="00932EEA">
        <w:t>he National Disability Authority organised a Primary Schools Competition</w:t>
      </w:r>
      <w:r>
        <w:t>, on the theme</w:t>
      </w:r>
      <w:r w:rsidRPr="00932EEA">
        <w:t xml:space="preserve"> </w:t>
      </w:r>
      <w:r w:rsidR="004114D4">
        <w:t>“</w:t>
      </w:r>
      <w:r w:rsidRPr="00932EEA">
        <w:t>Someone Like Me</w:t>
      </w:r>
      <w:r w:rsidR="004114D4">
        <w:t>”</w:t>
      </w:r>
      <w:r>
        <w:t>, on behalf of the Department</w:t>
      </w:r>
      <w:r w:rsidRPr="00932EEA">
        <w:t>. Entries were received from 25 counties. The overall national winner</w:t>
      </w:r>
      <w:r>
        <w:t>,</w:t>
      </w:r>
      <w:r w:rsidRPr="00932EEA">
        <w:t xml:space="preserve"> </w:t>
      </w:r>
      <w:r>
        <w:t xml:space="preserve">chosen from the 25 county winners, </w:t>
      </w:r>
      <w:r w:rsidRPr="00932EEA">
        <w:t xml:space="preserve">was </w:t>
      </w:r>
      <w:r>
        <w:t xml:space="preserve">announced </w:t>
      </w:r>
      <w:r w:rsidRPr="00932EEA">
        <w:t>at a ceremony in December.</w:t>
      </w:r>
    </w:p>
    <w:p w:rsidR="00D05FD0" w:rsidRPr="00932EEA" w:rsidRDefault="00D05FD0" w:rsidP="00D05FD0">
      <w:r w:rsidRPr="00932EEA">
        <w:t xml:space="preserve">In addition the National Disability Authority ran tender competitions </w:t>
      </w:r>
      <w:r>
        <w:t xml:space="preserve">on behalf of the Department </w:t>
      </w:r>
      <w:r w:rsidRPr="00932EEA">
        <w:t>to select suitable</w:t>
      </w:r>
      <w:r>
        <w:t xml:space="preserve"> bodies</w:t>
      </w:r>
      <w:r w:rsidRPr="00932EEA">
        <w:t xml:space="preserve"> to provide awareness raising material on autism for the public sector</w:t>
      </w:r>
      <w:r>
        <w:t>,</w:t>
      </w:r>
      <w:r w:rsidRPr="00932EEA">
        <w:t xml:space="preserve"> and to provide autism awareness training to the public sector</w:t>
      </w:r>
      <w:r>
        <w:t>.</w:t>
      </w:r>
    </w:p>
    <w:p w:rsidR="00D05FD0" w:rsidRPr="00A95D97" w:rsidRDefault="00D05FD0" w:rsidP="00D05FD0">
      <w:pPr>
        <w:pStyle w:val="Heading2"/>
      </w:pPr>
      <w:r>
        <w:t>UN Convention on the Rights of Persons with</w:t>
      </w:r>
      <w:r w:rsidR="006C3C62">
        <w:t> </w:t>
      </w:r>
      <w:r>
        <w:t>Disabilities</w:t>
      </w:r>
    </w:p>
    <w:p w:rsidR="00D05FD0" w:rsidRPr="00A95D97" w:rsidRDefault="00D05FD0" w:rsidP="00D05FD0">
      <w:r w:rsidRPr="00A95D97">
        <w:t xml:space="preserve">The NDA </w:t>
      </w:r>
      <w:r>
        <w:t xml:space="preserve">advised </w:t>
      </w:r>
      <w:r w:rsidRPr="00A95D97">
        <w:t xml:space="preserve">the Minister on possible roles the Authority could play in supporting implementation and monitoring of the UN Convention on the Rights of Persons with Disabilities, </w:t>
      </w:r>
      <w:r>
        <w:t xml:space="preserve">having regard to </w:t>
      </w:r>
      <w:r w:rsidRPr="00A95D97">
        <w:t>research</w:t>
      </w:r>
      <w:r>
        <w:t xml:space="preserve"> by the NDA</w:t>
      </w:r>
      <w:r w:rsidRPr="00A95D97">
        <w:t xml:space="preserve"> on institutional arrangements in other jurisdictions</w:t>
      </w:r>
      <w:r>
        <w:t xml:space="preserve">, and the roles of other national bodies. </w:t>
      </w:r>
    </w:p>
    <w:p w:rsidR="00D05FD0" w:rsidRDefault="00D05FD0" w:rsidP="00D05FD0">
      <w:r w:rsidRPr="00A95D97">
        <w:t>The NDA provided information and advice on legislative changes to support ratification of the UN Convention, particularly in relation to the Assisted Decision-Making (Capacity) Act, and in relation to deprivation of liberty safeguards</w:t>
      </w:r>
      <w:r>
        <w:t>.</w:t>
      </w:r>
    </w:p>
    <w:p w:rsidR="00D05FD0" w:rsidRDefault="00D05FD0" w:rsidP="00D05FD0">
      <w:pPr>
        <w:pStyle w:val="Heading2"/>
      </w:pPr>
      <w:r>
        <w:t>Review of the Operation of Part 4 of the Disability</w:t>
      </w:r>
      <w:r w:rsidR="006C3C62">
        <w:t> </w:t>
      </w:r>
      <w:r>
        <w:t>Act</w:t>
      </w:r>
    </w:p>
    <w:p w:rsidR="00D05FD0" w:rsidRDefault="00D05FD0" w:rsidP="00D05FD0">
      <w:r>
        <w:t xml:space="preserve">In December 2013, the Minister for Justice and Equality requested the NDA to conduct a review of the operation of Part 4 of the Disability Act 2005, as mandated by s. 44 of that Act. Part 4 of the Act deals with Genetic Testing. A targeted consultation on the review had been held between September and November 2014. A report of the consultation was completed in February 2015. </w:t>
      </w:r>
    </w:p>
    <w:p w:rsidR="00E54C88" w:rsidRDefault="00E54C88" w:rsidP="00653D8B">
      <w:pPr>
        <w:pStyle w:val="Heading1"/>
        <w:pageBreakBefore w:val="0"/>
      </w:pPr>
      <w:bookmarkStart w:id="20" w:name="_Toc455486397"/>
      <w:r w:rsidRPr="006C6A70">
        <w:rPr>
          <w:b w:val="0"/>
        </w:rPr>
        <w:t>Strategic priority 2</w:t>
      </w:r>
      <w:r w:rsidR="00DE245E" w:rsidRPr="006C6A70">
        <w:rPr>
          <w:b w:val="0"/>
        </w:rPr>
        <w:t xml:space="preserve">: </w:t>
      </w:r>
      <w:r w:rsidR="006C6A70">
        <w:br/>
      </w:r>
      <w:r w:rsidRPr="00CE1D67">
        <w:t>Living independently in the community</w:t>
      </w:r>
      <w:bookmarkEnd w:id="20"/>
    </w:p>
    <w:p w:rsidR="00E54C88" w:rsidRPr="00CE1D67" w:rsidRDefault="004114D4" w:rsidP="00CE1D67">
      <w:pPr>
        <w:rPr>
          <w:b/>
        </w:rPr>
      </w:pPr>
      <w:r>
        <w:rPr>
          <w:b/>
        </w:rPr>
        <w:t>“</w:t>
      </w:r>
      <w:r w:rsidR="00E54C88" w:rsidRPr="00CE1D67">
        <w:rPr>
          <w:b/>
        </w:rPr>
        <w:t>To undertake and collaborate on research and data collection, and to provide information, advice and guidance to guide policy, systems and service changes to ensure that people with disabilities can live independently and participate in the community as active citizens.</w:t>
      </w:r>
      <w:r>
        <w:rPr>
          <w:b/>
        </w:rPr>
        <w:t>”</w:t>
      </w:r>
    </w:p>
    <w:p w:rsidR="00D05FD0" w:rsidRDefault="00D05FD0" w:rsidP="00D05FD0">
      <w:pPr>
        <w:pStyle w:val="Heading2"/>
      </w:pPr>
      <w:r>
        <w:t>Research and Advice programme</w:t>
      </w:r>
    </w:p>
    <w:p w:rsidR="00D05FD0" w:rsidRDefault="00D05FD0" w:rsidP="00D05FD0">
      <w:r>
        <w:t xml:space="preserve">The National Disability Authority undertook its own research and also commissioned a number of pieces of research to inform policy and practice. It continued in its role of providing advice through engagement with Departments and public bodies, participating on committees and working groups, and developing written advice papers. </w:t>
      </w:r>
    </w:p>
    <w:p w:rsidR="00D05FD0" w:rsidRDefault="00D05FD0" w:rsidP="00D05FD0">
      <w:pPr>
        <w:pStyle w:val="Heading2"/>
      </w:pPr>
      <w:r>
        <w:t>Individualised funding</w:t>
      </w:r>
    </w:p>
    <w:p w:rsidR="00D05FD0" w:rsidRDefault="00D05FD0" w:rsidP="00D05FD0">
      <w:pPr>
        <w:pStyle w:val="Heading3"/>
      </w:pPr>
      <w:r>
        <w:t>Advice paper on Resource Allocation</w:t>
      </w:r>
    </w:p>
    <w:p w:rsidR="00D05FD0" w:rsidRDefault="00D05FD0" w:rsidP="00D05FD0">
      <w:r>
        <w:t xml:space="preserve">The National Disability Authority submitted an advice paper to the Department of Health and the HSE </w:t>
      </w:r>
      <w:r w:rsidRPr="0083125C">
        <w:t xml:space="preserve">on the </w:t>
      </w:r>
      <w:r w:rsidR="00365AFD" w:rsidRPr="0083125C">
        <w:t xml:space="preserve">recommended </w:t>
      </w:r>
      <w:r w:rsidRPr="0083125C">
        <w:t>choic</w:t>
      </w:r>
      <w:r>
        <w:t xml:space="preserve">e of assessment tool to underpin a resource allocation model for social care supports for people with disabilities, drawing on our previous field research and our examination of other characteristics and potential benefits of the different models. </w:t>
      </w:r>
    </w:p>
    <w:p w:rsidR="00CE3F93" w:rsidRDefault="00CE3F93" w:rsidP="00CE3F93">
      <w:pPr>
        <w:pStyle w:val="Heading3"/>
      </w:pPr>
      <w:r>
        <w:t>Implementation of resource allocation and individual budget</w:t>
      </w:r>
      <w:r w:rsidR="00082556">
        <w:t> </w:t>
      </w:r>
      <w:r>
        <w:t>models</w:t>
      </w:r>
    </w:p>
    <w:p w:rsidR="00CE3F93" w:rsidRDefault="00CE3F93" w:rsidP="00570491">
      <w:pPr>
        <w:rPr>
          <w:rFonts w:eastAsia="SimSun"/>
          <w:lang w:eastAsia="en-IE"/>
        </w:rPr>
      </w:pPr>
      <w:r>
        <w:t xml:space="preserve">A research contract was awarded in late 2015 </w:t>
      </w:r>
      <w:r>
        <w:rPr>
          <w:rFonts w:eastAsia="SimSun"/>
          <w:lang w:eastAsia="en-IE"/>
        </w:rPr>
        <w:t>to examine the practical issues when transitioning to and implementing a system of funding of social care supports based on individual needs</w:t>
      </w:r>
      <w:r w:rsidR="006C3C62">
        <w:rPr>
          <w:rFonts w:eastAsia="SimSun"/>
          <w:lang w:eastAsia="en-IE"/>
        </w:rPr>
        <w:t>, namely</w:t>
      </w:r>
      <w:r>
        <w:rPr>
          <w:rFonts w:eastAsia="SimSun"/>
          <w:lang w:eastAsia="en-IE"/>
        </w:rPr>
        <w:t xml:space="preserve"> </w:t>
      </w:r>
      <w:r w:rsidRPr="00082556">
        <w:rPr>
          <w:rFonts w:eastAsia="SimSun"/>
        </w:rPr>
        <w:t>a new resource allocation model.</w:t>
      </w:r>
      <w:r w:rsidR="00082556">
        <w:rPr>
          <w:rFonts w:eastAsia="SimSun"/>
        </w:rPr>
        <w:t xml:space="preserve"> </w:t>
      </w:r>
      <w:r w:rsidRPr="00082556">
        <w:rPr>
          <w:rFonts w:eastAsia="SimSun"/>
        </w:rPr>
        <w:t>This</w:t>
      </w:r>
      <w:r w:rsidRPr="006C3C62">
        <w:rPr>
          <w:rFonts w:eastAsia="SimSun"/>
        </w:rPr>
        <w:t xml:space="preserve"> would be as an alternative to the current system of block grants to disability service providers, and the study will draw</w:t>
      </w:r>
      <w:r w:rsidR="006C3C62">
        <w:rPr>
          <w:rFonts w:eastAsia="SimSun"/>
        </w:rPr>
        <w:t xml:space="preserve"> </w:t>
      </w:r>
      <w:r w:rsidRPr="006C3C62">
        <w:rPr>
          <w:rFonts w:eastAsia="SimSun"/>
        </w:rPr>
        <w:t>on experience in ot</w:t>
      </w:r>
      <w:r>
        <w:rPr>
          <w:rFonts w:eastAsia="SimSun"/>
          <w:lang w:eastAsia="en-IE"/>
        </w:rPr>
        <w:t xml:space="preserve">her jurisdictions. Individualised funding in this context </w:t>
      </w:r>
      <w:r w:rsidR="00CB3C45">
        <w:rPr>
          <w:rFonts w:eastAsia="SimSun"/>
          <w:lang w:eastAsia="en-IE"/>
        </w:rPr>
        <w:t xml:space="preserve">also </w:t>
      </w:r>
      <w:r>
        <w:rPr>
          <w:rFonts w:eastAsia="SimSun"/>
          <w:lang w:eastAsia="en-IE"/>
        </w:rPr>
        <w:t xml:space="preserve">includes systems where individuals get a personal budget to buy in their own services. This work continues into 2016. </w:t>
      </w:r>
    </w:p>
    <w:p w:rsidR="00D05FD0" w:rsidRDefault="00D05FD0" w:rsidP="00D05FD0">
      <w:pPr>
        <w:pStyle w:val="Heading3"/>
      </w:pPr>
      <w:r>
        <w:t>School leaver funding</w:t>
      </w:r>
    </w:p>
    <w:p w:rsidR="00D05FD0" w:rsidRDefault="00D05FD0" w:rsidP="00D05FD0">
      <w:r>
        <w:t xml:space="preserve">The NDA also commenced </w:t>
      </w:r>
      <w:r w:rsidRPr="0083125C">
        <w:t>research in partnership with the HSE, designed to underpin a fair system of resourcing</w:t>
      </w:r>
      <w:r w:rsidR="00365AFD" w:rsidRPr="0083125C">
        <w:t xml:space="preserve"> of appropriate supports for</w:t>
      </w:r>
      <w:r w:rsidRPr="0083125C">
        <w:t xml:space="preserve"> individual school leavers entering</w:t>
      </w:r>
      <w:r>
        <w:t xml:space="preserve"> HSE services, and this project will continue into 2016. </w:t>
      </w:r>
    </w:p>
    <w:p w:rsidR="00D05FD0" w:rsidRDefault="00D05FD0" w:rsidP="00D05FD0">
      <w:pPr>
        <w:pStyle w:val="Heading2"/>
      </w:pPr>
      <w:r>
        <w:t xml:space="preserve">Preventing bullying of children with disabilities </w:t>
      </w:r>
    </w:p>
    <w:p w:rsidR="00D05FD0" w:rsidRDefault="00D05FD0" w:rsidP="00D05FD0">
      <w:r>
        <w:t>The Minister for Education and Skills, Jan O</w:t>
      </w:r>
      <w:r w:rsidR="004114D4">
        <w:t>’</w:t>
      </w:r>
      <w:r>
        <w:t>Sullivan, TD launched the National Disability Authority</w:t>
      </w:r>
      <w:r w:rsidR="004114D4">
        <w:t>’</w:t>
      </w:r>
      <w:r>
        <w:t xml:space="preserve">s research on </w:t>
      </w:r>
      <w:r w:rsidR="00F7078D">
        <w:t>“</w:t>
      </w:r>
      <w:r w:rsidRPr="00F7078D">
        <w:t>Preventing school bullying of children with special educational needs or disability</w:t>
      </w:r>
      <w:r w:rsidR="00F7078D">
        <w:t>”</w:t>
      </w:r>
      <w:r>
        <w:t xml:space="preserve"> in November 2015. This research focussed on effective interventions to prevent bullying of children with disabilities or special education needs, as part of the Department</w:t>
      </w:r>
      <w:r w:rsidR="004114D4">
        <w:t>’</w:t>
      </w:r>
      <w:r>
        <w:t xml:space="preserve">s Action Plan on Bullying. The findings emphasise the importance of </w:t>
      </w:r>
      <w:r w:rsidR="00082556">
        <w:t>“</w:t>
      </w:r>
      <w:r>
        <w:t>whole-school</w:t>
      </w:r>
      <w:r w:rsidR="00082556">
        <w:t>”</w:t>
      </w:r>
      <w:r>
        <w:t xml:space="preserve"> approaches. </w:t>
      </w:r>
    </w:p>
    <w:p w:rsidR="00D05FD0" w:rsidRDefault="00D05FD0" w:rsidP="00D05FD0">
      <w:pPr>
        <w:pStyle w:val="Heading2"/>
      </w:pPr>
      <w:r>
        <w:t xml:space="preserve">Other research in progress </w:t>
      </w:r>
    </w:p>
    <w:p w:rsidR="00D05FD0" w:rsidRDefault="00D05FD0" w:rsidP="00D05FD0">
      <w:pPr>
        <w:pStyle w:val="Heading3"/>
        <w:rPr>
          <w:rFonts w:eastAsia="SimSun"/>
          <w:lang w:eastAsia="en-IE"/>
        </w:rPr>
      </w:pPr>
      <w:r>
        <w:rPr>
          <w:rFonts w:eastAsia="SimSun"/>
          <w:lang w:eastAsia="en-IE"/>
        </w:rPr>
        <w:t>Research on families and siblings</w:t>
      </w:r>
    </w:p>
    <w:p w:rsidR="00D05FD0" w:rsidRDefault="00D05FD0" w:rsidP="00082556">
      <w:pPr>
        <w:pStyle w:val="NormalBeforeList"/>
        <w:rPr>
          <w:rFonts w:eastAsia="SimSun"/>
          <w:lang w:eastAsia="en-IE"/>
        </w:rPr>
      </w:pPr>
      <w:r>
        <w:rPr>
          <w:rFonts w:eastAsia="SimSun"/>
          <w:lang w:eastAsia="en-IE"/>
        </w:rPr>
        <w:t xml:space="preserve">Three pieces of research were approved for grant aid under the 2015 Research Promotion Grant Scheme under the theme of </w:t>
      </w:r>
      <w:r w:rsidR="00082556">
        <w:rPr>
          <w:rFonts w:eastAsia="SimSun"/>
          <w:lang w:eastAsia="en-IE"/>
        </w:rPr>
        <w:t>“</w:t>
      </w:r>
      <w:r>
        <w:rPr>
          <w:rFonts w:eastAsia="SimSun"/>
          <w:lang w:eastAsia="en-IE"/>
        </w:rPr>
        <w:t>families</w:t>
      </w:r>
      <w:r w:rsidR="00082556">
        <w:rPr>
          <w:rFonts w:eastAsia="SimSun"/>
          <w:lang w:eastAsia="en-IE"/>
        </w:rPr>
        <w:t>”</w:t>
      </w:r>
      <w:r>
        <w:rPr>
          <w:rFonts w:eastAsia="SimSun"/>
          <w:lang w:eastAsia="en-IE"/>
        </w:rPr>
        <w:t xml:space="preserve"> and these will complete in 2016. The projects which were successful in securing funding all look at different aspects of the carer and sibling relationship and over different stages of life, and include an analysis of data from the IDS-TILDA study on sibling carers, an analysis of social welfare data, and focus group and other qualitative research. The projects are</w:t>
      </w:r>
      <w:r w:rsidR="00082556">
        <w:rPr>
          <w:rFonts w:eastAsia="SimSun"/>
          <w:lang w:eastAsia="en-IE"/>
        </w:rPr>
        <w:t>:</w:t>
      </w:r>
    </w:p>
    <w:p w:rsidR="00D05FD0" w:rsidRPr="00C610FE" w:rsidRDefault="00D05FD0" w:rsidP="00D05FD0">
      <w:pPr>
        <w:pStyle w:val="ListBullet"/>
        <w:rPr>
          <w:rFonts w:eastAsia="SimSun"/>
          <w:lang w:eastAsia="en-IE"/>
        </w:rPr>
      </w:pPr>
      <w:r w:rsidRPr="00C610FE">
        <w:rPr>
          <w:rFonts w:eastAsia="SimSun"/>
          <w:lang w:eastAsia="en-IE"/>
        </w:rPr>
        <w:t>Understanding family strategies that enable long term and sustainable home environments for older people with an Intellectual Disability</w:t>
      </w:r>
      <w:r>
        <w:rPr>
          <w:rFonts w:eastAsia="SimSun"/>
          <w:lang w:eastAsia="en-IE"/>
        </w:rPr>
        <w:t xml:space="preserve"> (TCD)</w:t>
      </w:r>
      <w:r w:rsidRPr="00C610FE">
        <w:rPr>
          <w:rFonts w:eastAsia="SimSun"/>
          <w:lang w:eastAsia="en-IE"/>
        </w:rPr>
        <w:t xml:space="preserve"> </w:t>
      </w:r>
    </w:p>
    <w:p w:rsidR="00D05FD0" w:rsidRPr="00C610FE" w:rsidRDefault="00D05FD0" w:rsidP="00D05FD0">
      <w:pPr>
        <w:pStyle w:val="ListBullet"/>
        <w:rPr>
          <w:rFonts w:eastAsia="SimSun"/>
          <w:lang w:eastAsia="en-IE"/>
        </w:rPr>
      </w:pPr>
      <w:r w:rsidRPr="00C610FE">
        <w:rPr>
          <w:rFonts w:eastAsia="SimSun"/>
          <w:lang w:eastAsia="en-IE"/>
        </w:rPr>
        <w:t>Building Capacity among Adult Siblings of People with Intellectual Disabilities/Autism</w:t>
      </w:r>
      <w:r>
        <w:rPr>
          <w:rFonts w:eastAsia="SimSun"/>
          <w:lang w:eastAsia="en-IE"/>
        </w:rPr>
        <w:t xml:space="preserve"> (UCC)</w:t>
      </w:r>
    </w:p>
    <w:p w:rsidR="00D05FD0" w:rsidRPr="00C610FE" w:rsidRDefault="00D05FD0" w:rsidP="00D05FD0">
      <w:pPr>
        <w:pStyle w:val="ListBullet"/>
        <w:rPr>
          <w:rFonts w:eastAsia="SimSun"/>
          <w:lang w:eastAsia="en-IE"/>
        </w:rPr>
      </w:pPr>
      <w:r w:rsidRPr="00C610FE">
        <w:rPr>
          <w:rFonts w:eastAsia="SimSun"/>
          <w:lang w:eastAsia="en-IE"/>
        </w:rPr>
        <w:t>Exploring Resilience and Family Support Structures in Families with a Person with Intellectual Disability</w:t>
      </w:r>
      <w:r>
        <w:rPr>
          <w:rFonts w:eastAsia="SimSun"/>
          <w:lang w:eastAsia="en-IE"/>
        </w:rPr>
        <w:t xml:space="preserve"> (UCD)</w:t>
      </w:r>
    </w:p>
    <w:p w:rsidR="00D05FD0" w:rsidRDefault="00D05FD0" w:rsidP="00D05FD0">
      <w:pPr>
        <w:pStyle w:val="Heading3"/>
        <w:rPr>
          <w:rFonts w:eastAsia="SimSun"/>
          <w:lang w:eastAsia="en-IE"/>
        </w:rPr>
      </w:pPr>
      <w:r>
        <w:rPr>
          <w:rFonts w:eastAsia="SimSun"/>
          <w:lang w:eastAsia="en-IE"/>
        </w:rPr>
        <w:t xml:space="preserve">Parental attitudes </w:t>
      </w:r>
    </w:p>
    <w:p w:rsidR="00D05FD0" w:rsidRDefault="00D05FD0" w:rsidP="00264853">
      <w:pPr>
        <w:rPr>
          <w:rFonts w:eastAsia="SimSun"/>
          <w:lang w:eastAsia="en-IE"/>
        </w:rPr>
      </w:pPr>
      <w:r>
        <w:rPr>
          <w:rFonts w:eastAsia="SimSun"/>
          <w:lang w:eastAsia="en-IE"/>
        </w:rPr>
        <w:t>Research commissioned to examine the educational expectations of parents of children with disabilities was at final draft stage at year</w:t>
      </w:r>
      <w:r w:rsidR="00082556">
        <w:rPr>
          <w:rFonts w:eastAsia="SimSun"/>
          <w:lang w:eastAsia="en-IE"/>
        </w:rPr>
        <w:t>-</w:t>
      </w:r>
      <w:r>
        <w:rPr>
          <w:rFonts w:eastAsia="SimSun"/>
          <w:lang w:eastAsia="en-IE"/>
        </w:rPr>
        <w:t>end. This draws on the micro-data from the Growing Up in Ireland Survey.</w:t>
      </w:r>
      <w:r w:rsidR="004114D4">
        <w:rPr>
          <w:rFonts w:eastAsia="SimSun"/>
          <w:lang w:eastAsia="en-IE"/>
        </w:rPr>
        <w:t xml:space="preserve"> </w:t>
      </w:r>
    </w:p>
    <w:p w:rsidR="00D05FD0" w:rsidRDefault="00D05FD0" w:rsidP="00D05FD0">
      <w:pPr>
        <w:pStyle w:val="Heading3"/>
      </w:pPr>
      <w:r>
        <w:t>Medical assessment systems for social welfare</w:t>
      </w:r>
    </w:p>
    <w:p w:rsidR="00D05FD0" w:rsidRDefault="00D05FD0" w:rsidP="00D05FD0">
      <w:r>
        <w:t xml:space="preserve">The NDA has commissioned a review of medical assessment systems for social welfare payments in other jurisdictions. The first part of the study which related to payments to individuals with disabilities was completed, and the second part of the study which relates to assessment systems for carer payments will complete in 2016. </w:t>
      </w:r>
    </w:p>
    <w:p w:rsidR="00D05FD0" w:rsidRDefault="00D05FD0" w:rsidP="00D05FD0">
      <w:pPr>
        <w:pStyle w:val="Heading3"/>
      </w:pPr>
      <w:r>
        <w:t>Flows between employment, unemployment and economic</w:t>
      </w:r>
      <w:r w:rsidR="00082556">
        <w:t> </w:t>
      </w:r>
      <w:r>
        <w:t>inactivity</w:t>
      </w:r>
    </w:p>
    <w:p w:rsidR="00D05FD0" w:rsidRDefault="00D05FD0" w:rsidP="00D05FD0">
      <w:r>
        <w:t xml:space="preserve">The NDA commissioned research to analyse flows of people with disabilities between employment, unemployment and economic inactivity, which uses the micro-data from the Quarterly National Household Survey. This is due to complete in 2016. </w:t>
      </w:r>
    </w:p>
    <w:p w:rsidR="00D05FD0" w:rsidRDefault="00D05FD0" w:rsidP="00D05FD0">
      <w:pPr>
        <w:pStyle w:val="Heading3"/>
      </w:pPr>
      <w:r>
        <w:t>NDA scholarship scheme</w:t>
      </w:r>
    </w:p>
    <w:p w:rsidR="00D05FD0" w:rsidRDefault="00D05FD0" w:rsidP="00D05FD0">
      <w:r>
        <w:t xml:space="preserve">The NDA up to 2004 offered PhD scholarships, on a competitive basis, for research on disability topics. </w:t>
      </w:r>
      <w:r w:rsidR="00CA7941" w:rsidRPr="00CA7941">
        <w:t xml:space="preserve">During 2015 the Authority noted that </w:t>
      </w:r>
      <w:r w:rsidR="00CA7941">
        <w:t>o</w:t>
      </w:r>
      <w:r>
        <w:t>ne of the scholars</w:t>
      </w:r>
      <w:r w:rsidR="00CA7941">
        <w:t>hips</w:t>
      </w:r>
      <w:r>
        <w:t xml:space="preserve"> in the area of special needs assistance</w:t>
      </w:r>
      <w:r w:rsidR="00CA7941">
        <w:t xml:space="preserve"> would be </w:t>
      </w:r>
      <w:r>
        <w:t>discontinue</w:t>
      </w:r>
      <w:r w:rsidR="00CA7941">
        <w:t>d</w:t>
      </w:r>
      <w:r>
        <w:t>. The student concerned has undertaken to share with the NDA the fruits of her research up to the point of termination to use as background information.</w:t>
      </w:r>
    </w:p>
    <w:p w:rsidR="00D05FD0" w:rsidRDefault="00D05FD0" w:rsidP="00D05FD0">
      <w:pPr>
        <w:pStyle w:val="Heading2"/>
      </w:pPr>
      <w:r>
        <w:t>Demographic change and strategic forecasting</w:t>
      </w:r>
    </w:p>
    <w:p w:rsidR="00D05FD0" w:rsidRPr="00867670" w:rsidRDefault="00D05FD0" w:rsidP="00D05FD0">
      <w:r>
        <w:t>The NDA has undertaken initial work, as part of the Transforming Lives implementation process, on strategic forecasting of disability service needs in the light of population change. This work when complete will inform future planning for resource requirements for the HSE-funded disability services programme.</w:t>
      </w:r>
    </w:p>
    <w:p w:rsidR="00D05FD0" w:rsidRPr="00A95D97" w:rsidRDefault="00D05FD0" w:rsidP="00D05FD0">
      <w:pPr>
        <w:pStyle w:val="Heading2"/>
      </w:pPr>
      <w:r>
        <w:t xml:space="preserve">Disability across the lifecycle </w:t>
      </w:r>
      <w:r w:rsidR="002B41E5">
        <w:t>—</w:t>
      </w:r>
      <w:r>
        <w:t xml:space="preserve"> research using key national data</w:t>
      </w:r>
    </w:p>
    <w:p w:rsidR="00D05FD0" w:rsidRDefault="00D05FD0" w:rsidP="00082556">
      <w:pPr>
        <w:pStyle w:val="NormalBeforeList"/>
      </w:pPr>
      <w:r>
        <w:t>The National Disability Authority has undertaken or funded a number of pieces of research to look at aspects of disability across the lifecycle, based on special analyses of data from national data sets</w:t>
      </w:r>
      <w:r w:rsidR="00082556">
        <w:t>:</w:t>
      </w:r>
    </w:p>
    <w:p w:rsidR="00D05FD0" w:rsidRDefault="00D05FD0" w:rsidP="00D05FD0">
      <w:pPr>
        <w:pStyle w:val="ListBullet"/>
      </w:pPr>
      <w:r>
        <w:t xml:space="preserve">Analysis of education and employment issues for people with disabilities using the National Disability Survey (as described under Strategic Priority 1) </w:t>
      </w:r>
      <w:r w:rsidR="002B41E5">
        <w:t xml:space="preserve">— </w:t>
      </w:r>
      <w:r>
        <w:t>commissioned research published in 2015</w:t>
      </w:r>
    </w:p>
    <w:p w:rsidR="00D05FD0" w:rsidRDefault="00D05FD0" w:rsidP="00D05FD0">
      <w:pPr>
        <w:pStyle w:val="ListBullet"/>
      </w:pPr>
      <w:r>
        <w:t xml:space="preserve">Analysis of educational aspirations of parents of children with disabilities, using Growing Up in Ireland survey data </w:t>
      </w:r>
      <w:r w:rsidR="002B41E5">
        <w:t>—</w:t>
      </w:r>
      <w:r>
        <w:t xml:space="preserve"> commissioned research, final draft report received end 2015</w:t>
      </w:r>
    </w:p>
    <w:p w:rsidR="00D05FD0" w:rsidRDefault="00D05FD0" w:rsidP="00D05FD0">
      <w:pPr>
        <w:pStyle w:val="ListBullet"/>
      </w:pPr>
      <w:r>
        <w:t xml:space="preserve">Exploration of issues around sibling care of people with intellectual disabilities, drawing on information from the </w:t>
      </w:r>
      <w:r w:rsidRPr="00F56C13">
        <w:t>Irish Longitudinal Study on Ageing</w:t>
      </w:r>
      <w:r>
        <w:t xml:space="preserve"> </w:t>
      </w:r>
      <w:r w:rsidR="002B41E5">
        <w:t>—</w:t>
      </w:r>
      <w:r>
        <w:t xml:space="preserve"> Intellectual Disability Supplement (as listed above under research on families and siblings). </w:t>
      </w:r>
    </w:p>
    <w:p w:rsidR="00D05FD0" w:rsidRDefault="00D05FD0" w:rsidP="00D05FD0">
      <w:pPr>
        <w:pStyle w:val="Heading2"/>
      </w:pPr>
      <w:r>
        <w:t xml:space="preserve">Work on quality in disability services </w:t>
      </w:r>
    </w:p>
    <w:p w:rsidR="00D05FD0" w:rsidRDefault="00D05FD0" w:rsidP="00D05FD0">
      <w:r>
        <w:t xml:space="preserve">The NDA is a member of a HSE working group under the Transforming Lives programme which is charged with working on a quality assurance framework for disability services. </w:t>
      </w:r>
    </w:p>
    <w:p w:rsidR="00D05FD0" w:rsidRDefault="00D05FD0" w:rsidP="00D05FD0">
      <w:r>
        <w:t>The implementation of standards is one of the key elements of any such framework, and NDA</w:t>
      </w:r>
      <w:r w:rsidR="004114D4">
        <w:t>’</w:t>
      </w:r>
      <w:r>
        <w:t xml:space="preserve">s major project on the regulation, standards and HIQA inspection system in disability services has shown practical areas for improvements. </w:t>
      </w:r>
    </w:p>
    <w:p w:rsidR="00D05FD0" w:rsidRDefault="00D05FD0" w:rsidP="00D05FD0">
      <w:r>
        <w:t xml:space="preserve">Another key element is an agreed outcomes framework for disability services. The NDA developed a draft paper in 2015 drawing on research and international practice, and is engaging in consultations with disability service users to guide finalisation of the suite of recommended outcome measures. </w:t>
      </w:r>
    </w:p>
    <w:p w:rsidR="00D05FD0" w:rsidRDefault="00D05FD0" w:rsidP="00D05FD0">
      <w:r>
        <w:t xml:space="preserve">The NDA is also a member of the HSE steering group which has been set up to consider how service standards can be raised and negative culture in services addressed in the light of issues raised by the Áras Attracta investigation. </w:t>
      </w:r>
    </w:p>
    <w:p w:rsidR="00D05FD0" w:rsidRPr="00A95D97" w:rsidRDefault="00D05FD0" w:rsidP="00D05FD0">
      <w:pPr>
        <w:pStyle w:val="Heading2"/>
      </w:pPr>
      <w:r>
        <w:t>Assistive technologies and telehealth/telecare</w:t>
      </w:r>
    </w:p>
    <w:p w:rsidR="00D05FD0" w:rsidRPr="009A1235" w:rsidRDefault="00D05FD0" w:rsidP="00D05FD0">
      <w:r>
        <w:t>Research was completed in 2015 which analysed the data from the National Disability Survey on the factors influencing need for and availability of assistive technology. The findings showed that people</w:t>
      </w:r>
      <w:r w:rsidR="004114D4">
        <w:t>’</w:t>
      </w:r>
      <w:r>
        <w:t>s assistive technology needs in relation to a second form of disability were much les</w:t>
      </w:r>
      <w:r w:rsidR="0058340C">
        <w:t>s</w:t>
      </w:r>
      <w:r>
        <w:t xml:space="preserve"> well served than in relation to their primary disability. </w:t>
      </w:r>
    </w:p>
    <w:p w:rsidR="00D05FD0" w:rsidRDefault="00D05FD0" w:rsidP="00D05FD0">
      <w:r>
        <w:t>Background research from a research contractor to NDA and NDA</w:t>
      </w:r>
      <w:r w:rsidR="004114D4">
        <w:t>’</w:t>
      </w:r>
      <w:r>
        <w:t xml:space="preserve">s own research synthesis has been done to inform future engagement and policy advice around systems of telecare and telehealth. </w:t>
      </w:r>
    </w:p>
    <w:p w:rsidR="00D05FD0" w:rsidRDefault="00D05FD0" w:rsidP="00D05FD0">
      <w:pPr>
        <w:pStyle w:val="Heading2"/>
      </w:pPr>
      <w:r>
        <w:t>Recognition of good standards and quality in services to people with disabilities</w:t>
      </w:r>
    </w:p>
    <w:p w:rsidR="00E54C88" w:rsidRPr="00DC0EEE" w:rsidRDefault="00D05FD0" w:rsidP="00D05FD0">
      <w:r>
        <w:t xml:space="preserve">Following an earlier review of NDA activities under this objective, the strategy has been to pursue inclusion of disability/universal design in mainstream awards programmes with a wide reach. </w:t>
      </w:r>
      <w:r w:rsidR="00DF4482" w:rsidRPr="00DF4482">
        <w:t>Funding has been given to secure a universal design strand in the following awards programmes, as detailed under “Strategic priority 3: Universal Design of the environment”.</w:t>
      </w:r>
    </w:p>
    <w:p w:rsidR="00E54C88" w:rsidRDefault="00E54C88" w:rsidP="00804BF1">
      <w:pPr>
        <w:pStyle w:val="Heading1"/>
      </w:pPr>
      <w:bookmarkStart w:id="21" w:name="_Toc455486398"/>
      <w:r w:rsidRPr="006C6A70">
        <w:rPr>
          <w:b w:val="0"/>
        </w:rPr>
        <w:t>Strategic priority 3</w:t>
      </w:r>
      <w:r w:rsidR="00D03468" w:rsidRPr="006C6A70">
        <w:rPr>
          <w:b w:val="0"/>
        </w:rPr>
        <w:t xml:space="preserve">: </w:t>
      </w:r>
      <w:r w:rsidR="006C6A70">
        <w:br/>
      </w:r>
      <w:r w:rsidRPr="00DC0EEE">
        <w:t>Universal Design of the environment</w:t>
      </w:r>
      <w:bookmarkEnd w:id="21"/>
    </w:p>
    <w:p w:rsidR="00E54C88" w:rsidRDefault="004A1C89" w:rsidP="00DC0EEE">
      <w:pPr>
        <w:rPr>
          <w:b/>
        </w:rPr>
      </w:pPr>
      <w:r>
        <w:rPr>
          <w:b/>
        </w:rPr>
        <w:t>“</w:t>
      </w:r>
      <w:r w:rsidR="00E54C88" w:rsidRPr="00DC0EEE">
        <w:rPr>
          <w:b/>
        </w:rPr>
        <w:t>To promote excellence in universal design to facilitate maximum participation in Irish society</w:t>
      </w:r>
      <w:r w:rsidR="004114D4">
        <w:rPr>
          <w:b/>
        </w:rPr>
        <w:t>”</w:t>
      </w:r>
    </w:p>
    <w:p w:rsidR="004114D4" w:rsidRPr="00082556" w:rsidRDefault="004114D4" w:rsidP="004114D4">
      <w:r>
        <w:t xml:space="preserve">The NDA’s Centre for Excellence in Universal Design (CEUD) has a statutory function to promote Universal Design (UD) in practice, to </w:t>
      </w:r>
      <w:r w:rsidR="0058340C">
        <w:t xml:space="preserve">guide standards, encourage training and education in universal design for the relevant professions and occupations and create greater awareness. The centre </w:t>
      </w:r>
      <w:r>
        <w:t>works with a range of stakeholders across public, private and voluntary sectors in this regard with the clear focus on creating an environment which includes the built environment, products and services and information co</w:t>
      </w:r>
      <w:r w:rsidR="0058340C">
        <w:t>mmunication technologies that are</w:t>
      </w:r>
      <w:r>
        <w:t xml:space="preserve"> easier to use, access</w:t>
      </w:r>
      <w:r w:rsidR="004D764F">
        <w:t>,</w:t>
      </w:r>
      <w:r>
        <w:t xml:space="preserve"> </w:t>
      </w:r>
      <w:r w:rsidRPr="00082556">
        <w:t xml:space="preserve">and understand for all people. </w:t>
      </w:r>
    </w:p>
    <w:p w:rsidR="00DB32EF" w:rsidRPr="00082556" w:rsidRDefault="00DB32EF" w:rsidP="004114D4">
      <w:r w:rsidRPr="00082556">
        <w:t>The Centre delivered a number of design challenges over 2015 as a means of creating awareness and understanding of the principles of universal design in practice.</w:t>
      </w:r>
      <w:r w:rsidR="00082556">
        <w:t xml:space="preserve"> </w:t>
      </w:r>
    </w:p>
    <w:p w:rsidR="004114D4" w:rsidRDefault="004114D4" w:rsidP="004114D4">
      <w:pPr>
        <w:pStyle w:val="Heading2"/>
      </w:pPr>
      <w:r w:rsidRPr="00020BDD">
        <w:t>24</w:t>
      </w:r>
      <w:r w:rsidR="00082556">
        <w:t>-</w:t>
      </w:r>
      <w:r w:rsidRPr="00020BDD">
        <w:t>Hour Universal Design Hackathon</w:t>
      </w:r>
    </w:p>
    <w:p w:rsidR="00DB32EF" w:rsidRPr="00082556" w:rsidRDefault="00DB32EF" w:rsidP="004114D4">
      <w:r>
        <w:t>A 24</w:t>
      </w:r>
      <w:r w:rsidR="00082556">
        <w:t>-</w:t>
      </w:r>
      <w:r>
        <w:t>Hour Universal D</w:t>
      </w:r>
      <w:r w:rsidRPr="00082556">
        <w:t xml:space="preserve">esign Hackathon was operated by the Centre as </w:t>
      </w:r>
      <w:r>
        <w:t xml:space="preserve">part of a major conference during the year of Irish design. </w:t>
      </w:r>
      <w:r w:rsidR="004114D4">
        <w:t xml:space="preserve">A Hackathon is </w:t>
      </w:r>
      <w:r w:rsidR="004114D4" w:rsidRPr="00082556">
        <w:t xml:space="preserve">a process of redesign. </w:t>
      </w:r>
      <w:r w:rsidRPr="00082556">
        <w:t xml:space="preserve">The Universal Design Hackathon </w:t>
      </w:r>
      <w:r w:rsidR="004114D4" w:rsidRPr="00082556">
        <w:t xml:space="preserve">explored the challenge of redesigning a product or service to make it easy to </w:t>
      </w:r>
      <w:r w:rsidR="004114D4">
        <w:t>understa</w:t>
      </w:r>
      <w:r>
        <w:t xml:space="preserve">nd during the first time of use. </w:t>
      </w:r>
      <w:r w:rsidR="00A330CC" w:rsidRPr="00082556">
        <w:t>The focus of the Hackathon was</w:t>
      </w:r>
      <w:r w:rsidR="00082556">
        <w:t xml:space="preserve"> </w:t>
      </w:r>
      <w:r w:rsidRPr="00082556">
        <w:t>on access, understanding and ease of use in line with the definition of universal design in the Disability Act 2005.</w:t>
      </w:r>
      <w:r w:rsidR="00082556">
        <w:t xml:space="preserve"> </w:t>
      </w:r>
    </w:p>
    <w:p w:rsidR="004114D4" w:rsidRDefault="004114D4" w:rsidP="004114D4">
      <w:r>
        <w:t>Building on a legacy of successful 24 Hour Universal Design Challenges</w:t>
      </w:r>
      <w:r w:rsidRPr="00082556">
        <w:t xml:space="preserve">, </w:t>
      </w:r>
      <w:r w:rsidR="00DB32EF" w:rsidRPr="00082556">
        <w:t xml:space="preserve">the Centre </w:t>
      </w:r>
      <w:r w:rsidRPr="00082556">
        <w:t xml:space="preserve">collaborated with the Norwegian Centre for Design and </w:t>
      </w:r>
      <w:r>
        <w:t>Architecture and Dublin City University (DCU</w:t>
      </w:r>
      <w:r w:rsidR="00027496">
        <w:t>) Innovation</w:t>
      </w:r>
      <w:r>
        <w:t xml:space="preserve"> Campus to create a new model for Universal Design Hackathons.</w:t>
      </w:r>
    </w:p>
    <w:p w:rsidR="004114D4" w:rsidRDefault="004114D4" w:rsidP="004114D4">
      <w:r>
        <w:t>Five teams worked continuously for 24 hours in prototyping and designing. The teams were comprised of experienced designers, design educators and design students. One team won both, the Judges Choice and the People’s Choice Award for their redesign of the door access system used for some locked public toilets. DCU presented prizes to t</w:t>
      </w:r>
      <w:r w:rsidR="00A330CC">
        <w:t xml:space="preserve">he winning team and support </w:t>
      </w:r>
      <w:r>
        <w:t>to explore further development of the design.</w:t>
      </w:r>
    </w:p>
    <w:p w:rsidR="004114D4" w:rsidRDefault="004114D4" w:rsidP="004114D4">
      <w:pPr>
        <w:pStyle w:val="Heading2"/>
      </w:pPr>
      <w:r>
        <w:t>Universal Design Grand Challenge 2015</w:t>
      </w:r>
    </w:p>
    <w:p w:rsidR="004114D4" w:rsidRDefault="004114D4" w:rsidP="004114D4">
      <w:r>
        <w:t>The 2015 Universal Design Grand Challenge Student Awards Competition, held in the Westin Hotel on 4</w:t>
      </w:r>
      <w:r w:rsidR="00264853">
        <w:t>th</w:t>
      </w:r>
      <w:r>
        <w:t xml:space="preserve"> June, was a great success. Student entries r</w:t>
      </w:r>
      <w:r w:rsidR="00A330CC">
        <w:t>eceived were up by 40% from 2014</w:t>
      </w:r>
      <w:r>
        <w:t xml:space="preserve"> and represented a wider range of university courses. This year’s winner of the Peoples’ Choice Award, voted on by members of the audience, was Jack Gregan from IT Carlow for</w:t>
      </w:r>
      <w:r w:rsidRPr="00082556">
        <w:t xml:space="preserve"> his design “Go Therapeutic Horse Riding Aid”. The </w:t>
      </w:r>
      <w:r w:rsidR="00A330CC" w:rsidRPr="00082556">
        <w:t xml:space="preserve">aim of the design is </w:t>
      </w:r>
      <w:r w:rsidRPr="00082556">
        <w:t>t</w:t>
      </w:r>
      <w:r>
        <w:t xml:space="preserve">o enhance and improve the therapeutic effect of horseriding for everyone whose condition benefits from it. </w:t>
      </w:r>
    </w:p>
    <w:p w:rsidR="004114D4" w:rsidRDefault="00A330CC" w:rsidP="004114D4">
      <w:r w:rsidRPr="00082556">
        <w:t xml:space="preserve">The design </w:t>
      </w:r>
      <w:r w:rsidR="004114D4" w:rsidRPr="00082556">
        <w:t>a</w:t>
      </w:r>
      <w:r w:rsidR="004114D4">
        <w:t>lso won the Judge’s Choice Award, which is selected by a panel of leading Irish designers and innovators.</w:t>
      </w:r>
    </w:p>
    <w:p w:rsidR="004114D4" w:rsidRPr="003C3857" w:rsidRDefault="004114D4" w:rsidP="004114D4">
      <w:r w:rsidRPr="00082556">
        <w:t xml:space="preserve">The </w:t>
      </w:r>
      <w:r w:rsidR="00A330CC" w:rsidRPr="00082556">
        <w:t xml:space="preserve">Grand Challenge initiative </w:t>
      </w:r>
      <w:r w:rsidRPr="00082556">
        <w:t xml:space="preserve">in 2015 </w:t>
      </w:r>
      <w:r w:rsidR="00A330CC" w:rsidRPr="00082556">
        <w:t xml:space="preserve">benefited from </w:t>
      </w:r>
      <w:r w:rsidRPr="00082556">
        <w:t>a new partnership with Enterprise Ireland</w:t>
      </w:r>
      <w:r w:rsidR="00A330CC" w:rsidRPr="00082556">
        <w:t xml:space="preserve"> to provide grants for designs that show </w:t>
      </w:r>
      <w:r w:rsidRPr="00082556">
        <w:t>potential to be further developed</w:t>
      </w:r>
      <w:r w:rsidR="00A330CC" w:rsidRPr="00082556">
        <w:t>.</w:t>
      </w:r>
      <w:r w:rsidR="00082556">
        <w:t xml:space="preserve"> </w:t>
      </w:r>
      <w:r w:rsidR="00A330CC" w:rsidRPr="00082556">
        <w:t>This entails</w:t>
      </w:r>
      <w:r w:rsidRPr="00082556">
        <w:t xml:space="preserve"> a Commercial C</w:t>
      </w:r>
      <w:r w:rsidRPr="00F0018D">
        <w:t>ase Feasibility Support grant provided by Enterprise Ireland</w:t>
      </w:r>
      <w:r>
        <w:rPr>
          <w:b/>
          <w:bCs/>
        </w:rPr>
        <w:t>.</w:t>
      </w:r>
      <w:r>
        <w:t xml:space="preserve"> It i</w:t>
      </w:r>
      <w:r w:rsidRPr="003C3857">
        <w:t>s a funding support which can be obtained by researchers, in partnership with their Technology Transfer or equivalent office, for a short Feasibility Project (up to 3 months) to scope and develop the commercial case for their innovation.</w:t>
      </w:r>
    </w:p>
    <w:p w:rsidR="004114D4" w:rsidRDefault="004114D4" w:rsidP="004114D4">
      <w:r>
        <w:t>Two projects were awarded this grant by Enterprise Ireland on the night.</w:t>
      </w:r>
      <w:r w:rsidR="00082556">
        <w:t xml:space="preserve"> </w:t>
      </w:r>
      <w:r w:rsidR="00A330CC">
        <w:t xml:space="preserve">They were Jack Gregan, </w:t>
      </w:r>
      <w:r w:rsidRPr="00A330CC">
        <w:t>IT Carlow for his design</w:t>
      </w:r>
      <w:r>
        <w:t xml:space="preserve"> “Go Therapeutic Horse Riding Aid” with Isabella Morehead and Dylan McKimm from the National College of Art and Design</w:t>
      </w:r>
      <w:r w:rsidR="00082556" w:rsidRPr="00082556">
        <w:t xml:space="preserve"> </w:t>
      </w:r>
      <w:r>
        <w:t>for their “Ripple” universal jerry can cap and filtration system.</w:t>
      </w:r>
      <w:r w:rsidR="00082556">
        <w:t xml:space="preserve"> </w:t>
      </w:r>
      <w:r>
        <w:t>“</w:t>
      </w:r>
      <w:r w:rsidRPr="004F4FAA">
        <w:t>Ripple</w:t>
      </w:r>
      <w:r>
        <w:t>”</w:t>
      </w:r>
      <w:r w:rsidRPr="004F4FAA">
        <w:t xml:space="preserve"> is designed to have particular application in developing countries where clean and accessible water is at a premium. </w:t>
      </w:r>
    </w:p>
    <w:p w:rsidR="004114D4" w:rsidRDefault="004114D4" w:rsidP="004114D4">
      <w:pPr>
        <w:pStyle w:val="Heading2"/>
      </w:pPr>
      <w:r w:rsidRPr="00E45A9C">
        <w:t>Advising and assisting in the development of standards on universal design</w:t>
      </w:r>
    </w:p>
    <w:p w:rsidR="00A330CC" w:rsidRPr="00C35B68" w:rsidRDefault="007359AD" w:rsidP="00C35B68">
      <w:pPr>
        <w:rPr>
          <w:b/>
        </w:rPr>
      </w:pPr>
      <w:r w:rsidRPr="007359AD">
        <w:rPr>
          <w:b/>
        </w:rPr>
        <w:t>“</w:t>
      </w:r>
      <w:r w:rsidR="00A330CC" w:rsidRPr="007359AD">
        <w:rPr>
          <w:b/>
        </w:rPr>
        <w:t>To produce guidelines to support the achievement of universal design of everyday products and services to enhance quality of daily life for individuals and to promote independence across the lifecycle</w:t>
      </w:r>
      <w:r w:rsidR="00082556">
        <w:rPr>
          <w:b/>
        </w:rPr>
        <w:t>”</w:t>
      </w:r>
    </w:p>
    <w:p w:rsidR="004114D4" w:rsidRDefault="004114D4" w:rsidP="004114D4">
      <w:pPr>
        <w:pStyle w:val="Heading2"/>
        <w:rPr>
          <w:lang w:val="en-GB"/>
        </w:rPr>
      </w:pPr>
      <w:r>
        <w:rPr>
          <w:lang w:val="en-GB"/>
        </w:rPr>
        <w:t xml:space="preserve">Universal Design in European Commission Mandate </w:t>
      </w:r>
      <w:r w:rsidRPr="00BB7669">
        <w:rPr>
          <w:lang w:val="en-GB"/>
        </w:rPr>
        <w:t xml:space="preserve">473 </w:t>
      </w:r>
      <w:r>
        <w:rPr>
          <w:lang w:val="en-GB"/>
        </w:rPr>
        <w:t>“</w:t>
      </w:r>
      <w:r w:rsidRPr="00BB7669">
        <w:rPr>
          <w:lang w:val="en-GB"/>
        </w:rPr>
        <w:t>Design for All</w:t>
      </w:r>
      <w:r>
        <w:rPr>
          <w:lang w:val="en-GB"/>
        </w:rPr>
        <w:t>”</w:t>
      </w:r>
      <w:r w:rsidRPr="00BB7669">
        <w:rPr>
          <w:lang w:val="en-GB"/>
        </w:rPr>
        <w:t xml:space="preserve"> </w:t>
      </w:r>
    </w:p>
    <w:p w:rsidR="004114D4" w:rsidRPr="006F2D1B" w:rsidRDefault="004114D4" w:rsidP="00264853">
      <w:r w:rsidRPr="00264853">
        <w:t>The C</w:t>
      </w:r>
      <w:r w:rsidRPr="00082556">
        <w:t xml:space="preserve">entre for Excellence in Universal Design </w:t>
      </w:r>
      <w:r w:rsidR="007359AD" w:rsidRPr="00082556">
        <w:t>continued in its work over 2015 with key stakeholders to support the development of a European standard to include a focus on universal design.</w:t>
      </w:r>
      <w:r w:rsidR="00082556" w:rsidRPr="00082556">
        <w:t xml:space="preserve"> </w:t>
      </w:r>
      <w:r w:rsidR="007359AD" w:rsidRPr="00082556">
        <w:t>Th</w:t>
      </w:r>
      <w:r w:rsidRPr="00082556">
        <w:t>is involved in the European Commission’s Mandate M/473 “Design for All”</w:t>
      </w:r>
      <w:r w:rsidR="007359AD" w:rsidRPr="00082556">
        <w:t xml:space="preserve"> project</w:t>
      </w:r>
      <w:r w:rsidRPr="00082556">
        <w:t>.</w:t>
      </w:r>
      <w:r w:rsidR="00082556" w:rsidRPr="00082556">
        <w:t xml:space="preserve"> </w:t>
      </w:r>
      <w:r w:rsidRPr="00082556">
        <w:t xml:space="preserve">Part of the Mandate M/473 deliverables involved appointment of the NDA as Convenor for a </w:t>
      </w:r>
      <w:r w:rsidR="007359AD" w:rsidRPr="00082556">
        <w:t>working group (</w:t>
      </w:r>
      <w:r w:rsidRPr="00082556">
        <w:t>CEN-CENELEC JWG 5</w:t>
      </w:r>
      <w:r w:rsidR="007359AD" w:rsidRPr="00082556">
        <w:t>)</w:t>
      </w:r>
      <w:r w:rsidR="00082556" w:rsidRPr="00082556">
        <w:t xml:space="preserve"> </w:t>
      </w:r>
      <w:r w:rsidRPr="00082556">
        <w:t xml:space="preserve">to conduct development of a new standard (or other adequate deliverable) that would address the design, development and production process of goods manufacturing and service </w:t>
      </w:r>
      <w:r w:rsidR="007359AD" w:rsidRPr="00082556">
        <w:t xml:space="preserve">provision in the priority areas. The intention is that it </w:t>
      </w:r>
      <w:r w:rsidRPr="00082556">
        <w:t>would describe how to consider accessibility for persons with disabili</w:t>
      </w:r>
      <w:r w:rsidRPr="006F2D1B">
        <w:t xml:space="preserve">ties and older persons following a Design for all (Universal Design) approach. </w:t>
      </w:r>
    </w:p>
    <w:p w:rsidR="004114D4" w:rsidRPr="00F0018D" w:rsidRDefault="004114D4" w:rsidP="00264853">
      <w:r w:rsidRPr="006F2D1B">
        <w:t>It is part of a series of work supported by the European Commission on implementing Accessibility as related to the United Nations Convention on the Rights of Persons with Disabilities. It is expected to be a key publication that will inform further sector specific standards and guidance. When published as a European Standard (as expected) it will be harmonised and distributed by National Standards Organisation</w:t>
      </w:r>
      <w:r>
        <w:t>s</w:t>
      </w:r>
      <w:r w:rsidRPr="006F2D1B">
        <w:t xml:space="preserve"> across Europe. The NDA work on th</w:t>
      </w:r>
      <w:r>
        <w:t>is</w:t>
      </w:r>
      <w:r w:rsidRPr="006F2D1B">
        <w:t xml:space="preserve"> project is scheduled to be completed 2018. </w:t>
      </w:r>
    </w:p>
    <w:p w:rsidR="007359AD" w:rsidRPr="007359AD" w:rsidRDefault="007359AD" w:rsidP="007359AD">
      <w:pPr>
        <w:rPr>
          <w:b/>
        </w:rPr>
      </w:pPr>
      <w:r w:rsidRPr="007359AD">
        <w:rPr>
          <w:b/>
        </w:rPr>
        <w:t>“To engage with education and accreditation bodies on a strategic approach to embedding universal design in continuous professional development, third level curricula and accreditation”</w:t>
      </w:r>
    </w:p>
    <w:p w:rsidR="004114D4" w:rsidRPr="003A1B49" w:rsidRDefault="004114D4" w:rsidP="004114D4">
      <w:pPr>
        <w:pStyle w:val="Heading2"/>
        <w:rPr>
          <w:lang w:val="en-GB"/>
        </w:rPr>
      </w:pPr>
      <w:r w:rsidRPr="003A1B49">
        <w:rPr>
          <w:lang w:val="en-GB"/>
        </w:rPr>
        <w:t>Universal Design 2</w:t>
      </w:r>
      <w:r w:rsidR="00082556">
        <w:rPr>
          <w:lang w:val="en-GB"/>
        </w:rPr>
        <w:t>nd-</w:t>
      </w:r>
      <w:r w:rsidRPr="003A1B49">
        <w:rPr>
          <w:lang w:val="en-GB"/>
        </w:rPr>
        <w:t>Level Short Course</w:t>
      </w:r>
      <w:r>
        <w:t xml:space="preserve"> </w:t>
      </w:r>
    </w:p>
    <w:p w:rsidR="004114D4" w:rsidRPr="00357F03" w:rsidRDefault="004114D4" w:rsidP="00264853">
      <w:r w:rsidRPr="00357F03">
        <w:t>The Centre for Excellence in Un</w:t>
      </w:r>
      <w:r w:rsidRPr="00082556">
        <w:t xml:space="preserve">iversal Design </w:t>
      </w:r>
      <w:r w:rsidR="007359AD" w:rsidRPr="00082556">
        <w:t xml:space="preserve">continued its project on </w:t>
      </w:r>
      <w:r w:rsidRPr="00082556">
        <w:t>developing a Universal Design cu</w:t>
      </w:r>
      <w:r w:rsidRPr="00357F03">
        <w:t>rriculum module for use in second-level schools</w:t>
      </w:r>
      <w:r>
        <w:t xml:space="preserve"> and for use with Further Education</w:t>
      </w:r>
      <w:r w:rsidRPr="00357F03">
        <w:t>. The curriculum highlights respect for diversity as related to introducing students to design problem-solving based on user-centred Universal Design practices. The project responds to the advisement to introduce Universal Design thinking earlier into education so as to improve later uptake at 3</w:t>
      </w:r>
      <w:r w:rsidR="00264853">
        <w:t>rd</w:t>
      </w:r>
      <w:r w:rsidRPr="00357F03">
        <w:t xml:space="preserve"> level. The Short Course is being aligned with the National Council for Curriculum and Assessment, revised Junior Cycle Framework.</w:t>
      </w:r>
      <w:r>
        <w:t xml:space="preserve"> This project will continue into 2016 with the piloting of the module with a range of educational institutions.</w:t>
      </w:r>
    </w:p>
    <w:p w:rsidR="004114D4" w:rsidRPr="00057D02" w:rsidRDefault="004114D4" w:rsidP="004114D4">
      <w:pPr>
        <w:rPr>
          <w:lang w:val="en-GB"/>
        </w:rPr>
      </w:pPr>
    </w:p>
    <w:p w:rsidR="004114D4" w:rsidRDefault="004114D4" w:rsidP="004114D4">
      <w:pPr>
        <w:pStyle w:val="Heading2"/>
      </w:pPr>
      <w:r>
        <w:t>NDA Universal Design in Education Conference 2015 (UDIEC)</w:t>
      </w:r>
    </w:p>
    <w:p w:rsidR="004114D4" w:rsidRDefault="004114D4" w:rsidP="004114D4">
      <w:r>
        <w:t>The Centre for Excellence in Universal Design operated a two day conference on Universal Design in Education in Dublin Castle on the 12</w:t>
      </w:r>
      <w:r w:rsidR="00264853">
        <w:t>th</w:t>
      </w:r>
      <w:r>
        <w:t xml:space="preserve"> and 13</w:t>
      </w:r>
      <w:r w:rsidR="00264853">
        <w:t>th</w:t>
      </w:r>
      <w:r>
        <w:t xml:space="preserve"> November. The conference was run in partnership with the Institute for Technology Blanchardstown (ITB) and received support from Irish Design 2015, the National Standards Authority of Ireland (NSAI) and Dublin City University. </w:t>
      </w:r>
    </w:p>
    <w:p w:rsidR="004114D4" w:rsidRDefault="00027496" w:rsidP="00082556">
      <w:r>
        <w:t xml:space="preserve">The conference featured 4 keynote speakers, 12 workshops, and panel sessions of leaders in education and industry. </w:t>
      </w:r>
      <w:r w:rsidR="004114D4">
        <w:t>It</w:t>
      </w:r>
      <w:r w:rsidR="004114D4" w:rsidRPr="001B0EA7">
        <w:t xml:space="preserve"> was attended by 230 participants over the two days, primarily from highe</w:t>
      </w:r>
      <w:r w:rsidR="004114D4" w:rsidRPr="00082556">
        <w:t>r and further education in Ireland.</w:t>
      </w:r>
      <w:r w:rsidR="00082556" w:rsidRPr="00082556">
        <w:t xml:space="preserve"> </w:t>
      </w:r>
      <w:r w:rsidR="007359AD" w:rsidRPr="00082556">
        <w:t xml:space="preserve">It provided an opportunity to </w:t>
      </w:r>
      <w:r w:rsidR="004114D4" w:rsidRPr="00082556">
        <w:t>h</w:t>
      </w:r>
      <w:r w:rsidR="004114D4">
        <w:t xml:space="preserve">ighlight good practice in teaching Universal Design in disciplines such as architecture, engineering, computer science and product design as well Universal Design for Learning from Ireland and internationally. The workshops provided practical skills and methods for educators new to Universal Design in these disciplines to incorporate Universal Design into relevant courses of education. </w:t>
      </w:r>
    </w:p>
    <w:p w:rsidR="00C35B68" w:rsidRPr="00C35B68" w:rsidRDefault="004114D4" w:rsidP="00C35B68">
      <w:r>
        <w:t xml:space="preserve">Outputs from the conference include an increased awareness of teaching methods and curriculum resources for Universal Design, academic papers on best practices in teaching Universal Design, a video featuring Universal Design in education across a range of age groups and videos featuring keynote presentations and highlights from the conference. These are available at </w:t>
      </w:r>
      <w:hyperlink r:id="rId9" w:history="1">
        <w:r w:rsidR="00082556" w:rsidRPr="0040105E">
          <w:rPr>
            <w:rStyle w:val="Hyperlink"/>
          </w:rPr>
          <w:t>http://Education.UniversalDesign.ie</w:t>
        </w:r>
      </w:hyperlink>
      <w:r w:rsidR="00082556">
        <w:t>.</w:t>
      </w:r>
      <w:r>
        <w:t xml:space="preserve"> Other outputs in development include a book on teaching Universal Design and partnerships to develop further curriculum materials in relevant course of education in Ireland.</w:t>
      </w:r>
    </w:p>
    <w:p w:rsidR="001E67FA" w:rsidRPr="000C10D9" w:rsidRDefault="001E67FA" w:rsidP="001E67FA">
      <w:pPr>
        <w:pStyle w:val="Heading2"/>
      </w:pPr>
      <w:r>
        <w:t>Continued Professional Development</w:t>
      </w:r>
      <w:r w:rsidR="00082556">
        <w:t xml:space="preserve"> </w:t>
      </w:r>
      <w:r>
        <w:t>in U</w:t>
      </w:r>
      <w:r w:rsidR="00264853">
        <w:t>niversal Design for Architects</w:t>
      </w:r>
    </w:p>
    <w:p w:rsidR="001E67FA" w:rsidRDefault="001E67FA" w:rsidP="001E67FA">
      <w:r>
        <w:t xml:space="preserve">The RIAI and NDA </w:t>
      </w:r>
      <w:r w:rsidRPr="00264853">
        <w:t>established a Memorandum</w:t>
      </w:r>
      <w:r>
        <w:t xml:space="preserve"> of Understanding to work in partnership on the development of continuous professional development (CPD) for architects and architectural technologists in Universal Design. The first phase of this work is a research project to inform the development of the course content which commenced in 2015.</w:t>
      </w:r>
    </w:p>
    <w:p w:rsidR="001E67FA" w:rsidRPr="003B64E2" w:rsidRDefault="001E67FA" w:rsidP="001E67FA">
      <w:r>
        <w:t>The project entails joint working by the School of Architecture, University of Limerick and</w:t>
      </w:r>
      <w:r w:rsidR="00082556">
        <w:t xml:space="preserve"> </w:t>
      </w:r>
      <w:r>
        <w:t>international partners including the</w:t>
      </w:r>
      <w:r w:rsidRPr="00027496">
        <w:rPr>
          <w:lang w:val="en-US"/>
        </w:rPr>
        <w:t xml:space="preserve"> Center</w:t>
      </w:r>
      <w:r>
        <w:t xml:space="preserve"> for Inclusive Design and Environmental Access (IDeA) at the University of Buffalo. The project is due for completion in 2016.</w:t>
      </w:r>
    </w:p>
    <w:p w:rsidR="004114D4" w:rsidRPr="00A96C36" w:rsidRDefault="004114D4" w:rsidP="004114D4">
      <w:pPr>
        <w:pStyle w:val="Heading2"/>
        <w:rPr>
          <w:rFonts w:eastAsia="SimSun"/>
        </w:rPr>
      </w:pPr>
      <w:r>
        <w:rPr>
          <w:rFonts w:eastAsia="SimSun"/>
        </w:rPr>
        <w:t>Universal Design and Urban Environments</w:t>
      </w:r>
    </w:p>
    <w:p w:rsidR="00C35B68" w:rsidRPr="00570491" w:rsidRDefault="00C35B68" w:rsidP="00570491">
      <w:pPr>
        <w:pStyle w:val="NormalBeforeList"/>
        <w:rPr>
          <w:rFonts w:eastAsia="SimSun"/>
        </w:rPr>
      </w:pPr>
      <w:r>
        <w:rPr>
          <w:rFonts w:eastAsia="SimSun"/>
        </w:rPr>
        <w:t xml:space="preserve">The Centre </w:t>
      </w:r>
      <w:r w:rsidR="004114D4">
        <w:rPr>
          <w:rFonts w:eastAsia="SimSun"/>
        </w:rPr>
        <w:t>continued in its engagement with local a</w:t>
      </w:r>
      <w:r w:rsidR="004114D4" w:rsidRPr="00570491">
        <w:rPr>
          <w:rFonts w:eastAsia="SimSun"/>
        </w:rPr>
        <w:t>uthorities to influence design of urban environments. This included</w:t>
      </w:r>
      <w:r w:rsidR="009E428C" w:rsidRPr="00570491">
        <w:rPr>
          <w:rFonts w:eastAsia="SimSun"/>
        </w:rPr>
        <w:t xml:space="preserve"> in 2015:</w:t>
      </w:r>
      <w:r w:rsidR="004114D4" w:rsidRPr="00570491">
        <w:rPr>
          <w:rFonts w:eastAsia="SimSun"/>
        </w:rPr>
        <w:t xml:space="preserve"> </w:t>
      </w:r>
    </w:p>
    <w:p w:rsidR="00C35B68" w:rsidRPr="00570491" w:rsidRDefault="00183CD3" w:rsidP="00570491">
      <w:pPr>
        <w:pStyle w:val="ListBullet"/>
        <w:rPr>
          <w:rFonts w:eastAsia="SimSun"/>
        </w:rPr>
      </w:pPr>
      <w:r w:rsidRPr="00183CD3">
        <w:rPr>
          <w:rFonts w:eastAsia="SimSun"/>
        </w:rPr>
        <w:t>Working in collaboration with the Galway City Council to deliver a workshop for architects, engineers, people with disabilities and older people</w:t>
      </w:r>
      <w:r>
        <w:rPr>
          <w:rFonts w:eastAsia="SimSun"/>
        </w:rPr>
        <w:t xml:space="preserve"> </w:t>
      </w:r>
      <w:r w:rsidR="00C35B68" w:rsidRPr="00570491">
        <w:rPr>
          <w:rFonts w:eastAsia="SimSun"/>
        </w:rPr>
        <w:t>on 18</w:t>
      </w:r>
      <w:r>
        <w:rPr>
          <w:rFonts w:eastAsia="SimSun"/>
        </w:rPr>
        <w:t>th</w:t>
      </w:r>
      <w:r w:rsidR="00082556" w:rsidRPr="00570491">
        <w:rPr>
          <w:rFonts w:eastAsia="SimSun"/>
        </w:rPr>
        <w:t xml:space="preserve"> </w:t>
      </w:r>
      <w:r w:rsidR="00C35B68" w:rsidRPr="00570491">
        <w:rPr>
          <w:rFonts w:eastAsia="SimSun"/>
        </w:rPr>
        <w:t xml:space="preserve">July with Professor </w:t>
      </w:r>
      <w:r w:rsidR="004114D4" w:rsidRPr="00570491">
        <w:rPr>
          <w:rFonts w:eastAsia="SimSun"/>
        </w:rPr>
        <w:t xml:space="preserve">Catherine Bridge </w:t>
      </w:r>
      <w:r w:rsidR="00C35B68" w:rsidRPr="00570491">
        <w:rPr>
          <w:rFonts w:eastAsia="SimSun"/>
        </w:rPr>
        <w:t>f</w:t>
      </w:r>
      <w:r w:rsidR="001541F0" w:rsidRPr="00570491">
        <w:rPr>
          <w:rFonts w:eastAsia="SimSun"/>
        </w:rPr>
        <w:t>rom New South Wales University, Australia</w:t>
      </w:r>
      <w:r w:rsidR="00C35B68" w:rsidRPr="00570491">
        <w:rPr>
          <w:rFonts w:eastAsia="SimSun"/>
        </w:rPr>
        <w:t xml:space="preserve"> </w:t>
      </w:r>
    </w:p>
    <w:p w:rsidR="004114D4" w:rsidRPr="00570491" w:rsidRDefault="00C35B68" w:rsidP="00570491">
      <w:pPr>
        <w:pStyle w:val="ListBullet"/>
        <w:rPr>
          <w:rFonts w:eastAsia="SimSun"/>
        </w:rPr>
      </w:pPr>
      <w:r w:rsidRPr="00570491">
        <w:rPr>
          <w:rFonts w:eastAsia="SimSun"/>
        </w:rPr>
        <w:t xml:space="preserve">A </w:t>
      </w:r>
      <w:r w:rsidR="004114D4" w:rsidRPr="00570491">
        <w:rPr>
          <w:rFonts w:eastAsia="SimSun"/>
        </w:rPr>
        <w:t xml:space="preserve">walkability audit </w:t>
      </w:r>
      <w:r w:rsidR="001541F0" w:rsidRPr="00570491">
        <w:rPr>
          <w:rFonts w:eastAsia="SimSun"/>
        </w:rPr>
        <w:t xml:space="preserve">of </w:t>
      </w:r>
      <w:r w:rsidRPr="00570491">
        <w:rPr>
          <w:rFonts w:eastAsia="SimSun"/>
        </w:rPr>
        <w:t>site</w:t>
      </w:r>
      <w:r w:rsidR="001541F0" w:rsidRPr="00570491">
        <w:rPr>
          <w:rFonts w:eastAsia="SimSun"/>
        </w:rPr>
        <w:t>s in Dublin and Galway</w:t>
      </w:r>
      <w:r w:rsidRPr="00570491">
        <w:rPr>
          <w:rFonts w:eastAsia="SimSun"/>
        </w:rPr>
        <w:t xml:space="preserve"> </w:t>
      </w:r>
      <w:r w:rsidR="004114D4" w:rsidRPr="00570491">
        <w:rPr>
          <w:rFonts w:eastAsia="SimSun"/>
        </w:rPr>
        <w:t>with a group of diverse users</w:t>
      </w:r>
      <w:r w:rsidRPr="00570491">
        <w:rPr>
          <w:rFonts w:eastAsia="SimSun"/>
        </w:rPr>
        <w:t xml:space="preserve"> to identify improvements from a universal design perspective</w:t>
      </w:r>
      <w:r w:rsidR="001541F0" w:rsidRPr="00570491">
        <w:rPr>
          <w:rFonts w:eastAsia="SimSun"/>
        </w:rPr>
        <w:t xml:space="preserve"> testing a new Liveability APP tool, which will be explored in terms of future potential.</w:t>
      </w:r>
    </w:p>
    <w:p w:rsidR="00C35B68" w:rsidRPr="00570491" w:rsidRDefault="00C35B68" w:rsidP="00570491">
      <w:pPr>
        <w:pStyle w:val="ListBullet"/>
        <w:rPr>
          <w:rFonts w:eastAsia="SimSun"/>
        </w:rPr>
      </w:pPr>
      <w:r w:rsidRPr="00570491">
        <w:rPr>
          <w:rFonts w:eastAsia="SimSun"/>
        </w:rPr>
        <w:t xml:space="preserve">Presenting to a symposium of architects </w:t>
      </w:r>
      <w:r w:rsidR="001541F0" w:rsidRPr="00570491">
        <w:rPr>
          <w:rFonts w:eastAsia="SimSun"/>
        </w:rPr>
        <w:t xml:space="preserve">in an event hosted by Galway City Council </w:t>
      </w:r>
      <w:r w:rsidRPr="00570491">
        <w:rPr>
          <w:rFonts w:eastAsia="SimSun"/>
        </w:rPr>
        <w:t>on the theme of universal design homes</w:t>
      </w:r>
      <w:r w:rsidR="009E428C" w:rsidRPr="00570491">
        <w:rPr>
          <w:rFonts w:eastAsia="SimSun"/>
        </w:rPr>
        <w:t>.</w:t>
      </w:r>
    </w:p>
    <w:p w:rsidR="004114D4" w:rsidRPr="000E3135" w:rsidRDefault="004114D4" w:rsidP="004114D4">
      <w:pPr>
        <w:pStyle w:val="Heading2"/>
        <w:rPr>
          <w:rFonts w:eastAsia="SimSun"/>
        </w:rPr>
      </w:pPr>
      <w:r w:rsidRPr="000E3135">
        <w:rPr>
          <w:rFonts w:eastAsia="SimSun"/>
        </w:rPr>
        <w:t>Shared Space Design Pilot Schemes</w:t>
      </w:r>
    </w:p>
    <w:p w:rsidR="004114D4" w:rsidRPr="00264853" w:rsidRDefault="009E428C" w:rsidP="009E428C">
      <w:r w:rsidRPr="00570491">
        <w:rPr>
          <w:rFonts w:eastAsia="SimSun"/>
        </w:rPr>
        <w:t>The Centre engaged with Engineers and Architects in Galway City Council to discuss a potential Shared Space Pilot including post</w:t>
      </w:r>
      <w:r w:rsidR="00570491" w:rsidRPr="00570491">
        <w:rPr>
          <w:rFonts w:eastAsia="SimSun"/>
        </w:rPr>
        <w:t>-</w:t>
      </w:r>
      <w:r w:rsidRPr="00570491">
        <w:rPr>
          <w:rFonts w:eastAsia="SimSun"/>
        </w:rPr>
        <w:t xml:space="preserve">evaluation of this space in line with </w:t>
      </w:r>
      <w:r w:rsidR="00CB3C45">
        <w:rPr>
          <w:rFonts w:eastAsia="SimSun"/>
        </w:rPr>
        <w:t>U</w:t>
      </w:r>
      <w:r w:rsidRPr="00570491">
        <w:rPr>
          <w:rFonts w:eastAsia="SimSun"/>
        </w:rPr>
        <w:t xml:space="preserve">niversal </w:t>
      </w:r>
      <w:r w:rsidR="00CB3C45">
        <w:rPr>
          <w:rFonts w:eastAsia="SimSun"/>
        </w:rPr>
        <w:t>D</w:t>
      </w:r>
      <w:r w:rsidRPr="00570491">
        <w:rPr>
          <w:rFonts w:eastAsia="SimSun"/>
        </w:rPr>
        <w:t>esign principles.</w:t>
      </w:r>
      <w:r w:rsidR="00082556" w:rsidRPr="00570491">
        <w:rPr>
          <w:rFonts w:eastAsia="SimSun"/>
        </w:rPr>
        <w:t xml:space="preserve"> </w:t>
      </w:r>
      <w:r w:rsidRPr="00570491">
        <w:rPr>
          <w:rFonts w:eastAsia="SimSun"/>
        </w:rPr>
        <w:t xml:space="preserve">The Centre also met with </w:t>
      </w:r>
      <w:r w:rsidR="004114D4" w:rsidRPr="00570491">
        <w:rPr>
          <w:rFonts w:eastAsia="SimSun"/>
        </w:rPr>
        <w:t>t</w:t>
      </w:r>
      <w:r w:rsidR="004114D4" w:rsidRPr="00264853">
        <w:t>he Senior Engineer at the Roads Division, Dept of Transport. The aim is to explore the potential of a shared space pilot for 2016.</w:t>
      </w:r>
    </w:p>
    <w:p w:rsidR="001E67FA" w:rsidRPr="00692DB4" w:rsidRDefault="001E67FA" w:rsidP="001E67FA">
      <w:pPr>
        <w:pStyle w:val="Heading2"/>
      </w:pPr>
      <w:r>
        <w:t xml:space="preserve">Research </w:t>
      </w:r>
      <w:r w:rsidRPr="002E0605">
        <w:t>on Uni</w:t>
      </w:r>
      <w:r>
        <w:t>versal Design Audit Tool</w:t>
      </w:r>
      <w:r w:rsidRPr="002E0605">
        <w:t xml:space="preserve"> for Roads and Streets</w:t>
      </w:r>
    </w:p>
    <w:p w:rsidR="001E67FA" w:rsidRPr="00570491" w:rsidRDefault="001E67FA" w:rsidP="001E67FA">
      <w:r w:rsidRPr="003B64E2">
        <w:t>At the NDA annual conference on the 12th October 2015, the Minister for Justice and Equality</w:t>
      </w:r>
      <w:r w:rsidR="00570491" w:rsidRPr="00570491">
        <w:t xml:space="preserve"> </w:t>
      </w:r>
      <w:r w:rsidRPr="003B64E2">
        <w:t xml:space="preserve">launched the </w:t>
      </w:r>
      <w:r w:rsidR="00570491">
        <w:t>“</w:t>
      </w:r>
      <w:r w:rsidRPr="003B64E2">
        <w:t>Ho</w:t>
      </w:r>
      <w:r>
        <w:t>w Walkable is Your Town</w:t>
      </w:r>
      <w:r w:rsidR="00570491">
        <w:t>”</w:t>
      </w:r>
      <w:r>
        <w:t xml:space="preserve"> </w:t>
      </w:r>
      <w:r w:rsidRPr="00570491">
        <w:t xml:space="preserve">report. The Centre for Excellence in Universal Design partnered with Age Friendly Ireland to produce the report. The report is based on Walkability Audits which were carried out </w:t>
      </w:r>
      <w:r w:rsidR="00CA7941" w:rsidRPr="00570491">
        <w:t xml:space="preserve">in eight Irish towns and urban centres </w:t>
      </w:r>
      <w:r w:rsidRPr="00570491">
        <w:t>as part of the 20</w:t>
      </w:r>
      <w:r w:rsidR="00CA7941">
        <w:t>14 Age Friendly Towns Programme</w:t>
      </w:r>
      <w:r w:rsidRPr="00570491">
        <w:t>.</w:t>
      </w:r>
    </w:p>
    <w:p w:rsidR="001E67FA" w:rsidRDefault="001E67FA" w:rsidP="001E67FA">
      <w:r w:rsidRPr="00570491">
        <w:t xml:space="preserve">The information collected in the audits will be used to inform the development of a quality audit for roads and streets being developed by </w:t>
      </w:r>
      <w:r w:rsidR="00CB3C45">
        <w:t xml:space="preserve">the </w:t>
      </w:r>
      <w:r w:rsidRPr="00570491">
        <w:t xml:space="preserve">Centre, in consultation with the Department for Transport, Tourism and Sport. It provides valuable evidence of the features of roads and streets </w:t>
      </w:r>
      <w:r w:rsidRPr="0011008A">
        <w:t>that can prevent people with a wide range of abilities from easily accessing local amenities, shops and services in their community.</w:t>
      </w:r>
    </w:p>
    <w:p w:rsidR="004114D4" w:rsidRPr="00570491" w:rsidRDefault="004114D4" w:rsidP="00570491">
      <w:pPr>
        <w:pStyle w:val="Heading2"/>
      </w:pPr>
      <w:r w:rsidRPr="00570491">
        <w:t>Promoting awareness and understanding of universal design</w:t>
      </w:r>
    </w:p>
    <w:p w:rsidR="004114D4" w:rsidRDefault="004114D4" w:rsidP="00570491">
      <w:pPr>
        <w:pStyle w:val="Heading3"/>
        <w:rPr>
          <w:rFonts w:eastAsia="SimSun"/>
        </w:rPr>
      </w:pPr>
      <w:r>
        <w:rPr>
          <w:rFonts w:eastAsia="SimSun"/>
        </w:rPr>
        <w:t>“User Experience for All” seminar</w:t>
      </w:r>
    </w:p>
    <w:p w:rsidR="004114D4" w:rsidRDefault="004114D4" w:rsidP="004114D4">
      <w:pPr>
        <w:rPr>
          <w:rFonts w:eastAsia="SimSun"/>
        </w:rPr>
      </w:pPr>
      <w:r>
        <w:rPr>
          <w:rFonts w:eastAsia="SimSun"/>
        </w:rPr>
        <w:t>In p</w:t>
      </w:r>
      <w:r w:rsidRPr="00570491">
        <w:rPr>
          <w:rFonts w:eastAsia="SimSun"/>
        </w:rPr>
        <w:t xml:space="preserve">artnership with the Irish Internet Association, </w:t>
      </w:r>
      <w:r w:rsidR="009E428C" w:rsidRPr="00570491">
        <w:rPr>
          <w:rFonts w:eastAsia="SimSun"/>
        </w:rPr>
        <w:t>the Centre for Exc</w:t>
      </w:r>
      <w:r w:rsidR="00256FA4" w:rsidRPr="00570491">
        <w:rPr>
          <w:rFonts w:eastAsia="SimSun"/>
        </w:rPr>
        <w:t xml:space="preserve">ellence in Universal Design </w:t>
      </w:r>
      <w:r w:rsidRPr="00570491">
        <w:rPr>
          <w:rFonts w:eastAsia="SimSun"/>
        </w:rPr>
        <w:t>ran a half</w:t>
      </w:r>
      <w:r w:rsidR="00570491" w:rsidRPr="00570491">
        <w:rPr>
          <w:rFonts w:eastAsia="SimSun"/>
        </w:rPr>
        <w:t>-</w:t>
      </w:r>
      <w:r w:rsidRPr="00570491">
        <w:rPr>
          <w:rFonts w:eastAsia="SimSun"/>
        </w:rPr>
        <w:t xml:space="preserve">day “Deep Dive” event on UD for the web on 26 November in the Digital hub. The half-day seminar featured 5 speakers showcasing best practice in designing websites and apps for a diverse range of users, from large private and public sector websites such as </w:t>
      </w:r>
      <w:r w:rsidR="00256FA4" w:rsidRPr="00570491">
        <w:rPr>
          <w:rFonts w:eastAsia="SimSun"/>
        </w:rPr>
        <w:t xml:space="preserve">government departments and public bodies </w:t>
      </w:r>
      <w:r w:rsidRPr="00570491">
        <w:rPr>
          <w:rFonts w:eastAsia="SimSun"/>
        </w:rPr>
        <w:t>to developing apps for teaching fractions and symmetry to children ages 8 to 11. The event was attended by 80 user experience designers, primarily from</w:t>
      </w:r>
      <w:r>
        <w:rPr>
          <w:rFonts w:eastAsia="SimSun"/>
        </w:rPr>
        <w:t xml:space="preserve"> Irish web agencies. The aim was promoting best practice in the design and maintenance of online content so that</w:t>
      </w:r>
      <w:r w:rsidR="00570491">
        <w:rPr>
          <w:rFonts w:eastAsia="SimSun"/>
        </w:rPr>
        <w:t xml:space="preserve"> all people can access and use.</w:t>
      </w:r>
    </w:p>
    <w:p w:rsidR="00256FA4" w:rsidRDefault="00256FA4" w:rsidP="004114D4">
      <w:pPr>
        <w:pStyle w:val="Heading2"/>
        <w:rPr>
          <w:rFonts w:eastAsia="SimSun"/>
        </w:rPr>
      </w:pPr>
      <w:r>
        <w:rPr>
          <w:rFonts w:eastAsia="SimSun"/>
        </w:rPr>
        <w:t>Universal Design and Occupational Therapy</w:t>
      </w:r>
    </w:p>
    <w:p w:rsidR="004114D4" w:rsidRPr="001C061A" w:rsidRDefault="004114D4" w:rsidP="00264853">
      <w:pPr>
        <w:rPr>
          <w:rFonts w:eastAsia="SimSun"/>
        </w:rPr>
      </w:pPr>
      <w:r w:rsidRPr="001C061A">
        <w:rPr>
          <w:rFonts w:eastAsia="SimSun"/>
        </w:rPr>
        <w:t xml:space="preserve">The </w:t>
      </w:r>
      <w:r w:rsidR="00256FA4">
        <w:rPr>
          <w:rFonts w:eastAsia="SimSun"/>
        </w:rPr>
        <w:t xml:space="preserve">Centre met with </w:t>
      </w:r>
      <w:r w:rsidRPr="001C061A">
        <w:rPr>
          <w:rFonts w:eastAsia="SimSun"/>
        </w:rPr>
        <w:t>Trinity College Dublin CORU</w:t>
      </w:r>
      <w:r w:rsidR="00F86C8E">
        <w:rPr>
          <w:rFonts w:eastAsia="SimSun"/>
        </w:rPr>
        <w:t>,</w:t>
      </w:r>
      <w:r w:rsidRPr="001C061A">
        <w:rPr>
          <w:rFonts w:eastAsia="SimSun"/>
        </w:rPr>
        <w:t xml:space="preserve"> the regulatory body overseeing professional registration for the Health Profession disciplines</w:t>
      </w:r>
      <w:r w:rsidR="00256FA4">
        <w:rPr>
          <w:rFonts w:eastAsia="SimSun"/>
        </w:rPr>
        <w:t xml:space="preserve">, in relation to enhancing understanding of </w:t>
      </w:r>
      <w:r w:rsidR="00CB3C45">
        <w:rPr>
          <w:rFonts w:eastAsia="SimSun"/>
        </w:rPr>
        <w:t>U</w:t>
      </w:r>
      <w:r w:rsidR="00256FA4">
        <w:rPr>
          <w:rFonts w:eastAsia="SimSun"/>
        </w:rPr>
        <w:t xml:space="preserve">niversal </w:t>
      </w:r>
      <w:r w:rsidR="00CB3C45">
        <w:rPr>
          <w:rFonts w:eastAsia="SimSun"/>
        </w:rPr>
        <w:t>D</w:t>
      </w:r>
      <w:r w:rsidR="00256FA4">
        <w:rPr>
          <w:rFonts w:eastAsia="SimSun"/>
        </w:rPr>
        <w:t>esig</w:t>
      </w:r>
      <w:r w:rsidR="001541F0">
        <w:rPr>
          <w:rFonts w:eastAsia="SimSun"/>
        </w:rPr>
        <w:t xml:space="preserve">n and the built environment as part of </w:t>
      </w:r>
      <w:r w:rsidR="00CB3C45">
        <w:rPr>
          <w:rFonts w:eastAsia="SimSun"/>
        </w:rPr>
        <w:t xml:space="preserve">the </w:t>
      </w:r>
      <w:r w:rsidR="001541F0">
        <w:rPr>
          <w:rFonts w:eastAsia="SimSun"/>
        </w:rPr>
        <w:t>education curriculum for Occupational Therapists, given the releva</w:t>
      </w:r>
      <w:r w:rsidR="00F86C8E">
        <w:rPr>
          <w:rFonts w:eastAsia="SimSun"/>
        </w:rPr>
        <w:t>nce to lives of their clients.</w:t>
      </w:r>
    </w:p>
    <w:p w:rsidR="004114D4" w:rsidRPr="005F3AF1" w:rsidRDefault="001541F0" w:rsidP="004114D4">
      <w:pPr>
        <w:pStyle w:val="Heading2"/>
        <w:rPr>
          <w:rFonts w:eastAsia="SimSun" w:cs="Courier"/>
        </w:rPr>
      </w:pPr>
      <w:r>
        <w:rPr>
          <w:rFonts w:eastAsia="SimSun"/>
        </w:rPr>
        <w:t xml:space="preserve">Universal Design and </w:t>
      </w:r>
      <w:r w:rsidR="004114D4" w:rsidRPr="005F3AF1">
        <w:rPr>
          <w:rFonts w:eastAsia="SimSun"/>
        </w:rPr>
        <w:t>Housing</w:t>
      </w:r>
    </w:p>
    <w:p w:rsidR="001541F0" w:rsidRDefault="001541F0" w:rsidP="00570491">
      <w:pPr>
        <w:pStyle w:val="NormalBeforeList"/>
        <w:rPr>
          <w:rFonts w:eastAsia="SimSun"/>
        </w:rPr>
      </w:pPr>
      <w:r>
        <w:rPr>
          <w:rFonts w:eastAsia="SimSun"/>
        </w:rPr>
        <w:t>The Centre for Excellence in Universal Design</w:t>
      </w:r>
      <w:r w:rsidR="001B00EF">
        <w:rPr>
          <w:rFonts w:eastAsia="SimSun"/>
        </w:rPr>
        <w:t>,</w:t>
      </w:r>
      <w:r>
        <w:rPr>
          <w:rFonts w:eastAsia="SimSun"/>
        </w:rPr>
        <w:t xml:space="preserve"> further to its wor</w:t>
      </w:r>
      <w:r w:rsidR="00371D4D">
        <w:rPr>
          <w:rFonts w:eastAsia="SimSun"/>
        </w:rPr>
        <w:t xml:space="preserve">k in conducting research and consultation with stakeholders, </w:t>
      </w:r>
      <w:r>
        <w:rPr>
          <w:rFonts w:eastAsia="SimSun"/>
        </w:rPr>
        <w:t>published and launched guidelines in May on:</w:t>
      </w:r>
    </w:p>
    <w:p w:rsidR="001541F0" w:rsidRDefault="00371D4D" w:rsidP="001B00EF">
      <w:pPr>
        <w:pStyle w:val="ListBullet"/>
        <w:rPr>
          <w:rFonts w:eastAsia="SimSun"/>
        </w:rPr>
      </w:pPr>
      <w:r w:rsidRPr="00371D4D">
        <w:rPr>
          <w:rFonts w:eastAsia="SimSun"/>
        </w:rPr>
        <w:t>Universal Design Guidelines for Homes in Ireland</w:t>
      </w:r>
    </w:p>
    <w:p w:rsidR="00371D4D" w:rsidRPr="001541F0" w:rsidRDefault="00371D4D" w:rsidP="001B00EF">
      <w:pPr>
        <w:pStyle w:val="ListBullet"/>
        <w:rPr>
          <w:rFonts w:eastAsia="SimSun"/>
        </w:rPr>
      </w:pPr>
      <w:r w:rsidRPr="00371D4D">
        <w:rPr>
          <w:rFonts w:eastAsia="SimSun"/>
        </w:rPr>
        <w:t>Universal Design Guidelines,</w:t>
      </w:r>
      <w:r w:rsidR="00082556">
        <w:rPr>
          <w:rFonts w:eastAsia="SimSun"/>
        </w:rPr>
        <w:t xml:space="preserve"> </w:t>
      </w:r>
      <w:r w:rsidRPr="00371D4D">
        <w:rPr>
          <w:rFonts w:eastAsia="SimSun"/>
        </w:rPr>
        <w:t>Dementia Friendly Dwellings for People with Dementia, their Families and Carers</w:t>
      </w:r>
    </w:p>
    <w:p w:rsidR="001E67FA" w:rsidRPr="001E67FA" w:rsidRDefault="001E67FA" w:rsidP="00F86C8E">
      <w:pPr>
        <w:pStyle w:val="NormalAfterList"/>
        <w:rPr>
          <w:rFonts w:eastAsia="SimSun"/>
        </w:rPr>
      </w:pPr>
      <w:r w:rsidRPr="001E67FA">
        <w:t xml:space="preserve">Speakers who presented on the day were Professor Ed Steinfeld </w:t>
      </w:r>
      <w:r w:rsidR="00570491">
        <w:t>(</w:t>
      </w:r>
      <w:r w:rsidRPr="001E67FA">
        <w:t xml:space="preserve">Architect </w:t>
      </w:r>
      <w:r w:rsidR="00570491">
        <w:t>and</w:t>
      </w:r>
      <w:r w:rsidRPr="001E67FA">
        <w:t xml:space="preserve"> leading Universal Design Expert</w:t>
      </w:r>
      <w:r w:rsidR="00570491">
        <w:t>)</w:t>
      </w:r>
      <w:r w:rsidRPr="001E67FA">
        <w:t xml:space="preserve">, Robin Mandal </w:t>
      </w:r>
      <w:r w:rsidR="00570491">
        <w:t>(</w:t>
      </w:r>
      <w:r w:rsidRPr="001E67FA">
        <w:t>President of the RIAI</w:t>
      </w:r>
      <w:r w:rsidR="00570491">
        <w:t>)</w:t>
      </w:r>
      <w:r w:rsidRPr="001E67FA">
        <w:t xml:space="preserve">, Ali Grehan </w:t>
      </w:r>
      <w:r w:rsidR="00570491">
        <w:t>(</w:t>
      </w:r>
      <w:r w:rsidRPr="001E67FA">
        <w:t>Dublin City Architect</w:t>
      </w:r>
      <w:r w:rsidR="00570491">
        <w:t>)</w:t>
      </w:r>
      <w:r w:rsidRPr="001E67FA">
        <w:t xml:space="preserve">, </w:t>
      </w:r>
      <w:r w:rsidR="002E230E" w:rsidRPr="001E67FA">
        <w:t>and Laura</w:t>
      </w:r>
      <w:r w:rsidRPr="001E67FA">
        <w:t xml:space="preserve"> Magahy </w:t>
      </w:r>
      <w:r w:rsidR="00570491">
        <w:t>(</w:t>
      </w:r>
      <w:r w:rsidRPr="001E67FA">
        <w:t>Chair of Irish Design 2015</w:t>
      </w:r>
      <w:r w:rsidR="00570491">
        <w:t>)</w:t>
      </w:r>
      <w:r w:rsidRPr="001E67FA">
        <w:t>. The guidelines have been circulated to key stakeholders including the 130 people who attended the event. The guidelines are free to download from universaldesign.ie.</w:t>
      </w:r>
    </w:p>
    <w:p w:rsidR="001541F0" w:rsidRPr="00F86C8E" w:rsidRDefault="00636AD8" w:rsidP="00F86C8E">
      <w:pPr>
        <w:rPr>
          <w:rFonts w:eastAsia="SimSun"/>
        </w:rPr>
      </w:pPr>
      <w:r w:rsidRPr="00F86C8E">
        <w:rPr>
          <w:rFonts w:eastAsia="SimSun"/>
        </w:rPr>
        <w:t xml:space="preserve">The Centre engaged with </w:t>
      </w:r>
      <w:r w:rsidR="004114D4" w:rsidRPr="00F86C8E">
        <w:rPr>
          <w:rFonts w:eastAsia="SimSun"/>
          <w:lang w:val="ga-IE"/>
        </w:rPr>
        <w:t>Clúid</w:t>
      </w:r>
      <w:r w:rsidR="004114D4" w:rsidRPr="00F86C8E">
        <w:rPr>
          <w:rFonts w:eastAsia="SimSun"/>
        </w:rPr>
        <w:t xml:space="preserve"> Housing </w:t>
      </w:r>
      <w:r w:rsidRPr="00F86C8E">
        <w:rPr>
          <w:rFonts w:eastAsia="SimSun"/>
        </w:rPr>
        <w:t>in relation to applying the guidelines to a building project and with regard to the promotion of the Centre’s guidelines through that organisation’s research and publications, and target audience.</w:t>
      </w:r>
    </w:p>
    <w:p w:rsidR="004114D4" w:rsidRDefault="004114D4" w:rsidP="00264853">
      <w:pPr>
        <w:pStyle w:val="Heading2"/>
        <w:rPr>
          <w:rFonts w:eastAsia="SimSun"/>
        </w:rPr>
      </w:pPr>
      <w:r>
        <w:rPr>
          <w:rFonts w:eastAsia="SimSun"/>
        </w:rPr>
        <w:t>Awards</w:t>
      </w:r>
    </w:p>
    <w:p w:rsidR="004114D4" w:rsidRDefault="004114D4" w:rsidP="00264853">
      <w:pPr>
        <w:pStyle w:val="Heading3"/>
        <w:rPr>
          <w:rFonts w:eastAsia="SimSun"/>
        </w:rPr>
      </w:pPr>
      <w:r>
        <w:rPr>
          <w:rFonts w:eastAsia="SimSun"/>
        </w:rPr>
        <w:t>Electric Ireland wins the inaugural Netvisionary Universal design award</w:t>
      </w:r>
    </w:p>
    <w:p w:rsidR="004114D4" w:rsidRPr="00D4639A" w:rsidRDefault="004114D4" w:rsidP="004114D4">
      <w:pPr>
        <w:rPr>
          <w:rFonts w:eastAsia="SimSun"/>
        </w:rPr>
      </w:pPr>
      <w:r>
        <w:rPr>
          <w:rFonts w:eastAsia="SimSun"/>
        </w:rPr>
        <w:t xml:space="preserve">2015 was the first year that the CEUD supported a </w:t>
      </w:r>
      <w:r w:rsidR="00A065E5">
        <w:rPr>
          <w:rFonts w:eastAsia="SimSun"/>
        </w:rPr>
        <w:t>U</w:t>
      </w:r>
      <w:r>
        <w:rPr>
          <w:rFonts w:eastAsia="SimSun"/>
        </w:rPr>
        <w:t xml:space="preserve">niversal </w:t>
      </w:r>
      <w:r w:rsidR="00A065E5">
        <w:rPr>
          <w:rFonts w:eastAsia="SimSun"/>
        </w:rPr>
        <w:t>D</w:t>
      </w:r>
      <w:r>
        <w:rPr>
          <w:rFonts w:eastAsia="SimSun"/>
        </w:rPr>
        <w:t xml:space="preserve">esign category in the Irish </w:t>
      </w:r>
      <w:r w:rsidR="00A065E5">
        <w:rPr>
          <w:rFonts w:eastAsia="SimSun"/>
        </w:rPr>
        <w:t>I</w:t>
      </w:r>
      <w:r>
        <w:rPr>
          <w:rFonts w:eastAsia="SimSun"/>
        </w:rPr>
        <w:t>nternet Association</w:t>
      </w:r>
      <w:r w:rsidR="00A065E5">
        <w:rPr>
          <w:rFonts w:eastAsia="SimSun"/>
        </w:rPr>
        <w:t>’</w:t>
      </w:r>
      <w:r>
        <w:rPr>
          <w:rFonts w:eastAsia="SimSun"/>
        </w:rPr>
        <w:t>s Netvisionary awards held in the RDS on 9</w:t>
      </w:r>
      <w:r w:rsidR="00264853">
        <w:rPr>
          <w:rFonts w:eastAsia="SimSun"/>
        </w:rPr>
        <w:t>th</w:t>
      </w:r>
      <w:r>
        <w:rPr>
          <w:rFonts w:eastAsia="SimSun"/>
        </w:rPr>
        <w:t xml:space="preserve"> October 2015. Over 50 entries competed for this cap-stone award which was won by the web agency Arekibo for the </w:t>
      </w:r>
      <w:r w:rsidR="00A065E5">
        <w:rPr>
          <w:rFonts w:eastAsia="SimSun"/>
        </w:rPr>
        <w:t>E</w:t>
      </w:r>
      <w:r>
        <w:rPr>
          <w:rFonts w:eastAsia="SimSun"/>
        </w:rPr>
        <w:t>lectric Ireland website. The award event was attended by over 300 professionals from the web industry in Ireland, giving UD an unprecedented amount of exposure in this sector.</w:t>
      </w:r>
    </w:p>
    <w:p w:rsidR="004114D4" w:rsidRDefault="004114D4" w:rsidP="00264853">
      <w:pPr>
        <w:pStyle w:val="Heading3"/>
      </w:pPr>
      <w:r>
        <w:t>Universal Design category included in Irish eGovernment Awards 2015</w:t>
      </w:r>
    </w:p>
    <w:p w:rsidR="004114D4" w:rsidRDefault="004114D4" w:rsidP="004114D4">
      <w:r>
        <w:t>The 2015 Irish eGovernment Awards featured for the first time a category on Universal Design. Entrants were asked to demonstrate how their online pub</w:t>
      </w:r>
      <w:r w:rsidR="00A065E5">
        <w:t>l</w:t>
      </w:r>
      <w:r>
        <w:t>ic service project incorporated the needs of a wide range of users, and produced an easy to use and accessible website. A large number of entries were received and the 6 shortlisted entries were announced in November 2015, with the awards ceremony scheduled to take place in January 2016.</w:t>
      </w:r>
    </w:p>
    <w:p w:rsidR="004114D4" w:rsidRDefault="004114D4" w:rsidP="00264853">
      <w:pPr>
        <w:pStyle w:val="Heading3"/>
      </w:pPr>
      <w:r>
        <w:t>RIAI Universal Design Award 2015</w:t>
      </w:r>
    </w:p>
    <w:p w:rsidR="004114D4" w:rsidRPr="00264853" w:rsidRDefault="001E67FA" w:rsidP="004114D4">
      <w:r w:rsidRPr="001B00EF">
        <w:t>The Centre for Excellence in Universal Design</w:t>
      </w:r>
      <w:r w:rsidR="004114D4" w:rsidRPr="001B00EF">
        <w:t xml:space="preserve"> supports the</w:t>
      </w:r>
      <w:r w:rsidR="004114D4" w:rsidRPr="00264853">
        <w:t xml:space="preserve"> Universal Design Award category in the annual RIAI Architecture Awards. The winners for 2015 were announced on 18th June. Fitzgerald Kavanagh and Partners won the Universal Design award for the second time, with the Restoration of St. Mel’s Cathedral, Longford. St. Mel’s Cathedral was also voted the people’s favourite in the Public Choice Award, voted on by members of the public. Professor Edward Steinfeld (University of Buffalo) was invited by CEUD to chair the jury for the award.</w:t>
      </w:r>
    </w:p>
    <w:p w:rsidR="004114D4" w:rsidRPr="00057D02" w:rsidRDefault="004114D4" w:rsidP="00264853">
      <w:pPr>
        <w:pStyle w:val="Heading3"/>
        <w:rPr>
          <w:lang w:val="en-GB"/>
        </w:rPr>
      </w:pPr>
      <w:r w:rsidRPr="00057D02">
        <w:rPr>
          <w:lang w:val="en-GB"/>
        </w:rPr>
        <w:t xml:space="preserve">Universal Design in Institute of Designers Ireland </w:t>
      </w:r>
    </w:p>
    <w:p w:rsidR="004114D4" w:rsidRDefault="004114D4" w:rsidP="00264853">
      <w:r>
        <w:t xml:space="preserve">CEUD continues its successful </w:t>
      </w:r>
      <w:r w:rsidRPr="00057D02">
        <w:t>partnership with the Institute of Designers Ireland (IDI)</w:t>
      </w:r>
      <w:r>
        <w:t xml:space="preserve"> to </w:t>
      </w:r>
      <w:r w:rsidRPr="00057D02">
        <w:t xml:space="preserve">promote and advise the Universal Design (UD) category in the annual IDI Professional </w:t>
      </w:r>
      <w:r>
        <w:t xml:space="preserve">Design </w:t>
      </w:r>
      <w:r w:rsidRPr="00057D02">
        <w:t xml:space="preserve">Awards and </w:t>
      </w:r>
      <w:r>
        <w:t xml:space="preserve">in 2015 </w:t>
      </w:r>
      <w:r w:rsidRPr="00057D02">
        <w:t>the IDI Graduate Awards.</w:t>
      </w:r>
      <w:r>
        <w:t xml:space="preserve"> T</w:t>
      </w:r>
      <w:r w:rsidRPr="00057D02">
        <w:t xml:space="preserve">he partnership with IDI enables </w:t>
      </w:r>
      <w:r>
        <w:t>CEUD</w:t>
      </w:r>
      <w:r w:rsidRPr="00057D02">
        <w:t xml:space="preserve"> to network with hundreds of design professionals</w:t>
      </w:r>
      <w:r>
        <w:t xml:space="preserve">. CEUD also continues to </w:t>
      </w:r>
      <w:r w:rsidRPr="00057D02">
        <w:t xml:space="preserve">hold a seat on the IDI Council </w:t>
      </w:r>
      <w:r>
        <w:t>which was important with its affiliation</w:t>
      </w:r>
      <w:r w:rsidRPr="00057D02">
        <w:t xml:space="preserve"> with the Year of Irish Design (ID2015).</w:t>
      </w:r>
    </w:p>
    <w:p w:rsidR="001E67FA" w:rsidRPr="00357F03" w:rsidRDefault="001E67FA" w:rsidP="00264853">
      <w:pPr>
        <w:pStyle w:val="Heading3"/>
      </w:pPr>
      <w:r w:rsidRPr="00357F03">
        <w:t>UD Mark: Destinations for All</w:t>
      </w:r>
    </w:p>
    <w:p w:rsidR="001E67FA" w:rsidRPr="00357F03" w:rsidRDefault="001E67FA" w:rsidP="00264853">
      <w:pPr>
        <w:rPr>
          <w:lang w:val="en-GB"/>
        </w:rPr>
      </w:pPr>
      <w:r w:rsidRPr="00264853">
        <w:rPr>
          <w:lang w:val="en-GB"/>
        </w:rPr>
        <w:t>The NDA held a Workshop on the 20</w:t>
      </w:r>
      <w:r w:rsidR="00264853">
        <w:rPr>
          <w:lang w:val="en-GB"/>
        </w:rPr>
        <w:t>th</w:t>
      </w:r>
      <w:r w:rsidRPr="00357F03">
        <w:rPr>
          <w:lang w:val="en-GB"/>
        </w:rPr>
        <w:t xml:space="preserve"> January</w:t>
      </w:r>
      <w:r>
        <w:rPr>
          <w:lang w:val="en-GB"/>
        </w:rPr>
        <w:t xml:space="preserve"> with tourism experts and stakeholders</w:t>
      </w:r>
      <w:r w:rsidRPr="00357F03">
        <w:rPr>
          <w:lang w:val="en-GB"/>
        </w:rPr>
        <w:t xml:space="preserve"> to review a range of existing award schemes related to Universal Design and </w:t>
      </w:r>
      <w:r>
        <w:rPr>
          <w:lang w:val="en-GB"/>
        </w:rPr>
        <w:t xml:space="preserve">Accessible </w:t>
      </w:r>
      <w:r w:rsidRPr="00357F03">
        <w:rPr>
          <w:lang w:val="en-GB"/>
        </w:rPr>
        <w:t xml:space="preserve">tourism business. The Workshop overviewed the World Summit on Tourism and the Declaration on Destination for All. Follow-on activities included integrating Universal Design into a draft Destination for All Award roadmap, and plans for further development. A Workshop report was prepared and circulated to all attendees. </w:t>
      </w:r>
    </w:p>
    <w:p w:rsidR="001E67FA" w:rsidRPr="00357F03" w:rsidRDefault="001E67FA" w:rsidP="00264853">
      <w:r w:rsidRPr="00357F03">
        <w:rPr>
          <w:lang w:val="en-GB"/>
        </w:rPr>
        <w:t xml:space="preserve">The follow on plans included collaboration with parties that are developing an International Tourism/Destination for All Award. NDA staff attended a meeting in Paris where the Award Roadmap was discussed with International representatives. Further follow on activities are being developed for a destination in Ireland to participate in pilot trials of applying the Award in Europe. </w:t>
      </w:r>
    </w:p>
    <w:p w:rsidR="004114D4" w:rsidRPr="001D2696" w:rsidRDefault="004114D4" w:rsidP="00264853">
      <w:pPr>
        <w:pStyle w:val="Heading3"/>
        <w:rPr>
          <w:rFonts w:eastAsia="SimSun"/>
        </w:rPr>
      </w:pPr>
      <w:r w:rsidRPr="001D2696">
        <w:rPr>
          <w:rFonts w:eastAsia="SimSun"/>
        </w:rPr>
        <w:t>Irish Landscape Institute (ILI) Awards 2015</w:t>
      </w:r>
    </w:p>
    <w:p w:rsidR="004114D4" w:rsidRDefault="004114D4" w:rsidP="00264853">
      <w:pPr>
        <w:rPr>
          <w:rFonts w:eastAsia="SimSun"/>
        </w:rPr>
      </w:pPr>
      <w:r>
        <w:rPr>
          <w:rFonts w:eastAsia="SimSun"/>
        </w:rPr>
        <w:t>CEUD partnered and was part of ILI</w:t>
      </w:r>
      <w:r w:rsidRPr="001D2696">
        <w:rPr>
          <w:rFonts w:eastAsia="SimSun"/>
        </w:rPr>
        <w:t xml:space="preserve"> judging panel for their Annual Awards</w:t>
      </w:r>
      <w:r>
        <w:rPr>
          <w:rFonts w:eastAsia="SimSun"/>
        </w:rPr>
        <w:t xml:space="preserve"> 2015</w:t>
      </w:r>
      <w:r w:rsidRPr="001D2696">
        <w:rPr>
          <w:rFonts w:eastAsia="SimSun"/>
        </w:rPr>
        <w:t xml:space="preserve">. </w:t>
      </w:r>
      <w:r>
        <w:rPr>
          <w:rFonts w:eastAsia="SimSun"/>
        </w:rPr>
        <w:t>CEUD supported for the first time an UD ILI Award</w:t>
      </w:r>
      <w:r w:rsidRPr="001D2696">
        <w:rPr>
          <w:rFonts w:eastAsia="SimSun"/>
        </w:rPr>
        <w:t xml:space="preserve"> category. The ILI has been proactive in the promotion of UD </w:t>
      </w:r>
      <w:r>
        <w:rPr>
          <w:rFonts w:eastAsia="SimSun"/>
        </w:rPr>
        <w:t>in Landscape Design in Ireland.</w:t>
      </w:r>
    </w:p>
    <w:p w:rsidR="00E54C88" w:rsidRDefault="00E54C88" w:rsidP="00653D8B">
      <w:pPr>
        <w:pStyle w:val="Heading1"/>
        <w:pageBreakBefore w:val="0"/>
      </w:pPr>
      <w:bookmarkStart w:id="22" w:name="_Toc455486399"/>
      <w:r w:rsidRPr="006C6A70">
        <w:rPr>
          <w:b w:val="0"/>
        </w:rPr>
        <w:t>Strategic priority 4</w:t>
      </w:r>
      <w:r w:rsidR="00D03468" w:rsidRPr="006C6A70">
        <w:rPr>
          <w:b w:val="0"/>
        </w:rPr>
        <w:t xml:space="preserve">: </w:t>
      </w:r>
      <w:r w:rsidR="006C6A70">
        <w:br/>
      </w:r>
      <w:r w:rsidRPr="00E45A9C">
        <w:t>Effective and efficient organisation</w:t>
      </w:r>
      <w:bookmarkEnd w:id="22"/>
    </w:p>
    <w:p w:rsidR="00E54C88" w:rsidRDefault="004114D4" w:rsidP="00E45A9C">
      <w:pPr>
        <w:rPr>
          <w:b/>
        </w:rPr>
      </w:pPr>
      <w:r>
        <w:rPr>
          <w:b/>
        </w:rPr>
        <w:t>“</w:t>
      </w:r>
      <w:r w:rsidR="00E54C88" w:rsidRPr="00E45A9C">
        <w:rPr>
          <w:b/>
        </w:rPr>
        <w:t>To develop an environment, supports, policies and systems to enable the National Disability Authority to effectively deliver on its strategic objectives.</w:t>
      </w:r>
      <w:r>
        <w:rPr>
          <w:b/>
        </w:rPr>
        <w:t>”</w:t>
      </w:r>
    </w:p>
    <w:p w:rsidR="0056386D" w:rsidRDefault="0056386D" w:rsidP="00570491">
      <w:pPr>
        <w:pStyle w:val="Heading2"/>
      </w:pPr>
      <w:r>
        <w:t>Shared Services</w:t>
      </w:r>
    </w:p>
    <w:p w:rsidR="0056386D" w:rsidRDefault="00B97E34" w:rsidP="0056386D">
      <w:r w:rsidRPr="00B97E34">
        <w:t xml:space="preserve">The NDA avails of financial </w:t>
      </w:r>
      <w:r w:rsidR="001E67FA">
        <w:t xml:space="preserve">shared services and an IT </w:t>
      </w:r>
      <w:r w:rsidRPr="00B97E34">
        <w:t>support service from the Department of Justice and Equality. The Department also provides an internal audit service to the NDA. The NDA</w:t>
      </w:r>
      <w:r w:rsidR="004114D4">
        <w:t>’</w:t>
      </w:r>
      <w:r w:rsidRPr="00B97E34">
        <w:t>s payroll and pension processing comes from the Payroll Shared Service from the Department of Public Expenditure and Reform.</w:t>
      </w:r>
    </w:p>
    <w:p w:rsidR="00720A48" w:rsidRDefault="00720A48" w:rsidP="00570491">
      <w:pPr>
        <w:pStyle w:val="Heading2"/>
      </w:pPr>
      <w:r>
        <w:t>Newsletter</w:t>
      </w:r>
    </w:p>
    <w:p w:rsidR="00E54C88" w:rsidRDefault="00720A48" w:rsidP="00E45A9C">
      <w:r w:rsidRPr="00720A48">
        <w:t>Three issues of the National Disability Authority</w:t>
      </w:r>
      <w:r w:rsidR="004114D4">
        <w:t>’</w:t>
      </w:r>
      <w:r w:rsidRPr="00720A48">
        <w:t>s electronic newsletter were issued to a mailing list of approximately 2,500 people, to provide updates in relation to the NDA</w:t>
      </w:r>
      <w:r w:rsidR="004114D4">
        <w:t>’</w:t>
      </w:r>
      <w:r w:rsidRPr="00720A48">
        <w:t xml:space="preserve">s research, policy advice and guidance in relation to disability and </w:t>
      </w:r>
      <w:r w:rsidR="00A065E5">
        <w:t>U</w:t>
      </w:r>
      <w:r w:rsidRPr="00720A48">
        <w:t xml:space="preserve">niversal </w:t>
      </w:r>
      <w:r w:rsidR="00A065E5">
        <w:t>D</w:t>
      </w:r>
      <w:r w:rsidRPr="00720A48">
        <w:t>esign, and links to the full documents on the website.</w:t>
      </w:r>
    </w:p>
    <w:p w:rsidR="00E54C88" w:rsidRDefault="00D7615B" w:rsidP="00E45A9C">
      <w:pPr>
        <w:pStyle w:val="Heading2"/>
      </w:pPr>
      <w:r w:rsidRPr="00D7615B">
        <w:t>Maintaining an Effective Library and Information</w:t>
      </w:r>
      <w:r>
        <w:t> </w:t>
      </w:r>
      <w:r w:rsidRPr="00D7615B">
        <w:t>Resource</w:t>
      </w:r>
    </w:p>
    <w:p w:rsidR="00D7615B" w:rsidRDefault="0080580A" w:rsidP="00D7615B">
      <w:r w:rsidRPr="0080580A">
        <w:t>The NDA Library continued to provide a service for staff by conducting literature searches for staff to support the development of NDA</w:t>
      </w:r>
      <w:r w:rsidR="004114D4">
        <w:t>’</w:t>
      </w:r>
      <w:r w:rsidRPr="0080580A">
        <w:t>s evidence based advice and for use in literature reviews and articles.</w:t>
      </w:r>
    </w:p>
    <w:p w:rsidR="00D7615B" w:rsidRDefault="00720E2B" w:rsidP="00D7615B">
      <w:pPr>
        <w:pStyle w:val="NormalBeforeList"/>
      </w:pPr>
      <w:r w:rsidRPr="00720E2B">
        <w:t>Other services to staff provided by the Library contractor included</w:t>
      </w:r>
      <w:r>
        <w:t>:</w:t>
      </w:r>
    </w:p>
    <w:p w:rsidR="00D7615B" w:rsidRDefault="00D7615B" w:rsidP="00D7615B">
      <w:pPr>
        <w:pStyle w:val="ListBullet"/>
      </w:pPr>
      <w:r>
        <w:t>instruction for staff in using online resources</w:t>
      </w:r>
    </w:p>
    <w:p w:rsidR="00D7615B" w:rsidRDefault="00D7615B" w:rsidP="00D7615B">
      <w:pPr>
        <w:pStyle w:val="ListBullet"/>
      </w:pPr>
      <w:r>
        <w:t>engage</w:t>
      </w:r>
      <w:r w:rsidR="00720E2B">
        <w:t>ment</w:t>
      </w:r>
      <w:r>
        <w:t xml:space="preserve"> with staff to guide improved response to meet needs</w:t>
      </w:r>
    </w:p>
    <w:p w:rsidR="00D7615B" w:rsidRDefault="00D7615B" w:rsidP="00D7615B">
      <w:pPr>
        <w:pStyle w:val="ListBullet"/>
      </w:pPr>
      <w:r>
        <w:t>collaborat</w:t>
      </w:r>
      <w:r w:rsidR="00A065E5">
        <w:t>ion</w:t>
      </w:r>
      <w:r>
        <w:t xml:space="preserve"> with staff to enhance projects</w:t>
      </w:r>
    </w:p>
    <w:p w:rsidR="00D7615B" w:rsidRDefault="00D7615B" w:rsidP="00D7615B">
      <w:pPr>
        <w:pStyle w:val="ListBullet"/>
      </w:pPr>
      <w:r>
        <w:t>respon</w:t>
      </w:r>
      <w:r w:rsidR="00720E2B">
        <w:t>s</w:t>
      </w:r>
      <w:r>
        <w:t>e</w:t>
      </w:r>
      <w:r w:rsidR="00720E2B">
        <w:t>s</w:t>
      </w:r>
      <w:r>
        <w:t xml:space="preserve"> to queries from staff and general public.</w:t>
      </w:r>
    </w:p>
    <w:p w:rsidR="00D7615B" w:rsidRDefault="00D7615B" w:rsidP="00570491">
      <w:pPr>
        <w:pStyle w:val="NormalAfterList"/>
      </w:pPr>
      <w:r>
        <w:t>Staff received regular updates on policy and research developments, online resources, online tools and training to support their work.</w:t>
      </w:r>
    </w:p>
    <w:p w:rsidR="00E54C88" w:rsidRDefault="00D7615B" w:rsidP="00D7615B">
      <w:pPr>
        <w:pStyle w:val="NormalAfterList"/>
      </w:pPr>
      <w:r>
        <w:t xml:space="preserve">The Library continued to receive visits from the general public on Thursdays, as a reference only library. The library holds extensive collections on disability and related topics, universal design topics, as well as books, </w:t>
      </w:r>
      <w:r w:rsidR="00027496">
        <w:t>eBooks</w:t>
      </w:r>
      <w:r>
        <w:t xml:space="preserve">, </w:t>
      </w:r>
      <w:r w:rsidR="00027496">
        <w:t>eJournals</w:t>
      </w:r>
      <w:r>
        <w:t>, newsletters, and other materials.</w:t>
      </w:r>
    </w:p>
    <w:p w:rsidR="00B12735" w:rsidRPr="00B12735" w:rsidRDefault="00B12735" w:rsidP="00570491">
      <w:pPr>
        <w:pStyle w:val="Heading2"/>
      </w:pPr>
      <w:r w:rsidRPr="00B12735">
        <w:t>Staff Resources</w:t>
      </w:r>
    </w:p>
    <w:p w:rsidR="00720E2B" w:rsidRDefault="00720E2B" w:rsidP="00720E2B">
      <w:pPr>
        <w:tabs>
          <w:tab w:val="left" w:pos="2119"/>
        </w:tabs>
      </w:pPr>
      <w:r>
        <w:t>As a public service body the National Disability Authority continued to work within the employment control framework. Two staff retired in 2015.</w:t>
      </w:r>
      <w:r w:rsidR="004114D4">
        <w:t xml:space="preserve"> </w:t>
      </w:r>
      <w:r>
        <w:t>Sanctions were received to recruit staff to a permanent half time Senior Research Officer post and to a temporary full-time Senior Research Officer post, which will be filled in 2016.</w:t>
      </w:r>
    </w:p>
    <w:p w:rsidR="00E54C88" w:rsidRDefault="00720E2B" w:rsidP="00720E2B">
      <w:pPr>
        <w:tabs>
          <w:tab w:val="left" w:pos="2119"/>
        </w:tabs>
      </w:pPr>
      <w:r>
        <w:t>The NDA continued to support staff through a series of lunchtime lectures on health and wellbeing. The Partnership Committee met on 4 occasions providing a forum to guide on an improved work environment.</w:t>
      </w:r>
    </w:p>
    <w:p w:rsidR="00E32999" w:rsidRDefault="00E32999" w:rsidP="00E32999">
      <w:pPr>
        <w:pStyle w:val="Heading3"/>
      </w:pPr>
      <w:r>
        <w:t>Training and Development</w:t>
      </w:r>
    </w:p>
    <w:p w:rsidR="00D7615B" w:rsidRDefault="00A65545" w:rsidP="00D7615B">
      <w:pPr>
        <w:pStyle w:val="NormalBeforeList"/>
      </w:pPr>
      <w:r w:rsidRPr="00A65545">
        <w:t>The NDA continued to roll out a training and development plan for staff informed by the Performance Development Management System (PMDS) and individual needs which included attendance at seminars, training sessions and access to coaching supports including for example training in relation to</w:t>
      </w:r>
      <w:r w:rsidR="00D7615B">
        <w:t>:</w:t>
      </w:r>
    </w:p>
    <w:p w:rsidR="00A65545" w:rsidRDefault="00A65545" w:rsidP="00A65545">
      <w:pPr>
        <w:pStyle w:val="ListBullet"/>
      </w:pPr>
      <w:r>
        <w:t>Effective Stakeholder Engagement Workshop</w:t>
      </w:r>
    </w:p>
    <w:p w:rsidR="00A65545" w:rsidRDefault="00A65545" w:rsidP="00A65545">
      <w:pPr>
        <w:pStyle w:val="ListBullet"/>
      </w:pPr>
      <w:r>
        <w:t>Categorical Data Analysis and Logistic Regression</w:t>
      </w:r>
    </w:p>
    <w:p w:rsidR="00A65545" w:rsidRDefault="00A65545" w:rsidP="00A65545">
      <w:pPr>
        <w:pStyle w:val="ListBullet"/>
      </w:pPr>
      <w:r>
        <w:t>Smart Public Procurement</w:t>
      </w:r>
    </w:p>
    <w:p w:rsidR="00A65545" w:rsidRDefault="00A65545" w:rsidP="00A65545">
      <w:pPr>
        <w:pStyle w:val="ListBullet"/>
      </w:pPr>
      <w:r>
        <w:t>Qualitative Research Seminar</w:t>
      </w:r>
    </w:p>
    <w:p w:rsidR="00A65545" w:rsidRDefault="00A65545" w:rsidP="00A65545">
      <w:pPr>
        <w:pStyle w:val="ListBullet"/>
      </w:pPr>
      <w:r>
        <w:t>Individualised Funding &amp; Inclusive Vocational &amp; Educational Training Seminar</w:t>
      </w:r>
    </w:p>
    <w:p w:rsidR="00A65545" w:rsidRDefault="00A65545" w:rsidP="00A65545">
      <w:pPr>
        <w:pStyle w:val="ListBullet"/>
      </w:pPr>
      <w:r>
        <w:t>Embedding Risk Management</w:t>
      </w:r>
    </w:p>
    <w:p w:rsidR="00A65545" w:rsidRDefault="00A65545" w:rsidP="00A65545">
      <w:pPr>
        <w:pStyle w:val="ListBullet"/>
      </w:pPr>
      <w:r>
        <w:t xml:space="preserve">Frameworks for Leadership </w:t>
      </w:r>
      <w:r w:rsidR="00A065E5">
        <w:t>C</w:t>
      </w:r>
      <w:r>
        <w:t xml:space="preserve">hange, Innovation and Creativity </w:t>
      </w:r>
    </w:p>
    <w:p w:rsidR="00A65545" w:rsidRDefault="00A65545" w:rsidP="00A65545">
      <w:pPr>
        <w:pStyle w:val="ListBullet"/>
      </w:pPr>
      <w:r>
        <w:t>HR &amp; Training Masterclass</w:t>
      </w:r>
    </w:p>
    <w:p w:rsidR="00A65545" w:rsidRDefault="00A65545" w:rsidP="00A65545">
      <w:pPr>
        <w:pStyle w:val="ListBullet"/>
      </w:pPr>
      <w:r>
        <w:t>Training in use of N</w:t>
      </w:r>
      <w:r w:rsidR="00A065E5">
        <w:t>V</w:t>
      </w:r>
      <w:r>
        <w:t>ivo software for data analysis</w:t>
      </w:r>
    </w:p>
    <w:p w:rsidR="00A65545" w:rsidRDefault="00A65545" w:rsidP="00A65545">
      <w:pPr>
        <w:pStyle w:val="ListBullet"/>
      </w:pPr>
      <w:r>
        <w:t>Training in Excel</w:t>
      </w:r>
    </w:p>
    <w:p w:rsidR="00A65545" w:rsidRDefault="00A65545" w:rsidP="00A65545">
      <w:pPr>
        <w:pStyle w:val="ListBullet"/>
      </w:pPr>
      <w:r>
        <w:t>National Public Sector Pensions Seminar</w:t>
      </w:r>
    </w:p>
    <w:p w:rsidR="00A65545" w:rsidRDefault="00A65545" w:rsidP="00A65545">
      <w:pPr>
        <w:pStyle w:val="ListBullet"/>
      </w:pPr>
      <w:r>
        <w:t>Public Service Pensions Training Seminar</w:t>
      </w:r>
    </w:p>
    <w:p w:rsidR="00A65545" w:rsidRDefault="00A65545" w:rsidP="00A65545">
      <w:pPr>
        <w:pStyle w:val="ListBullet"/>
      </w:pPr>
      <w:r>
        <w:t>Dignity at Work:</w:t>
      </w:r>
      <w:r w:rsidR="004114D4">
        <w:t xml:space="preserve"> </w:t>
      </w:r>
      <w:r>
        <w:t>Preventing and Dealing with Bullying, Harassment and Sexual Harassment in the Workplace</w:t>
      </w:r>
    </w:p>
    <w:p w:rsidR="00A65545" w:rsidRDefault="00A65545" w:rsidP="00A65545">
      <w:pPr>
        <w:pStyle w:val="ListBullet"/>
      </w:pPr>
      <w:r>
        <w:t>Industrial Relations Conference</w:t>
      </w:r>
    </w:p>
    <w:p w:rsidR="00A65545" w:rsidRDefault="00A65545" w:rsidP="00A65545">
      <w:pPr>
        <w:pStyle w:val="ListBullet"/>
      </w:pPr>
      <w:r>
        <w:t>Occupational First Aid Training</w:t>
      </w:r>
    </w:p>
    <w:p w:rsidR="00A65545" w:rsidRDefault="00A65545" w:rsidP="00A65545">
      <w:pPr>
        <w:pStyle w:val="ListBullet"/>
      </w:pPr>
      <w:r>
        <w:t>Safety Representation Seminar</w:t>
      </w:r>
    </w:p>
    <w:p w:rsidR="00A65545" w:rsidRDefault="00A65545" w:rsidP="00A65545">
      <w:pPr>
        <w:pStyle w:val="ListBullet"/>
      </w:pPr>
      <w:r>
        <w:t>Problem Solving and Decision Making</w:t>
      </w:r>
    </w:p>
    <w:p w:rsidR="00E32999" w:rsidRDefault="00A65545" w:rsidP="00A65545">
      <w:pPr>
        <w:pStyle w:val="ListBullet"/>
      </w:pPr>
      <w:r>
        <w:t>Chairing Meetings</w:t>
      </w:r>
      <w:r w:rsidR="00D7615B">
        <w:t>.</w:t>
      </w:r>
    </w:p>
    <w:p w:rsidR="00B12735" w:rsidRDefault="00B12735" w:rsidP="00B12735">
      <w:pPr>
        <w:pStyle w:val="Heading2"/>
      </w:pPr>
      <w:r>
        <w:t>Accommodation</w:t>
      </w:r>
    </w:p>
    <w:p w:rsidR="00B12735" w:rsidRDefault="00B12735" w:rsidP="00B12735">
      <w:pPr>
        <w:tabs>
          <w:tab w:val="left" w:pos="2119"/>
        </w:tabs>
      </w:pPr>
      <w:r w:rsidRPr="00930C74">
        <w:t>The NDA ensures the effective maintenance and use of its accommodation. This included a series of works and installation of an access control system. With effect from 1st July 2015 the NDA commenced a lease agreement with tenants for a number of offices, which accrued as Appropriations in Aid to our parent Department.</w:t>
      </w:r>
    </w:p>
    <w:p w:rsidR="008C2A08" w:rsidRDefault="008C2A08" w:rsidP="008C2A08">
      <w:pPr>
        <w:pStyle w:val="Heading2"/>
      </w:pPr>
      <w:r>
        <w:t>Finance and governance</w:t>
      </w:r>
    </w:p>
    <w:p w:rsidR="008C2A08" w:rsidRDefault="008C2A08" w:rsidP="008C2A08">
      <w:r>
        <w:t xml:space="preserve">In line with the National Disability Authority Act 1999, the NDA prepared and submitted financial accounts for 2014 to the Comptroller and Auditor General. The NDA submitted the approved financial accounts and Annual Report for 2014 to the Minister. </w:t>
      </w:r>
    </w:p>
    <w:p w:rsidR="008C2A08" w:rsidRDefault="008C2A08" w:rsidP="008C2A08">
      <w:r>
        <w:t>The Authority met seven times in 2015. The Audit Committee met four times in 2015, and their Chair reported at the Authority’s final meeting of 2015. The Finance Committee met five times in 2015, and monitored and reported on the NDA’s expenditure.</w:t>
      </w:r>
    </w:p>
    <w:p w:rsidR="00434D16" w:rsidRDefault="00434D16" w:rsidP="00434D16">
      <w:pPr>
        <w:pStyle w:val="Heading2"/>
      </w:pPr>
      <w:r>
        <w:t>Energy</w:t>
      </w:r>
    </w:p>
    <w:p w:rsidR="00434D16" w:rsidRPr="00C47E40" w:rsidRDefault="00434D16" w:rsidP="00434D16">
      <w:pPr>
        <w:pStyle w:val="Heading3"/>
      </w:pPr>
      <w:r w:rsidRPr="00C47E40">
        <w:t xml:space="preserve">Overview of </w:t>
      </w:r>
      <w:r w:rsidR="002629C0">
        <w:t>e</w:t>
      </w:r>
      <w:r w:rsidRPr="00C47E40">
        <w:t xml:space="preserve">nergy </w:t>
      </w:r>
      <w:r w:rsidR="002629C0">
        <w:t>u</w:t>
      </w:r>
      <w:r w:rsidRPr="00C47E40">
        <w:t>sage in 2015</w:t>
      </w:r>
    </w:p>
    <w:p w:rsidR="00434D16" w:rsidRPr="00C47E40" w:rsidRDefault="00434D16" w:rsidP="00434D16">
      <w:r w:rsidRPr="00C47E40">
        <w:t>The National Disab</w:t>
      </w:r>
      <w:r>
        <w:t>ility Authority Energy Team registers</w:t>
      </w:r>
      <w:r w:rsidRPr="00C47E40">
        <w:t xml:space="preserve"> and maintain</w:t>
      </w:r>
      <w:r>
        <w:t>s</w:t>
      </w:r>
      <w:r w:rsidRPr="00C47E40">
        <w:t xml:space="preserve"> records for the National Disability Authority with the Sustainable Energy Authority of Ireland</w:t>
      </w:r>
      <w:r>
        <w:t>.</w:t>
      </w:r>
    </w:p>
    <w:p w:rsidR="00434D16" w:rsidRPr="00C47E40" w:rsidRDefault="00434D16" w:rsidP="00434D16">
      <w:pPr>
        <w:pStyle w:val="NormalBeforeList"/>
      </w:pPr>
      <w:r w:rsidRPr="00C47E40">
        <w:t>The National Disability Authority has a total floor area of 2,633 m</w:t>
      </w:r>
      <w:r w:rsidRPr="00C47E40">
        <w:rPr>
          <w:vertAlign w:val="superscript"/>
        </w:rPr>
        <w:t>2</w:t>
      </w:r>
      <w:r w:rsidRPr="00C47E40">
        <w:t xml:space="preserve"> which comprises </w:t>
      </w:r>
      <w:r>
        <w:t xml:space="preserve">a </w:t>
      </w:r>
      <w:r w:rsidRPr="00C47E40">
        <w:t>two</w:t>
      </w:r>
      <w:r>
        <w:t>-</w:t>
      </w:r>
      <w:r w:rsidRPr="00C47E40">
        <w:t>storey over garden level Victorian Building (</w:t>
      </w:r>
      <w:r>
        <w:t>×</w:t>
      </w:r>
      <w:r w:rsidRPr="00C47E40">
        <w:t>2), a link building completed in 2006 and an adjoining three</w:t>
      </w:r>
      <w:r>
        <w:t>-</w:t>
      </w:r>
      <w:r w:rsidRPr="00C47E40">
        <w:t>storey plus attic building completed in the early 1980s. The main energy users are:</w:t>
      </w:r>
    </w:p>
    <w:p w:rsidR="00434D16" w:rsidRPr="00434D16" w:rsidRDefault="00434D16" w:rsidP="00434D16">
      <w:pPr>
        <w:pStyle w:val="ListBullet"/>
        <w:ind w:left="357" w:hanging="357"/>
      </w:pPr>
      <w:r w:rsidRPr="00434D16">
        <w:t>Electrical Energy</w:t>
      </w:r>
      <w:r>
        <w:t>:</w:t>
      </w:r>
      <w:r w:rsidRPr="00434D16">
        <w:t xml:space="preserve"> Lighting, ICT &amp; Offices, Air Conditioning and General Services</w:t>
      </w:r>
    </w:p>
    <w:p w:rsidR="00434D16" w:rsidRPr="00434D16" w:rsidRDefault="00434D16" w:rsidP="00434D16">
      <w:pPr>
        <w:pStyle w:val="ListBullet"/>
        <w:ind w:left="357" w:hanging="357"/>
      </w:pPr>
      <w:r w:rsidRPr="00434D16">
        <w:t>Thermal Energy (Natural Gas)</w:t>
      </w:r>
      <w:r>
        <w:t>:</w:t>
      </w:r>
      <w:r w:rsidRPr="00434D16">
        <w:t xml:space="preserve"> Space Heating (LTHW radiator circuits and under floor heating) and Hot Water (HWS)</w:t>
      </w:r>
    </w:p>
    <w:p w:rsidR="00434D16" w:rsidRDefault="00434D16" w:rsidP="00434D16">
      <w:pPr>
        <w:pStyle w:val="NormalAfterList"/>
      </w:pPr>
      <w:r>
        <w:t>For the purposes of making a statutory return for 2015, 94% of electrical energy use in the buildings was attributable to the National Disability Authority. In relation to thermal energy, 82% of the natural gas used was attributable to the NDA.</w:t>
      </w:r>
    </w:p>
    <w:p w:rsidR="00434D16" w:rsidRDefault="00434D16" w:rsidP="00434D16">
      <w:r>
        <w:t>Since June 2015, the first-floor corridor in the Back Building has been leased and occupied by a private company. This company has a separate electricity meter, although it does not have a separate gas meter.</w:t>
      </w:r>
    </w:p>
    <w:p w:rsidR="00434D16" w:rsidRPr="001931FF" w:rsidRDefault="00434D16" w:rsidP="001931FF">
      <w:pPr>
        <w:pStyle w:val="NormalBeforeList"/>
        <w:rPr>
          <w:szCs w:val="26"/>
        </w:rPr>
      </w:pPr>
      <w:r w:rsidRPr="00C47E40">
        <w:t xml:space="preserve">In 2015, the National Disability Authority consumed </w:t>
      </w:r>
      <w:r w:rsidRPr="008F30F0">
        <w:t>399</w:t>
      </w:r>
      <w:r w:rsidRPr="00C47E40">
        <w:t xml:space="preserve"> MWh of energy, consisting of:</w:t>
      </w:r>
    </w:p>
    <w:p w:rsidR="00434D16" w:rsidRPr="00434D16" w:rsidRDefault="00434D16" w:rsidP="00434D16">
      <w:pPr>
        <w:pStyle w:val="ListBullet"/>
        <w:ind w:left="357" w:hanging="357"/>
      </w:pPr>
      <w:r w:rsidRPr="00434D16">
        <w:t>97.1 MWh of electricity;</w:t>
      </w:r>
    </w:p>
    <w:p w:rsidR="00434D16" w:rsidRPr="00434D16" w:rsidRDefault="00434D16" w:rsidP="00434D16">
      <w:pPr>
        <w:pStyle w:val="ListBullet"/>
        <w:ind w:left="357" w:hanging="357"/>
      </w:pPr>
      <w:r w:rsidRPr="00434D16">
        <w:t>301.9 MWh of fossil fuels;</w:t>
      </w:r>
    </w:p>
    <w:p w:rsidR="001931FF" w:rsidRDefault="00434D16" w:rsidP="001931FF">
      <w:pPr>
        <w:pStyle w:val="ListBullet"/>
        <w:ind w:left="357" w:hanging="357"/>
      </w:pPr>
      <w:r w:rsidRPr="00434D16">
        <w:t>0 MWh of renewable fuels.</w:t>
      </w:r>
    </w:p>
    <w:p w:rsidR="00434D16" w:rsidRDefault="00434D16" w:rsidP="0059165F">
      <w:pPr>
        <w:pStyle w:val="NormalBeforeList"/>
      </w:pPr>
      <w:r>
        <w:t xml:space="preserve">The </w:t>
      </w:r>
      <w:r w:rsidRPr="00C47E40">
        <w:t>National Disability Authority</w:t>
      </w:r>
      <w:r>
        <w:t xml:space="preserve"> can report:</w:t>
      </w:r>
    </w:p>
    <w:p w:rsidR="00434D16" w:rsidRPr="00434D16" w:rsidRDefault="00434D16" w:rsidP="00434D16">
      <w:pPr>
        <w:pStyle w:val="ListBullet"/>
        <w:ind w:left="357" w:hanging="357"/>
      </w:pPr>
      <w:r w:rsidRPr="00434D16">
        <w:t>13% cost savings since baseline;</w:t>
      </w:r>
    </w:p>
    <w:p w:rsidR="00434D16" w:rsidRPr="00434D16" w:rsidRDefault="00434D16" w:rsidP="00434D16">
      <w:pPr>
        <w:pStyle w:val="ListBullet"/>
        <w:ind w:left="357" w:hanging="357"/>
      </w:pPr>
      <w:r w:rsidRPr="00434D16">
        <w:t>29% lower consumption since baseline.</w:t>
      </w:r>
    </w:p>
    <w:p w:rsidR="00434D16" w:rsidRPr="00355AD4" w:rsidRDefault="00434D16" w:rsidP="00434D16">
      <w:pPr>
        <w:pStyle w:val="Heading3"/>
      </w:pPr>
      <w:r w:rsidRPr="00355AD4">
        <w:t xml:space="preserve">Actions </w:t>
      </w:r>
      <w:r w:rsidR="002629C0">
        <w:t>u</w:t>
      </w:r>
      <w:r w:rsidRPr="00355AD4">
        <w:t>ndertaken in 2015</w:t>
      </w:r>
    </w:p>
    <w:p w:rsidR="00434D16" w:rsidRPr="00355AD4" w:rsidRDefault="00434D16" w:rsidP="00434D16">
      <w:pPr>
        <w:pStyle w:val="NormalBeforeList"/>
      </w:pPr>
      <w:r w:rsidRPr="00355AD4">
        <w:t xml:space="preserve">In 2015 the National Disability Authority undertook </w:t>
      </w:r>
      <w:r>
        <w:t xml:space="preserve">planning </w:t>
      </w:r>
      <w:r w:rsidRPr="00355AD4">
        <w:t>a</w:t>
      </w:r>
      <w:r>
        <w:t>nd</w:t>
      </w:r>
      <w:r w:rsidRPr="00355AD4">
        <w:t xml:space="preserve"> </w:t>
      </w:r>
      <w:r>
        <w:t xml:space="preserve">implementation of </w:t>
      </w:r>
      <w:r w:rsidRPr="00355AD4">
        <w:t>range of initiatives to improve our energy performance, including:</w:t>
      </w:r>
    </w:p>
    <w:p w:rsidR="008C2A08" w:rsidRDefault="00434D16" w:rsidP="008C2A08">
      <w:pPr>
        <w:pStyle w:val="ListBullet"/>
        <w:ind w:left="357" w:hanging="357"/>
      </w:pPr>
      <w:r w:rsidRPr="00434D16">
        <w:t>Lighting equipment and lighting control to save 13 MWh annually</w:t>
      </w:r>
    </w:p>
    <w:p w:rsidR="008C2A08" w:rsidRDefault="00434D16" w:rsidP="008C2A08">
      <w:pPr>
        <w:pStyle w:val="ListBullet"/>
        <w:ind w:left="357" w:hanging="357"/>
      </w:pPr>
      <w:r w:rsidRPr="00434D16">
        <w:t>Controls for domestic hot water to save 17 MWh annually</w:t>
      </w:r>
    </w:p>
    <w:p w:rsidR="008C2A08" w:rsidRDefault="009C1FA8" w:rsidP="008C2A08">
      <w:pPr>
        <w:pStyle w:val="ListBullet"/>
        <w:ind w:left="357" w:hanging="357"/>
      </w:pPr>
      <w:r w:rsidRPr="009C1FA8">
        <w:t>Building refurbishment caused a period of temporary increased energy consumption</w:t>
      </w:r>
      <w:r w:rsidR="00434D16" w:rsidRPr="008C2A08">
        <w:rPr>
          <w:szCs w:val="26"/>
        </w:rPr>
        <w:t>.</w:t>
      </w:r>
    </w:p>
    <w:p w:rsidR="00434D16" w:rsidRDefault="00434D16" w:rsidP="0057081D">
      <w:pPr>
        <w:pStyle w:val="NormalAfterList"/>
      </w:pPr>
      <w:r w:rsidRPr="00355AD4">
        <w:t>Altogether, these and other energy</w:t>
      </w:r>
      <w:r>
        <w:t>-</w:t>
      </w:r>
      <w:r w:rsidRPr="00355AD4">
        <w:t xml:space="preserve">saving measures </w:t>
      </w:r>
      <w:r>
        <w:t xml:space="preserve">saved </w:t>
      </w:r>
      <w:r w:rsidRPr="00355AD4">
        <w:t>the National Disability Authority</w:t>
      </w:r>
      <w:r>
        <w:t xml:space="preserve"> 30 </w:t>
      </w:r>
      <w:r w:rsidRPr="00355AD4">
        <w:t>MWh annually.</w:t>
      </w:r>
    </w:p>
    <w:p w:rsidR="0034216D" w:rsidRDefault="0034216D" w:rsidP="00570491">
      <w:pPr>
        <w:pStyle w:val="Heading2"/>
      </w:pPr>
      <w:r>
        <w:t>Access Officer</w:t>
      </w:r>
    </w:p>
    <w:p w:rsidR="0034216D" w:rsidRDefault="0034216D" w:rsidP="0034216D">
      <w:r w:rsidRPr="00D7615B">
        <w:t>The NDA</w:t>
      </w:r>
      <w:r w:rsidR="004114D4">
        <w:t>’</w:t>
      </w:r>
      <w:r w:rsidRPr="00D7615B">
        <w:t xml:space="preserve">s Access Officer, appointed in line with the </w:t>
      </w:r>
      <w:r>
        <w:t xml:space="preserve">Disability </w:t>
      </w:r>
      <w:r w:rsidRPr="00D7615B">
        <w:t>Act</w:t>
      </w:r>
      <w:r>
        <w:t xml:space="preserve"> 2005</w:t>
      </w:r>
      <w:r w:rsidRPr="00D7615B">
        <w:t xml:space="preserve"> continued to be available to guide on any assistance required for persons with disabilities who accessed the NDA</w:t>
      </w:r>
      <w:r w:rsidR="004114D4">
        <w:t>’</w:t>
      </w:r>
      <w:r w:rsidRPr="00D7615B">
        <w:t>s facilities, events and website in 2015.</w:t>
      </w:r>
      <w:r>
        <w:t xml:space="preserve"> </w:t>
      </w:r>
      <w:r w:rsidRPr="00D7615B">
        <w:t>The Officer</w:t>
      </w:r>
      <w:r w:rsidR="00A065E5">
        <w:t>’</w:t>
      </w:r>
      <w:r w:rsidRPr="00D7615B">
        <w:t>s contact details are on the home page of the NDA</w:t>
      </w:r>
      <w:r w:rsidR="004114D4">
        <w:t>’</w:t>
      </w:r>
      <w:r w:rsidRPr="00D7615B">
        <w:t>s website.</w:t>
      </w:r>
    </w:p>
    <w:p w:rsidR="00E54C88" w:rsidRDefault="008475AA" w:rsidP="00470060">
      <w:pPr>
        <w:pStyle w:val="Heading1"/>
        <w:ind w:right="-143"/>
        <w:rPr>
          <w:lang w:val="en-GB"/>
        </w:rPr>
      </w:pPr>
      <w:bookmarkStart w:id="23" w:name="_Toc455486400"/>
      <w:r w:rsidRPr="009C4755">
        <w:t>Financial</w:t>
      </w:r>
      <w:r w:rsidRPr="008475AA">
        <w:rPr>
          <w:lang w:val="en-GB"/>
        </w:rPr>
        <w:t xml:space="preserve"> Statements for Year ended 31 December 2015</w:t>
      </w:r>
      <w:bookmarkEnd w:id="23"/>
    </w:p>
    <w:p w:rsidR="009C4755" w:rsidRDefault="007761C8" w:rsidP="00470060">
      <w:pPr>
        <w:pStyle w:val="Heading2"/>
        <w:ind w:right="-143"/>
        <w:rPr>
          <w:lang w:eastAsia="en-GB"/>
        </w:rPr>
      </w:pPr>
      <w:r w:rsidRPr="007761C8">
        <w:rPr>
          <w:lang w:eastAsia="en-GB"/>
        </w:rPr>
        <w:t xml:space="preserve">National </w:t>
      </w:r>
      <w:r w:rsidRPr="009C4755">
        <w:t>Disability</w:t>
      </w:r>
      <w:r w:rsidRPr="007761C8">
        <w:rPr>
          <w:lang w:eastAsia="en-GB"/>
        </w:rPr>
        <w:t xml:space="preserve"> Authority (NDA)</w:t>
      </w:r>
      <w:r>
        <w:rPr>
          <w:lang w:eastAsia="en-GB"/>
        </w:rPr>
        <w:t xml:space="preserve"> </w:t>
      </w:r>
      <w:r w:rsidR="00240A16">
        <w:rPr>
          <w:lang w:eastAsia="en-GB"/>
        </w:rPr>
        <w:br/>
      </w:r>
      <w:r w:rsidRPr="007761C8">
        <w:rPr>
          <w:lang w:eastAsia="en-GB"/>
        </w:rPr>
        <w:t>Authority Members’ Report</w:t>
      </w:r>
      <w:r>
        <w:rPr>
          <w:lang w:eastAsia="en-GB"/>
        </w:rPr>
        <w:t xml:space="preserve"> </w:t>
      </w:r>
    </w:p>
    <w:p w:rsidR="009C4755" w:rsidRDefault="007761C8" w:rsidP="00470060">
      <w:pPr>
        <w:ind w:right="-143"/>
        <w:rPr>
          <w:lang w:eastAsia="en-GB"/>
        </w:rPr>
      </w:pPr>
      <w:r w:rsidRPr="007761C8">
        <w:rPr>
          <w:lang w:eastAsia="en-GB"/>
        </w:rPr>
        <w:t>For the year ended 31 December 2015</w:t>
      </w:r>
    </w:p>
    <w:p w:rsidR="007761C8" w:rsidRPr="007761C8" w:rsidRDefault="007761C8" w:rsidP="00470060">
      <w:pPr>
        <w:pStyle w:val="Heading3"/>
        <w:ind w:right="-143"/>
        <w:rPr>
          <w:lang w:eastAsia="en-GB"/>
        </w:rPr>
      </w:pPr>
      <w:r w:rsidRPr="007761C8">
        <w:rPr>
          <w:lang w:eastAsia="en-GB"/>
        </w:rPr>
        <w:t>Authority Members’ Responsibilities</w:t>
      </w:r>
    </w:p>
    <w:p w:rsidR="007761C8" w:rsidRPr="007761C8" w:rsidRDefault="007761C8" w:rsidP="00470060">
      <w:pPr>
        <w:pStyle w:val="Heading3"/>
        <w:ind w:right="-143"/>
        <w:rPr>
          <w:lang w:eastAsia="en-GB"/>
        </w:rPr>
      </w:pPr>
      <w:r w:rsidRPr="007761C8">
        <w:rPr>
          <w:lang w:eastAsia="en-GB"/>
        </w:rPr>
        <w:t>Financial Statements</w:t>
      </w:r>
    </w:p>
    <w:p w:rsidR="007761C8" w:rsidRPr="007761C8" w:rsidRDefault="007761C8" w:rsidP="00470060">
      <w:pPr>
        <w:ind w:right="-143"/>
        <w:rPr>
          <w:lang w:eastAsia="en-GB"/>
        </w:rPr>
      </w:pPr>
      <w:r w:rsidRPr="007761C8">
        <w:rPr>
          <w:lang w:eastAsia="en-GB"/>
        </w:rPr>
        <w:t>Section 17 of the National Disability Act 1999 requires the National Disability Authority (NDA or the Authority) to keep, in such form as may be approved by the Minister for Justice and Equality with consent of the Minister for Public Expenditure and Reform, all proper and usual accounts of money received and expended by it.</w:t>
      </w:r>
    </w:p>
    <w:p w:rsidR="009C4755" w:rsidRDefault="007761C8" w:rsidP="00470060">
      <w:pPr>
        <w:pStyle w:val="NormalBeforeList"/>
        <w:ind w:right="-143"/>
        <w:rPr>
          <w:lang w:eastAsia="en-GB"/>
        </w:rPr>
      </w:pPr>
      <w:r w:rsidRPr="007761C8">
        <w:rPr>
          <w:lang w:eastAsia="en-GB"/>
        </w:rPr>
        <w:t>In preparing these financial statements, NDA is required to:</w:t>
      </w:r>
    </w:p>
    <w:p w:rsidR="009C4755" w:rsidRDefault="007761C8" w:rsidP="00470060">
      <w:pPr>
        <w:pStyle w:val="ListBullet"/>
        <w:ind w:right="-143"/>
        <w:rPr>
          <w:lang w:eastAsia="en-GB"/>
        </w:rPr>
      </w:pPr>
      <w:r w:rsidRPr="007761C8">
        <w:rPr>
          <w:lang w:eastAsia="en-GB"/>
        </w:rPr>
        <w:t>Select suitable accounting policies and apply them consistently.</w:t>
      </w:r>
    </w:p>
    <w:p w:rsidR="009C4755" w:rsidRDefault="007761C8" w:rsidP="00470060">
      <w:pPr>
        <w:pStyle w:val="ListBullet"/>
        <w:ind w:right="-143"/>
        <w:rPr>
          <w:lang w:eastAsia="en-GB"/>
        </w:rPr>
      </w:pPr>
      <w:r w:rsidRPr="007761C8">
        <w:rPr>
          <w:lang w:eastAsia="en-GB"/>
        </w:rPr>
        <w:t>Make judgements and estimates that are reasonable and prudent.</w:t>
      </w:r>
    </w:p>
    <w:p w:rsidR="009C4755" w:rsidRDefault="007761C8" w:rsidP="00470060">
      <w:pPr>
        <w:pStyle w:val="ListBullet"/>
        <w:ind w:right="-143"/>
        <w:rPr>
          <w:lang w:eastAsia="en-GB"/>
        </w:rPr>
      </w:pPr>
      <w:r w:rsidRPr="007761C8">
        <w:rPr>
          <w:lang w:eastAsia="en-GB"/>
        </w:rPr>
        <w:t>Prepare the financial statements on the going concern basis unless it is inappropriate to presume that it will continue in operation.</w:t>
      </w:r>
    </w:p>
    <w:p w:rsidR="009C4755" w:rsidRDefault="007761C8" w:rsidP="00470060">
      <w:pPr>
        <w:pStyle w:val="ListBullet"/>
        <w:ind w:right="-143"/>
        <w:rPr>
          <w:lang w:eastAsia="en-GB"/>
        </w:rPr>
      </w:pPr>
      <w:r w:rsidRPr="007761C8">
        <w:rPr>
          <w:lang w:eastAsia="en-GB"/>
        </w:rPr>
        <w:t>State whether applicable accounting standards have been followed, subject to any material departures disclosed and explained in financial statements.</w:t>
      </w:r>
    </w:p>
    <w:p w:rsidR="007761C8" w:rsidRPr="007761C8" w:rsidRDefault="007761C8" w:rsidP="00470060">
      <w:pPr>
        <w:ind w:right="-143"/>
        <w:rPr>
          <w:lang w:eastAsia="en-GB"/>
        </w:rPr>
      </w:pPr>
      <w:r w:rsidRPr="007761C8">
        <w:rPr>
          <w:lang w:eastAsia="en-GB"/>
        </w:rPr>
        <w:t>The Board is responsible for keeping proper books of account which disclose, with reasonable accuracy at any time, its financial position which enables it to ensure that the financial statements comply with Section 17 of the National Disability Act 1999. The Board is also responsible for safeguarding its assets and hence for taking reasonable steps for the prevention and detection of fraud and other irregularities.</w:t>
      </w:r>
    </w:p>
    <w:p w:rsidR="00541066" w:rsidRDefault="007761C8" w:rsidP="00470060">
      <w:pPr>
        <w:ind w:right="-143"/>
        <w:rPr>
          <w:lang w:eastAsia="en-GB"/>
        </w:rPr>
        <w:sectPr w:rsidR="00541066" w:rsidSect="00470060">
          <w:footerReference w:type="default" r:id="rId10"/>
          <w:pgSz w:w="11907" w:h="16840" w:code="9"/>
          <w:pgMar w:top="1985" w:right="1985" w:bottom="1985" w:left="1843" w:header="709" w:footer="709" w:gutter="0"/>
          <w:pgNumType w:chapStyle="1" w:chapSep="emDash"/>
          <w:cols w:space="708"/>
          <w:titlePg/>
          <w:rtlGutter/>
          <w:docGrid w:linePitch="360"/>
        </w:sectPr>
      </w:pPr>
      <w:r w:rsidRPr="007761C8">
        <w:rPr>
          <w:lang w:eastAsia="en-GB"/>
        </w:rPr>
        <w:t>On behalf of the board of National Disability Authority (NDA)</w:t>
      </w:r>
    </w:p>
    <w:p w:rsidR="00541066" w:rsidRDefault="00690E83" w:rsidP="00470060">
      <w:pPr>
        <w:ind w:right="-143"/>
        <w:rPr>
          <w:lang w:eastAsia="en-GB"/>
        </w:rPr>
      </w:pPr>
      <w:r>
        <w:rPr>
          <w:noProof/>
          <w:lang w:eastAsia="en-IE"/>
        </w:rPr>
        <w:drawing>
          <wp:inline distT="0" distB="0" distL="0" distR="0">
            <wp:extent cx="2295525" cy="638175"/>
            <wp:effectExtent l="19050" t="0" r="9525" b="0"/>
            <wp:docPr id="3" name="Picture 1" descr="Helen Guina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295525" cy="638175"/>
                    </a:xfrm>
                    <a:prstGeom prst="rect">
                      <a:avLst/>
                    </a:prstGeom>
                    <a:noFill/>
                    <a:ln w="9525">
                      <a:noFill/>
                      <a:miter lim="800000"/>
                      <a:headEnd/>
                      <a:tailEnd/>
                    </a:ln>
                  </pic:spPr>
                </pic:pic>
              </a:graphicData>
            </a:graphic>
          </wp:inline>
        </w:drawing>
      </w:r>
      <w:r>
        <w:rPr>
          <w:lang w:eastAsia="en-GB"/>
        </w:rPr>
        <w:br/>
      </w:r>
      <w:r w:rsidR="007761C8" w:rsidRPr="007761C8">
        <w:rPr>
          <w:lang w:eastAsia="en-GB"/>
        </w:rPr>
        <w:t>Helen Guinan,</w:t>
      </w:r>
      <w:r w:rsidR="00541066">
        <w:rPr>
          <w:lang w:eastAsia="en-GB"/>
        </w:rPr>
        <w:br/>
      </w:r>
      <w:r w:rsidR="00541066" w:rsidRPr="007761C8">
        <w:rPr>
          <w:lang w:eastAsia="en-GB"/>
        </w:rPr>
        <w:t>Chairperson</w:t>
      </w:r>
      <w:r w:rsidR="00541066">
        <w:rPr>
          <w:lang w:eastAsia="en-GB"/>
        </w:rPr>
        <w:br/>
        <w:t>Date:</w:t>
      </w:r>
      <w:r w:rsidR="00B37D96">
        <w:rPr>
          <w:lang w:eastAsia="en-GB"/>
        </w:rPr>
        <w:t xml:space="preserve"> 24/6/2016</w:t>
      </w:r>
    </w:p>
    <w:p w:rsidR="00541066" w:rsidRDefault="00470060" w:rsidP="00470060">
      <w:pPr>
        <w:ind w:right="-143"/>
        <w:rPr>
          <w:lang w:eastAsia="en-GB"/>
        </w:rPr>
        <w:sectPr w:rsidR="00541066" w:rsidSect="00470060">
          <w:type w:val="continuous"/>
          <w:pgSz w:w="11907" w:h="16840" w:code="9"/>
          <w:pgMar w:top="1985" w:right="1985" w:bottom="1985" w:left="1843" w:header="709" w:footer="709" w:gutter="0"/>
          <w:pgNumType w:chapStyle="1" w:chapSep="emDash"/>
          <w:cols w:num="2" w:space="708"/>
          <w:titlePg/>
          <w:rtlGutter/>
          <w:docGrid w:linePitch="360"/>
        </w:sectPr>
      </w:pPr>
      <w:r>
        <w:rPr>
          <w:noProof/>
          <w:lang w:eastAsia="en-IE"/>
        </w:rPr>
        <w:drawing>
          <wp:inline distT="0" distB="0" distL="0" distR="0">
            <wp:extent cx="2341245" cy="637540"/>
            <wp:effectExtent l="19050" t="0" r="1905" b="0"/>
            <wp:docPr id="6" name="Picture 3" descr="Siobhan Barr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341245" cy="637540"/>
                    </a:xfrm>
                    <a:prstGeom prst="rect">
                      <a:avLst/>
                    </a:prstGeom>
                    <a:noFill/>
                    <a:ln w="9525">
                      <a:noFill/>
                      <a:miter lim="800000"/>
                      <a:headEnd/>
                      <a:tailEnd/>
                    </a:ln>
                  </pic:spPr>
                </pic:pic>
              </a:graphicData>
            </a:graphic>
          </wp:inline>
        </w:drawing>
      </w:r>
      <w:r w:rsidR="00541066">
        <w:rPr>
          <w:lang w:eastAsia="en-GB"/>
        </w:rPr>
        <w:br/>
      </w:r>
      <w:r w:rsidR="007761C8" w:rsidRPr="007761C8">
        <w:rPr>
          <w:lang w:eastAsia="en-GB"/>
        </w:rPr>
        <w:t>Siobhan Barron,</w:t>
      </w:r>
      <w:r w:rsidR="00541066">
        <w:rPr>
          <w:lang w:eastAsia="en-GB"/>
        </w:rPr>
        <w:br/>
      </w:r>
      <w:r w:rsidR="007761C8" w:rsidRPr="007761C8">
        <w:rPr>
          <w:lang w:eastAsia="en-GB"/>
        </w:rPr>
        <w:t>Director</w:t>
      </w:r>
      <w:r w:rsidR="00541066">
        <w:rPr>
          <w:lang w:eastAsia="en-GB"/>
        </w:rPr>
        <w:br/>
      </w:r>
      <w:r w:rsidR="007761C8" w:rsidRPr="007761C8">
        <w:rPr>
          <w:lang w:eastAsia="en-GB"/>
        </w:rPr>
        <w:t>Date:</w:t>
      </w:r>
      <w:r w:rsidR="00B37D96">
        <w:rPr>
          <w:lang w:eastAsia="en-GB"/>
        </w:rPr>
        <w:t xml:space="preserve"> 29/6/2016</w:t>
      </w:r>
    </w:p>
    <w:p w:rsidR="007761C8" w:rsidRPr="007761C8" w:rsidRDefault="007761C8" w:rsidP="00541066">
      <w:pPr>
        <w:rPr>
          <w:lang w:eastAsia="en-GB"/>
        </w:rPr>
      </w:pPr>
      <w:r w:rsidRPr="007761C8">
        <w:rPr>
          <w:lang w:eastAsia="en-GB"/>
        </w:rPr>
        <w:t>National Disability Authority</w:t>
      </w:r>
    </w:p>
    <w:p w:rsidR="009C4755" w:rsidRDefault="007761C8">
      <w:pPr>
        <w:pStyle w:val="Heading2"/>
        <w:rPr>
          <w:lang w:eastAsia="en-GB"/>
        </w:rPr>
      </w:pPr>
      <w:r w:rsidRPr="007761C8">
        <w:rPr>
          <w:lang w:eastAsia="en-GB"/>
        </w:rPr>
        <w:t xml:space="preserve">Statement on Internal Financial Control for </w:t>
      </w:r>
      <w:r w:rsidR="00F22309">
        <w:rPr>
          <w:lang w:eastAsia="en-GB"/>
        </w:rPr>
        <w:t>the year ended 31 December 2015</w:t>
      </w:r>
    </w:p>
    <w:p w:rsidR="009C4755" w:rsidRDefault="007761C8">
      <w:pPr>
        <w:rPr>
          <w:lang w:eastAsia="en-GB"/>
        </w:rPr>
      </w:pPr>
      <w:r w:rsidRPr="007761C8">
        <w:rPr>
          <w:lang w:eastAsia="en-GB"/>
        </w:rPr>
        <w:t xml:space="preserve">On behalf of the Board of the National Disability Authority (NDA/Authority), I acknowledge our responsibility for ensuring that an effective system of internal financial controls is maintained and operated. </w:t>
      </w:r>
    </w:p>
    <w:p w:rsidR="009C4755" w:rsidRDefault="007761C8">
      <w:pPr>
        <w:rPr>
          <w:lang w:eastAsia="en-GB"/>
        </w:rPr>
      </w:pPr>
      <w:r w:rsidRPr="007761C8">
        <w:rPr>
          <w:lang w:eastAsia="en-GB"/>
        </w:rPr>
        <w:t xml:space="preserve">The systems can provide only reasonable, and not absolute, assurance that the assets are safeguarded, transactions authorised and properly recorded, and that material errors or irregularities are either prevented or would be detected in a timely manner. </w:t>
      </w:r>
    </w:p>
    <w:p w:rsidR="009C4755" w:rsidRDefault="007761C8">
      <w:pPr>
        <w:pStyle w:val="NormalBeforeList"/>
        <w:rPr>
          <w:lang w:eastAsia="en-GB"/>
        </w:rPr>
      </w:pPr>
      <w:r w:rsidRPr="007761C8">
        <w:rPr>
          <w:lang w:eastAsia="en-GB"/>
        </w:rPr>
        <w:t xml:space="preserve">The board has taken steps to ensure an appropriate control environment is in place by: </w:t>
      </w:r>
    </w:p>
    <w:p w:rsidR="009C4755" w:rsidRDefault="007761C8">
      <w:pPr>
        <w:pStyle w:val="ListBullet"/>
        <w:rPr>
          <w:lang w:eastAsia="en-GB"/>
        </w:rPr>
      </w:pPr>
      <w:r w:rsidRPr="007761C8">
        <w:rPr>
          <w:lang w:eastAsia="en-GB"/>
        </w:rPr>
        <w:t>Establishing formal procedures through various committee functions to monitor the activities and safeguard the assets of the organisation.</w:t>
      </w:r>
    </w:p>
    <w:p w:rsidR="009C4755" w:rsidRDefault="007761C8">
      <w:pPr>
        <w:pStyle w:val="ListBullet"/>
        <w:rPr>
          <w:lang w:eastAsia="en-GB"/>
        </w:rPr>
      </w:pPr>
      <w:r w:rsidRPr="007761C8">
        <w:rPr>
          <w:lang w:eastAsia="en-GB"/>
        </w:rPr>
        <w:t>Ensuring clearly defined and documented management responsibilities and powers.</w:t>
      </w:r>
    </w:p>
    <w:p w:rsidR="009C4755" w:rsidRDefault="007761C8">
      <w:pPr>
        <w:pStyle w:val="ListBullet"/>
        <w:rPr>
          <w:lang w:eastAsia="en-GB"/>
        </w:rPr>
      </w:pPr>
      <w:r w:rsidRPr="007761C8">
        <w:rPr>
          <w:lang w:eastAsia="en-GB"/>
        </w:rPr>
        <w:t>Developing a strong culture of accountability across all levels of the organisation.</w:t>
      </w:r>
    </w:p>
    <w:p w:rsidR="009C4755" w:rsidRDefault="007761C8">
      <w:pPr>
        <w:pStyle w:val="NormalBeforeList"/>
        <w:rPr>
          <w:lang w:eastAsia="en-GB"/>
        </w:rPr>
      </w:pPr>
      <w:r w:rsidRPr="007761C8">
        <w:rPr>
          <w:lang w:eastAsia="en-GB"/>
        </w:rPr>
        <w:t xml:space="preserve">The Authority is satisfied that there are established processes to identify and evaluate business risks. This is achieved in a number of ways including: </w:t>
      </w:r>
    </w:p>
    <w:p w:rsidR="009C4755" w:rsidRDefault="007761C8">
      <w:pPr>
        <w:pStyle w:val="ListBullet"/>
        <w:rPr>
          <w:lang w:eastAsia="en-GB"/>
        </w:rPr>
      </w:pPr>
      <w:r w:rsidRPr="007761C8">
        <w:rPr>
          <w:lang w:eastAsia="en-GB"/>
        </w:rPr>
        <w:t xml:space="preserve"> Identifying the nature, extent and financial implications of risks facing the National Disability Authority.</w:t>
      </w:r>
    </w:p>
    <w:p w:rsidR="009C4755" w:rsidRDefault="007761C8">
      <w:pPr>
        <w:pStyle w:val="ListBullet"/>
        <w:rPr>
          <w:lang w:eastAsia="en-GB"/>
        </w:rPr>
      </w:pPr>
      <w:r w:rsidRPr="007761C8">
        <w:rPr>
          <w:lang w:eastAsia="en-GB"/>
        </w:rPr>
        <w:t xml:space="preserve">Assessing the likelihood of identified risks occurring. The NDA has a risk register in place which includes strategic, operational, information technology, financial and reputational /compliance risks. In addition, risk analysis is completed at project planning and scoping stage. </w:t>
      </w:r>
    </w:p>
    <w:p w:rsidR="009C4755" w:rsidRDefault="007761C8">
      <w:pPr>
        <w:pStyle w:val="ListBullet"/>
        <w:rPr>
          <w:lang w:eastAsia="en-GB"/>
        </w:rPr>
      </w:pPr>
      <w:r w:rsidRPr="007761C8">
        <w:rPr>
          <w:lang w:eastAsia="en-GB"/>
        </w:rPr>
        <w:t>Assessing the NDA’s ability to manage and mitigate the risks that do occur.</w:t>
      </w:r>
    </w:p>
    <w:p w:rsidR="009C4755" w:rsidRDefault="007761C8">
      <w:pPr>
        <w:pStyle w:val="ListBullet"/>
        <w:rPr>
          <w:lang w:eastAsia="en-GB"/>
        </w:rPr>
      </w:pPr>
      <w:r w:rsidRPr="007761C8">
        <w:rPr>
          <w:lang w:eastAsia="en-GB"/>
        </w:rPr>
        <w:t>Working closely with Government and various agencies and institutions to ensure that there is a clear understanding of the NDA’s goals and support for the Authority’s strategies to achieve those goals.</w:t>
      </w:r>
    </w:p>
    <w:p w:rsidR="009C4755" w:rsidRDefault="007761C8">
      <w:pPr>
        <w:pStyle w:val="ListBullet"/>
        <w:rPr>
          <w:lang w:eastAsia="en-GB"/>
        </w:rPr>
      </w:pPr>
      <w:r w:rsidRPr="007761C8">
        <w:rPr>
          <w:lang w:eastAsia="en-GB"/>
        </w:rPr>
        <w:t>Carrying out regular reviews of the strategic plan and evaluating the risks to the ability to bring the plan to fruition.</w:t>
      </w:r>
    </w:p>
    <w:p w:rsidR="009C4755" w:rsidRDefault="007761C8">
      <w:pPr>
        <w:pStyle w:val="ListBullet"/>
        <w:rPr>
          <w:lang w:eastAsia="en-GB"/>
        </w:rPr>
      </w:pPr>
      <w:r w:rsidRPr="007761C8">
        <w:rPr>
          <w:lang w:eastAsia="en-GB"/>
        </w:rPr>
        <w:t>Setting annual targets for each area of our business followed by the regular reporting on the results achieved.</w:t>
      </w:r>
    </w:p>
    <w:p w:rsidR="009C4755" w:rsidRDefault="007761C8">
      <w:pPr>
        <w:pStyle w:val="ListBullet"/>
        <w:rPr>
          <w:lang w:eastAsia="en-GB"/>
        </w:rPr>
      </w:pPr>
      <w:r w:rsidRPr="007761C8">
        <w:rPr>
          <w:lang w:eastAsia="en-GB"/>
        </w:rPr>
        <w:t>Establishing and enforcing standard procedures and provision under which financial assistance may be made available to projects, including provisions requiring repayment if the project does not fulfil commitments made by the contractor.</w:t>
      </w:r>
    </w:p>
    <w:p w:rsidR="009C4755" w:rsidRDefault="007761C8">
      <w:pPr>
        <w:pStyle w:val="NormalBeforeList"/>
        <w:rPr>
          <w:lang w:eastAsia="en-GB"/>
        </w:rPr>
      </w:pPr>
      <w:r w:rsidRPr="007761C8">
        <w:rPr>
          <w:lang w:eastAsia="en-GB"/>
        </w:rPr>
        <w:t xml:space="preserve">The system of internal financial control is based on a framework of regular management information, administrative procedures including segregation of duties, and a system of delegation and accountability. In particular it includes: </w:t>
      </w:r>
    </w:p>
    <w:p w:rsidR="009C4755" w:rsidRDefault="007761C8">
      <w:pPr>
        <w:pStyle w:val="ListBullet"/>
        <w:rPr>
          <w:lang w:eastAsia="en-GB"/>
        </w:rPr>
      </w:pPr>
      <w:r w:rsidRPr="007761C8">
        <w:rPr>
          <w:lang w:eastAsia="en-GB"/>
        </w:rPr>
        <w:t>A comprehensive budget system with an annual budget which is reviewed and agreed by the Authority.</w:t>
      </w:r>
    </w:p>
    <w:p w:rsidR="009C4755" w:rsidRDefault="007761C8">
      <w:pPr>
        <w:pStyle w:val="ListBullet"/>
        <w:rPr>
          <w:lang w:eastAsia="en-GB"/>
        </w:rPr>
      </w:pPr>
      <w:r w:rsidRPr="007761C8">
        <w:rPr>
          <w:lang w:eastAsia="en-GB"/>
        </w:rPr>
        <w:t>Regular reviews by the Authority of periodic and annual financial reports which indicate financial performance against forecasts. Setting targets to measure financial and other performances.</w:t>
      </w:r>
    </w:p>
    <w:p w:rsidR="007761C8" w:rsidRPr="007761C8" w:rsidRDefault="007761C8" w:rsidP="00541066">
      <w:pPr>
        <w:rPr>
          <w:lang w:eastAsia="en-GB"/>
        </w:rPr>
      </w:pPr>
      <w:r w:rsidRPr="007761C8">
        <w:rPr>
          <w:lang w:eastAsia="en-GB"/>
        </w:rPr>
        <w:t xml:space="preserve">The Authority has outsourced an Internal Audit Service, which operates in accordance with the Framework Code of Best Practice, set out in the Revised Code of Practice on the Governance of State Bodies 2009. During 2015 the Internal Audit Service was carried out by the Department of Justice and Equality. The Internal Audit Service's role includes reporting to the Audit Committee as appropriate. In May 2015, Internal Audit undertook a Review of Internal Financial Controls which the Audit Committee has considered. </w:t>
      </w:r>
    </w:p>
    <w:p w:rsidR="007761C8" w:rsidRPr="007761C8" w:rsidRDefault="007761C8" w:rsidP="00541066">
      <w:pPr>
        <w:rPr>
          <w:lang w:eastAsia="en-GB"/>
        </w:rPr>
      </w:pPr>
      <w:r w:rsidRPr="007761C8">
        <w:rPr>
          <w:lang w:eastAsia="en-GB"/>
        </w:rPr>
        <w:t xml:space="preserve">The Authority has responsibility for overseeing the implementation of the Internal Audit Service recommendations to ensure proper and effective financial control procedures are maintained and oversees the internal audit function and related plans to include any newly identified areas. </w:t>
      </w:r>
    </w:p>
    <w:p w:rsidR="009C4755" w:rsidRDefault="007761C8">
      <w:pPr>
        <w:pStyle w:val="NormalBeforeList"/>
        <w:rPr>
          <w:lang w:eastAsia="en-GB"/>
        </w:rPr>
      </w:pPr>
      <w:r w:rsidRPr="007761C8">
        <w:rPr>
          <w:lang w:eastAsia="en-GB"/>
        </w:rPr>
        <w:t xml:space="preserve">The Authority’s monitoring and review of the effectiveness of the systems of internal financial control is informed by: </w:t>
      </w:r>
    </w:p>
    <w:p w:rsidR="009C4755" w:rsidRDefault="007761C8">
      <w:pPr>
        <w:pStyle w:val="ListBullet"/>
        <w:rPr>
          <w:lang w:eastAsia="en-GB"/>
        </w:rPr>
      </w:pPr>
      <w:r w:rsidRPr="007761C8">
        <w:rPr>
          <w:lang w:eastAsia="en-GB"/>
        </w:rPr>
        <w:t xml:space="preserve">the work of the Internal Audit Service and the contribution of the Audit Committee established by the Authority which oversees the work of the Internal Auditor and of the corporate governance environment; </w:t>
      </w:r>
    </w:p>
    <w:p w:rsidR="009C4755" w:rsidRDefault="007761C8">
      <w:pPr>
        <w:pStyle w:val="ListBullet"/>
        <w:rPr>
          <w:lang w:eastAsia="en-GB"/>
        </w:rPr>
      </w:pPr>
      <w:r w:rsidRPr="007761C8">
        <w:rPr>
          <w:lang w:eastAsia="en-GB"/>
        </w:rPr>
        <w:t xml:space="preserve">the executive managers with the National Disability Authority who have responsibility for the development and the maintenance of the financial control framework ; </w:t>
      </w:r>
    </w:p>
    <w:p w:rsidR="009C4755" w:rsidRDefault="007761C8">
      <w:pPr>
        <w:pStyle w:val="ListBullet"/>
        <w:rPr>
          <w:lang w:eastAsia="en-GB"/>
        </w:rPr>
      </w:pPr>
      <w:r w:rsidRPr="007761C8">
        <w:rPr>
          <w:lang w:eastAsia="en-GB"/>
        </w:rPr>
        <w:t xml:space="preserve">the Finance </w:t>
      </w:r>
      <w:r w:rsidR="00813E8D">
        <w:rPr>
          <w:lang w:eastAsia="en-GB"/>
        </w:rPr>
        <w:t>C</w:t>
      </w:r>
      <w:r w:rsidR="00813E8D" w:rsidRPr="007761C8">
        <w:rPr>
          <w:lang w:eastAsia="en-GB"/>
        </w:rPr>
        <w:t xml:space="preserve">ommittee </w:t>
      </w:r>
      <w:r w:rsidRPr="007761C8">
        <w:rPr>
          <w:lang w:eastAsia="en-GB"/>
        </w:rPr>
        <w:t xml:space="preserve">established by the Authority to report at least quarterly on financial expenditure and related issues; and </w:t>
      </w:r>
    </w:p>
    <w:p w:rsidR="009C4755" w:rsidRDefault="007761C8">
      <w:pPr>
        <w:pStyle w:val="ListBullet"/>
        <w:rPr>
          <w:lang w:eastAsia="en-GB"/>
        </w:rPr>
      </w:pPr>
      <w:r w:rsidRPr="007761C8">
        <w:rPr>
          <w:lang w:eastAsia="en-GB"/>
        </w:rPr>
        <w:t xml:space="preserve">the issues raised by the Comptroller and Auditor General. </w:t>
      </w:r>
    </w:p>
    <w:p w:rsidR="009C4755" w:rsidRDefault="007761C8">
      <w:pPr>
        <w:pStyle w:val="NormalAfterList"/>
        <w:rPr>
          <w:lang w:eastAsia="en-GB"/>
        </w:rPr>
      </w:pPr>
      <w:r w:rsidRPr="007761C8">
        <w:rPr>
          <w:lang w:eastAsia="en-GB"/>
        </w:rPr>
        <w:t>I can confirm that the Authority has ensured an independent review of the effectiveness of the systems and internal financial controls.</w:t>
      </w:r>
    </w:p>
    <w:p w:rsidR="009C4755" w:rsidRDefault="007761C8">
      <w:pPr>
        <w:rPr>
          <w:lang w:eastAsia="en-GB"/>
        </w:rPr>
      </w:pPr>
      <w:r w:rsidRPr="007761C8">
        <w:rPr>
          <w:lang w:eastAsia="en-GB"/>
        </w:rPr>
        <w:t>I confirm that, to the best of my knowledge, the above information is accurate.</w:t>
      </w:r>
    </w:p>
    <w:p w:rsidR="007761C8" w:rsidRPr="007761C8" w:rsidRDefault="00A80E34" w:rsidP="00541066">
      <w:pPr>
        <w:rPr>
          <w:lang w:eastAsia="en-GB"/>
        </w:rPr>
      </w:pPr>
      <w:r w:rsidRPr="00A80E34">
        <w:rPr>
          <w:noProof/>
          <w:lang w:eastAsia="en-IE"/>
        </w:rPr>
        <w:drawing>
          <wp:inline distT="0" distB="0" distL="0" distR="0">
            <wp:extent cx="2295525" cy="638175"/>
            <wp:effectExtent l="19050" t="0" r="9525" b="0"/>
            <wp:docPr id="7" name="Picture 1" descr="Helen Guina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295525" cy="638175"/>
                    </a:xfrm>
                    <a:prstGeom prst="rect">
                      <a:avLst/>
                    </a:prstGeom>
                    <a:noFill/>
                    <a:ln w="9525">
                      <a:noFill/>
                      <a:miter lim="800000"/>
                      <a:headEnd/>
                      <a:tailEnd/>
                    </a:ln>
                  </pic:spPr>
                </pic:pic>
              </a:graphicData>
            </a:graphic>
          </wp:inline>
        </w:drawing>
      </w:r>
      <w:r w:rsidR="00D33DA2">
        <w:rPr>
          <w:lang w:eastAsia="en-GB"/>
        </w:rPr>
        <w:br/>
      </w:r>
      <w:r w:rsidR="007761C8" w:rsidRPr="007761C8">
        <w:rPr>
          <w:lang w:eastAsia="en-GB"/>
        </w:rPr>
        <w:t>Helen Guinan</w:t>
      </w:r>
      <w:r w:rsidR="00541066">
        <w:rPr>
          <w:lang w:eastAsia="en-GB"/>
        </w:rPr>
        <w:br/>
      </w:r>
      <w:r w:rsidR="007761C8" w:rsidRPr="007761C8">
        <w:rPr>
          <w:lang w:eastAsia="en-GB"/>
        </w:rPr>
        <w:t>Chairperson</w:t>
      </w:r>
      <w:r w:rsidR="00541066">
        <w:rPr>
          <w:lang w:eastAsia="en-GB"/>
        </w:rPr>
        <w:br/>
      </w:r>
      <w:r w:rsidR="0016103B">
        <w:rPr>
          <w:lang w:eastAsia="en-GB"/>
        </w:rPr>
        <w:t>24th June,</w:t>
      </w:r>
      <w:r w:rsidR="00541066">
        <w:rPr>
          <w:lang w:eastAsia="en-GB"/>
        </w:rPr>
        <w:t xml:space="preserve"> </w:t>
      </w:r>
      <w:r w:rsidR="007761C8" w:rsidRPr="007761C8">
        <w:rPr>
          <w:lang w:eastAsia="en-GB"/>
        </w:rPr>
        <w:t>2016</w:t>
      </w:r>
    </w:p>
    <w:p w:rsidR="009C0B80" w:rsidRDefault="009C0B80" w:rsidP="005D596A">
      <w:pPr>
        <w:rPr>
          <w:lang w:eastAsia="en-GB"/>
        </w:rPr>
      </w:pPr>
      <w:r>
        <w:rPr>
          <w:lang w:eastAsia="en-GB"/>
        </w:rPr>
        <w:br w:type="page"/>
      </w:r>
    </w:p>
    <w:p w:rsidR="00654BCC" w:rsidRDefault="00B3025E" w:rsidP="00DF245D">
      <w:pPr>
        <w:pStyle w:val="Heading2"/>
        <w:ind w:left="-567" w:right="-568"/>
      </w:pPr>
      <w:r>
        <w:t>Comptroller and Auditor General</w:t>
      </w:r>
      <w:r>
        <w:br/>
        <w:t>Report for presentation to the Houses of the Oireachtas</w:t>
      </w:r>
    </w:p>
    <w:p w:rsidR="00B3025E" w:rsidRPr="00B3025E" w:rsidRDefault="00B3025E" w:rsidP="00DF245D">
      <w:pPr>
        <w:pStyle w:val="Heading3"/>
        <w:ind w:left="-567" w:right="-568"/>
      </w:pPr>
      <w:r w:rsidRPr="00B3025E">
        <w:t>National Disability Authority</w:t>
      </w:r>
    </w:p>
    <w:p w:rsidR="00654BCC" w:rsidRDefault="00B3025E" w:rsidP="00DF245D">
      <w:pPr>
        <w:ind w:left="-567" w:right="-568"/>
      </w:pPr>
      <w:r w:rsidRPr="00B3025E">
        <w:t xml:space="preserve">I have audited the financial statements of the National Disability Authority for the year ended 31 December 2015 under the National Disability Authority Act 1999. The financial statements comprise the statement of income and expenditure and retained revenue reserves, the statement of comprehensive income, the statement of financial position, the statement of </w:t>
      </w:r>
      <w:r w:rsidR="00637E1A">
        <w:t>c</w:t>
      </w:r>
      <w:r w:rsidRPr="00B3025E">
        <w:t>ash flows and the related notes. The financial statements have been prepared in the form prescribed under Section 17 of the Act, and in accordance with generally accepted accounting practice.</w:t>
      </w:r>
    </w:p>
    <w:p w:rsidR="00654BCC" w:rsidRDefault="00B3025E" w:rsidP="00DF245D">
      <w:pPr>
        <w:pStyle w:val="Heading4"/>
        <w:ind w:left="-567" w:right="-568"/>
      </w:pPr>
      <w:r w:rsidRPr="00B3025E">
        <w:t>Responsibilities of the Members of the Authority</w:t>
      </w:r>
    </w:p>
    <w:p w:rsidR="00654BCC" w:rsidRDefault="00B3025E" w:rsidP="00DF245D">
      <w:pPr>
        <w:ind w:left="-567" w:right="-568"/>
      </w:pPr>
      <w:r w:rsidRPr="00B3025E">
        <w:t>The Authority is responsible for the preparation of the financial statements, for ensuring that they give a true and fair view and for ensuring the regularity of transactions.</w:t>
      </w:r>
    </w:p>
    <w:p w:rsidR="00654BCC" w:rsidRDefault="00B3025E" w:rsidP="00DF245D">
      <w:pPr>
        <w:pStyle w:val="Heading4"/>
        <w:ind w:left="-567" w:right="-568"/>
      </w:pPr>
      <w:r w:rsidRPr="00B3025E">
        <w:t>Responsibilities of the Comptroller and Auditor General</w:t>
      </w:r>
    </w:p>
    <w:p w:rsidR="00654BCC" w:rsidRDefault="00B3025E" w:rsidP="00DF245D">
      <w:pPr>
        <w:ind w:left="-567" w:right="-568"/>
      </w:pPr>
      <w:r w:rsidRPr="00B3025E">
        <w:t>My responsibility is to audit the financial statements and report on them in accordance with applicable law.</w:t>
      </w:r>
    </w:p>
    <w:p w:rsidR="00654BCC" w:rsidRDefault="00B3025E" w:rsidP="00DF245D">
      <w:pPr>
        <w:ind w:left="-567" w:right="-568"/>
      </w:pPr>
      <w:r w:rsidRPr="00B3025E">
        <w:t>My audit is conducted by reference to the special considerations which attach to State bodies in relation to their management and operation.</w:t>
      </w:r>
    </w:p>
    <w:p w:rsidR="00654BCC" w:rsidRDefault="00B3025E" w:rsidP="00DF245D">
      <w:pPr>
        <w:ind w:left="-567" w:right="-568"/>
      </w:pPr>
      <w:r w:rsidRPr="00B3025E">
        <w:t>My audit is carried out in accordance with the International Standards on Auditing (UK and Ireland) and in compliance with the Auditing Practices Board</w:t>
      </w:r>
      <w:r w:rsidR="00637E1A">
        <w:t>’</w:t>
      </w:r>
      <w:r w:rsidRPr="00B3025E">
        <w:t>s Ethical Standards for Auditors.</w:t>
      </w:r>
    </w:p>
    <w:p w:rsidR="00654BCC" w:rsidRDefault="00B3025E" w:rsidP="00DF245D">
      <w:pPr>
        <w:pStyle w:val="Heading4"/>
        <w:ind w:left="-567" w:right="-568"/>
      </w:pPr>
      <w:r w:rsidRPr="00B3025E">
        <w:t>Scope of audit of the financial statements</w:t>
      </w:r>
    </w:p>
    <w:p w:rsidR="00654BCC" w:rsidRDefault="00B3025E" w:rsidP="00DF245D">
      <w:pPr>
        <w:pStyle w:val="NormalBeforeList"/>
        <w:ind w:left="-567" w:right="-568"/>
      </w:pPr>
      <w:r w:rsidRPr="00B3025E">
        <w:t>An audit involves obtaining evidence about the amounts and disclosures in the financial statements, sufficient to give reasonable assurance that the financial statements are free from material misstatement, whether caused by fraud or error. This includes an assessment of</w:t>
      </w:r>
    </w:p>
    <w:p w:rsidR="00654BCC" w:rsidRDefault="00B3025E" w:rsidP="00DF245D">
      <w:pPr>
        <w:pStyle w:val="ListBullet"/>
        <w:ind w:left="-567" w:right="-568"/>
      </w:pPr>
      <w:r w:rsidRPr="00B3025E">
        <w:t>whether the accounting policies are appropriate to the Authority</w:t>
      </w:r>
      <w:r w:rsidR="00637E1A">
        <w:t>’</w:t>
      </w:r>
      <w:r w:rsidRPr="00B3025E">
        <w:t>s circumstances, and have been consistently applied and adequately disclosed</w:t>
      </w:r>
    </w:p>
    <w:p w:rsidR="00654BCC" w:rsidRDefault="00B3025E" w:rsidP="00DF245D">
      <w:pPr>
        <w:pStyle w:val="ListBullet"/>
        <w:ind w:left="-567" w:right="-568"/>
      </w:pPr>
      <w:r w:rsidRPr="00B3025E">
        <w:t>the reasonableness of significant accounting estimates made in the preparation of the financial statements, and</w:t>
      </w:r>
    </w:p>
    <w:p w:rsidR="00654BCC" w:rsidRDefault="00B3025E" w:rsidP="00DF245D">
      <w:pPr>
        <w:pStyle w:val="ListBullet"/>
        <w:ind w:left="-567" w:right="-568"/>
      </w:pPr>
      <w:r w:rsidRPr="00B3025E">
        <w:t>the overall presentation of the financial statements.</w:t>
      </w:r>
    </w:p>
    <w:p w:rsidR="00654BCC" w:rsidRDefault="00B3025E" w:rsidP="00DF245D">
      <w:pPr>
        <w:ind w:left="-567" w:right="-568"/>
      </w:pPr>
      <w:r w:rsidRPr="00B3025E">
        <w:t xml:space="preserve">I also seek to obtain evidence about the regularity of financial transactions in the </w:t>
      </w:r>
      <w:r>
        <w:t>c</w:t>
      </w:r>
      <w:r w:rsidRPr="00B3025E">
        <w:t>ourse of audit.</w:t>
      </w:r>
    </w:p>
    <w:p w:rsidR="00654BCC" w:rsidRDefault="00B3025E" w:rsidP="00DF245D">
      <w:pPr>
        <w:ind w:left="-567" w:right="-568"/>
      </w:pPr>
      <w:r w:rsidRPr="00B3025E">
        <w:t>In addition, I read the Authority</w:t>
      </w:r>
      <w:r w:rsidR="00637E1A">
        <w:t>’</w:t>
      </w:r>
      <w:r w:rsidRPr="00B3025E">
        <w:t>s annual report to identify material inconsistencies with the audited financial statements and to identify any information that is apparently materially incorrect based on, or materially inconsistent with, the knowledge acquired by me in the course of performing the audit. If I become aware of any apparent material misstatements or inconsistencies I consider the implications for my report.</w:t>
      </w:r>
    </w:p>
    <w:p w:rsidR="00654BCC" w:rsidRDefault="00B3025E" w:rsidP="00DF245D">
      <w:pPr>
        <w:pStyle w:val="Heading4"/>
        <w:ind w:left="-567" w:right="-568"/>
      </w:pPr>
      <w:r w:rsidRPr="00B3025E">
        <w:t>Opinion on the financial statements</w:t>
      </w:r>
    </w:p>
    <w:p w:rsidR="00B3025E" w:rsidRDefault="00B3025E" w:rsidP="00DF245D">
      <w:pPr>
        <w:pStyle w:val="NormalBeforeList"/>
        <w:ind w:left="-567" w:right="-568"/>
      </w:pPr>
      <w:r>
        <w:t>In my opinion, the financial statements:</w:t>
      </w:r>
    </w:p>
    <w:p w:rsidR="00B3025E" w:rsidRDefault="00B3025E" w:rsidP="00DF245D">
      <w:pPr>
        <w:pStyle w:val="ListBullet"/>
        <w:ind w:left="-567" w:right="-568"/>
      </w:pPr>
      <w:r>
        <w:t>give a true and fair view of the assets, liabilities and financial position of the Authority as at 31 December 2015 and of its income and expenditure for 2015; and</w:t>
      </w:r>
    </w:p>
    <w:p w:rsidR="00B3025E" w:rsidRDefault="00B3025E" w:rsidP="00DF245D">
      <w:pPr>
        <w:pStyle w:val="ListBullet"/>
        <w:ind w:left="-567" w:right="-568"/>
      </w:pPr>
      <w:r>
        <w:t>have been properly prepared in accordance with generally accepted accounting practice.</w:t>
      </w:r>
    </w:p>
    <w:p w:rsidR="00654BCC" w:rsidRDefault="00B3025E" w:rsidP="00DF245D">
      <w:pPr>
        <w:pStyle w:val="NormalAfterList"/>
        <w:ind w:left="-567" w:right="-568"/>
      </w:pPr>
      <w:r>
        <w:t>In my opinion, the accounting records of the Authority were sufficient to permit the financial statements to be readily and properly audited. The financial statements are in agreement with the accounting records.</w:t>
      </w:r>
    </w:p>
    <w:p w:rsidR="00654BCC" w:rsidRDefault="00B3025E" w:rsidP="00DF245D">
      <w:pPr>
        <w:pStyle w:val="Heading4"/>
        <w:ind w:left="-567" w:right="-568"/>
      </w:pPr>
      <w:r w:rsidRPr="00B3025E">
        <w:t>Matters on which I report by exception</w:t>
      </w:r>
    </w:p>
    <w:p w:rsidR="00637E1A" w:rsidRDefault="00637E1A" w:rsidP="00DF245D">
      <w:pPr>
        <w:pStyle w:val="NormalBeforeList"/>
        <w:ind w:left="-567" w:right="-568"/>
      </w:pPr>
      <w:r>
        <w:t>I report by exception if I have not received all the information and explanations I required for my audit, or if I find</w:t>
      </w:r>
    </w:p>
    <w:p w:rsidR="00637E1A" w:rsidRDefault="00637E1A" w:rsidP="00DF245D">
      <w:pPr>
        <w:pStyle w:val="ListBullet"/>
        <w:ind w:left="-567" w:right="-568"/>
      </w:pPr>
      <w:r>
        <w:t>any material instance where money has not been applied for the purposes intended or where the transactions did not conform to the authorities governing them, or</w:t>
      </w:r>
    </w:p>
    <w:p w:rsidR="00637E1A" w:rsidRDefault="00637E1A" w:rsidP="00DF245D">
      <w:pPr>
        <w:pStyle w:val="ListBullet"/>
        <w:ind w:left="-567" w:right="-568"/>
      </w:pPr>
      <w:r>
        <w:t>the information given in the Authority's annual report is not consistent with the related financial statements or with the knowledge acquired by me in the course of performing the audit, or</w:t>
      </w:r>
    </w:p>
    <w:p w:rsidR="00637E1A" w:rsidRDefault="00637E1A" w:rsidP="00DF245D">
      <w:pPr>
        <w:pStyle w:val="ListBullet"/>
        <w:ind w:left="-567" w:right="-568"/>
      </w:pPr>
      <w:r>
        <w:t>the statement on internal financial Control does not reflect the Authority's compliance with the Code of Practice for the Governance of State Bodies, or</w:t>
      </w:r>
    </w:p>
    <w:p w:rsidR="00637E1A" w:rsidRDefault="00637E1A" w:rsidP="00DF245D">
      <w:pPr>
        <w:pStyle w:val="ListBullet"/>
        <w:ind w:left="-567" w:right="-568"/>
      </w:pPr>
      <w:r>
        <w:t>there are other material matters relating to the manner in which public business has been conducted.</w:t>
      </w:r>
    </w:p>
    <w:p w:rsidR="00654BCC" w:rsidRDefault="00637E1A" w:rsidP="00DF245D">
      <w:pPr>
        <w:pStyle w:val="NormalAfterList"/>
        <w:ind w:left="-567" w:right="-568"/>
      </w:pPr>
      <w:r>
        <w:t>I have nothing to report in regard to those matters upon which reporting is by exception.</w:t>
      </w:r>
    </w:p>
    <w:p w:rsidR="00654BCC" w:rsidRDefault="00637E1A" w:rsidP="00DF245D">
      <w:pPr>
        <w:ind w:left="-567" w:right="-568"/>
      </w:pPr>
      <w:r>
        <w:rPr>
          <w:noProof/>
          <w:lang w:eastAsia="en-IE"/>
        </w:rPr>
        <w:drawing>
          <wp:inline distT="0" distB="0" distL="0" distR="0">
            <wp:extent cx="1771897" cy="390580"/>
            <wp:effectExtent l="19050" t="0" r="0" b="0"/>
            <wp:docPr id="2" name="Picture 1" descr="Patricia Sheeha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ciaSheehanSignature30June2016.png"/>
                    <pic:cNvPicPr/>
                  </pic:nvPicPr>
                  <pic:blipFill>
                    <a:blip r:embed="rId13"/>
                    <a:stretch>
                      <a:fillRect/>
                    </a:stretch>
                  </pic:blipFill>
                  <pic:spPr>
                    <a:xfrm>
                      <a:off x="0" y="0"/>
                      <a:ext cx="1771897" cy="390580"/>
                    </a:xfrm>
                    <a:prstGeom prst="rect">
                      <a:avLst/>
                    </a:prstGeom>
                  </pic:spPr>
                </pic:pic>
              </a:graphicData>
            </a:graphic>
          </wp:inline>
        </w:drawing>
      </w:r>
      <w:r>
        <w:br/>
      </w:r>
      <w:r w:rsidR="00654BCC">
        <w:t>Patricia Sheehan</w:t>
      </w:r>
      <w:r w:rsidR="00654BCC">
        <w:br/>
        <w:t xml:space="preserve">For and on behalf of the </w:t>
      </w:r>
      <w:r w:rsidR="00654BCC">
        <w:br/>
        <w:t xml:space="preserve">Comptroller and Auditor General </w:t>
      </w:r>
    </w:p>
    <w:p w:rsidR="00654BCC" w:rsidRDefault="00654BCC" w:rsidP="00DF245D">
      <w:pPr>
        <w:spacing w:after="0"/>
        <w:ind w:left="-567" w:right="-568"/>
        <w:rPr>
          <w:lang w:eastAsia="en-GB"/>
        </w:rPr>
      </w:pPr>
      <w:r>
        <w:t>30 June 2016</w:t>
      </w:r>
    </w:p>
    <w:p w:rsidR="00DF245D" w:rsidRDefault="00DF245D">
      <w:pPr>
        <w:spacing w:after="0"/>
        <w:rPr>
          <w:lang w:eastAsia="en-GB"/>
        </w:rPr>
      </w:pPr>
      <w:r>
        <w:rPr>
          <w:lang w:eastAsia="en-GB"/>
        </w:rPr>
        <w:br w:type="page"/>
      </w:r>
    </w:p>
    <w:p w:rsidR="007761C8" w:rsidRPr="007761C8" w:rsidRDefault="007761C8" w:rsidP="00DF245D">
      <w:pPr>
        <w:spacing w:after="0"/>
        <w:ind w:right="-568"/>
        <w:rPr>
          <w:lang w:eastAsia="en-GB"/>
        </w:rPr>
      </w:pPr>
      <w:r w:rsidRPr="007761C8">
        <w:rPr>
          <w:lang w:eastAsia="en-GB"/>
        </w:rPr>
        <w:t>National Disability Authority</w:t>
      </w:r>
    </w:p>
    <w:p w:rsidR="007761C8" w:rsidRPr="00434D16" w:rsidRDefault="009C0B80" w:rsidP="009C0B80">
      <w:pPr>
        <w:pStyle w:val="Heading2"/>
      </w:pPr>
      <w:r w:rsidRPr="007761C8">
        <w:rPr>
          <w:lang w:eastAsia="en-GB"/>
        </w:rPr>
        <w:t xml:space="preserve">Statement </w:t>
      </w:r>
      <w:r>
        <w:rPr>
          <w:lang w:eastAsia="en-GB"/>
        </w:rPr>
        <w:t>o</w:t>
      </w:r>
      <w:r w:rsidRPr="007761C8">
        <w:rPr>
          <w:lang w:eastAsia="en-GB"/>
        </w:rPr>
        <w:t xml:space="preserve">f Income </w:t>
      </w:r>
      <w:r>
        <w:rPr>
          <w:lang w:eastAsia="en-GB"/>
        </w:rPr>
        <w:t>a</w:t>
      </w:r>
      <w:r w:rsidRPr="007761C8">
        <w:rPr>
          <w:lang w:eastAsia="en-GB"/>
        </w:rPr>
        <w:t xml:space="preserve">nd Expenditure </w:t>
      </w:r>
      <w:r>
        <w:rPr>
          <w:lang w:eastAsia="en-GB"/>
        </w:rPr>
        <w:t>a</w:t>
      </w:r>
      <w:r w:rsidRPr="007761C8">
        <w:rPr>
          <w:lang w:eastAsia="en-GB"/>
        </w:rPr>
        <w:t xml:space="preserve">nd </w:t>
      </w:r>
      <w:r w:rsidR="004D225B">
        <w:rPr>
          <w:lang w:eastAsia="en-GB"/>
        </w:rPr>
        <w:t xml:space="preserve">Retained </w:t>
      </w:r>
      <w:r w:rsidRPr="007761C8">
        <w:rPr>
          <w:lang w:eastAsia="en-GB"/>
        </w:rPr>
        <w:t>Revenue Reserves</w:t>
      </w:r>
    </w:p>
    <w:p w:rsidR="007761C8" w:rsidRPr="007761C8" w:rsidRDefault="007761C8" w:rsidP="009C0B80">
      <w:pPr>
        <w:rPr>
          <w:lang w:eastAsia="en-GB"/>
        </w:rPr>
      </w:pPr>
      <w:r w:rsidRPr="007761C8">
        <w:rPr>
          <w:lang w:eastAsia="en-GB"/>
        </w:rPr>
        <w:t>For the year ended 31 December 2015</w:t>
      </w:r>
    </w:p>
    <w:tbl>
      <w:tblPr>
        <w:tblStyle w:val="LightShading1"/>
        <w:tblW w:w="0" w:type="auto"/>
        <w:tblLook w:val="04A0" w:firstRow="1" w:lastRow="0" w:firstColumn="1" w:lastColumn="0" w:noHBand="0" w:noVBand="1"/>
      </w:tblPr>
      <w:tblGrid>
        <w:gridCol w:w="4590"/>
        <w:gridCol w:w="839"/>
        <w:gridCol w:w="1362"/>
        <w:gridCol w:w="1362"/>
      </w:tblGrid>
      <w:tr w:rsidR="007761C8" w:rsidRPr="00763D95" w:rsidTr="003F06BD">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0" w:type="auto"/>
          </w:tcPr>
          <w:p w:rsidR="007761C8" w:rsidRPr="00763D95" w:rsidRDefault="007761C8" w:rsidP="00B9259E">
            <w:pPr>
              <w:rPr>
                <w:lang w:eastAsia="en-GB"/>
              </w:rPr>
            </w:pPr>
          </w:p>
        </w:tc>
        <w:tc>
          <w:tcPr>
            <w:tcW w:w="0" w:type="auto"/>
          </w:tcPr>
          <w:p w:rsidR="007761C8" w:rsidRPr="00763D95" w:rsidRDefault="007761C8" w:rsidP="00B9259E">
            <w:pPr>
              <w:cnfStyle w:val="100000000000" w:firstRow="1" w:lastRow="0" w:firstColumn="0" w:lastColumn="0" w:oddVBand="0" w:evenVBand="0" w:oddHBand="0" w:evenHBand="0" w:firstRowFirstColumn="0" w:firstRowLastColumn="0" w:lastRowFirstColumn="0" w:lastRowLastColumn="0"/>
              <w:rPr>
                <w:lang w:eastAsia="en-GB"/>
              </w:rPr>
            </w:pPr>
            <w:r w:rsidRPr="00763D95">
              <w:rPr>
                <w:lang w:eastAsia="en-GB"/>
              </w:rPr>
              <w:t>Note</w:t>
            </w:r>
          </w:p>
        </w:tc>
        <w:tc>
          <w:tcPr>
            <w:tcW w:w="0" w:type="auto"/>
          </w:tcPr>
          <w:p w:rsidR="007761C8" w:rsidRPr="00763D95" w:rsidRDefault="007761C8" w:rsidP="00B9259E">
            <w:pPr>
              <w:jc w:val="right"/>
              <w:cnfStyle w:val="100000000000" w:firstRow="1" w:lastRow="0" w:firstColumn="0" w:lastColumn="0" w:oddVBand="0" w:evenVBand="0" w:oddHBand="0" w:evenHBand="0" w:firstRowFirstColumn="0" w:firstRowLastColumn="0" w:lastRowFirstColumn="0" w:lastRowLastColumn="0"/>
              <w:rPr>
                <w:lang w:eastAsia="en-GB"/>
              </w:rPr>
            </w:pPr>
            <w:r w:rsidRPr="00763D95">
              <w:rPr>
                <w:lang w:eastAsia="en-GB"/>
              </w:rPr>
              <w:t>2015</w:t>
            </w:r>
            <w:r w:rsidR="00B9259E">
              <w:rPr>
                <w:lang w:eastAsia="en-GB"/>
              </w:rPr>
              <w:br/>
            </w:r>
            <w:r w:rsidRPr="00763D95">
              <w:rPr>
                <w:lang w:eastAsia="en-GB"/>
              </w:rPr>
              <w:t>€</w:t>
            </w:r>
          </w:p>
        </w:tc>
        <w:tc>
          <w:tcPr>
            <w:tcW w:w="0" w:type="auto"/>
          </w:tcPr>
          <w:p w:rsidR="007761C8" w:rsidRPr="00763D95" w:rsidRDefault="007761C8" w:rsidP="00B9259E">
            <w:pPr>
              <w:jc w:val="right"/>
              <w:cnfStyle w:val="100000000000" w:firstRow="1" w:lastRow="0" w:firstColumn="0" w:lastColumn="0" w:oddVBand="0" w:evenVBand="0" w:oddHBand="0" w:evenHBand="0" w:firstRowFirstColumn="0" w:firstRowLastColumn="0" w:lastRowFirstColumn="0" w:lastRowLastColumn="0"/>
              <w:rPr>
                <w:lang w:eastAsia="en-GB"/>
              </w:rPr>
            </w:pPr>
            <w:r w:rsidRPr="00763D95">
              <w:rPr>
                <w:lang w:eastAsia="en-GB"/>
              </w:rPr>
              <w:t>2014</w:t>
            </w:r>
            <w:r w:rsidR="00B9259E">
              <w:rPr>
                <w:lang w:eastAsia="en-GB"/>
              </w:rPr>
              <w:br/>
            </w:r>
            <w:r w:rsidRPr="00763D95">
              <w:rPr>
                <w:lang w:eastAsia="en-GB"/>
              </w:rPr>
              <w:t>€</w:t>
            </w:r>
          </w:p>
        </w:tc>
      </w:tr>
      <w:tr w:rsidR="007761C8" w:rsidRPr="00495E27" w:rsidTr="003F0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495E27" w:rsidRDefault="007761C8" w:rsidP="00B9259E">
            <w:pPr>
              <w:rPr>
                <w:b/>
                <w:lang w:eastAsia="en-GB"/>
              </w:rPr>
            </w:pPr>
            <w:r w:rsidRPr="00495E27">
              <w:rPr>
                <w:b/>
                <w:lang w:eastAsia="en-GB"/>
              </w:rPr>
              <w:t>Income</w:t>
            </w:r>
          </w:p>
        </w:tc>
        <w:tc>
          <w:tcPr>
            <w:tcW w:w="0" w:type="auto"/>
          </w:tcPr>
          <w:p w:rsidR="007761C8" w:rsidRPr="00495E27" w:rsidRDefault="007761C8" w:rsidP="00B9259E">
            <w:pPr>
              <w:cnfStyle w:val="000000100000" w:firstRow="0" w:lastRow="0" w:firstColumn="0" w:lastColumn="0" w:oddVBand="0" w:evenVBand="0" w:oddHBand="1" w:evenHBand="0" w:firstRowFirstColumn="0" w:firstRowLastColumn="0" w:lastRowFirstColumn="0" w:lastRowLastColumn="0"/>
              <w:rPr>
                <w:b/>
                <w:lang w:eastAsia="en-GB"/>
              </w:rPr>
            </w:pPr>
          </w:p>
        </w:tc>
        <w:tc>
          <w:tcPr>
            <w:tcW w:w="0" w:type="auto"/>
          </w:tcPr>
          <w:p w:rsidR="007761C8" w:rsidRPr="00495E27" w:rsidRDefault="007761C8" w:rsidP="00B9259E">
            <w:pPr>
              <w:jc w:val="right"/>
              <w:cnfStyle w:val="000000100000" w:firstRow="0" w:lastRow="0" w:firstColumn="0" w:lastColumn="0" w:oddVBand="0" w:evenVBand="0" w:oddHBand="1" w:evenHBand="0" w:firstRowFirstColumn="0" w:firstRowLastColumn="0" w:lastRowFirstColumn="0" w:lastRowLastColumn="0"/>
              <w:rPr>
                <w:b/>
                <w:lang w:eastAsia="en-GB"/>
              </w:rPr>
            </w:pPr>
          </w:p>
        </w:tc>
        <w:tc>
          <w:tcPr>
            <w:tcW w:w="0" w:type="auto"/>
          </w:tcPr>
          <w:p w:rsidR="007761C8" w:rsidRPr="00495E27" w:rsidRDefault="007761C8" w:rsidP="00B9259E">
            <w:pPr>
              <w:jc w:val="right"/>
              <w:cnfStyle w:val="000000100000" w:firstRow="0" w:lastRow="0" w:firstColumn="0" w:lastColumn="0" w:oddVBand="0" w:evenVBand="0" w:oddHBand="1" w:evenHBand="0" w:firstRowFirstColumn="0" w:firstRowLastColumn="0" w:lastRowFirstColumn="0" w:lastRowLastColumn="0"/>
              <w:rPr>
                <w:b/>
                <w:lang w:eastAsia="en-GB"/>
              </w:rPr>
            </w:pPr>
          </w:p>
        </w:tc>
      </w:tr>
      <w:tr w:rsidR="007761C8" w:rsidRPr="00763D95" w:rsidTr="003F06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763D95" w:rsidRDefault="007761C8" w:rsidP="00B9259E">
            <w:pPr>
              <w:rPr>
                <w:lang w:eastAsia="en-GB"/>
              </w:rPr>
            </w:pPr>
            <w:r w:rsidRPr="00763D95">
              <w:rPr>
                <w:lang w:eastAsia="en-GB"/>
              </w:rPr>
              <w:t>Oireachtas Grants</w:t>
            </w:r>
          </w:p>
        </w:tc>
        <w:tc>
          <w:tcPr>
            <w:tcW w:w="0" w:type="auto"/>
          </w:tcPr>
          <w:p w:rsidR="007761C8" w:rsidRPr="00763D95" w:rsidRDefault="007761C8" w:rsidP="00B9259E">
            <w:pPr>
              <w:cnfStyle w:val="000000010000" w:firstRow="0" w:lastRow="0" w:firstColumn="0" w:lastColumn="0" w:oddVBand="0" w:evenVBand="0" w:oddHBand="0" w:evenHBand="1" w:firstRowFirstColumn="0" w:firstRowLastColumn="0" w:lastRowFirstColumn="0" w:lastRowLastColumn="0"/>
              <w:rPr>
                <w:lang w:eastAsia="en-GB"/>
              </w:rPr>
            </w:pPr>
            <w:r w:rsidRPr="00763D95">
              <w:rPr>
                <w:lang w:eastAsia="en-GB"/>
              </w:rPr>
              <w:t>2</w:t>
            </w:r>
          </w:p>
        </w:tc>
        <w:tc>
          <w:tcPr>
            <w:tcW w:w="0" w:type="auto"/>
          </w:tcPr>
          <w:p w:rsidR="007761C8" w:rsidRPr="00763D95" w:rsidRDefault="007761C8" w:rsidP="00B9259E">
            <w:pPr>
              <w:jc w:val="right"/>
              <w:cnfStyle w:val="000000010000" w:firstRow="0" w:lastRow="0" w:firstColumn="0" w:lastColumn="0" w:oddVBand="0" w:evenVBand="0" w:oddHBand="0" w:evenHBand="1" w:firstRowFirstColumn="0" w:firstRowLastColumn="0" w:lastRowFirstColumn="0" w:lastRowLastColumn="0"/>
              <w:rPr>
                <w:lang w:eastAsia="en-GB"/>
              </w:rPr>
            </w:pPr>
            <w:r w:rsidRPr="00763D95">
              <w:rPr>
                <w:lang w:eastAsia="en-GB"/>
              </w:rPr>
              <w:t>3,798,647</w:t>
            </w:r>
          </w:p>
        </w:tc>
        <w:tc>
          <w:tcPr>
            <w:tcW w:w="0" w:type="auto"/>
          </w:tcPr>
          <w:p w:rsidR="007761C8" w:rsidRPr="00763D95" w:rsidRDefault="007761C8" w:rsidP="00B9259E">
            <w:pPr>
              <w:jc w:val="right"/>
              <w:cnfStyle w:val="000000010000" w:firstRow="0" w:lastRow="0" w:firstColumn="0" w:lastColumn="0" w:oddVBand="0" w:evenVBand="0" w:oddHBand="0" w:evenHBand="1" w:firstRowFirstColumn="0" w:firstRowLastColumn="0" w:lastRowFirstColumn="0" w:lastRowLastColumn="0"/>
              <w:rPr>
                <w:lang w:eastAsia="en-GB"/>
              </w:rPr>
            </w:pPr>
            <w:r w:rsidRPr="00763D95">
              <w:rPr>
                <w:lang w:eastAsia="en-GB"/>
              </w:rPr>
              <w:t>3,240,600</w:t>
            </w:r>
          </w:p>
        </w:tc>
      </w:tr>
      <w:tr w:rsidR="007761C8" w:rsidRPr="00763D95" w:rsidTr="003F0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763D95" w:rsidRDefault="007761C8" w:rsidP="00B9259E">
            <w:pPr>
              <w:rPr>
                <w:lang w:eastAsia="en-GB"/>
              </w:rPr>
            </w:pPr>
            <w:r w:rsidRPr="00763D95">
              <w:rPr>
                <w:lang w:eastAsia="en-GB"/>
              </w:rPr>
              <w:t>Net Deferred Pension Funding</w:t>
            </w:r>
          </w:p>
        </w:tc>
        <w:tc>
          <w:tcPr>
            <w:tcW w:w="0" w:type="auto"/>
          </w:tcPr>
          <w:p w:rsidR="007761C8" w:rsidRPr="00763D95" w:rsidRDefault="007761C8" w:rsidP="00B9259E">
            <w:pPr>
              <w:cnfStyle w:val="000000100000" w:firstRow="0" w:lastRow="0" w:firstColumn="0" w:lastColumn="0" w:oddVBand="0" w:evenVBand="0" w:oddHBand="1" w:evenHBand="0" w:firstRowFirstColumn="0" w:firstRowLastColumn="0" w:lastRowFirstColumn="0" w:lastRowLastColumn="0"/>
              <w:rPr>
                <w:lang w:eastAsia="en-GB"/>
              </w:rPr>
            </w:pPr>
            <w:r w:rsidRPr="00763D95">
              <w:rPr>
                <w:lang w:eastAsia="en-GB"/>
              </w:rPr>
              <w:t>6(c)</w:t>
            </w:r>
          </w:p>
        </w:tc>
        <w:tc>
          <w:tcPr>
            <w:tcW w:w="0" w:type="auto"/>
          </w:tcPr>
          <w:p w:rsidR="007761C8" w:rsidRPr="00763D95" w:rsidRDefault="007761C8" w:rsidP="00B9259E">
            <w:pPr>
              <w:jc w:val="right"/>
              <w:cnfStyle w:val="000000100000" w:firstRow="0" w:lastRow="0" w:firstColumn="0" w:lastColumn="0" w:oddVBand="0" w:evenVBand="0" w:oddHBand="1" w:evenHBand="0" w:firstRowFirstColumn="0" w:firstRowLastColumn="0" w:lastRowFirstColumn="0" w:lastRowLastColumn="0"/>
              <w:rPr>
                <w:lang w:eastAsia="en-GB"/>
              </w:rPr>
            </w:pPr>
            <w:r w:rsidRPr="00763D95">
              <w:rPr>
                <w:lang w:eastAsia="en-GB"/>
              </w:rPr>
              <w:t>716,250</w:t>
            </w:r>
          </w:p>
        </w:tc>
        <w:tc>
          <w:tcPr>
            <w:tcW w:w="0" w:type="auto"/>
          </w:tcPr>
          <w:p w:rsidR="007761C8" w:rsidRPr="00763D95" w:rsidRDefault="007761C8" w:rsidP="00B9259E">
            <w:pPr>
              <w:jc w:val="right"/>
              <w:cnfStyle w:val="000000100000" w:firstRow="0" w:lastRow="0" w:firstColumn="0" w:lastColumn="0" w:oddVBand="0" w:evenVBand="0" w:oddHBand="1" w:evenHBand="0" w:firstRowFirstColumn="0" w:firstRowLastColumn="0" w:lastRowFirstColumn="0" w:lastRowLastColumn="0"/>
              <w:rPr>
                <w:lang w:eastAsia="en-GB"/>
              </w:rPr>
            </w:pPr>
            <w:r w:rsidRPr="00763D95">
              <w:rPr>
                <w:lang w:eastAsia="en-GB"/>
              </w:rPr>
              <w:t>778,000</w:t>
            </w:r>
          </w:p>
        </w:tc>
      </w:tr>
      <w:tr w:rsidR="007761C8" w:rsidRPr="00763D95" w:rsidTr="00495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763D95" w:rsidRDefault="007761C8" w:rsidP="00B9259E">
            <w:pPr>
              <w:rPr>
                <w:lang w:eastAsia="en-GB"/>
              </w:rPr>
            </w:pPr>
            <w:r w:rsidRPr="00763D95">
              <w:rPr>
                <w:lang w:eastAsia="en-GB"/>
              </w:rPr>
              <w:t>Other Income</w:t>
            </w:r>
          </w:p>
        </w:tc>
        <w:tc>
          <w:tcPr>
            <w:tcW w:w="0" w:type="auto"/>
          </w:tcPr>
          <w:p w:rsidR="007761C8" w:rsidRPr="00763D95" w:rsidRDefault="007761C8" w:rsidP="00B9259E">
            <w:pPr>
              <w:cnfStyle w:val="000000010000" w:firstRow="0" w:lastRow="0" w:firstColumn="0" w:lastColumn="0" w:oddVBand="0" w:evenVBand="0" w:oddHBand="0" w:evenHBand="1" w:firstRowFirstColumn="0" w:firstRowLastColumn="0" w:lastRowFirstColumn="0" w:lastRowLastColumn="0"/>
              <w:rPr>
                <w:lang w:eastAsia="en-GB"/>
              </w:rPr>
            </w:pPr>
            <w:r w:rsidRPr="00763D95">
              <w:rPr>
                <w:lang w:eastAsia="en-GB"/>
              </w:rPr>
              <w:t>3</w:t>
            </w:r>
          </w:p>
        </w:tc>
        <w:tc>
          <w:tcPr>
            <w:tcW w:w="0" w:type="auto"/>
            <w:tcBorders>
              <w:bottom w:val="single" w:sz="8" w:space="0" w:color="000000" w:themeColor="text1"/>
            </w:tcBorders>
          </w:tcPr>
          <w:p w:rsidR="007761C8" w:rsidRPr="00763D95" w:rsidRDefault="007761C8" w:rsidP="00B9259E">
            <w:pPr>
              <w:jc w:val="right"/>
              <w:cnfStyle w:val="000000010000" w:firstRow="0" w:lastRow="0" w:firstColumn="0" w:lastColumn="0" w:oddVBand="0" w:evenVBand="0" w:oddHBand="0" w:evenHBand="1" w:firstRowFirstColumn="0" w:firstRowLastColumn="0" w:lastRowFirstColumn="0" w:lastRowLastColumn="0"/>
              <w:rPr>
                <w:lang w:eastAsia="en-GB"/>
              </w:rPr>
            </w:pPr>
            <w:r w:rsidRPr="00763D95">
              <w:rPr>
                <w:lang w:eastAsia="en-GB"/>
              </w:rPr>
              <w:t>31,953</w:t>
            </w:r>
          </w:p>
        </w:tc>
        <w:tc>
          <w:tcPr>
            <w:tcW w:w="0" w:type="auto"/>
            <w:tcBorders>
              <w:bottom w:val="single" w:sz="8" w:space="0" w:color="000000" w:themeColor="text1"/>
            </w:tcBorders>
          </w:tcPr>
          <w:p w:rsidR="007761C8" w:rsidRPr="00763D95" w:rsidRDefault="007761C8" w:rsidP="00B9259E">
            <w:pPr>
              <w:jc w:val="right"/>
              <w:cnfStyle w:val="000000010000" w:firstRow="0" w:lastRow="0" w:firstColumn="0" w:lastColumn="0" w:oddVBand="0" w:evenVBand="0" w:oddHBand="0" w:evenHBand="1" w:firstRowFirstColumn="0" w:firstRowLastColumn="0" w:lastRowFirstColumn="0" w:lastRowLastColumn="0"/>
              <w:rPr>
                <w:lang w:eastAsia="en-GB"/>
              </w:rPr>
            </w:pPr>
            <w:r w:rsidRPr="00763D95">
              <w:rPr>
                <w:lang w:eastAsia="en-GB"/>
              </w:rPr>
              <w:t>22,357</w:t>
            </w:r>
          </w:p>
        </w:tc>
      </w:tr>
      <w:tr w:rsidR="007761C8" w:rsidRPr="00495E27" w:rsidTr="00495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495E27" w:rsidRDefault="007761C8" w:rsidP="003F06BD">
            <w:pPr>
              <w:rPr>
                <w:b/>
                <w:lang w:eastAsia="en-GB"/>
              </w:rPr>
            </w:pPr>
            <w:r w:rsidRPr="00495E27">
              <w:rPr>
                <w:b/>
                <w:lang w:eastAsia="en-GB"/>
              </w:rPr>
              <w:t>Total Income</w:t>
            </w:r>
          </w:p>
        </w:tc>
        <w:tc>
          <w:tcPr>
            <w:tcW w:w="0" w:type="auto"/>
          </w:tcPr>
          <w:p w:rsidR="007761C8" w:rsidRPr="00495E27" w:rsidRDefault="007761C8" w:rsidP="00B9259E">
            <w:pPr>
              <w:cnfStyle w:val="000000100000" w:firstRow="0" w:lastRow="0" w:firstColumn="0" w:lastColumn="0" w:oddVBand="0" w:evenVBand="0" w:oddHBand="1" w:evenHBand="0" w:firstRowFirstColumn="0" w:firstRowLastColumn="0" w:lastRowFirstColumn="0" w:lastRowLastColumn="0"/>
              <w:rPr>
                <w:b/>
                <w:lang w:eastAsia="en-GB"/>
              </w:rPr>
            </w:pPr>
          </w:p>
        </w:tc>
        <w:tc>
          <w:tcPr>
            <w:tcW w:w="0" w:type="auto"/>
            <w:tcBorders>
              <w:top w:val="single" w:sz="8" w:space="0" w:color="000000" w:themeColor="text1"/>
              <w:bottom w:val="single" w:sz="8" w:space="0" w:color="000000" w:themeColor="text1"/>
            </w:tcBorders>
          </w:tcPr>
          <w:p w:rsidR="007761C8" w:rsidRPr="00495E27" w:rsidRDefault="007761C8" w:rsidP="00B9259E">
            <w:pPr>
              <w:jc w:val="right"/>
              <w:cnfStyle w:val="000000100000" w:firstRow="0" w:lastRow="0" w:firstColumn="0" w:lastColumn="0" w:oddVBand="0" w:evenVBand="0" w:oddHBand="1" w:evenHBand="0" w:firstRowFirstColumn="0" w:firstRowLastColumn="0" w:lastRowFirstColumn="0" w:lastRowLastColumn="0"/>
              <w:rPr>
                <w:b/>
                <w:bCs/>
                <w:lang w:eastAsia="en-GB"/>
              </w:rPr>
            </w:pPr>
            <w:r w:rsidRPr="00495E27">
              <w:rPr>
                <w:b/>
                <w:bCs/>
                <w:lang w:eastAsia="en-GB"/>
              </w:rPr>
              <w:t>4,546,850</w:t>
            </w:r>
          </w:p>
        </w:tc>
        <w:tc>
          <w:tcPr>
            <w:tcW w:w="0" w:type="auto"/>
            <w:tcBorders>
              <w:top w:val="single" w:sz="8" w:space="0" w:color="000000" w:themeColor="text1"/>
              <w:bottom w:val="single" w:sz="8" w:space="0" w:color="000000" w:themeColor="text1"/>
            </w:tcBorders>
          </w:tcPr>
          <w:p w:rsidR="007761C8" w:rsidRPr="00495E27" w:rsidRDefault="007761C8" w:rsidP="00B9259E">
            <w:pPr>
              <w:jc w:val="right"/>
              <w:cnfStyle w:val="000000100000" w:firstRow="0" w:lastRow="0" w:firstColumn="0" w:lastColumn="0" w:oddVBand="0" w:evenVBand="0" w:oddHBand="1" w:evenHBand="0" w:firstRowFirstColumn="0" w:firstRowLastColumn="0" w:lastRowFirstColumn="0" w:lastRowLastColumn="0"/>
              <w:rPr>
                <w:b/>
                <w:bCs/>
                <w:lang w:eastAsia="en-GB"/>
              </w:rPr>
            </w:pPr>
            <w:r w:rsidRPr="00495E27">
              <w:rPr>
                <w:b/>
                <w:bCs/>
                <w:lang w:eastAsia="en-GB"/>
              </w:rPr>
              <w:t>4,040,957</w:t>
            </w:r>
          </w:p>
        </w:tc>
      </w:tr>
      <w:tr w:rsidR="007761C8" w:rsidRPr="00495E27" w:rsidTr="00495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495E27" w:rsidRDefault="007761C8" w:rsidP="00B9259E">
            <w:pPr>
              <w:rPr>
                <w:b/>
                <w:lang w:eastAsia="en-GB"/>
              </w:rPr>
            </w:pPr>
            <w:r w:rsidRPr="00495E27">
              <w:rPr>
                <w:b/>
                <w:lang w:eastAsia="en-GB"/>
              </w:rPr>
              <w:t>Expenditure</w:t>
            </w:r>
          </w:p>
        </w:tc>
        <w:tc>
          <w:tcPr>
            <w:tcW w:w="0" w:type="auto"/>
          </w:tcPr>
          <w:p w:rsidR="007761C8" w:rsidRPr="00495E27" w:rsidRDefault="007761C8" w:rsidP="00B9259E">
            <w:pPr>
              <w:cnfStyle w:val="000000010000" w:firstRow="0" w:lastRow="0" w:firstColumn="0" w:lastColumn="0" w:oddVBand="0" w:evenVBand="0" w:oddHBand="0" w:evenHBand="1" w:firstRowFirstColumn="0" w:firstRowLastColumn="0" w:lastRowFirstColumn="0" w:lastRowLastColumn="0"/>
              <w:rPr>
                <w:b/>
                <w:lang w:eastAsia="en-GB"/>
              </w:rPr>
            </w:pPr>
          </w:p>
        </w:tc>
        <w:tc>
          <w:tcPr>
            <w:tcW w:w="0" w:type="auto"/>
            <w:tcBorders>
              <w:top w:val="single" w:sz="8" w:space="0" w:color="000000" w:themeColor="text1"/>
            </w:tcBorders>
          </w:tcPr>
          <w:p w:rsidR="007761C8" w:rsidRPr="00495E27" w:rsidRDefault="007761C8" w:rsidP="00B9259E">
            <w:pPr>
              <w:jc w:val="right"/>
              <w:cnfStyle w:val="000000010000" w:firstRow="0" w:lastRow="0" w:firstColumn="0" w:lastColumn="0" w:oddVBand="0" w:evenVBand="0" w:oddHBand="0" w:evenHBand="1" w:firstRowFirstColumn="0" w:firstRowLastColumn="0" w:lastRowFirstColumn="0" w:lastRowLastColumn="0"/>
              <w:rPr>
                <w:b/>
                <w:bCs/>
                <w:lang w:eastAsia="en-GB"/>
              </w:rPr>
            </w:pPr>
          </w:p>
        </w:tc>
        <w:tc>
          <w:tcPr>
            <w:tcW w:w="0" w:type="auto"/>
            <w:tcBorders>
              <w:top w:val="single" w:sz="8" w:space="0" w:color="000000" w:themeColor="text1"/>
            </w:tcBorders>
          </w:tcPr>
          <w:p w:rsidR="007761C8" w:rsidRPr="00495E27" w:rsidRDefault="007761C8" w:rsidP="00B9259E">
            <w:pPr>
              <w:jc w:val="right"/>
              <w:cnfStyle w:val="000000010000" w:firstRow="0" w:lastRow="0" w:firstColumn="0" w:lastColumn="0" w:oddVBand="0" w:evenVBand="0" w:oddHBand="0" w:evenHBand="1" w:firstRowFirstColumn="0" w:firstRowLastColumn="0" w:lastRowFirstColumn="0" w:lastRowLastColumn="0"/>
              <w:rPr>
                <w:b/>
                <w:bCs/>
                <w:lang w:eastAsia="en-GB"/>
              </w:rPr>
            </w:pPr>
          </w:p>
        </w:tc>
      </w:tr>
      <w:tr w:rsidR="007761C8" w:rsidRPr="00763D95" w:rsidTr="003F0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763D95" w:rsidRDefault="007761C8" w:rsidP="00B9259E">
            <w:pPr>
              <w:rPr>
                <w:lang w:eastAsia="en-GB"/>
              </w:rPr>
            </w:pPr>
            <w:r w:rsidRPr="00763D95">
              <w:rPr>
                <w:lang w:eastAsia="en-GB"/>
              </w:rPr>
              <w:t>Projects and Commissioned Works Payable</w:t>
            </w:r>
          </w:p>
        </w:tc>
        <w:tc>
          <w:tcPr>
            <w:tcW w:w="0" w:type="auto"/>
          </w:tcPr>
          <w:p w:rsidR="007761C8" w:rsidRPr="00763D95" w:rsidRDefault="007761C8" w:rsidP="00B9259E">
            <w:pPr>
              <w:cnfStyle w:val="000000100000" w:firstRow="0" w:lastRow="0" w:firstColumn="0" w:lastColumn="0" w:oddVBand="0" w:evenVBand="0" w:oddHBand="1" w:evenHBand="0" w:firstRowFirstColumn="0" w:firstRowLastColumn="0" w:lastRowFirstColumn="0" w:lastRowLastColumn="0"/>
              <w:rPr>
                <w:lang w:eastAsia="en-GB"/>
              </w:rPr>
            </w:pPr>
            <w:r w:rsidRPr="00763D95">
              <w:rPr>
                <w:lang w:eastAsia="en-GB"/>
              </w:rPr>
              <w:t>4</w:t>
            </w:r>
          </w:p>
        </w:tc>
        <w:tc>
          <w:tcPr>
            <w:tcW w:w="0" w:type="auto"/>
          </w:tcPr>
          <w:p w:rsidR="007761C8" w:rsidRPr="00763D95" w:rsidRDefault="007761C8" w:rsidP="00B9259E">
            <w:pPr>
              <w:jc w:val="right"/>
              <w:cnfStyle w:val="000000100000" w:firstRow="0" w:lastRow="0" w:firstColumn="0" w:lastColumn="0" w:oddVBand="0" w:evenVBand="0" w:oddHBand="1" w:evenHBand="0" w:firstRowFirstColumn="0" w:firstRowLastColumn="0" w:lastRowFirstColumn="0" w:lastRowLastColumn="0"/>
              <w:rPr>
                <w:lang w:eastAsia="en-GB"/>
              </w:rPr>
            </w:pPr>
            <w:r w:rsidRPr="00763D95">
              <w:rPr>
                <w:lang w:eastAsia="en-GB"/>
              </w:rPr>
              <w:t>534,637</w:t>
            </w:r>
          </w:p>
        </w:tc>
        <w:tc>
          <w:tcPr>
            <w:tcW w:w="0" w:type="auto"/>
          </w:tcPr>
          <w:p w:rsidR="007761C8" w:rsidRPr="00763D95" w:rsidRDefault="007761C8" w:rsidP="00B9259E">
            <w:pPr>
              <w:jc w:val="right"/>
              <w:cnfStyle w:val="000000100000" w:firstRow="0" w:lastRow="0" w:firstColumn="0" w:lastColumn="0" w:oddVBand="0" w:evenVBand="0" w:oddHBand="1" w:evenHBand="0" w:firstRowFirstColumn="0" w:firstRowLastColumn="0" w:lastRowFirstColumn="0" w:lastRowLastColumn="0"/>
              <w:rPr>
                <w:lang w:eastAsia="en-GB"/>
              </w:rPr>
            </w:pPr>
            <w:r w:rsidRPr="00763D95">
              <w:rPr>
                <w:lang w:eastAsia="en-GB"/>
              </w:rPr>
              <w:t>374,920</w:t>
            </w:r>
          </w:p>
        </w:tc>
      </w:tr>
      <w:tr w:rsidR="007761C8" w:rsidRPr="00763D95" w:rsidTr="003F06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763D95" w:rsidRDefault="007761C8" w:rsidP="00B9259E">
            <w:pPr>
              <w:rPr>
                <w:lang w:eastAsia="en-GB"/>
              </w:rPr>
            </w:pPr>
            <w:r w:rsidRPr="00763D95">
              <w:rPr>
                <w:lang w:eastAsia="en-GB"/>
              </w:rPr>
              <w:t xml:space="preserve">Administration and Operations Costs </w:t>
            </w:r>
          </w:p>
        </w:tc>
        <w:tc>
          <w:tcPr>
            <w:tcW w:w="0" w:type="auto"/>
          </w:tcPr>
          <w:p w:rsidR="007761C8" w:rsidRPr="00763D95" w:rsidRDefault="007761C8" w:rsidP="00B9259E">
            <w:pPr>
              <w:cnfStyle w:val="000000010000" w:firstRow="0" w:lastRow="0" w:firstColumn="0" w:lastColumn="0" w:oddVBand="0" w:evenVBand="0" w:oddHBand="0" w:evenHBand="1" w:firstRowFirstColumn="0" w:firstRowLastColumn="0" w:lastRowFirstColumn="0" w:lastRowLastColumn="0"/>
              <w:rPr>
                <w:lang w:eastAsia="en-GB"/>
              </w:rPr>
            </w:pPr>
            <w:r w:rsidRPr="00763D95">
              <w:rPr>
                <w:lang w:eastAsia="en-GB"/>
              </w:rPr>
              <w:t>5</w:t>
            </w:r>
          </w:p>
        </w:tc>
        <w:tc>
          <w:tcPr>
            <w:tcW w:w="0" w:type="auto"/>
          </w:tcPr>
          <w:p w:rsidR="007761C8" w:rsidRPr="00763D95" w:rsidRDefault="00286A92" w:rsidP="00B9259E">
            <w:pPr>
              <w:jc w:val="right"/>
              <w:cnfStyle w:val="000000010000" w:firstRow="0" w:lastRow="0" w:firstColumn="0" w:lastColumn="0" w:oddVBand="0" w:evenVBand="0" w:oddHBand="0" w:evenHBand="1" w:firstRowFirstColumn="0" w:firstRowLastColumn="0" w:lastRowFirstColumn="0" w:lastRowLastColumn="0"/>
              <w:rPr>
                <w:lang w:eastAsia="en-GB"/>
              </w:rPr>
            </w:pPr>
            <w:r w:rsidRPr="00286A92">
              <w:rPr>
                <w:lang w:eastAsia="en-GB"/>
              </w:rPr>
              <w:t>2,626,893</w:t>
            </w:r>
          </w:p>
        </w:tc>
        <w:tc>
          <w:tcPr>
            <w:tcW w:w="0" w:type="auto"/>
          </w:tcPr>
          <w:p w:rsidR="007761C8" w:rsidRPr="00763D95" w:rsidRDefault="007761C8" w:rsidP="00B9259E">
            <w:pPr>
              <w:jc w:val="right"/>
              <w:cnfStyle w:val="000000010000" w:firstRow="0" w:lastRow="0" w:firstColumn="0" w:lastColumn="0" w:oddVBand="0" w:evenVBand="0" w:oddHBand="0" w:evenHBand="1" w:firstRowFirstColumn="0" w:firstRowLastColumn="0" w:lastRowFirstColumn="0" w:lastRowLastColumn="0"/>
              <w:rPr>
                <w:lang w:eastAsia="en-GB"/>
              </w:rPr>
            </w:pPr>
            <w:r w:rsidRPr="00763D95">
              <w:rPr>
                <w:lang w:eastAsia="en-GB"/>
              </w:rPr>
              <w:t>2,353,470</w:t>
            </w:r>
          </w:p>
        </w:tc>
      </w:tr>
      <w:tr w:rsidR="007761C8" w:rsidRPr="00763D95" w:rsidTr="003F0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763D95" w:rsidRDefault="007761C8" w:rsidP="00B9259E">
            <w:pPr>
              <w:rPr>
                <w:lang w:eastAsia="en-GB"/>
              </w:rPr>
            </w:pPr>
            <w:r w:rsidRPr="00763D95">
              <w:rPr>
                <w:lang w:eastAsia="en-GB"/>
              </w:rPr>
              <w:t>Retirement benefit costs</w:t>
            </w:r>
          </w:p>
        </w:tc>
        <w:tc>
          <w:tcPr>
            <w:tcW w:w="0" w:type="auto"/>
          </w:tcPr>
          <w:p w:rsidR="007761C8" w:rsidRPr="00763D95" w:rsidRDefault="007761C8" w:rsidP="00B9259E">
            <w:pPr>
              <w:cnfStyle w:val="000000100000" w:firstRow="0" w:lastRow="0" w:firstColumn="0" w:lastColumn="0" w:oddVBand="0" w:evenVBand="0" w:oddHBand="1" w:evenHBand="0" w:firstRowFirstColumn="0" w:firstRowLastColumn="0" w:lastRowFirstColumn="0" w:lastRowLastColumn="0"/>
              <w:rPr>
                <w:lang w:eastAsia="en-GB"/>
              </w:rPr>
            </w:pPr>
            <w:r w:rsidRPr="00763D95">
              <w:rPr>
                <w:lang w:eastAsia="en-GB"/>
              </w:rPr>
              <w:t>6</w:t>
            </w:r>
          </w:p>
        </w:tc>
        <w:tc>
          <w:tcPr>
            <w:tcW w:w="0" w:type="auto"/>
          </w:tcPr>
          <w:p w:rsidR="007761C8" w:rsidRPr="00763D95" w:rsidRDefault="007761C8" w:rsidP="00B9259E">
            <w:pPr>
              <w:jc w:val="right"/>
              <w:cnfStyle w:val="000000100000" w:firstRow="0" w:lastRow="0" w:firstColumn="0" w:lastColumn="0" w:oddVBand="0" w:evenVBand="0" w:oddHBand="1" w:evenHBand="0" w:firstRowFirstColumn="0" w:firstRowLastColumn="0" w:lastRowFirstColumn="0" w:lastRowLastColumn="0"/>
              <w:rPr>
                <w:lang w:eastAsia="en-GB"/>
              </w:rPr>
            </w:pPr>
            <w:r w:rsidRPr="00763D95">
              <w:rPr>
                <w:lang w:eastAsia="en-GB"/>
              </w:rPr>
              <w:t>1,229,000</w:t>
            </w:r>
          </w:p>
        </w:tc>
        <w:tc>
          <w:tcPr>
            <w:tcW w:w="0" w:type="auto"/>
          </w:tcPr>
          <w:p w:rsidR="007761C8" w:rsidRPr="00763D95" w:rsidRDefault="007761C8" w:rsidP="00B9259E">
            <w:pPr>
              <w:jc w:val="right"/>
              <w:cnfStyle w:val="000000100000" w:firstRow="0" w:lastRow="0" w:firstColumn="0" w:lastColumn="0" w:oddVBand="0" w:evenVBand="0" w:oddHBand="1" w:evenHBand="0" w:firstRowFirstColumn="0" w:firstRowLastColumn="0" w:lastRowFirstColumn="0" w:lastRowLastColumn="0"/>
              <w:rPr>
                <w:lang w:eastAsia="en-GB"/>
              </w:rPr>
            </w:pPr>
            <w:r w:rsidRPr="00763D95">
              <w:rPr>
                <w:lang w:eastAsia="en-GB"/>
              </w:rPr>
              <w:t>1,236,210</w:t>
            </w:r>
          </w:p>
        </w:tc>
      </w:tr>
      <w:tr w:rsidR="007761C8" w:rsidRPr="00763D95" w:rsidTr="00495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763D95" w:rsidRDefault="007761C8" w:rsidP="00B9259E">
            <w:pPr>
              <w:rPr>
                <w:lang w:eastAsia="en-GB"/>
              </w:rPr>
            </w:pPr>
            <w:r w:rsidRPr="00763D95">
              <w:rPr>
                <w:lang w:eastAsia="en-GB"/>
              </w:rPr>
              <w:t>Reduction in Value of Fixed Assets</w:t>
            </w:r>
          </w:p>
        </w:tc>
        <w:tc>
          <w:tcPr>
            <w:tcW w:w="0" w:type="auto"/>
          </w:tcPr>
          <w:p w:rsidR="007761C8" w:rsidRPr="00763D95" w:rsidRDefault="007761C8" w:rsidP="00B9259E">
            <w:pPr>
              <w:cnfStyle w:val="000000010000" w:firstRow="0" w:lastRow="0" w:firstColumn="0" w:lastColumn="0" w:oddVBand="0" w:evenVBand="0" w:oddHBand="0" w:evenHBand="1" w:firstRowFirstColumn="0" w:firstRowLastColumn="0" w:lastRowFirstColumn="0" w:lastRowLastColumn="0"/>
              <w:rPr>
                <w:lang w:eastAsia="en-GB"/>
              </w:rPr>
            </w:pPr>
            <w:r w:rsidRPr="00763D95">
              <w:rPr>
                <w:lang w:eastAsia="en-GB"/>
              </w:rPr>
              <w:t>7</w:t>
            </w:r>
          </w:p>
        </w:tc>
        <w:tc>
          <w:tcPr>
            <w:tcW w:w="0" w:type="auto"/>
            <w:tcBorders>
              <w:bottom w:val="single" w:sz="8" w:space="0" w:color="000000" w:themeColor="text1"/>
            </w:tcBorders>
          </w:tcPr>
          <w:p w:rsidR="007761C8" w:rsidRPr="00763D95" w:rsidRDefault="00A80E34" w:rsidP="00A80E34">
            <w:pPr>
              <w:jc w:val="right"/>
              <w:cnfStyle w:val="000000010000" w:firstRow="0" w:lastRow="0" w:firstColumn="0" w:lastColumn="0" w:oddVBand="0" w:evenVBand="0" w:oddHBand="0" w:evenHBand="1" w:firstRowFirstColumn="0" w:firstRowLastColumn="0" w:lastRowFirstColumn="0" w:lastRowLastColumn="0"/>
              <w:rPr>
                <w:lang w:eastAsia="en-GB"/>
              </w:rPr>
            </w:pPr>
            <w:r>
              <w:rPr>
                <w:lang w:eastAsia="en-GB"/>
              </w:rPr>
              <w:t>78,46</w:t>
            </w:r>
            <w:r w:rsidR="002B1893">
              <w:rPr>
                <w:lang w:eastAsia="en-GB"/>
              </w:rPr>
              <w:t>8</w:t>
            </w:r>
          </w:p>
        </w:tc>
        <w:tc>
          <w:tcPr>
            <w:tcW w:w="0" w:type="auto"/>
            <w:tcBorders>
              <w:bottom w:val="single" w:sz="8" w:space="0" w:color="000000" w:themeColor="text1"/>
            </w:tcBorders>
          </w:tcPr>
          <w:p w:rsidR="007761C8" w:rsidRPr="00763D95" w:rsidRDefault="007761C8" w:rsidP="00B9259E">
            <w:pPr>
              <w:jc w:val="right"/>
              <w:cnfStyle w:val="000000010000" w:firstRow="0" w:lastRow="0" w:firstColumn="0" w:lastColumn="0" w:oddVBand="0" w:evenVBand="0" w:oddHBand="0" w:evenHBand="1" w:firstRowFirstColumn="0" w:firstRowLastColumn="0" w:lastRowFirstColumn="0" w:lastRowLastColumn="0"/>
              <w:rPr>
                <w:lang w:eastAsia="en-GB"/>
              </w:rPr>
            </w:pPr>
            <w:r w:rsidRPr="00763D95">
              <w:rPr>
                <w:lang w:eastAsia="en-GB"/>
              </w:rPr>
              <w:t>73,963</w:t>
            </w:r>
          </w:p>
        </w:tc>
      </w:tr>
      <w:tr w:rsidR="007761C8" w:rsidRPr="00495E27" w:rsidTr="00495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495E27" w:rsidRDefault="007761C8" w:rsidP="003F06BD">
            <w:pPr>
              <w:rPr>
                <w:b/>
                <w:lang w:eastAsia="en-GB"/>
              </w:rPr>
            </w:pPr>
            <w:r w:rsidRPr="00495E27">
              <w:rPr>
                <w:b/>
                <w:lang w:eastAsia="en-GB"/>
              </w:rPr>
              <w:t>Total Expenditure</w:t>
            </w:r>
          </w:p>
        </w:tc>
        <w:tc>
          <w:tcPr>
            <w:tcW w:w="0" w:type="auto"/>
          </w:tcPr>
          <w:p w:rsidR="007761C8" w:rsidRPr="00495E27" w:rsidRDefault="007761C8" w:rsidP="00B9259E">
            <w:pPr>
              <w:cnfStyle w:val="000000100000" w:firstRow="0" w:lastRow="0" w:firstColumn="0" w:lastColumn="0" w:oddVBand="0" w:evenVBand="0" w:oddHBand="1" w:evenHBand="0" w:firstRowFirstColumn="0" w:firstRowLastColumn="0" w:lastRowFirstColumn="0" w:lastRowLastColumn="0"/>
              <w:rPr>
                <w:b/>
                <w:lang w:eastAsia="en-GB"/>
              </w:rPr>
            </w:pPr>
          </w:p>
        </w:tc>
        <w:tc>
          <w:tcPr>
            <w:tcW w:w="0" w:type="auto"/>
            <w:tcBorders>
              <w:top w:val="single" w:sz="8" w:space="0" w:color="000000" w:themeColor="text1"/>
              <w:bottom w:val="single" w:sz="8" w:space="0" w:color="000000" w:themeColor="text1"/>
            </w:tcBorders>
          </w:tcPr>
          <w:p w:rsidR="007761C8" w:rsidRPr="00495E27" w:rsidRDefault="002B1893" w:rsidP="00B9259E">
            <w:pPr>
              <w:jc w:val="right"/>
              <w:cnfStyle w:val="000000100000" w:firstRow="0" w:lastRow="0" w:firstColumn="0" w:lastColumn="0" w:oddVBand="0" w:evenVBand="0" w:oddHBand="1" w:evenHBand="0" w:firstRowFirstColumn="0" w:firstRowLastColumn="0" w:lastRowFirstColumn="0" w:lastRowLastColumn="0"/>
              <w:rPr>
                <w:b/>
                <w:bCs/>
                <w:lang w:eastAsia="en-GB"/>
              </w:rPr>
            </w:pPr>
            <w:r>
              <w:rPr>
                <w:b/>
                <w:bCs/>
                <w:lang w:eastAsia="en-GB"/>
              </w:rPr>
              <w:t>4,468,998</w:t>
            </w:r>
          </w:p>
        </w:tc>
        <w:tc>
          <w:tcPr>
            <w:tcW w:w="0" w:type="auto"/>
            <w:tcBorders>
              <w:top w:val="single" w:sz="8" w:space="0" w:color="000000" w:themeColor="text1"/>
              <w:bottom w:val="single" w:sz="8" w:space="0" w:color="000000" w:themeColor="text1"/>
            </w:tcBorders>
          </w:tcPr>
          <w:p w:rsidR="007761C8" w:rsidRPr="00495E27" w:rsidRDefault="007761C8" w:rsidP="00B9259E">
            <w:pPr>
              <w:jc w:val="right"/>
              <w:cnfStyle w:val="000000100000" w:firstRow="0" w:lastRow="0" w:firstColumn="0" w:lastColumn="0" w:oddVBand="0" w:evenVBand="0" w:oddHBand="1" w:evenHBand="0" w:firstRowFirstColumn="0" w:firstRowLastColumn="0" w:lastRowFirstColumn="0" w:lastRowLastColumn="0"/>
              <w:rPr>
                <w:b/>
                <w:bCs/>
                <w:lang w:eastAsia="en-GB"/>
              </w:rPr>
            </w:pPr>
            <w:r w:rsidRPr="00495E27">
              <w:rPr>
                <w:b/>
                <w:bCs/>
                <w:lang w:eastAsia="en-GB"/>
              </w:rPr>
              <w:t>4,038,563</w:t>
            </w:r>
          </w:p>
        </w:tc>
      </w:tr>
      <w:tr w:rsidR="007761C8" w:rsidRPr="00495E27" w:rsidTr="00495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495E27" w:rsidRDefault="007761C8" w:rsidP="00B9259E">
            <w:pPr>
              <w:rPr>
                <w:b/>
                <w:lang w:eastAsia="en-GB"/>
              </w:rPr>
            </w:pPr>
            <w:r w:rsidRPr="00495E27">
              <w:rPr>
                <w:b/>
                <w:lang w:eastAsia="en-GB"/>
              </w:rPr>
              <w:t>Surplus / (Deficit) for the Year before Appropriations</w:t>
            </w:r>
          </w:p>
        </w:tc>
        <w:tc>
          <w:tcPr>
            <w:tcW w:w="0" w:type="auto"/>
          </w:tcPr>
          <w:p w:rsidR="007761C8" w:rsidRPr="00495E27" w:rsidRDefault="007761C8" w:rsidP="00B9259E">
            <w:pPr>
              <w:cnfStyle w:val="000000010000" w:firstRow="0" w:lastRow="0" w:firstColumn="0" w:lastColumn="0" w:oddVBand="0" w:evenVBand="0" w:oddHBand="0" w:evenHBand="1" w:firstRowFirstColumn="0" w:firstRowLastColumn="0" w:lastRowFirstColumn="0" w:lastRowLastColumn="0"/>
              <w:rPr>
                <w:b/>
                <w:lang w:eastAsia="en-GB"/>
              </w:rPr>
            </w:pPr>
          </w:p>
        </w:tc>
        <w:tc>
          <w:tcPr>
            <w:tcW w:w="0" w:type="auto"/>
            <w:tcBorders>
              <w:top w:val="single" w:sz="8" w:space="0" w:color="000000" w:themeColor="text1"/>
              <w:bottom w:val="none" w:sz="0" w:space="0" w:color="auto"/>
            </w:tcBorders>
          </w:tcPr>
          <w:p w:rsidR="007761C8" w:rsidRPr="00495E27" w:rsidRDefault="002B1893" w:rsidP="00B9259E">
            <w:pPr>
              <w:jc w:val="right"/>
              <w:cnfStyle w:val="000000010000" w:firstRow="0" w:lastRow="0" w:firstColumn="0" w:lastColumn="0" w:oddVBand="0" w:evenVBand="0" w:oddHBand="0" w:evenHBand="1" w:firstRowFirstColumn="0" w:firstRowLastColumn="0" w:lastRowFirstColumn="0" w:lastRowLastColumn="0"/>
              <w:rPr>
                <w:b/>
                <w:bCs/>
                <w:lang w:eastAsia="en-GB"/>
              </w:rPr>
            </w:pPr>
            <w:r>
              <w:rPr>
                <w:b/>
                <w:bCs/>
                <w:lang w:eastAsia="en-GB"/>
              </w:rPr>
              <w:t>77,852</w:t>
            </w:r>
          </w:p>
        </w:tc>
        <w:tc>
          <w:tcPr>
            <w:tcW w:w="0" w:type="auto"/>
            <w:tcBorders>
              <w:top w:val="single" w:sz="8" w:space="0" w:color="000000" w:themeColor="text1"/>
              <w:bottom w:val="none" w:sz="0" w:space="0" w:color="auto"/>
            </w:tcBorders>
          </w:tcPr>
          <w:p w:rsidR="007761C8" w:rsidRPr="00495E27" w:rsidRDefault="007761C8" w:rsidP="00B9259E">
            <w:pPr>
              <w:jc w:val="right"/>
              <w:cnfStyle w:val="000000010000" w:firstRow="0" w:lastRow="0" w:firstColumn="0" w:lastColumn="0" w:oddVBand="0" w:evenVBand="0" w:oddHBand="0" w:evenHBand="1" w:firstRowFirstColumn="0" w:firstRowLastColumn="0" w:lastRowFirstColumn="0" w:lastRowLastColumn="0"/>
              <w:rPr>
                <w:b/>
                <w:bCs/>
                <w:lang w:eastAsia="en-GB"/>
              </w:rPr>
            </w:pPr>
            <w:r w:rsidRPr="00495E27">
              <w:rPr>
                <w:b/>
                <w:bCs/>
                <w:lang w:eastAsia="en-GB"/>
              </w:rPr>
              <w:t>2,394</w:t>
            </w:r>
          </w:p>
        </w:tc>
      </w:tr>
      <w:tr w:rsidR="002B1893" w:rsidRPr="00763D95" w:rsidTr="00495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B1893" w:rsidRPr="00763D95" w:rsidRDefault="002B1893" w:rsidP="00B9259E">
            <w:pPr>
              <w:rPr>
                <w:lang w:eastAsia="en-GB"/>
              </w:rPr>
            </w:pPr>
            <w:r w:rsidRPr="00763D95">
              <w:rPr>
                <w:lang w:eastAsia="en-GB"/>
              </w:rPr>
              <w:t>Transfer from/(to) the Capital Account</w:t>
            </w:r>
          </w:p>
        </w:tc>
        <w:tc>
          <w:tcPr>
            <w:tcW w:w="0" w:type="auto"/>
          </w:tcPr>
          <w:p w:rsidR="002B1893" w:rsidRPr="00763D95" w:rsidRDefault="002B1893" w:rsidP="00B9259E">
            <w:pPr>
              <w:cnfStyle w:val="000000100000" w:firstRow="0" w:lastRow="0" w:firstColumn="0" w:lastColumn="0" w:oddVBand="0" w:evenVBand="0" w:oddHBand="1" w:evenHBand="0" w:firstRowFirstColumn="0" w:firstRowLastColumn="0" w:lastRowFirstColumn="0" w:lastRowLastColumn="0"/>
              <w:rPr>
                <w:lang w:eastAsia="en-GB"/>
              </w:rPr>
            </w:pPr>
            <w:r w:rsidRPr="00763D95">
              <w:rPr>
                <w:lang w:eastAsia="en-GB"/>
              </w:rPr>
              <w:t>8</w:t>
            </w:r>
          </w:p>
        </w:tc>
        <w:tc>
          <w:tcPr>
            <w:tcW w:w="0" w:type="auto"/>
            <w:tcBorders>
              <w:bottom w:val="single" w:sz="8" w:space="0" w:color="000000" w:themeColor="text1"/>
            </w:tcBorders>
          </w:tcPr>
          <w:p w:rsidR="002B1893" w:rsidRPr="00763D95" w:rsidRDefault="002B1893" w:rsidP="00B37D96">
            <w:pPr>
              <w:jc w:val="right"/>
              <w:cnfStyle w:val="000000100000" w:firstRow="0" w:lastRow="0" w:firstColumn="0" w:lastColumn="0" w:oddVBand="0" w:evenVBand="0" w:oddHBand="1" w:evenHBand="0" w:firstRowFirstColumn="0" w:firstRowLastColumn="0" w:lastRowFirstColumn="0" w:lastRowLastColumn="0"/>
              <w:rPr>
                <w:lang w:eastAsia="en-GB"/>
              </w:rPr>
            </w:pPr>
            <w:r>
              <w:rPr>
                <w:lang w:eastAsia="en-GB"/>
              </w:rPr>
              <w:t>78,</w:t>
            </w:r>
            <w:r w:rsidR="00B37D96">
              <w:rPr>
                <w:lang w:eastAsia="en-GB"/>
              </w:rPr>
              <w:t>46</w:t>
            </w:r>
            <w:r>
              <w:rPr>
                <w:lang w:eastAsia="en-GB"/>
              </w:rPr>
              <w:t>8</w:t>
            </w:r>
          </w:p>
        </w:tc>
        <w:tc>
          <w:tcPr>
            <w:tcW w:w="0" w:type="auto"/>
            <w:tcBorders>
              <w:bottom w:val="single" w:sz="8" w:space="0" w:color="000000" w:themeColor="text1"/>
            </w:tcBorders>
          </w:tcPr>
          <w:p w:rsidR="002B1893" w:rsidRPr="00763D95" w:rsidRDefault="002B1893" w:rsidP="00B9259E">
            <w:pPr>
              <w:jc w:val="right"/>
              <w:cnfStyle w:val="000000100000" w:firstRow="0" w:lastRow="0" w:firstColumn="0" w:lastColumn="0" w:oddVBand="0" w:evenVBand="0" w:oddHBand="1" w:evenHBand="0" w:firstRowFirstColumn="0" w:firstRowLastColumn="0" w:lastRowFirstColumn="0" w:lastRowLastColumn="0"/>
              <w:rPr>
                <w:lang w:eastAsia="en-GB"/>
              </w:rPr>
            </w:pPr>
            <w:r w:rsidRPr="00763D95">
              <w:rPr>
                <w:lang w:eastAsia="en-GB"/>
              </w:rPr>
              <w:t>68,784</w:t>
            </w:r>
          </w:p>
        </w:tc>
      </w:tr>
      <w:tr w:rsidR="007761C8" w:rsidRPr="00495E27" w:rsidTr="00495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495E27" w:rsidRDefault="007761C8" w:rsidP="00B9259E">
            <w:pPr>
              <w:rPr>
                <w:b/>
                <w:lang w:eastAsia="en-GB"/>
              </w:rPr>
            </w:pPr>
            <w:r w:rsidRPr="00495E27">
              <w:rPr>
                <w:b/>
                <w:lang w:eastAsia="en-GB"/>
              </w:rPr>
              <w:t>Surplus / (Deficit) for the Year after Appropriations</w:t>
            </w:r>
          </w:p>
        </w:tc>
        <w:tc>
          <w:tcPr>
            <w:tcW w:w="0" w:type="auto"/>
          </w:tcPr>
          <w:p w:rsidR="007761C8" w:rsidRPr="00495E27" w:rsidRDefault="007761C8" w:rsidP="00B9259E">
            <w:pPr>
              <w:cnfStyle w:val="000000010000" w:firstRow="0" w:lastRow="0" w:firstColumn="0" w:lastColumn="0" w:oddVBand="0" w:evenVBand="0" w:oddHBand="0" w:evenHBand="1" w:firstRowFirstColumn="0" w:firstRowLastColumn="0" w:lastRowFirstColumn="0" w:lastRowLastColumn="0"/>
              <w:rPr>
                <w:b/>
                <w:lang w:eastAsia="en-GB"/>
              </w:rPr>
            </w:pPr>
          </w:p>
        </w:tc>
        <w:tc>
          <w:tcPr>
            <w:tcW w:w="0" w:type="auto"/>
            <w:tcBorders>
              <w:top w:val="single" w:sz="8" w:space="0" w:color="000000" w:themeColor="text1"/>
            </w:tcBorders>
          </w:tcPr>
          <w:p w:rsidR="007761C8" w:rsidRPr="00495E27" w:rsidRDefault="00286A92" w:rsidP="00B9259E">
            <w:pPr>
              <w:jc w:val="right"/>
              <w:cnfStyle w:val="000000010000" w:firstRow="0" w:lastRow="0" w:firstColumn="0" w:lastColumn="0" w:oddVBand="0" w:evenVBand="0" w:oddHBand="0" w:evenHBand="1" w:firstRowFirstColumn="0" w:firstRowLastColumn="0" w:lastRowFirstColumn="0" w:lastRowLastColumn="0"/>
              <w:rPr>
                <w:b/>
                <w:bCs/>
                <w:lang w:eastAsia="en-GB"/>
              </w:rPr>
            </w:pPr>
            <w:r>
              <w:rPr>
                <w:b/>
                <w:bCs/>
                <w:lang w:eastAsia="en-GB"/>
              </w:rPr>
              <w:t>156,320</w:t>
            </w:r>
          </w:p>
        </w:tc>
        <w:tc>
          <w:tcPr>
            <w:tcW w:w="0" w:type="auto"/>
            <w:tcBorders>
              <w:top w:val="single" w:sz="8" w:space="0" w:color="000000" w:themeColor="text1"/>
            </w:tcBorders>
          </w:tcPr>
          <w:p w:rsidR="007761C8" w:rsidRPr="00495E27" w:rsidRDefault="007761C8" w:rsidP="00B9259E">
            <w:pPr>
              <w:jc w:val="right"/>
              <w:cnfStyle w:val="000000010000" w:firstRow="0" w:lastRow="0" w:firstColumn="0" w:lastColumn="0" w:oddVBand="0" w:evenVBand="0" w:oddHBand="0" w:evenHBand="1" w:firstRowFirstColumn="0" w:firstRowLastColumn="0" w:lastRowFirstColumn="0" w:lastRowLastColumn="0"/>
              <w:rPr>
                <w:b/>
                <w:bCs/>
                <w:lang w:eastAsia="en-GB"/>
              </w:rPr>
            </w:pPr>
            <w:r w:rsidRPr="00495E27">
              <w:rPr>
                <w:b/>
                <w:bCs/>
                <w:lang w:eastAsia="en-GB"/>
              </w:rPr>
              <w:t>71,178</w:t>
            </w:r>
          </w:p>
        </w:tc>
      </w:tr>
      <w:tr w:rsidR="007761C8" w:rsidRPr="00763D95" w:rsidTr="00495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763D95" w:rsidRDefault="007761C8" w:rsidP="00B9259E">
            <w:pPr>
              <w:rPr>
                <w:lang w:eastAsia="en-GB"/>
              </w:rPr>
            </w:pPr>
            <w:r w:rsidRPr="00763D95">
              <w:rPr>
                <w:lang w:eastAsia="en-GB"/>
              </w:rPr>
              <w:t xml:space="preserve">Balance Brought Forward at 1 January </w:t>
            </w:r>
          </w:p>
        </w:tc>
        <w:tc>
          <w:tcPr>
            <w:tcW w:w="0" w:type="auto"/>
          </w:tcPr>
          <w:p w:rsidR="007761C8" w:rsidRPr="00763D95" w:rsidRDefault="007761C8" w:rsidP="00B9259E">
            <w:pPr>
              <w:cnfStyle w:val="000000100000" w:firstRow="0" w:lastRow="0" w:firstColumn="0" w:lastColumn="0" w:oddVBand="0" w:evenVBand="0" w:oddHBand="1" w:evenHBand="0" w:firstRowFirstColumn="0" w:firstRowLastColumn="0" w:lastRowFirstColumn="0" w:lastRowLastColumn="0"/>
              <w:rPr>
                <w:lang w:eastAsia="en-GB"/>
              </w:rPr>
            </w:pPr>
          </w:p>
        </w:tc>
        <w:tc>
          <w:tcPr>
            <w:tcW w:w="0" w:type="auto"/>
            <w:tcBorders>
              <w:bottom w:val="single" w:sz="8" w:space="0" w:color="000000" w:themeColor="text1"/>
            </w:tcBorders>
          </w:tcPr>
          <w:p w:rsidR="007761C8" w:rsidRPr="00763D95" w:rsidRDefault="007761C8" w:rsidP="00B9259E">
            <w:pPr>
              <w:jc w:val="right"/>
              <w:cnfStyle w:val="000000100000" w:firstRow="0" w:lastRow="0" w:firstColumn="0" w:lastColumn="0" w:oddVBand="0" w:evenVBand="0" w:oddHBand="1" w:evenHBand="0" w:firstRowFirstColumn="0" w:firstRowLastColumn="0" w:lastRowFirstColumn="0" w:lastRowLastColumn="0"/>
              <w:rPr>
                <w:lang w:eastAsia="en-GB"/>
              </w:rPr>
            </w:pPr>
            <w:r w:rsidRPr="00763D95">
              <w:rPr>
                <w:lang w:eastAsia="en-GB"/>
              </w:rPr>
              <w:t>268,846</w:t>
            </w:r>
          </w:p>
        </w:tc>
        <w:tc>
          <w:tcPr>
            <w:tcW w:w="0" w:type="auto"/>
            <w:tcBorders>
              <w:bottom w:val="single" w:sz="8" w:space="0" w:color="000000" w:themeColor="text1"/>
            </w:tcBorders>
          </w:tcPr>
          <w:p w:rsidR="007761C8" w:rsidRPr="00763D95" w:rsidRDefault="007761C8" w:rsidP="00B9259E">
            <w:pPr>
              <w:jc w:val="right"/>
              <w:cnfStyle w:val="000000100000" w:firstRow="0" w:lastRow="0" w:firstColumn="0" w:lastColumn="0" w:oddVBand="0" w:evenVBand="0" w:oddHBand="1" w:evenHBand="0" w:firstRowFirstColumn="0" w:firstRowLastColumn="0" w:lastRowFirstColumn="0" w:lastRowLastColumn="0"/>
              <w:rPr>
                <w:lang w:eastAsia="en-GB"/>
              </w:rPr>
            </w:pPr>
            <w:r w:rsidRPr="00763D95">
              <w:rPr>
                <w:lang w:eastAsia="en-GB"/>
              </w:rPr>
              <w:t>197,668</w:t>
            </w:r>
          </w:p>
        </w:tc>
      </w:tr>
      <w:tr w:rsidR="007761C8" w:rsidRPr="00495E27" w:rsidTr="00495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495E27" w:rsidRDefault="007761C8" w:rsidP="00B9259E">
            <w:pPr>
              <w:rPr>
                <w:b/>
                <w:lang w:eastAsia="en-GB"/>
              </w:rPr>
            </w:pPr>
            <w:r w:rsidRPr="00495E27">
              <w:rPr>
                <w:b/>
                <w:lang w:eastAsia="en-GB"/>
              </w:rPr>
              <w:t xml:space="preserve">Balance Carried Forward at 31 December </w:t>
            </w:r>
          </w:p>
        </w:tc>
        <w:tc>
          <w:tcPr>
            <w:tcW w:w="0" w:type="auto"/>
          </w:tcPr>
          <w:p w:rsidR="007761C8" w:rsidRPr="00495E27" w:rsidRDefault="007761C8" w:rsidP="00B9259E">
            <w:pPr>
              <w:cnfStyle w:val="000000010000" w:firstRow="0" w:lastRow="0" w:firstColumn="0" w:lastColumn="0" w:oddVBand="0" w:evenVBand="0" w:oddHBand="0" w:evenHBand="1" w:firstRowFirstColumn="0" w:firstRowLastColumn="0" w:lastRowFirstColumn="0" w:lastRowLastColumn="0"/>
              <w:rPr>
                <w:b/>
                <w:lang w:eastAsia="en-GB"/>
              </w:rPr>
            </w:pPr>
          </w:p>
        </w:tc>
        <w:tc>
          <w:tcPr>
            <w:tcW w:w="0" w:type="auto"/>
            <w:tcBorders>
              <w:top w:val="single" w:sz="8" w:space="0" w:color="000000" w:themeColor="text1"/>
              <w:bottom w:val="double" w:sz="4" w:space="0" w:color="auto"/>
            </w:tcBorders>
          </w:tcPr>
          <w:p w:rsidR="007761C8" w:rsidRPr="00495E27" w:rsidRDefault="00286A92" w:rsidP="00B9259E">
            <w:pPr>
              <w:jc w:val="right"/>
              <w:cnfStyle w:val="000000010000" w:firstRow="0" w:lastRow="0" w:firstColumn="0" w:lastColumn="0" w:oddVBand="0" w:evenVBand="0" w:oddHBand="0" w:evenHBand="1" w:firstRowFirstColumn="0" w:firstRowLastColumn="0" w:lastRowFirstColumn="0" w:lastRowLastColumn="0"/>
              <w:rPr>
                <w:b/>
                <w:lang w:eastAsia="en-GB"/>
              </w:rPr>
            </w:pPr>
            <w:r>
              <w:rPr>
                <w:b/>
                <w:lang w:eastAsia="en-GB"/>
              </w:rPr>
              <w:t>425,166</w:t>
            </w:r>
          </w:p>
        </w:tc>
        <w:tc>
          <w:tcPr>
            <w:tcW w:w="0" w:type="auto"/>
            <w:tcBorders>
              <w:top w:val="single" w:sz="8" w:space="0" w:color="000000" w:themeColor="text1"/>
              <w:bottom w:val="double" w:sz="4" w:space="0" w:color="auto"/>
            </w:tcBorders>
          </w:tcPr>
          <w:p w:rsidR="007761C8" w:rsidRPr="00495E27" w:rsidRDefault="007761C8" w:rsidP="00B9259E">
            <w:pPr>
              <w:jc w:val="right"/>
              <w:cnfStyle w:val="000000010000" w:firstRow="0" w:lastRow="0" w:firstColumn="0" w:lastColumn="0" w:oddVBand="0" w:evenVBand="0" w:oddHBand="0" w:evenHBand="1" w:firstRowFirstColumn="0" w:firstRowLastColumn="0" w:lastRowFirstColumn="0" w:lastRowLastColumn="0"/>
              <w:rPr>
                <w:b/>
                <w:lang w:eastAsia="en-GB"/>
              </w:rPr>
            </w:pPr>
            <w:r w:rsidRPr="00495E27">
              <w:rPr>
                <w:b/>
                <w:lang w:eastAsia="en-GB"/>
              </w:rPr>
              <w:t>268,846</w:t>
            </w:r>
          </w:p>
        </w:tc>
      </w:tr>
    </w:tbl>
    <w:p w:rsidR="007761C8" w:rsidRPr="00763D95" w:rsidRDefault="007761C8" w:rsidP="007761C8">
      <w:pPr>
        <w:rPr>
          <w:lang w:eastAsia="en-GB"/>
        </w:rPr>
      </w:pPr>
    </w:p>
    <w:p w:rsidR="007761C8" w:rsidRPr="007761C8" w:rsidRDefault="007761C8" w:rsidP="009C0B80">
      <w:pPr>
        <w:rPr>
          <w:lang w:eastAsia="en-GB"/>
        </w:rPr>
      </w:pPr>
      <w:r w:rsidRPr="007761C8">
        <w:rPr>
          <w:lang w:eastAsia="en-GB"/>
        </w:rPr>
        <w:t>All income and expenditure for the year relates to continuing activities at the balance sheet date.</w:t>
      </w:r>
    </w:p>
    <w:p w:rsidR="007761C8" w:rsidRPr="007761C8" w:rsidRDefault="007761C8" w:rsidP="009C0B80">
      <w:pPr>
        <w:rPr>
          <w:lang w:eastAsia="en-GB"/>
        </w:rPr>
      </w:pPr>
      <w:r w:rsidRPr="007761C8">
        <w:rPr>
          <w:lang w:eastAsia="en-GB"/>
        </w:rPr>
        <w:t>The Statement of Income and Expenditure and Retained Revenue Reserves includes all gains and losses recognised in the year.</w:t>
      </w:r>
    </w:p>
    <w:p w:rsidR="007761C8" w:rsidRPr="007761C8" w:rsidRDefault="007761C8" w:rsidP="009C0B80">
      <w:pPr>
        <w:rPr>
          <w:lang w:eastAsia="en-GB"/>
        </w:rPr>
      </w:pPr>
      <w:r w:rsidRPr="007761C8">
        <w:rPr>
          <w:lang w:eastAsia="en-GB"/>
        </w:rPr>
        <w:t>The Statement of Cash Flows and notes 1 to 1</w:t>
      </w:r>
      <w:r w:rsidR="00240A16">
        <w:rPr>
          <w:lang w:eastAsia="en-GB"/>
        </w:rPr>
        <w:t>2</w:t>
      </w:r>
      <w:r w:rsidRPr="007761C8">
        <w:rPr>
          <w:lang w:eastAsia="en-GB"/>
        </w:rPr>
        <w:t xml:space="preserve"> form part of these financial statements.</w:t>
      </w:r>
    </w:p>
    <w:p w:rsidR="009C0B80" w:rsidRDefault="009C0B80" w:rsidP="009C0B80">
      <w:pPr>
        <w:rPr>
          <w:lang w:eastAsia="en-GB"/>
        </w:rPr>
        <w:sectPr w:rsidR="009C0B80" w:rsidSect="00DF245D">
          <w:headerReference w:type="default" r:id="rId14"/>
          <w:footerReference w:type="default" r:id="rId15"/>
          <w:type w:val="continuous"/>
          <w:pgSz w:w="11907" w:h="16840" w:code="9"/>
          <w:pgMar w:top="1985" w:right="1985" w:bottom="1985" w:left="1985" w:header="709" w:footer="709" w:gutter="0"/>
          <w:pgNumType w:chapStyle="1" w:chapSep="emDash"/>
          <w:cols w:space="708"/>
          <w:rtlGutter/>
          <w:docGrid w:linePitch="360"/>
        </w:sectPr>
      </w:pPr>
      <w:r w:rsidRPr="007761C8">
        <w:rPr>
          <w:lang w:eastAsia="en-GB"/>
        </w:rPr>
        <w:t>On behalf of the board of National Disability Authority (NDA)</w:t>
      </w:r>
    </w:p>
    <w:p w:rsidR="009C0B80" w:rsidRDefault="00A80E34" w:rsidP="009C0B80">
      <w:pPr>
        <w:rPr>
          <w:lang w:eastAsia="en-GB"/>
        </w:rPr>
      </w:pPr>
      <w:r w:rsidRPr="00A80E34">
        <w:rPr>
          <w:noProof/>
          <w:lang w:eastAsia="en-IE"/>
        </w:rPr>
        <w:drawing>
          <wp:inline distT="0" distB="0" distL="0" distR="0">
            <wp:extent cx="2294890" cy="637998"/>
            <wp:effectExtent l="19050" t="0" r="0" b="0"/>
            <wp:docPr id="8" name="Picture 1" descr="Helen Guina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294890" cy="637998"/>
                    </a:xfrm>
                    <a:prstGeom prst="rect">
                      <a:avLst/>
                    </a:prstGeom>
                    <a:noFill/>
                    <a:ln w="9525">
                      <a:noFill/>
                      <a:miter lim="800000"/>
                      <a:headEnd/>
                      <a:tailEnd/>
                    </a:ln>
                  </pic:spPr>
                </pic:pic>
              </a:graphicData>
            </a:graphic>
          </wp:inline>
        </w:drawing>
      </w:r>
      <w:r w:rsidR="009C0B80">
        <w:rPr>
          <w:lang w:eastAsia="en-GB"/>
        </w:rPr>
        <w:br/>
      </w:r>
      <w:r w:rsidR="009C0B80" w:rsidRPr="007761C8">
        <w:rPr>
          <w:lang w:eastAsia="en-GB"/>
        </w:rPr>
        <w:t>Helen Guinan,</w:t>
      </w:r>
      <w:r w:rsidR="009C0B80">
        <w:rPr>
          <w:lang w:eastAsia="en-GB"/>
        </w:rPr>
        <w:br/>
      </w:r>
      <w:r w:rsidR="009C0B80" w:rsidRPr="007761C8">
        <w:rPr>
          <w:lang w:eastAsia="en-GB"/>
        </w:rPr>
        <w:t>Chairperson</w:t>
      </w:r>
      <w:r w:rsidR="009C0B80">
        <w:rPr>
          <w:lang w:eastAsia="en-GB"/>
        </w:rPr>
        <w:br/>
        <w:t>Date:</w:t>
      </w:r>
      <w:r>
        <w:rPr>
          <w:lang w:eastAsia="en-GB"/>
        </w:rPr>
        <w:t xml:space="preserve"> 24/6/16</w:t>
      </w:r>
    </w:p>
    <w:p w:rsidR="009C0B80" w:rsidRDefault="00A80E34" w:rsidP="007761C8">
      <w:pPr>
        <w:rPr>
          <w:lang w:eastAsia="en-GB"/>
        </w:rPr>
      </w:pPr>
      <w:r w:rsidRPr="00A80E34">
        <w:rPr>
          <w:noProof/>
          <w:lang w:eastAsia="en-IE"/>
        </w:rPr>
        <w:drawing>
          <wp:inline distT="0" distB="0" distL="0" distR="0">
            <wp:extent cx="2294890" cy="624917"/>
            <wp:effectExtent l="19050" t="0" r="0" b="0"/>
            <wp:docPr id="9" name="Picture 3" descr="Siobhan Barr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294890" cy="624917"/>
                    </a:xfrm>
                    <a:prstGeom prst="rect">
                      <a:avLst/>
                    </a:prstGeom>
                    <a:noFill/>
                    <a:ln w="9525">
                      <a:noFill/>
                      <a:miter lim="800000"/>
                      <a:headEnd/>
                      <a:tailEnd/>
                    </a:ln>
                  </pic:spPr>
                </pic:pic>
              </a:graphicData>
            </a:graphic>
          </wp:inline>
        </w:drawing>
      </w:r>
      <w:r w:rsidR="009C0B80">
        <w:rPr>
          <w:lang w:eastAsia="en-GB"/>
        </w:rPr>
        <w:br/>
      </w:r>
      <w:r w:rsidR="009C0B80" w:rsidRPr="007761C8">
        <w:rPr>
          <w:lang w:eastAsia="en-GB"/>
        </w:rPr>
        <w:t>Siobhan Barron,</w:t>
      </w:r>
      <w:r w:rsidR="009C0B80">
        <w:rPr>
          <w:lang w:eastAsia="en-GB"/>
        </w:rPr>
        <w:br/>
      </w:r>
      <w:r w:rsidR="009C0B80" w:rsidRPr="007761C8">
        <w:rPr>
          <w:lang w:eastAsia="en-GB"/>
        </w:rPr>
        <w:t>Director</w:t>
      </w:r>
      <w:r w:rsidR="009C0B80">
        <w:rPr>
          <w:lang w:eastAsia="en-GB"/>
        </w:rPr>
        <w:br/>
      </w:r>
      <w:r w:rsidR="009C0B80" w:rsidRPr="007761C8">
        <w:rPr>
          <w:lang w:eastAsia="en-GB"/>
        </w:rPr>
        <w:t>Date:</w:t>
      </w:r>
      <w:r w:rsidR="00E629D4">
        <w:rPr>
          <w:lang w:eastAsia="en-GB"/>
        </w:rPr>
        <w:t xml:space="preserve"> 29/6/16</w:t>
      </w:r>
    </w:p>
    <w:p w:rsidR="006C4552" w:rsidRDefault="006C4552" w:rsidP="007761C8">
      <w:pPr>
        <w:rPr>
          <w:b/>
          <w:lang w:eastAsia="en-GB"/>
        </w:rPr>
        <w:sectPr w:rsidR="006C4552" w:rsidSect="009C0B80">
          <w:type w:val="continuous"/>
          <w:pgSz w:w="11907" w:h="16840" w:code="9"/>
          <w:pgMar w:top="1985" w:right="1985" w:bottom="1985" w:left="1985" w:header="709" w:footer="709" w:gutter="0"/>
          <w:pgNumType w:chapStyle="1" w:chapSep="emDash"/>
          <w:cols w:num="2" w:space="708"/>
          <w:titlePg/>
          <w:rtlGutter/>
          <w:docGrid w:linePitch="360"/>
        </w:sectPr>
      </w:pPr>
    </w:p>
    <w:p w:rsidR="006C4552" w:rsidRDefault="00E629D4" w:rsidP="005D596A">
      <w:pPr>
        <w:rPr>
          <w:lang w:eastAsia="en-GB"/>
        </w:rPr>
      </w:pPr>
      <w:r>
        <w:rPr>
          <w:lang w:eastAsia="en-GB"/>
        </w:rPr>
        <w:br/>
      </w:r>
      <w:r>
        <w:rPr>
          <w:noProof/>
          <w:lang w:eastAsia="en-IE"/>
        </w:rPr>
        <w:drawing>
          <wp:inline distT="0" distB="0" distL="0" distR="0">
            <wp:extent cx="2507615" cy="471170"/>
            <wp:effectExtent l="19050" t="0" r="6985" b="0"/>
            <wp:docPr id="10" name="Picture 4" descr="Frank Cunnee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507615" cy="471170"/>
                    </a:xfrm>
                    <a:prstGeom prst="rect">
                      <a:avLst/>
                    </a:prstGeom>
                    <a:noFill/>
                    <a:ln w="9525">
                      <a:noFill/>
                      <a:miter lim="800000"/>
                      <a:headEnd/>
                      <a:tailEnd/>
                    </a:ln>
                  </pic:spPr>
                </pic:pic>
              </a:graphicData>
            </a:graphic>
          </wp:inline>
        </w:drawing>
      </w:r>
    </w:p>
    <w:p w:rsidR="006C4552" w:rsidRDefault="006C4552" w:rsidP="005D596A">
      <w:pPr>
        <w:rPr>
          <w:lang w:eastAsia="en-GB"/>
        </w:rPr>
      </w:pPr>
      <w:r>
        <w:rPr>
          <w:lang w:eastAsia="en-GB"/>
        </w:rPr>
        <w:t>Frank Cunneen</w:t>
      </w:r>
      <w:r w:rsidRPr="007761C8">
        <w:rPr>
          <w:lang w:eastAsia="en-GB"/>
        </w:rPr>
        <w:t>,</w:t>
      </w:r>
      <w:r>
        <w:rPr>
          <w:lang w:eastAsia="en-GB"/>
        </w:rPr>
        <w:br/>
        <w:t>Authority Member</w:t>
      </w:r>
      <w:r>
        <w:rPr>
          <w:lang w:eastAsia="en-GB"/>
        </w:rPr>
        <w:br/>
      </w:r>
      <w:r w:rsidRPr="007761C8">
        <w:rPr>
          <w:lang w:eastAsia="en-GB"/>
        </w:rPr>
        <w:t>Date:</w:t>
      </w:r>
      <w:r w:rsidR="00E629D4">
        <w:rPr>
          <w:lang w:eastAsia="en-GB"/>
        </w:rPr>
        <w:t xml:space="preserve"> 28/6/16</w:t>
      </w:r>
    </w:p>
    <w:p w:rsidR="006C4552" w:rsidRDefault="006C4552" w:rsidP="005D596A">
      <w:pPr>
        <w:rPr>
          <w:lang w:eastAsia="en-GB"/>
        </w:rPr>
      </w:pPr>
    </w:p>
    <w:p w:rsidR="006C4552" w:rsidRDefault="006C4552" w:rsidP="005D596A">
      <w:pPr>
        <w:rPr>
          <w:lang w:eastAsia="en-GB"/>
        </w:rPr>
      </w:pPr>
    </w:p>
    <w:p w:rsidR="006C4552" w:rsidRDefault="006C4552" w:rsidP="005D596A">
      <w:pPr>
        <w:rPr>
          <w:lang w:eastAsia="en-GB"/>
        </w:rPr>
      </w:pPr>
    </w:p>
    <w:p w:rsidR="005D596A" w:rsidRDefault="005D596A" w:rsidP="005D596A">
      <w:pPr>
        <w:rPr>
          <w:lang w:eastAsia="en-GB"/>
        </w:rPr>
      </w:pPr>
      <w:r>
        <w:rPr>
          <w:lang w:eastAsia="en-GB"/>
        </w:rPr>
        <w:br w:type="page"/>
      </w:r>
    </w:p>
    <w:p w:rsidR="007761C8" w:rsidRPr="007761C8" w:rsidRDefault="007761C8" w:rsidP="009C0B80">
      <w:pPr>
        <w:rPr>
          <w:lang w:eastAsia="en-GB"/>
        </w:rPr>
      </w:pPr>
      <w:r w:rsidRPr="007761C8">
        <w:rPr>
          <w:lang w:eastAsia="en-GB"/>
        </w:rPr>
        <w:t>National Disability Authority</w:t>
      </w:r>
    </w:p>
    <w:p w:rsidR="007761C8" w:rsidRPr="007761C8" w:rsidRDefault="009C0B80" w:rsidP="009C0B80">
      <w:pPr>
        <w:pStyle w:val="Heading2"/>
        <w:rPr>
          <w:lang w:eastAsia="en-GB"/>
        </w:rPr>
      </w:pPr>
      <w:r w:rsidRPr="007761C8">
        <w:rPr>
          <w:lang w:eastAsia="en-GB"/>
        </w:rPr>
        <w:t xml:space="preserve">Statement </w:t>
      </w:r>
      <w:r>
        <w:rPr>
          <w:lang w:eastAsia="en-GB"/>
        </w:rPr>
        <w:t>o</w:t>
      </w:r>
      <w:r w:rsidRPr="007761C8">
        <w:rPr>
          <w:lang w:eastAsia="en-GB"/>
        </w:rPr>
        <w:t>f Comprehensive Income</w:t>
      </w:r>
    </w:p>
    <w:p w:rsidR="007761C8" w:rsidRPr="007761C8" w:rsidRDefault="007761C8" w:rsidP="009C0B80">
      <w:pPr>
        <w:rPr>
          <w:lang w:eastAsia="en-GB"/>
        </w:rPr>
      </w:pPr>
      <w:r w:rsidRPr="007761C8">
        <w:rPr>
          <w:lang w:eastAsia="en-GB"/>
        </w:rPr>
        <w:t>For the year ended 31 December 2015</w:t>
      </w:r>
    </w:p>
    <w:tbl>
      <w:tblPr>
        <w:tblStyle w:val="LightShading1"/>
        <w:tblW w:w="0" w:type="auto"/>
        <w:tblLook w:val="04A0" w:firstRow="1" w:lastRow="0" w:firstColumn="1" w:lastColumn="0" w:noHBand="0" w:noVBand="1"/>
      </w:tblPr>
      <w:tblGrid>
        <w:gridCol w:w="4683"/>
        <w:gridCol w:w="839"/>
        <w:gridCol w:w="1409"/>
        <w:gridCol w:w="1222"/>
      </w:tblGrid>
      <w:tr w:rsidR="007761C8" w:rsidRPr="00763D95" w:rsidTr="003F06BD">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0" w:type="auto"/>
          </w:tcPr>
          <w:p w:rsidR="007761C8" w:rsidRPr="00763D95" w:rsidRDefault="007761C8" w:rsidP="003F06BD">
            <w:pPr>
              <w:rPr>
                <w:lang w:eastAsia="en-GB"/>
              </w:rPr>
            </w:pPr>
          </w:p>
        </w:tc>
        <w:tc>
          <w:tcPr>
            <w:tcW w:w="0" w:type="auto"/>
          </w:tcPr>
          <w:p w:rsidR="007761C8" w:rsidRPr="00763D95" w:rsidRDefault="007761C8" w:rsidP="003F06BD">
            <w:pPr>
              <w:cnfStyle w:val="100000000000" w:firstRow="1" w:lastRow="0" w:firstColumn="0" w:lastColumn="0" w:oddVBand="0" w:evenVBand="0" w:oddHBand="0" w:evenHBand="0" w:firstRowFirstColumn="0" w:firstRowLastColumn="0" w:lastRowFirstColumn="0" w:lastRowLastColumn="0"/>
              <w:rPr>
                <w:lang w:eastAsia="en-GB"/>
              </w:rPr>
            </w:pPr>
            <w:r w:rsidRPr="00763D95">
              <w:rPr>
                <w:lang w:eastAsia="en-GB"/>
              </w:rPr>
              <w:t>Note</w:t>
            </w:r>
          </w:p>
        </w:tc>
        <w:tc>
          <w:tcPr>
            <w:tcW w:w="0" w:type="auto"/>
          </w:tcPr>
          <w:p w:rsidR="007761C8" w:rsidRPr="00763D95" w:rsidRDefault="007761C8" w:rsidP="003F06BD">
            <w:pPr>
              <w:jc w:val="right"/>
              <w:cnfStyle w:val="100000000000" w:firstRow="1" w:lastRow="0" w:firstColumn="0" w:lastColumn="0" w:oddVBand="0" w:evenVBand="0" w:oddHBand="0" w:evenHBand="0" w:firstRowFirstColumn="0" w:firstRowLastColumn="0" w:lastRowFirstColumn="0" w:lastRowLastColumn="0"/>
              <w:rPr>
                <w:lang w:eastAsia="en-GB"/>
              </w:rPr>
            </w:pPr>
            <w:r w:rsidRPr="00763D95">
              <w:rPr>
                <w:lang w:eastAsia="en-GB"/>
              </w:rPr>
              <w:t>2015</w:t>
            </w:r>
            <w:r w:rsidR="003F06BD">
              <w:rPr>
                <w:lang w:eastAsia="en-GB"/>
              </w:rPr>
              <w:br/>
            </w:r>
            <w:r w:rsidRPr="00763D95">
              <w:rPr>
                <w:lang w:eastAsia="en-GB"/>
              </w:rPr>
              <w:t>€</w:t>
            </w:r>
          </w:p>
        </w:tc>
        <w:tc>
          <w:tcPr>
            <w:tcW w:w="0" w:type="auto"/>
          </w:tcPr>
          <w:p w:rsidR="007761C8" w:rsidRPr="00763D95" w:rsidRDefault="007761C8" w:rsidP="003F06BD">
            <w:pPr>
              <w:jc w:val="right"/>
              <w:cnfStyle w:val="100000000000" w:firstRow="1" w:lastRow="0" w:firstColumn="0" w:lastColumn="0" w:oddVBand="0" w:evenVBand="0" w:oddHBand="0" w:evenHBand="0" w:firstRowFirstColumn="0" w:firstRowLastColumn="0" w:lastRowFirstColumn="0" w:lastRowLastColumn="0"/>
              <w:rPr>
                <w:lang w:eastAsia="en-GB"/>
              </w:rPr>
            </w:pPr>
            <w:r w:rsidRPr="00763D95">
              <w:rPr>
                <w:lang w:eastAsia="en-GB"/>
              </w:rPr>
              <w:t>2014</w:t>
            </w:r>
            <w:r w:rsidR="003F06BD">
              <w:rPr>
                <w:lang w:eastAsia="en-GB"/>
              </w:rPr>
              <w:br/>
            </w:r>
            <w:r w:rsidRPr="00763D95">
              <w:rPr>
                <w:lang w:eastAsia="en-GB"/>
              </w:rPr>
              <w:t>€</w:t>
            </w:r>
          </w:p>
        </w:tc>
      </w:tr>
      <w:tr w:rsidR="007761C8" w:rsidRPr="00495E27" w:rsidTr="003F0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495E27" w:rsidRDefault="007761C8" w:rsidP="004976B4">
            <w:pPr>
              <w:rPr>
                <w:b/>
                <w:lang w:eastAsia="en-GB"/>
              </w:rPr>
            </w:pPr>
            <w:r w:rsidRPr="00495E27">
              <w:rPr>
                <w:b/>
                <w:lang w:eastAsia="en-GB"/>
              </w:rPr>
              <w:t xml:space="preserve">Surplus </w:t>
            </w:r>
            <w:r w:rsidR="004976B4">
              <w:rPr>
                <w:b/>
                <w:lang w:eastAsia="en-GB"/>
              </w:rPr>
              <w:t>after</w:t>
            </w:r>
            <w:r w:rsidR="004976B4" w:rsidRPr="00495E27">
              <w:rPr>
                <w:b/>
                <w:lang w:eastAsia="en-GB"/>
              </w:rPr>
              <w:t xml:space="preserve"> </w:t>
            </w:r>
            <w:r w:rsidRPr="00495E27">
              <w:rPr>
                <w:b/>
                <w:lang w:eastAsia="en-GB"/>
              </w:rPr>
              <w:t>appropriations</w:t>
            </w:r>
          </w:p>
        </w:tc>
        <w:tc>
          <w:tcPr>
            <w:tcW w:w="0" w:type="auto"/>
          </w:tcPr>
          <w:p w:rsidR="007761C8" w:rsidRPr="00495E27" w:rsidRDefault="007761C8" w:rsidP="003F06BD">
            <w:pPr>
              <w:cnfStyle w:val="000000100000" w:firstRow="0" w:lastRow="0" w:firstColumn="0" w:lastColumn="0" w:oddVBand="0" w:evenVBand="0" w:oddHBand="1" w:evenHBand="0" w:firstRowFirstColumn="0" w:firstRowLastColumn="0" w:lastRowFirstColumn="0" w:lastRowLastColumn="0"/>
              <w:rPr>
                <w:b/>
                <w:lang w:eastAsia="en-GB"/>
              </w:rPr>
            </w:pPr>
          </w:p>
        </w:tc>
        <w:tc>
          <w:tcPr>
            <w:tcW w:w="0" w:type="auto"/>
          </w:tcPr>
          <w:p w:rsidR="007761C8" w:rsidRPr="00495E27" w:rsidRDefault="004976B4" w:rsidP="003F06BD">
            <w:pPr>
              <w:jc w:val="right"/>
              <w:cnfStyle w:val="000000100000" w:firstRow="0" w:lastRow="0" w:firstColumn="0" w:lastColumn="0" w:oddVBand="0" w:evenVBand="0" w:oddHBand="1" w:evenHBand="0" w:firstRowFirstColumn="0" w:firstRowLastColumn="0" w:lastRowFirstColumn="0" w:lastRowLastColumn="0"/>
              <w:rPr>
                <w:b/>
                <w:bCs/>
                <w:lang w:eastAsia="en-GB"/>
              </w:rPr>
            </w:pPr>
            <w:r w:rsidRPr="004976B4">
              <w:rPr>
                <w:b/>
                <w:bCs/>
                <w:lang w:eastAsia="en-GB"/>
              </w:rPr>
              <w:t>156,320</w:t>
            </w:r>
          </w:p>
        </w:tc>
        <w:tc>
          <w:tcPr>
            <w:tcW w:w="0" w:type="auto"/>
          </w:tcPr>
          <w:p w:rsidR="007761C8" w:rsidRPr="00495E27" w:rsidRDefault="004976B4" w:rsidP="003F06BD">
            <w:pPr>
              <w:jc w:val="right"/>
              <w:cnfStyle w:val="000000100000" w:firstRow="0" w:lastRow="0" w:firstColumn="0" w:lastColumn="0" w:oddVBand="0" w:evenVBand="0" w:oddHBand="1" w:evenHBand="0" w:firstRowFirstColumn="0" w:firstRowLastColumn="0" w:lastRowFirstColumn="0" w:lastRowLastColumn="0"/>
              <w:rPr>
                <w:b/>
                <w:bCs/>
                <w:lang w:eastAsia="en-GB"/>
              </w:rPr>
            </w:pPr>
            <w:r>
              <w:rPr>
                <w:b/>
                <w:bCs/>
                <w:lang w:eastAsia="en-GB"/>
              </w:rPr>
              <w:t>71,178</w:t>
            </w:r>
          </w:p>
        </w:tc>
      </w:tr>
      <w:tr w:rsidR="007761C8" w:rsidRPr="00763D95" w:rsidTr="003F06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763D95" w:rsidRDefault="004976B4" w:rsidP="00A57200">
            <w:pPr>
              <w:rPr>
                <w:lang w:eastAsia="en-GB"/>
              </w:rPr>
            </w:pPr>
            <w:r w:rsidRPr="004976B4">
              <w:rPr>
                <w:lang w:eastAsia="en-GB"/>
              </w:rPr>
              <w:t>Actuarial (gains)</w:t>
            </w:r>
            <w:r w:rsidR="00A57200">
              <w:rPr>
                <w:lang w:eastAsia="en-GB"/>
              </w:rPr>
              <w:t>/</w:t>
            </w:r>
            <w:r w:rsidRPr="004976B4">
              <w:rPr>
                <w:lang w:eastAsia="en-GB"/>
              </w:rPr>
              <w:t>loss on retirement benefit obligations</w:t>
            </w:r>
          </w:p>
        </w:tc>
        <w:tc>
          <w:tcPr>
            <w:tcW w:w="0" w:type="auto"/>
          </w:tcPr>
          <w:p w:rsidR="007761C8" w:rsidRPr="00763D95" w:rsidRDefault="007761C8" w:rsidP="003F06BD">
            <w:pPr>
              <w:cnfStyle w:val="000000010000" w:firstRow="0" w:lastRow="0" w:firstColumn="0" w:lastColumn="0" w:oddVBand="0" w:evenVBand="0" w:oddHBand="0" w:evenHBand="1" w:firstRowFirstColumn="0" w:firstRowLastColumn="0" w:lastRowFirstColumn="0" w:lastRowLastColumn="0"/>
              <w:rPr>
                <w:lang w:eastAsia="en-GB"/>
              </w:rPr>
            </w:pPr>
            <w:r w:rsidRPr="00763D95">
              <w:rPr>
                <w:lang w:eastAsia="en-GB"/>
              </w:rPr>
              <w:t>6(b)</w:t>
            </w:r>
          </w:p>
        </w:tc>
        <w:tc>
          <w:tcPr>
            <w:tcW w:w="0" w:type="auto"/>
          </w:tcPr>
          <w:p w:rsidR="007761C8" w:rsidRPr="00763D95" w:rsidRDefault="007761C8" w:rsidP="003F06BD">
            <w:pPr>
              <w:jc w:val="right"/>
              <w:cnfStyle w:val="000000010000" w:firstRow="0" w:lastRow="0" w:firstColumn="0" w:lastColumn="0" w:oddVBand="0" w:evenVBand="0" w:oddHBand="0" w:evenHBand="1" w:firstRowFirstColumn="0" w:firstRowLastColumn="0" w:lastRowFirstColumn="0" w:lastRowLastColumn="0"/>
              <w:rPr>
                <w:lang w:eastAsia="en-GB"/>
              </w:rPr>
            </w:pPr>
            <w:r w:rsidRPr="00763D95">
              <w:rPr>
                <w:lang w:eastAsia="en-GB"/>
              </w:rPr>
              <w:t>6,055,550</w:t>
            </w:r>
          </w:p>
        </w:tc>
        <w:tc>
          <w:tcPr>
            <w:tcW w:w="0" w:type="auto"/>
          </w:tcPr>
          <w:p w:rsidR="007761C8" w:rsidRPr="00763D95" w:rsidRDefault="007761C8" w:rsidP="003F06BD">
            <w:pPr>
              <w:jc w:val="right"/>
              <w:cnfStyle w:val="000000010000" w:firstRow="0" w:lastRow="0" w:firstColumn="0" w:lastColumn="0" w:oddVBand="0" w:evenVBand="0" w:oddHBand="0" w:evenHBand="1" w:firstRowFirstColumn="0" w:firstRowLastColumn="0" w:lastRowFirstColumn="0" w:lastRowLastColumn="0"/>
              <w:rPr>
                <w:lang w:eastAsia="en-GB"/>
              </w:rPr>
            </w:pPr>
            <w:r w:rsidRPr="00763D95">
              <w:rPr>
                <w:lang w:eastAsia="en-GB"/>
              </w:rPr>
              <w:t>(978,000)</w:t>
            </w:r>
          </w:p>
        </w:tc>
      </w:tr>
      <w:tr w:rsidR="007761C8" w:rsidRPr="00763D95" w:rsidTr="00495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763D95" w:rsidRDefault="004976B4" w:rsidP="003F06BD">
            <w:pPr>
              <w:rPr>
                <w:lang w:eastAsia="en-GB"/>
              </w:rPr>
            </w:pPr>
            <w:r w:rsidRPr="004976B4">
              <w:rPr>
                <w:lang w:eastAsia="en-GB"/>
              </w:rPr>
              <w:t>Adjustment to deferred pension funding</w:t>
            </w:r>
          </w:p>
        </w:tc>
        <w:tc>
          <w:tcPr>
            <w:tcW w:w="0" w:type="auto"/>
          </w:tcPr>
          <w:p w:rsidR="007761C8" w:rsidRPr="00763D95" w:rsidRDefault="007761C8" w:rsidP="003F06BD">
            <w:pPr>
              <w:cnfStyle w:val="000000100000" w:firstRow="0" w:lastRow="0" w:firstColumn="0" w:lastColumn="0" w:oddVBand="0" w:evenVBand="0" w:oddHBand="1" w:evenHBand="0" w:firstRowFirstColumn="0" w:firstRowLastColumn="0" w:lastRowFirstColumn="0" w:lastRowLastColumn="0"/>
              <w:rPr>
                <w:lang w:eastAsia="en-GB"/>
              </w:rPr>
            </w:pPr>
          </w:p>
        </w:tc>
        <w:tc>
          <w:tcPr>
            <w:tcW w:w="0" w:type="auto"/>
            <w:tcBorders>
              <w:bottom w:val="single" w:sz="8" w:space="0" w:color="000000" w:themeColor="text1"/>
            </w:tcBorders>
          </w:tcPr>
          <w:p w:rsidR="007761C8" w:rsidRPr="00763D95" w:rsidRDefault="007761C8" w:rsidP="003F06BD">
            <w:pPr>
              <w:jc w:val="right"/>
              <w:cnfStyle w:val="000000100000" w:firstRow="0" w:lastRow="0" w:firstColumn="0" w:lastColumn="0" w:oddVBand="0" w:evenVBand="0" w:oddHBand="1" w:evenHBand="0" w:firstRowFirstColumn="0" w:firstRowLastColumn="0" w:lastRowFirstColumn="0" w:lastRowLastColumn="0"/>
              <w:rPr>
                <w:lang w:eastAsia="en-GB"/>
              </w:rPr>
            </w:pPr>
            <w:r w:rsidRPr="00763D95">
              <w:rPr>
                <w:lang w:eastAsia="en-GB"/>
              </w:rPr>
              <w:t>(6,055,550)</w:t>
            </w:r>
          </w:p>
        </w:tc>
        <w:tc>
          <w:tcPr>
            <w:tcW w:w="0" w:type="auto"/>
            <w:tcBorders>
              <w:bottom w:val="single" w:sz="8" w:space="0" w:color="000000" w:themeColor="text1"/>
            </w:tcBorders>
          </w:tcPr>
          <w:p w:rsidR="007761C8" w:rsidRPr="00763D95" w:rsidRDefault="007761C8" w:rsidP="003F06BD">
            <w:pPr>
              <w:jc w:val="right"/>
              <w:cnfStyle w:val="000000100000" w:firstRow="0" w:lastRow="0" w:firstColumn="0" w:lastColumn="0" w:oddVBand="0" w:evenVBand="0" w:oddHBand="1" w:evenHBand="0" w:firstRowFirstColumn="0" w:firstRowLastColumn="0" w:lastRowFirstColumn="0" w:lastRowLastColumn="0"/>
              <w:rPr>
                <w:lang w:eastAsia="en-GB"/>
              </w:rPr>
            </w:pPr>
            <w:r w:rsidRPr="00763D95">
              <w:rPr>
                <w:lang w:eastAsia="en-GB"/>
              </w:rPr>
              <w:t>978,000</w:t>
            </w:r>
          </w:p>
        </w:tc>
      </w:tr>
      <w:tr w:rsidR="007761C8" w:rsidRPr="00495E27" w:rsidTr="00495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495E27" w:rsidRDefault="004976B4" w:rsidP="003F06BD">
            <w:pPr>
              <w:rPr>
                <w:b/>
                <w:lang w:eastAsia="en-GB"/>
              </w:rPr>
            </w:pPr>
            <w:r w:rsidRPr="004976B4">
              <w:rPr>
                <w:b/>
                <w:lang w:eastAsia="en-GB"/>
              </w:rPr>
              <w:t>Total Comprehensive Income for the year</w:t>
            </w:r>
          </w:p>
        </w:tc>
        <w:tc>
          <w:tcPr>
            <w:tcW w:w="0" w:type="auto"/>
          </w:tcPr>
          <w:p w:rsidR="007761C8" w:rsidRPr="00495E27" w:rsidRDefault="007761C8" w:rsidP="003F06BD">
            <w:pPr>
              <w:cnfStyle w:val="000000010000" w:firstRow="0" w:lastRow="0" w:firstColumn="0" w:lastColumn="0" w:oddVBand="0" w:evenVBand="0" w:oddHBand="0" w:evenHBand="1" w:firstRowFirstColumn="0" w:firstRowLastColumn="0" w:lastRowFirstColumn="0" w:lastRowLastColumn="0"/>
              <w:rPr>
                <w:b/>
                <w:lang w:eastAsia="en-GB"/>
              </w:rPr>
            </w:pPr>
          </w:p>
        </w:tc>
        <w:tc>
          <w:tcPr>
            <w:tcW w:w="0" w:type="auto"/>
            <w:tcBorders>
              <w:top w:val="single" w:sz="8" w:space="0" w:color="000000" w:themeColor="text1"/>
            </w:tcBorders>
          </w:tcPr>
          <w:p w:rsidR="007761C8" w:rsidRPr="00495E27" w:rsidRDefault="00A57200" w:rsidP="003F06BD">
            <w:pPr>
              <w:jc w:val="right"/>
              <w:cnfStyle w:val="000000010000" w:firstRow="0" w:lastRow="0" w:firstColumn="0" w:lastColumn="0" w:oddVBand="0" w:evenVBand="0" w:oddHBand="0" w:evenHBand="1" w:firstRowFirstColumn="0" w:firstRowLastColumn="0" w:lastRowFirstColumn="0" w:lastRowLastColumn="0"/>
              <w:rPr>
                <w:b/>
                <w:bCs/>
                <w:lang w:eastAsia="en-GB"/>
              </w:rPr>
            </w:pPr>
            <w:r w:rsidRPr="00A57200">
              <w:rPr>
                <w:b/>
                <w:bCs/>
                <w:lang w:eastAsia="en-GB"/>
              </w:rPr>
              <w:t>156,320</w:t>
            </w:r>
          </w:p>
        </w:tc>
        <w:tc>
          <w:tcPr>
            <w:tcW w:w="0" w:type="auto"/>
            <w:tcBorders>
              <w:top w:val="single" w:sz="8" w:space="0" w:color="000000" w:themeColor="text1"/>
            </w:tcBorders>
          </w:tcPr>
          <w:p w:rsidR="007761C8" w:rsidRPr="00495E27" w:rsidRDefault="00A57200" w:rsidP="003F06BD">
            <w:pPr>
              <w:jc w:val="right"/>
              <w:cnfStyle w:val="000000010000" w:firstRow="0" w:lastRow="0" w:firstColumn="0" w:lastColumn="0" w:oddVBand="0" w:evenVBand="0" w:oddHBand="0" w:evenHBand="1" w:firstRowFirstColumn="0" w:firstRowLastColumn="0" w:lastRowFirstColumn="0" w:lastRowLastColumn="0"/>
              <w:rPr>
                <w:b/>
                <w:bCs/>
                <w:lang w:eastAsia="en-GB"/>
              </w:rPr>
            </w:pPr>
            <w:r w:rsidRPr="00A57200">
              <w:rPr>
                <w:b/>
                <w:bCs/>
                <w:lang w:eastAsia="en-GB"/>
              </w:rPr>
              <w:t>71,178</w:t>
            </w:r>
          </w:p>
        </w:tc>
      </w:tr>
    </w:tbl>
    <w:p w:rsidR="007761C8" w:rsidRPr="007761C8" w:rsidRDefault="007761C8" w:rsidP="007761C8">
      <w:pPr>
        <w:rPr>
          <w:b/>
          <w:lang w:eastAsia="en-GB"/>
        </w:rPr>
      </w:pPr>
    </w:p>
    <w:p w:rsidR="007761C8" w:rsidRPr="007761C8" w:rsidRDefault="007761C8" w:rsidP="009C0B80">
      <w:pPr>
        <w:rPr>
          <w:lang w:eastAsia="en-GB"/>
        </w:rPr>
      </w:pPr>
      <w:r w:rsidRPr="007761C8">
        <w:rPr>
          <w:lang w:eastAsia="en-GB"/>
        </w:rPr>
        <w:t>The Statement of Cash Flows and notes 1 to 1</w:t>
      </w:r>
      <w:r w:rsidR="00A57200">
        <w:rPr>
          <w:lang w:eastAsia="en-GB"/>
        </w:rPr>
        <w:t>2</w:t>
      </w:r>
      <w:r w:rsidRPr="007761C8">
        <w:rPr>
          <w:lang w:eastAsia="en-GB"/>
        </w:rPr>
        <w:t xml:space="preserve"> form part of these financial statements.</w:t>
      </w:r>
    </w:p>
    <w:p w:rsidR="009C0B80" w:rsidRDefault="009C0B80" w:rsidP="00763D95">
      <w:pPr>
        <w:rPr>
          <w:lang w:eastAsia="en-GB"/>
        </w:rPr>
        <w:sectPr w:rsidR="009C0B80" w:rsidSect="009C0B80">
          <w:headerReference w:type="default" r:id="rId17"/>
          <w:footerReference w:type="default" r:id="rId18"/>
          <w:type w:val="continuous"/>
          <w:pgSz w:w="11907" w:h="16840" w:code="9"/>
          <w:pgMar w:top="1985" w:right="1985" w:bottom="1985" w:left="1985" w:header="709" w:footer="709" w:gutter="0"/>
          <w:pgNumType w:chapStyle="1" w:chapSep="emDash"/>
          <w:cols w:space="708"/>
          <w:titlePg/>
          <w:rtlGutter/>
          <w:docGrid w:linePitch="360"/>
        </w:sectPr>
      </w:pPr>
      <w:r w:rsidRPr="007761C8">
        <w:rPr>
          <w:lang w:eastAsia="en-GB"/>
        </w:rPr>
        <w:t>On behalf of the board of National Disability Authority (NDA)</w:t>
      </w:r>
    </w:p>
    <w:p w:rsidR="00D26148" w:rsidRDefault="00D26148" w:rsidP="00D26148">
      <w:pPr>
        <w:rPr>
          <w:lang w:eastAsia="en-GB"/>
        </w:rPr>
      </w:pPr>
      <w:r w:rsidRPr="00A80E34">
        <w:rPr>
          <w:noProof/>
          <w:lang w:eastAsia="en-IE"/>
        </w:rPr>
        <w:drawing>
          <wp:inline distT="0" distB="0" distL="0" distR="0">
            <wp:extent cx="2294890" cy="637998"/>
            <wp:effectExtent l="19050" t="0" r="0" b="0"/>
            <wp:docPr id="11" name="Picture 1" descr="Helen Guina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294890" cy="637998"/>
                    </a:xfrm>
                    <a:prstGeom prst="rect">
                      <a:avLst/>
                    </a:prstGeom>
                    <a:noFill/>
                    <a:ln w="9525">
                      <a:noFill/>
                      <a:miter lim="800000"/>
                      <a:headEnd/>
                      <a:tailEnd/>
                    </a:ln>
                  </pic:spPr>
                </pic:pic>
              </a:graphicData>
            </a:graphic>
          </wp:inline>
        </w:drawing>
      </w:r>
      <w:r>
        <w:rPr>
          <w:lang w:eastAsia="en-GB"/>
        </w:rPr>
        <w:br/>
      </w:r>
      <w:r w:rsidRPr="007761C8">
        <w:rPr>
          <w:lang w:eastAsia="en-GB"/>
        </w:rPr>
        <w:t>Helen Guinan,</w:t>
      </w:r>
      <w:r>
        <w:rPr>
          <w:lang w:eastAsia="en-GB"/>
        </w:rPr>
        <w:br/>
      </w:r>
      <w:r w:rsidRPr="007761C8">
        <w:rPr>
          <w:lang w:eastAsia="en-GB"/>
        </w:rPr>
        <w:t>Chairperson</w:t>
      </w:r>
      <w:r>
        <w:rPr>
          <w:lang w:eastAsia="en-GB"/>
        </w:rPr>
        <w:br/>
        <w:t>Date: 24/6/16</w:t>
      </w:r>
    </w:p>
    <w:p w:rsidR="00D26148" w:rsidRDefault="00D26148" w:rsidP="00D26148">
      <w:pPr>
        <w:rPr>
          <w:lang w:eastAsia="en-GB"/>
        </w:rPr>
      </w:pPr>
      <w:r w:rsidRPr="00A80E34">
        <w:rPr>
          <w:noProof/>
          <w:lang w:eastAsia="en-IE"/>
        </w:rPr>
        <w:drawing>
          <wp:inline distT="0" distB="0" distL="0" distR="0">
            <wp:extent cx="2294890" cy="624917"/>
            <wp:effectExtent l="19050" t="0" r="0" b="0"/>
            <wp:docPr id="12" name="Picture 3" descr="Siobhan Barr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294890" cy="624917"/>
                    </a:xfrm>
                    <a:prstGeom prst="rect">
                      <a:avLst/>
                    </a:prstGeom>
                    <a:noFill/>
                    <a:ln w="9525">
                      <a:noFill/>
                      <a:miter lim="800000"/>
                      <a:headEnd/>
                      <a:tailEnd/>
                    </a:ln>
                  </pic:spPr>
                </pic:pic>
              </a:graphicData>
            </a:graphic>
          </wp:inline>
        </w:drawing>
      </w:r>
      <w:r>
        <w:rPr>
          <w:lang w:eastAsia="en-GB"/>
        </w:rPr>
        <w:br/>
      </w:r>
      <w:r w:rsidRPr="007761C8">
        <w:rPr>
          <w:lang w:eastAsia="en-GB"/>
        </w:rPr>
        <w:t>Siobhan Barron,</w:t>
      </w:r>
      <w:r>
        <w:rPr>
          <w:lang w:eastAsia="en-GB"/>
        </w:rPr>
        <w:br/>
      </w:r>
      <w:r w:rsidRPr="007761C8">
        <w:rPr>
          <w:lang w:eastAsia="en-GB"/>
        </w:rPr>
        <w:t>Director</w:t>
      </w:r>
      <w:r>
        <w:rPr>
          <w:lang w:eastAsia="en-GB"/>
        </w:rPr>
        <w:br/>
      </w:r>
      <w:r w:rsidRPr="007761C8">
        <w:rPr>
          <w:lang w:eastAsia="en-GB"/>
        </w:rPr>
        <w:t>Date:</w:t>
      </w:r>
      <w:r>
        <w:rPr>
          <w:lang w:eastAsia="en-GB"/>
        </w:rPr>
        <w:t xml:space="preserve"> 29/6/16</w:t>
      </w:r>
    </w:p>
    <w:p w:rsidR="00D26148" w:rsidRDefault="00D26148" w:rsidP="00D26148">
      <w:pPr>
        <w:rPr>
          <w:b/>
          <w:lang w:eastAsia="en-GB"/>
        </w:rPr>
        <w:sectPr w:rsidR="00D26148" w:rsidSect="009C0B80">
          <w:type w:val="continuous"/>
          <w:pgSz w:w="11907" w:h="16840" w:code="9"/>
          <w:pgMar w:top="1985" w:right="1985" w:bottom="1985" w:left="1985" w:header="709" w:footer="709" w:gutter="0"/>
          <w:pgNumType w:chapStyle="1" w:chapSep="emDash"/>
          <w:cols w:num="2" w:space="708"/>
          <w:titlePg/>
          <w:rtlGutter/>
          <w:docGrid w:linePitch="360"/>
        </w:sectPr>
      </w:pPr>
    </w:p>
    <w:p w:rsidR="00D26148" w:rsidRDefault="00D26148" w:rsidP="00D26148">
      <w:pPr>
        <w:rPr>
          <w:lang w:eastAsia="en-GB"/>
        </w:rPr>
      </w:pPr>
      <w:r>
        <w:rPr>
          <w:lang w:eastAsia="en-GB"/>
        </w:rPr>
        <w:br/>
      </w:r>
      <w:r>
        <w:rPr>
          <w:noProof/>
          <w:lang w:eastAsia="en-IE"/>
        </w:rPr>
        <w:drawing>
          <wp:inline distT="0" distB="0" distL="0" distR="0">
            <wp:extent cx="2507615" cy="471170"/>
            <wp:effectExtent l="19050" t="0" r="6985" b="0"/>
            <wp:docPr id="13" name="Picture 4" descr="Frank Cunnee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507615" cy="471170"/>
                    </a:xfrm>
                    <a:prstGeom prst="rect">
                      <a:avLst/>
                    </a:prstGeom>
                    <a:noFill/>
                    <a:ln w="9525">
                      <a:noFill/>
                      <a:miter lim="800000"/>
                      <a:headEnd/>
                      <a:tailEnd/>
                    </a:ln>
                  </pic:spPr>
                </pic:pic>
              </a:graphicData>
            </a:graphic>
          </wp:inline>
        </w:drawing>
      </w:r>
    </w:p>
    <w:p w:rsidR="009C0B80" w:rsidRDefault="00D26148" w:rsidP="005D596A">
      <w:pPr>
        <w:rPr>
          <w:lang w:eastAsia="en-GB"/>
        </w:rPr>
      </w:pPr>
      <w:r>
        <w:rPr>
          <w:lang w:eastAsia="en-GB"/>
        </w:rPr>
        <w:t>Frank Cunneen</w:t>
      </w:r>
      <w:r w:rsidRPr="007761C8">
        <w:rPr>
          <w:lang w:eastAsia="en-GB"/>
        </w:rPr>
        <w:t>,</w:t>
      </w:r>
      <w:r>
        <w:rPr>
          <w:lang w:eastAsia="en-GB"/>
        </w:rPr>
        <w:br/>
        <w:t>Authority Member</w:t>
      </w:r>
      <w:r>
        <w:rPr>
          <w:lang w:eastAsia="en-GB"/>
        </w:rPr>
        <w:br/>
      </w:r>
      <w:r w:rsidRPr="007761C8">
        <w:rPr>
          <w:lang w:eastAsia="en-GB"/>
        </w:rPr>
        <w:t>Date:</w:t>
      </w:r>
      <w:r>
        <w:rPr>
          <w:lang w:eastAsia="en-GB"/>
        </w:rPr>
        <w:t xml:space="preserve"> 28/6/16</w:t>
      </w:r>
      <w:r w:rsidR="009C0B80">
        <w:rPr>
          <w:lang w:eastAsia="en-GB"/>
        </w:rPr>
        <w:br w:type="page"/>
      </w:r>
    </w:p>
    <w:p w:rsidR="007761C8" w:rsidRPr="007761C8" w:rsidRDefault="007761C8" w:rsidP="005D596A">
      <w:pPr>
        <w:rPr>
          <w:lang w:eastAsia="en-GB"/>
        </w:rPr>
      </w:pPr>
      <w:r w:rsidRPr="007761C8">
        <w:rPr>
          <w:lang w:eastAsia="en-GB"/>
        </w:rPr>
        <w:t xml:space="preserve">National Disability Authority </w:t>
      </w:r>
    </w:p>
    <w:p w:rsidR="007761C8" w:rsidRPr="007761C8" w:rsidRDefault="009C0B80" w:rsidP="009C0B80">
      <w:pPr>
        <w:pStyle w:val="Heading2"/>
        <w:rPr>
          <w:lang w:eastAsia="en-GB"/>
        </w:rPr>
      </w:pPr>
      <w:r w:rsidRPr="007761C8">
        <w:rPr>
          <w:lang w:eastAsia="en-GB"/>
        </w:rPr>
        <w:t xml:space="preserve">Statement </w:t>
      </w:r>
      <w:r>
        <w:rPr>
          <w:lang w:eastAsia="en-GB"/>
        </w:rPr>
        <w:t>o</w:t>
      </w:r>
      <w:r w:rsidRPr="007761C8">
        <w:rPr>
          <w:lang w:eastAsia="en-GB"/>
        </w:rPr>
        <w:t>f Financial Position</w:t>
      </w:r>
    </w:p>
    <w:p w:rsidR="007761C8" w:rsidRPr="007761C8" w:rsidRDefault="007761C8" w:rsidP="009C0B80">
      <w:pPr>
        <w:rPr>
          <w:lang w:eastAsia="en-GB"/>
        </w:rPr>
      </w:pPr>
      <w:r w:rsidRPr="007761C8">
        <w:rPr>
          <w:lang w:eastAsia="en-GB"/>
        </w:rPr>
        <w:t>For the year ended 31 December 2015</w:t>
      </w:r>
    </w:p>
    <w:tbl>
      <w:tblPr>
        <w:tblStyle w:val="LightShading1"/>
        <w:tblW w:w="8561" w:type="dxa"/>
        <w:tblLook w:val="04A0" w:firstRow="1" w:lastRow="0" w:firstColumn="1" w:lastColumn="0" w:noHBand="0" w:noVBand="1"/>
      </w:tblPr>
      <w:tblGrid>
        <w:gridCol w:w="4644"/>
        <w:gridCol w:w="839"/>
        <w:gridCol w:w="1539"/>
        <w:gridCol w:w="1539"/>
      </w:tblGrid>
      <w:tr w:rsidR="007761C8" w:rsidRPr="00763D95" w:rsidTr="00495E27">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4644" w:type="dxa"/>
          </w:tcPr>
          <w:p w:rsidR="007761C8" w:rsidRPr="00763D95" w:rsidRDefault="007761C8" w:rsidP="003F06BD">
            <w:pPr>
              <w:rPr>
                <w:lang w:eastAsia="en-GB"/>
              </w:rPr>
            </w:pPr>
          </w:p>
        </w:tc>
        <w:tc>
          <w:tcPr>
            <w:tcW w:w="0" w:type="auto"/>
          </w:tcPr>
          <w:p w:rsidR="007761C8" w:rsidRPr="00763D95" w:rsidRDefault="007761C8" w:rsidP="00B77371">
            <w:pPr>
              <w:cnfStyle w:val="100000000000" w:firstRow="1" w:lastRow="0" w:firstColumn="0" w:lastColumn="0" w:oddVBand="0" w:evenVBand="0" w:oddHBand="0" w:evenHBand="0" w:firstRowFirstColumn="0" w:firstRowLastColumn="0" w:lastRowFirstColumn="0" w:lastRowLastColumn="0"/>
              <w:rPr>
                <w:lang w:eastAsia="en-GB"/>
              </w:rPr>
            </w:pPr>
            <w:r w:rsidRPr="00763D95">
              <w:rPr>
                <w:lang w:eastAsia="en-GB"/>
              </w:rPr>
              <w:t>Note</w:t>
            </w:r>
          </w:p>
        </w:tc>
        <w:tc>
          <w:tcPr>
            <w:tcW w:w="0" w:type="auto"/>
          </w:tcPr>
          <w:p w:rsidR="007761C8" w:rsidRPr="00763D95" w:rsidRDefault="007761C8" w:rsidP="00B77371">
            <w:pPr>
              <w:jc w:val="right"/>
              <w:cnfStyle w:val="100000000000" w:firstRow="1" w:lastRow="0" w:firstColumn="0" w:lastColumn="0" w:oddVBand="0" w:evenVBand="0" w:oddHBand="0" w:evenHBand="0" w:firstRowFirstColumn="0" w:firstRowLastColumn="0" w:lastRowFirstColumn="0" w:lastRowLastColumn="0"/>
              <w:rPr>
                <w:lang w:eastAsia="en-GB"/>
              </w:rPr>
            </w:pPr>
            <w:r w:rsidRPr="00763D95">
              <w:rPr>
                <w:lang w:eastAsia="en-GB"/>
              </w:rPr>
              <w:t>2015</w:t>
            </w:r>
            <w:r w:rsidR="00B77371">
              <w:rPr>
                <w:lang w:eastAsia="en-GB"/>
              </w:rPr>
              <w:br/>
            </w:r>
            <w:r w:rsidRPr="00763D95">
              <w:rPr>
                <w:lang w:eastAsia="en-GB"/>
              </w:rPr>
              <w:t>€</w:t>
            </w:r>
          </w:p>
        </w:tc>
        <w:tc>
          <w:tcPr>
            <w:tcW w:w="0" w:type="auto"/>
          </w:tcPr>
          <w:p w:rsidR="007761C8" w:rsidRPr="00763D95" w:rsidRDefault="007761C8" w:rsidP="00B77371">
            <w:pPr>
              <w:jc w:val="right"/>
              <w:cnfStyle w:val="100000000000" w:firstRow="1" w:lastRow="0" w:firstColumn="0" w:lastColumn="0" w:oddVBand="0" w:evenVBand="0" w:oddHBand="0" w:evenHBand="0" w:firstRowFirstColumn="0" w:firstRowLastColumn="0" w:lastRowFirstColumn="0" w:lastRowLastColumn="0"/>
              <w:rPr>
                <w:lang w:eastAsia="en-GB"/>
              </w:rPr>
            </w:pPr>
            <w:r w:rsidRPr="00763D95">
              <w:rPr>
                <w:lang w:eastAsia="en-GB"/>
              </w:rPr>
              <w:t>2014</w:t>
            </w:r>
            <w:r w:rsidR="00B77371">
              <w:rPr>
                <w:lang w:eastAsia="en-GB"/>
              </w:rPr>
              <w:br/>
            </w:r>
            <w:r w:rsidRPr="00763D95">
              <w:rPr>
                <w:lang w:eastAsia="en-GB"/>
              </w:rPr>
              <w:t>€</w:t>
            </w:r>
          </w:p>
        </w:tc>
      </w:tr>
      <w:tr w:rsidR="007761C8" w:rsidRPr="00495E27" w:rsidTr="00495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7761C8" w:rsidRPr="00495E27" w:rsidRDefault="007761C8" w:rsidP="003F06BD">
            <w:pPr>
              <w:rPr>
                <w:b/>
                <w:lang w:eastAsia="en-GB"/>
              </w:rPr>
            </w:pPr>
            <w:r w:rsidRPr="00495E27">
              <w:rPr>
                <w:b/>
                <w:lang w:eastAsia="en-GB"/>
              </w:rPr>
              <w:t>Fixed Assets</w:t>
            </w:r>
          </w:p>
        </w:tc>
        <w:tc>
          <w:tcPr>
            <w:tcW w:w="0" w:type="auto"/>
          </w:tcPr>
          <w:p w:rsidR="007761C8" w:rsidRPr="00495E27" w:rsidRDefault="007761C8" w:rsidP="003F06BD">
            <w:pPr>
              <w:cnfStyle w:val="000000100000" w:firstRow="0" w:lastRow="0" w:firstColumn="0" w:lastColumn="0" w:oddVBand="0" w:evenVBand="0" w:oddHBand="1" w:evenHBand="0" w:firstRowFirstColumn="0" w:firstRowLastColumn="0" w:lastRowFirstColumn="0" w:lastRowLastColumn="0"/>
              <w:rPr>
                <w:b/>
                <w:lang w:eastAsia="en-GB"/>
              </w:rPr>
            </w:pPr>
          </w:p>
        </w:tc>
        <w:tc>
          <w:tcPr>
            <w:tcW w:w="0" w:type="auto"/>
          </w:tcPr>
          <w:p w:rsidR="007761C8" w:rsidRPr="00495E27" w:rsidRDefault="007761C8" w:rsidP="003F06BD">
            <w:pPr>
              <w:jc w:val="right"/>
              <w:cnfStyle w:val="000000100000" w:firstRow="0" w:lastRow="0" w:firstColumn="0" w:lastColumn="0" w:oddVBand="0" w:evenVBand="0" w:oddHBand="1" w:evenHBand="0" w:firstRowFirstColumn="0" w:firstRowLastColumn="0" w:lastRowFirstColumn="0" w:lastRowLastColumn="0"/>
              <w:rPr>
                <w:b/>
                <w:lang w:eastAsia="en-GB"/>
              </w:rPr>
            </w:pPr>
          </w:p>
        </w:tc>
        <w:tc>
          <w:tcPr>
            <w:tcW w:w="0" w:type="auto"/>
          </w:tcPr>
          <w:p w:rsidR="007761C8" w:rsidRPr="00495E27" w:rsidRDefault="007761C8" w:rsidP="003F06BD">
            <w:pPr>
              <w:jc w:val="right"/>
              <w:cnfStyle w:val="000000100000" w:firstRow="0" w:lastRow="0" w:firstColumn="0" w:lastColumn="0" w:oddVBand="0" w:evenVBand="0" w:oddHBand="1" w:evenHBand="0" w:firstRowFirstColumn="0" w:firstRowLastColumn="0" w:lastRowFirstColumn="0" w:lastRowLastColumn="0"/>
              <w:rPr>
                <w:b/>
                <w:lang w:eastAsia="en-GB"/>
              </w:rPr>
            </w:pPr>
          </w:p>
        </w:tc>
      </w:tr>
      <w:tr w:rsidR="00AE7713" w:rsidRPr="00763D95" w:rsidTr="00495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AE7713" w:rsidRPr="00763D95" w:rsidRDefault="00AE7713" w:rsidP="003F06BD">
            <w:pPr>
              <w:rPr>
                <w:lang w:eastAsia="en-GB"/>
              </w:rPr>
            </w:pPr>
            <w:r w:rsidRPr="00763D95">
              <w:rPr>
                <w:lang w:eastAsia="en-GB"/>
              </w:rPr>
              <w:t>Property, plant &amp; equipment</w:t>
            </w:r>
          </w:p>
        </w:tc>
        <w:tc>
          <w:tcPr>
            <w:tcW w:w="0" w:type="auto"/>
          </w:tcPr>
          <w:p w:rsidR="00AE7713" w:rsidRPr="00763D95" w:rsidRDefault="00AE7713" w:rsidP="003F06BD">
            <w:pPr>
              <w:cnfStyle w:val="000000010000" w:firstRow="0" w:lastRow="0" w:firstColumn="0" w:lastColumn="0" w:oddVBand="0" w:evenVBand="0" w:oddHBand="0" w:evenHBand="1" w:firstRowFirstColumn="0" w:firstRowLastColumn="0" w:lastRowFirstColumn="0" w:lastRowLastColumn="0"/>
              <w:rPr>
                <w:lang w:eastAsia="en-GB"/>
              </w:rPr>
            </w:pPr>
            <w:r>
              <w:rPr>
                <w:lang w:eastAsia="en-GB"/>
              </w:rPr>
              <w:t>8</w:t>
            </w:r>
          </w:p>
        </w:tc>
        <w:tc>
          <w:tcPr>
            <w:tcW w:w="0" w:type="auto"/>
            <w:tcBorders>
              <w:bottom w:val="single" w:sz="8" w:space="0" w:color="000000" w:themeColor="text1"/>
            </w:tcBorders>
          </w:tcPr>
          <w:p w:rsidR="00AE7713" w:rsidRPr="00DD4133" w:rsidRDefault="00AE7713" w:rsidP="00AE7713">
            <w:pPr>
              <w:jc w:val="right"/>
              <w:cnfStyle w:val="000000010000" w:firstRow="0" w:lastRow="0" w:firstColumn="0" w:lastColumn="0" w:oddVBand="0" w:evenVBand="0" w:oddHBand="0" w:evenHBand="1" w:firstRowFirstColumn="0" w:firstRowLastColumn="0" w:lastRowFirstColumn="0" w:lastRowLastColumn="0"/>
              <w:rPr>
                <w:lang w:eastAsia="en-GB"/>
              </w:rPr>
            </w:pPr>
            <w:r w:rsidRPr="00DD4133">
              <w:rPr>
                <w:lang w:eastAsia="en-GB"/>
              </w:rPr>
              <w:t>2,729,241</w:t>
            </w:r>
          </w:p>
        </w:tc>
        <w:tc>
          <w:tcPr>
            <w:tcW w:w="0" w:type="auto"/>
            <w:tcBorders>
              <w:bottom w:val="single" w:sz="8" w:space="0" w:color="000000" w:themeColor="text1"/>
            </w:tcBorders>
          </w:tcPr>
          <w:p w:rsidR="00AE7713" w:rsidRPr="00DD4133" w:rsidRDefault="00AE7713" w:rsidP="00AE7713">
            <w:pPr>
              <w:jc w:val="right"/>
              <w:cnfStyle w:val="000000010000" w:firstRow="0" w:lastRow="0" w:firstColumn="0" w:lastColumn="0" w:oddVBand="0" w:evenVBand="0" w:oddHBand="0" w:evenHBand="1" w:firstRowFirstColumn="0" w:firstRowLastColumn="0" w:lastRowFirstColumn="0" w:lastRowLastColumn="0"/>
              <w:rPr>
                <w:lang w:eastAsia="en-GB"/>
              </w:rPr>
            </w:pPr>
            <w:r w:rsidRPr="00DD4133">
              <w:rPr>
                <w:lang w:eastAsia="en-GB"/>
              </w:rPr>
              <w:t>2,807,709</w:t>
            </w:r>
          </w:p>
        </w:tc>
      </w:tr>
      <w:tr w:rsidR="00AE7713" w:rsidRPr="00495E27" w:rsidTr="00495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AE7713" w:rsidRPr="00495E27" w:rsidRDefault="00AE7713" w:rsidP="003F06BD">
            <w:pPr>
              <w:rPr>
                <w:b/>
                <w:lang w:eastAsia="en-GB"/>
              </w:rPr>
            </w:pPr>
            <w:r w:rsidRPr="00495E27">
              <w:rPr>
                <w:b/>
                <w:lang w:eastAsia="en-GB"/>
              </w:rPr>
              <w:t>Total Fixed Assets</w:t>
            </w:r>
          </w:p>
        </w:tc>
        <w:tc>
          <w:tcPr>
            <w:tcW w:w="0" w:type="auto"/>
          </w:tcPr>
          <w:p w:rsidR="00AE7713" w:rsidRPr="00495E27" w:rsidRDefault="00AE7713" w:rsidP="003F06BD">
            <w:pPr>
              <w:cnfStyle w:val="000000100000" w:firstRow="0" w:lastRow="0" w:firstColumn="0" w:lastColumn="0" w:oddVBand="0" w:evenVBand="0" w:oddHBand="1" w:evenHBand="0" w:firstRowFirstColumn="0" w:firstRowLastColumn="0" w:lastRowFirstColumn="0" w:lastRowLastColumn="0"/>
              <w:rPr>
                <w:b/>
                <w:lang w:eastAsia="en-GB"/>
              </w:rPr>
            </w:pPr>
          </w:p>
        </w:tc>
        <w:tc>
          <w:tcPr>
            <w:tcW w:w="0" w:type="auto"/>
            <w:tcBorders>
              <w:top w:val="single" w:sz="8" w:space="0" w:color="000000" w:themeColor="text1"/>
              <w:bottom w:val="single" w:sz="8" w:space="0" w:color="000000" w:themeColor="text1"/>
            </w:tcBorders>
          </w:tcPr>
          <w:p w:rsidR="00AE7713" w:rsidRPr="00AE7713" w:rsidRDefault="00AE7713" w:rsidP="00AE7713">
            <w:pPr>
              <w:jc w:val="right"/>
              <w:cnfStyle w:val="000000100000" w:firstRow="0" w:lastRow="0" w:firstColumn="0" w:lastColumn="0" w:oddVBand="0" w:evenVBand="0" w:oddHBand="1" w:evenHBand="0" w:firstRowFirstColumn="0" w:firstRowLastColumn="0" w:lastRowFirstColumn="0" w:lastRowLastColumn="0"/>
              <w:rPr>
                <w:b/>
                <w:bCs/>
                <w:lang w:eastAsia="en-GB"/>
              </w:rPr>
            </w:pPr>
            <w:r w:rsidRPr="00AE7713">
              <w:rPr>
                <w:b/>
                <w:bCs/>
                <w:lang w:eastAsia="en-GB"/>
              </w:rPr>
              <w:t>2,729,241</w:t>
            </w:r>
          </w:p>
        </w:tc>
        <w:tc>
          <w:tcPr>
            <w:tcW w:w="0" w:type="auto"/>
            <w:tcBorders>
              <w:top w:val="single" w:sz="8" w:space="0" w:color="000000" w:themeColor="text1"/>
              <w:bottom w:val="single" w:sz="8" w:space="0" w:color="000000" w:themeColor="text1"/>
            </w:tcBorders>
          </w:tcPr>
          <w:p w:rsidR="00AE7713" w:rsidRPr="00AE7713" w:rsidRDefault="00AE7713" w:rsidP="00AE7713">
            <w:pPr>
              <w:jc w:val="right"/>
              <w:cnfStyle w:val="000000100000" w:firstRow="0" w:lastRow="0" w:firstColumn="0" w:lastColumn="0" w:oddVBand="0" w:evenVBand="0" w:oddHBand="1" w:evenHBand="0" w:firstRowFirstColumn="0" w:firstRowLastColumn="0" w:lastRowFirstColumn="0" w:lastRowLastColumn="0"/>
              <w:rPr>
                <w:b/>
                <w:bCs/>
                <w:lang w:eastAsia="en-GB"/>
              </w:rPr>
            </w:pPr>
            <w:r w:rsidRPr="00AE7713">
              <w:rPr>
                <w:b/>
                <w:bCs/>
                <w:lang w:eastAsia="en-GB"/>
              </w:rPr>
              <w:t>2,807,709</w:t>
            </w:r>
          </w:p>
        </w:tc>
      </w:tr>
      <w:tr w:rsidR="007761C8" w:rsidRPr="00495E27" w:rsidTr="00495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7761C8" w:rsidRPr="00495E27" w:rsidRDefault="007761C8" w:rsidP="003F06BD">
            <w:pPr>
              <w:rPr>
                <w:b/>
                <w:lang w:eastAsia="en-GB"/>
              </w:rPr>
            </w:pPr>
            <w:r w:rsidRPr="00495E27">
              <w:rPr>
                <w:b/>
                <w:lang w:eastAsia="en-GB"/>
              </w:rPr>
              <w:t>Current Assets</w:t>
            </w:r>
          </w:p>
        </w:tc>
        <w:tc>
          <w:tcPr>
            <w:tcW w:w="0" w:type="auto"/>
          </w:tcPr>
          <w:p w:rsidR="007761C8" w:rsidRPr="00495E27" w:rsidRDefault="007761C8" w:rsidP="003F06BD">
            <w:pPr>
              <w:cnfStyle w:val="000000010000" w:firstRow="0" w:lastRow="0" w:firstColumn="0" w:lastColumn="0" w:oddVBand="0" w:evenVBand="0" w:oddHBand="0" w:evenHBand="1" w:firstRowFirstColumn="0" w:firstRowLastColumn="0" w:lastRowFirstColumn="0" w:lastRowLastColumn="0"/>
              <w:rPr>
                <w:b/>
                <w:lang w:eastAsia="en-GB"/>
              </w:rPr>
            </w:pPr>
          </w:p>
        </w:tc>
        <w:tc>
          <w:tcPr>
            <w:tcW w:w="0" w:type="auto"/>
            <w:tcBorders>
              <w:top w:val="single" w:sz="8" w:space="0" w:color="000000" w:themeColor="text1"/>
            </w:tcBorders>
          </w:tcPr>
          <w:p w:rsidR="007761C8" w:rsidRPr="00495E27" w:rsidRDefault="007761C8" w:rsidP="003F06BD">
            <w:pPr>
              <w:jc w:val="right"/>
              <w:cnfStyle w:val="000000010000" w:firstRow="0" w:lastRow="0" w:firstColumn="0" w:lastColumn="0" w:oddVBand="0" w:evenVBand="0" w:oddHBand="0" w:evenHBand="1" w:firstRowFirstColumn="0" w:firstRowLastColumn="0" w:lastRowFirstColumn="0" w:lastRowLastColumn="0"/>
              <w:rPr>
                <w:b/>
                <w:bCs/>
                <w:lang w:eastAsia="en-GB"/>
              </w:rPr>
            </w:pPr>
          </w:p>
        </w:tc>
        <w:tc>
          <w:tcPr>
            <w:tcW w:w="0" w:type="auto"/>
            <w:tcBorders>
              <w:top w:val="single" w:sz="8" w:space="0" w:color="000000" w:themeColor="text1"/>
            </w:tcBorders>
          </w:tcPr>
          <w:p w:rsidR="007761C8" w:rsidRPr="00495E27" w:rsidRDefault="007761C8" w:rsidP="003F06BD">
            <w:pPr>
              <w:jc w:val="right"/>
              <w:cnfStyle w:val="000000010000" w:firstRow="0" w:lastRow="0" w:firstColumn="0" w:lastColumn="0" w:oddVBand="0" w:evenVBand="0" w:oddHBand="0" w:evenHBand="1" w:firstRowFirstColumn="0" w:firstRowLastColumn="0" w:lastRowFirstColumn="0" w:lastRowLastColumn="0"/>
              <w:rPr>
                <w:b/>
                <w:lang w:eastAsia="en-GB"/>
              </w:rPr>
            </w:pPr>
          </w:p>
        </w:tc>
      </w:tr>
      <w:tr w:rsidR="00AE7713" w:rsidRPr="00763D95" w:rsidTr="00495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AE7713" w:rsidRPr="00763D95" w:rsidRDefault="00AE7713" w:rsidP="003F06BD">
            <w:pPr>
              <w:rPr>
                <w:lang w:eastAsia="en-GB"/>
              </w:rPr>
            </w:pPr>
            <w:r w:rsidRPr="00763D95">
              <w:rPr>
                <w:lang w:eastAsia="en-GB"/>
              </w:rPr>
              <w:t>Receivables</w:t>
            </w:r>
          </w:p>
        </w:tc>
        <w:tc>
          <w:tcPr>
            <w:tcW w:w="0" w:type="auto"/>
          </w:tcPr>
          <w:p w:rsidR="00AE7713" w:rsidRPr="00763D95" w:rsidRDefault="00AE7713" w:rsidP="003F06BD">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9</w:t>
            </w:r>
          </w:p>
        </w:tc>
        <w:tc>
          <w:tcPr>
            <w:tcW w:w="0" w:type="auto"/>
          </w:tcPr>
          <w:p w:rsidR="00AE7713" w:rsidRPr="00F75095" w:rsidRDefault="00AE7713" w:rsidP="00AE7713">
            <w:pPr>
              <w:jc w:val="right"/>
              <w:cnfStyle w:val="000000100000" w:firstRow="0" w:lastRow="0" w:firstColumn="0" w:lastColumn="0" w:oddVBand="0" w:evenVBand="0" w:oddHBand="1" w:evenHBand="0" w:firstRowFirstColumn="0" w:firstRowLastColumn="0" w:lastRowFirstColumn="0" w:lastRowLastColumn="0"/>
              <w:rPr>
                <w:lang w:eastAsia="en-GB"/>
              </w:rPr>
            </w:pPr>
            <w:r w:rsidRPr="00F75095">
              <w:rPr>
                <w:lang w:eastAsia="en-GB"/>
              </w:rPr>
              <w:t>474,060</w:t>
            </w:r>
          </w:p>
        </w:tc>
        <w:tc>
          <w:tcPr>
            <w:tcW w:w="0" w:type="auto"/>
          </w:tcPr>
          <w:p w:rsidR="00AE7713" w:rsidRPr="00F75095" w:rsidRDefault="00AE7713" w:rsidP="00AE7713">
            <w:pPr>
              <w:jc w:val="right"/>
              <w:cnfStyle w:val="000000100000" w:firstRow="0" w:lastRow="0" w:firstColumn="0" w:lastColumn="0" w:oddVBand="0" w:evenVBand="0" w:oddHBand="1" w:evenHBand="0" w:firstRowFirstColumn="0" w:firstRowLastColumn="0" w:lastRowFirstColumn="0" w:lastRowLastColumn="0"/>
              <w:rPr>
                <w:lang w:eastAsia="en-GB"/>
              </w:rPr>
            </w:pPr>
            <w:r w:rsidRPr="00F75095">
              <w:rPr>
                <w:lang w:eastAsia="en-GB"/>
              </w:rPr>
              <w:t>305,399</w:t>
            </w:r>
          </w:p>
        </w:tc>
      </w:tr>
      <w:tr w:rsidR="00AE7713" w:rsidRPr="00763D95" w:rsidTr="00495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AE7713" w:rsidRPr="00763D95" w:rsidRDefault="00AE7713" w:rsidP="003F06BD">
            <w:pPr>
              <w:rPr>
                <w:lang w:eastAsia="en-GB"/>
              </w:rPr>
            </w:pPr>
            <w:r w:rsidRPr="00763D95">
              <w:rPr>
                <w:lang w:eastAsia="en-GB"/>
              </w:rPr>
              <w:t>Cash and cash equivalents</w:t>
            </w:r>
          </w:p>
        </w:tc>
        <w:tc>
          <w:tcPr>
            <w:tcW w:w="0" w:type="auto"/>
          </w:tcPr>
          <w:p w:rsidR="00AE7713" w:rsidRPr="00763D95" w:rsidRDefault="00AE7713" w:rsidP="003F06BD">
            <w:pPr>
              <w:cnfStyle w:val="000000010000" w:firstRow="0" w:lastRow="0" w:firstColumn="0" w:lastColumn="0" w:oddVBand="0" w:evenVBand="0" w:oddHBand="0" w:evenHBand="1" w:firstRowFirstColumn="0" w:firstRowLastColumn="0" w:lastRowFirstColumn="0" w:lastRowLastColumn="0"/>
              <w:rPr>
                <w:lang w:eastAsia="en-GB"/>
              </w:rPr>
            </w:pPr>
          </w:p>
        </w:tc>
        <w:tc>
          <w:tcPr>
            <w:tcW w:w="0" w:type="auto"/>
            <w:tcBorders>
              <w:bottom w:val="single" w:sz="8" w:space="0" w:color="000000" w:themeColor="text1"/>
            </w:tcBorders>
          </w:tcPr>
          <w:p w:rsidR="00AE7713" w:rsidRPr="00F75095" w:rsidRDefault="00AE7713" w:rsidP="00AE7713">
            <w:pPr>
              <w:jc w:val="right"/>
              <w:cnfStyle w:val="000000010000" w:firstRow="0" w:lastRow="0" w:firstColumn="0" w:lastColumn="0" w:oddVBand="0" w:evenVBand="0" w:oddHBand="0" w:evenHBand="1" w:firstRowFirstColumn="0" w:firstRowLastColumn="0" w:lastRowFirstColumn="0" w:lastRowLastColumn="0"/>
              <w:rPr>
                <w:lang w:eastAsia="en-GB"/>
              </w:rPr>
            </w:pPr>
            <w:r w:rsidRPr="00F75095">
              <w:rPr>
                <w:lang w:eastAsia="en-GB"/>
              </w:rPr>
              <w:t>11,675</w:t>
            </w:r>
          </w:p>
        </w:tc>
        <w:tc>
          <w:tcPr>
            <w:tcW w:w="0" w:type="auto"/>
            <w:tcBorders>
              <w:bottom w:val="single" w:sz="8" w:space="0" w:color="000000" w:themeColor="text1"/>
            </w:tcBorders>
          </w:tcPr>
          <w:p w:rsidR="00AE7713" w:rsidRPr="00F75095" w:rsidRDefault="00AE7713" w:rsidP="00AE7713">
            <w:pPr>
              <w:jc w:val="right"/>
              <w:cnfStyle w:val="000000010000" w:firstRow="0" w:lastRow="0" w:firstColumn="0" w:lastColumn="0" w:oddVBand="0" w:evenVBand="0" w:oddHBand="0" w:evenHBand="1" w:firstRowFirstColumn="0" w:firstRowLastColumn="0" w:lastRowFirstColumn="0" w:lastRowLastColumn="0"/>
              <w:rPr>
                <w:lang w:eastAsia="en-GB"/>
              </w:rPr>
            </w:pPr>
            <w:r w:rsidRPr="00F75095">
              <w:rPr>
                <w:lang w:eastAsia="en-GB"/>
              </w:rPr>
              <w:t>1,984</w:t>
            </w:r>
          </w:p>
        </w:tc>
      </w:tr>
      <w:tr w:rsidR="00AE7713" w:rsidRPr="00763D95" w:rsidTr="00495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AE7713" w:rsidRPr="00763D95" w:rsidRDefault="00AE7713" w:rsidP="003F06BD">
            <w:pPr>
              <w:rPr>
                <w:lang w:eastAsia="en-GB"/>
              </w:rPr>
            </w:pPr>
          </w:p>
        </w:tc>
        <w:tc>
          <w:tcPr>
            <w:tcW w:w="0" w:type="auto"/>
          </w:tcPr>
          <w:p w:rsidR="00AE7713" w:rsidRPr="00763D95" w:rsidRDefault="00AE7713" w:rsidP="003F06BD">
            <w:pPr>
              <w:cnfStyle w:val="000000100000" w:firstRow="0" w:lastRow="0" w:firstColumn="0" w:lastColumn="0" w:oddVBand="0" w:evenVBand="0" w:oddHBand="1" w:evenHBand="0" w:firstRowFirstColumn="0" w:firstRowLastColumn="0" w:lastRowFirstColumn="0" w:lastRowLastColumn="0"/>
              <w:rPr>
                <w:lang w:eastAsia="en-GB"/>
              </w:rPr>
            </w:pPr>
          </w:p>
        </w:tc>
        <w:tc>
          <w:tcPr>
            <w:tcW w:w="0" w:type="auto"/>
            <w:tcBorders>
              <w:top w:val="single" w:sz="8" w:space="0" w:color="000000" w:themeColor="text1"/>
            </w:tcBorders>
          </w:tcPr>
          <w:p w:rsidR="00AE7713" w:rsidRPr="00AE7713" w:rsidRDefault="00AE7713" w:rsidP="00AE7713">
            <w:pPr>
              <w:jc w:val="right"/>
              <w:cnfStyle w:val="000000100000" w:firstRow="0" w:lastRow="0" w:firstColumn="0" w:lastColumn="0" w:oddVBand="0" w:evenVBand="0" w:oddHBand="1" w:evenHBand="0" w:firstRowFirstColumn="0" w:firstRowLastColumn="0" w:lastRowFirstColumn="0" w:lastRowLastColumn="0"/>
              <w:rPr>
                <w:b/>
                <w:bCs/>
                <w:lang w:eastAsia="en-GB"/>
              </w:rPr>
            </w:pPr>
            <w:r w:rsidRPr="00AE7713">
              <w:rPr>
                <w:b/>
                <w:bCs/>
                <w:lang w:eastAsia="en-GB"/>
              </w:rPr>
              <w:t>485,735</w:t>
            </w:r>
          </w:p>
        </w:tc>
        <w:tc>
          <w:tcPr>
            <w:tcW w:w="0" w:type="auto"/>
            <w:tcBorders>
              <w:top w:val="single" w:sz="8" w:space="0" w:color="000000" w:themeColor="text1"/>
            </w:tcBorders>
          </w:tcPr>
          <w:p w:rsidR="00AE7713" w:rsidRPr="00AE7713" w:rsidRDefault="00AE7713" w:rsidP="00AE7713">
            <w:pPr>
              <w:jc w:val="right"/>
              <w:cnfStyle w:val="000000100000" w:firstRow="0" w:lastRow="0" w:firstColumn="0" w:lastColumn="0" w:oddVBand="0" w:evenVBand="0" w:oddHBand="1" w:evenHBand="0" w:firstRowFirstColumn="0" w:firstRowLastColumn="0" w:lastRowFirstColumn="0" w:lastRowLastColumn="0"/>
              <w:rPr>
                <w:b/>
                <w:bCs/>
                <w:lang w:eastAsia="en-GB"/>
              </w:rPr>
            </w:pPr>
            <w:r w:rsidRPr="00AE7713">
              <w:rPr>
                <w:b/>
                <w:bCs/>
                <w:lang w:eastAsia="en-GB"/>
              </w:rPr>
              <w:t>307,383</w:t>
            </w:r>
          </w:p>
        </w:tc>
      </w:tr>
      <w:tr w:rsidR="007761C8" w:rsidRPr="00495E27" w:rsidTr="00495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7761C8" w:rsidRPr="00495E27" w:rsidRDefault="007761C8" w:rsidP="003F06BD">
            <w:pPr>
              <w:rPr>
                <w:b/>
                <w:lang w:eastAsia="en-GB"/>
              </w:rPr>
            </w:pPr>
            <w:r w:rsidRPr="00495E27">
              <w:rPr>
                <w:b/>
                <w:lang w:eastAsia="en-GB"/>
              </w:rPr>
              <w:t xml:space="preserve">Current Liabilities </w:t>
            </w:r>
            <w:r w:rsidRPr="00495E27">
              <w:rPr>
                <w:b/>
              </w:rPr>
              <w:t>(amounts falling due within one</w:t>
            </w:r>
            <w:r w:rsidR="005D596A" w:rsidRPr="00495E27">
              <w:rPr>
                <w:b/>
              </w:rPr>
              <w:t> </w:t>
            </w:r>
            <w:r w:rsidRPr="00495E27">
              <w:rPr>
                <w:b/>
              </w:rPr>
              <w:t>year)</w:t>
            </w:r>
          </w:p>
        </w:tc>
        <w:tc>
          <w:tcPr>
            <w:tcW w:w="0" w:type="auto"/>
          </w:tcPr>
          <w:p w:rsidR="007761C8" w:rsidRPr="00495E27" w:rsidRDefault="007761C8" w:rsidP="003F06BD">
            <w:pPr>
              <w:cnfStyle w:val="000000010000" w:firstRow="0" w:lastRow="0" w:firstColumn="0" w:lastColumn="0" w:oddVBand="0" w:evenVBand="0" w:oddHBand="0" w:evenHBand="1" w:firstRowFirstColumn="0" w:firstRowLastColumn="0" w:lastRowFirstColumn="0" w:lastRowLastColumn="0"/>
              <w:rPr>
                <w:b/>
                <w:lang w:eastAsia="en-GB"/>
              </w:rPr>
            </w:pPr>
          </w:p>
        </w:tc>
        <w:tc>
          <w:tcPr>
            <w:tcW w:w="0" w:type="auto"/>
          </w:tcPr>
          <w:p w:rsidR="007761C8" w:rsidRPr="00495E27" w:rsidRDefault="007761C8" w:rsidP="003F06BD">
            <w:pPr>
              <w:jc w:val="right"/>
              <w:cnfStyle w:val="000000010000" w:firstRow="0" w:lastRow="0" w:firstColumn="0" w:lastColumn="0" w:oddVBand="0" w:evenVBand="0" w:oddHBand="0" w:evenHBand="1" w:firstRowFirstColumn="0" w:firstRowLastColumn="0" w:lastRowFirstColumn="0" w:lastRowLastColumn="0"/>
              <w:rPr>
                <w:b/>
                <w:bCs/>
                <w:lang w:eastAsia="en-GB"/>
              </w:rPr>
            </w:pPr>
          </w:p>
        </w:tc>
        <w:tc>
          <w:tcPr>
            <w:tcW w:w="0" w:type="auto"/>
          </w:tcPr>
          <w:p w:rsidR="007761C8" w:rsidRPr="00495E27" w:rsidRDefault="007761C8" w:rsidP="003F06BD">
            <w:pPr>
              <w:jc w:val="right"/>
              <w:cnfStyle w:val="000000010000" w:firstRow="0" w:lastRow="0" w:firstColumn="0" w:lastColumn="0" w:oddVBand="0" w:evenVBand="0" w:oddHBand="0" w:evenHBand="1" w:firstRowFirstColumn="0" w:firstRowLastColumn="0" w:lastRowFirstColumn="0" w:lastRowLastColumn="0"/>
              <w:rPr>
                <w:b/>
                <w:lang w:eastAsia="en-GB"/>
              </w:rPr>
            </w:pPr>
          </w:p>
        </w:tc>
      </w:tr>
      <w:tr w:rsidR="00AE7713" w:rsidRPr="00763D95" w:rsidTr="00495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AE7713" w:rsidRPr="00763D95" w:rsidRDefault="00AE7713" w:rsidP="003F06BD">
            <w:pPr>
              <w:rPr>
                <w:lang w:eastAsia="en-GB"/>
              </w:rPr>
            </w:pPr>
            <w:r w:rsidRPr="00763D95">
              <w:rPr>
                <w:lang w:eastAsia="en-GB"/>
              </w:rPr>
              <w:t xml:space="preserve">Payables </w:t>
            </w:r>
          </w:p>
        </w:tc>
        <w:tc>
          <w:tcPr>
            <w:tcW w:w="0" w:type="auto"/>
          </w:tcPr>
          <w:p w:rsidR="00AE7713" w:rsidRPr="00763D95" w:rsidRDefault="00AE7713" w:rsidP="003F06BD">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10</w:t>
            </w:r>
          </w:p>
        </w:tc>
        <w:tc>
          <w:tcPr>
            <w:tcW w:w="0" w:type="auto"/>
            <w:tcBorders>
              <w:bottom w:val="single" w:sz="8" w:space="0" w:color="000000" w:themeColor="text1"/>
            </w:tcBorders>
          </w:tcPr>
          <w:p w:rsidR="00AE7713" w:rsidRPr="00C668AA" w:rsidRDefault="00AE7713" w:rsidP="00AE7713">
            <w:pPr>
              <w:jc w:val="right"/>
              <w:cnfStyle w:val="000000100000" w:firstRow="0" w:lastRow="0" w:firstColumn="0" w:lastColumn="0" w:oddVBand="0" w:evenVBand="0" w:oddHBand="1" w:evenHBand="0" w:firstRowFirstColumn="0" w:firstRowLastColumn="0" w:lastRowFirstColumn="0" w:lastRowLastColumn="0"/>
              <w:rPr>
                <w:lang w:eastAsia="en-GB"/>
              </w:rPr>
            </w:pPr>
            <w:r w:rsidRPr="00C668AA">
              <w:rPr>
                <w:lang w:eastAsia="en-GB"/>
              </w:rPr>
              <w:t>(60,569)</w:t>
            </w:r>
          </w:p>
        </w:tc>
        <w:tc>
          <w:tcPr>
            <w:tcW w:w="0" w:type="auto"/>
            <w:tcBorders>
              <w:bottom w:val="single" w:sz="8" w:space="0" w:color="000000" w:themeColor="text1"/>
            </w:tcBorders>
          </w:tcPr>
          <w:p w:rsidR="00AE7713" w:rsidRPr="00C668AA" w:rsidRDefault="00AE7713" w:rsidP="00AE7713">
            <w:pPr>
              <w:jc w:val="right"/>
              <w:cnfStyle w:val="000000100000" w:firstRow="0" w:lastRow="0" w:firstColumn="0" w:lastColumn="0" w:oddVBand="0" w:evenVBand="0" w:oddHBand="1" w:evenHBand="0" w:firstRowFirstColumn="0" w:firstRowLastColumn="0" w:lastRowFirstColumn="0" w:lastRowLastColumn="0"/>
              <w:rPr>
                <w:lang w:eastAsia="en-GB"/>
              </w:rPr>
            </w:pPr>
            <w:r w:rsidRPr="00C668AA">
              <w:rPr>
                <w:lang w:eastAsia="en-GB"/>
              </w:rPr>
              <w:t>(38,537)</w:t>
            </w:r>
          </w:p>
        </w:tc>
      </w:tr>
      <w:tr w:rsidR="00AE7713" w:rsidRPr="00495E27" w:rsidTr="00495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AE7713" w:rsidRPr="00495E27" w:rsidRDefault="00AE7713" w:rsidP="003F06BD">
            <w:pPr>
              <w:rPr>
                <w:b/>
                <w:lang w:eastAsia="en-GB"/>
              </w:rPr>
            </w:pPr>
            <w:r w:rsidRPr="00495E27">
              <w:rPr>
                <w:b/>
                <w:lang w:eastAsia="en-GB"/>
              </w:rPr>
              <w:t>Net Current Assets</w:t>
            </w:r>
          </w:p>
        </w:tc>
        <w:tc>
          <w:tcPr>
            <w:tcW w:w="0" w:type="auto"/>
          </w:tcPr>
          <w:p w:rsidR="00AE7713" w:rsidRPr="00495E27" w:rsidRDefault="00AE7713" w:rsidP="003F06BD">
            <w:pPr>
              <w:cnfStyle w:val="000000010000" w:firstRow="0" w:lastRow="0" w:firstColumn="0" w:lastColumn="0" w:oddVBand="0" w:evenVBand="0" w:oddHBand="0" w:evenHBand="1" w:firstRowFirstColumn="0" w:firstRowLastColumn="0" w:lastRowFirstColumn="0" w:lastRowLastColumn="0"/>
              <w:rPr>
                <w:b/>
                <w:lang w:eastAsia="en-GB"/>
              </w:rPr>
            </w:pPr>
          </w:p>
        </w:tc>
        <w:tc>
          <w:tcPr>
            <w:tcW w:w="0" w:type="auto"/>
            <w:tcBorders>
              <w:top w:val="single" w:sz="8" w:space="0" w:color="000000" w:themeColor="text1"/>
              <w:bottom w:val="single" w:sz="8" w:space="0" w:color="000000" w:themeColor="text1"/>
            </w:tcBorders>
          </w:tcPr>
          <w:p w:rsidR="00AE7713" w:rsidRPr="00AE7713" w:rsidRDefault="00AE7713" w:rsidP="00AE7713">
            <w:pPr>
              <w:jc w:val="right"/>
              <w:cnfStyle w:val="000000010000" w:firstRow="0" w:lastRow="0" w:firstColumn="0" w:lastColumn="0" w:oddVBand="0" w:evenVBand="0" w:oddHBand="0" w:evenHBand="1" w:firstRowFirstColumn="0" w:firstRowLastColumn="0" w:lastRowFirstColumn="0" w:lastRowLastColumn="0"/>
              <w:rPr>
                <w:b/>
                <w:bCs/>
                <w:lang w:eastAsia="en-GB"/>
              </w:rPr>
            </w:pPr>
            <w:r w:rsidRPr="00AE7713">
              <w:rPr>
                <w:b/>
                <w:bCs/>
                <w:lang w:eastAsia="en-GB"/>
              </w:rPr>
              <w:t>425,166</w:t>
            </w:r>
          </w:p>
        </w:tc>
        <w:tc>
          <w:tcPr>
            <w:tcW w:w="0" w:type="auto"/>
            <w:tcBorders>
              <w:top w:val="single" w:sz="8" w:space="0" w:color="000000" w:themeColor="text1"/>
              <w:bottom w:val="single" w:sz="8" w:space="0" w:color="000000" w:themeColor="text1"/>
            </w:tcBorders>
          </w:tcPr>
          <w:p w:rsidR="00AE7713" w:rsidRPr="00AE7713" w:rsidRDefault="00AE7713" w:rsidP="00AE7713">
            <w:pPr>
              <w:jc w:val="right"/>
              <w:cnfStyle w:val="000000010000" w:firstRow="0" w:lastRow="0" w:firstColumn="0" w:lastColumn="0" w:oddVBand="0" w:evenVBand="0" w:oddHBand="0" w:evenHBand="1" w:firstRowFirstColumn="0" w:firstRowLastColumn="0" w:lastRowFirstColumn="0" w:lastRowLastColumn="0"/>
              <w:rPr>
                <w:b/>
                <w:bCs/>
                <w:lang w:eastAsia="en-GB"/>
              </w:rPr>
            </w:pPr>
            <w:r w:rsidRPr="00AE7713">
              <w:rPr>
                <w:b/>
                <w:bCs/>
                <w:lang w:eastAsia="en-GB"/>
              </w:rPr>
              <w:t>268,846</w:t>
            </w:r>
          </w:p>
        </w:tc>
      </w:tr>
      <w:tr w:rsidR="007761C8" w:rsidRPr="00495E27" w:rsidTr="00495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7761C8" w:rsidRPr="00495E27" w:rsidRDefault="007761C8" w:rsidP="003F06BD">
            <w:pPr>
              <w:rPr>
                <w:b/>
                <w:lang w:eastAsia="en-GB"/>
              </w:rPr>
            </w:pPr>
            <w:r w:rsidRPr="00495E27">
              <w:rPr>
                <w:b/>
                <w:lang w:eastAsia="en-GB"/>
              </w:rPr>
              <w:t>Retirement Benefits</w:t>
            </w:r>
          </w:p>
        </w:tc>
        <w:tc>
          <w:tcPr>
            <w:tcW w:w="0" w:type="auto"/>
          </w:tcPr>
          <w:p w:rsidR="007761C8" w:rsidRPr="00495E27" w:rsidRDefault="007761C8" w:rsidP="003F06BD">
            <w:pPr>
              <w:cnfStyle w:val="000000100000" w:firstRow="0" w:lastRow="0" w:firstColumn="0" w:lastColumn="0" w:oddVBand="0" w:evenVBand="0" w:oddHBand="1" w:evenHBand="0" w:firstRowFirstColumn="0" w:firstRowLastColumn="0" w:lastRowFirstColumn="0" w:lastRowLastColumn="0"/>
              <w:rPr>
                <w:b/>
                <w:lang w:eastAsia="en-GB"/>
              </w:rPr>
            </w:pPr>
          </w:p>
        </w:tc>
        <w:tc>
          <w:tcPr>
            <w:tcW w:w="0" w:type="auto"/>
            <w:tcBorders>
              <w:top w:val="single" w:sz="8" w:space="0" w:color="000000" w:themeColor="text1"/>
            </w:tcBorders>
          </w:tcPr>
          <w:p w:rsidR="007761C8" w:rsidRPr="00495E27" w:rsidRDefault="007761C8" w:rsidP="003F06BD">
            <w:pPr>
              <w:jc w:val="right"/>
              <w:cnfStyle w:val="000000100000" w:firstRow="0" w:lastRow="0" w:firstColumn="0" w:lastColumn="0" w:oddVBand="0" w:evenVBand="0" w:oddHBand="1" w:evenHBand="0" w:firstRowFirstColumn="0" w:firstRowLastColumn="0" w:lastRowFirstColumn="0" w:lastRowLastColumn="0"/>
              <w:rPr>
                <w:b/>
                <w:lang w:eastAsia="en-GB"/>
              </w:rPr>
            </w:pPr>
          </w:p>
        </w:tc>
        <w:tc>
          <w:tcPr>
            <w:tcW w:w="0" w:type="auto"/>
            <w:tcBorders>
              <w:top w:val="single" w:sz="8" w:space="0" w:color="000000" w:themeColor="text1"/>
            </w:tcBorders>
          </w:tcPr>
          <w:p w:rsidR="007761C8" w:rsidRPr="00495E27" w:rsidRDefault="007761C8" w:rsidP="003F06BD">
            <w:pPr>
              <w:jc w:val="right"/>
              <w:cnfStyle w:val="000000100000" w:firstRow="0" w:lastRow="0" w:firstColumn="0" w:lastColumn="0" w:oddVBand="0" w:evenVBand="0" w:oddHBand="1" w:evenHBand="0" w:firstRowFirstColumn="0" w:firstRowLastColumn="0" w:lastRowFirstColumn="0" w:lastRowLastColumn="0"/>
              <w:rPr>
                <w:b/>
                <w:lang w:eastAsia="en-GB"/>
              </w:rPr>
            </w:pPr>
          </w:p>
        </w:tc>
      </w:tr>
      <w:tr w:rsidR="007761C8" w:rsidRPr="00763D95" w:rsidTr="00495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7761C8" w:rsidRPr="00763D95" w:rsidRDefault="007761C8" w:rsidP="003F06BD">
            <w:pPr>
              <w:rPr>
                <w:lang w:eastAsia="en-GB"/>
              </w:rPr>
            </w:pPr>
            <w:r w:rsidRPr="00763D95">
              <w:rPr>
                <w:lang w:eastAsia="en-GB"/>
              </w:rPr>
              <w:t>Deferred retirement benefit funding asset</w:t>
            </w:r>
          </w:p>
        </w:tc>
        <w:tc>
          <w:tcPr>
            <w:tcW w:w="0" w:type="auto"/>
          </w:tcPr>
          <w:p w:rsidR="007761C8" w:rsidRPr="00763D95" w:rsidRDefault="007761C8" w:rsidP="003F06BD">
            <w:pPr>
              <w:cnfStyle w:val="000000010000" w:firstRow="0" w:lastRow="0" w:firstColumn="0" w:lastColumn="0" w:oddVBand="0" w:evenVBand="0" w:oddHBand="0" w:evenHBand="1" w:firstRowFirstColumn="0" w:firstRowLastColumn="0" w:lastRowFirstColumn="0" w:lastRowLastColumn="0"/>
              <w:rPr>
                <w:lang w:eastAsia="en-GB"/>
              </w:rPr>
            </w:pPr>
            <w:r w:rsidRPr="00763D95">
              <w:rPr>
                <w:lang w:eastAsia="en-GB"/>
              </w:rPr>
              <w:t>6(b)</w:t>
            </w:r>
          </w:p>
        </w:tc>
        <w:tc>
          <w:tcPr>
            <w:tcW w:w="0" w:type="auto"/>
          </w:tcPr>
          <w:p w:rsidR="007761C8" w:rsidRPr="00763D95" w:rsidRDefault="007761C8" w:rsidP="003F06BD">
            <w:pPr>
              <w:jc w:val="right"/>
              <w:cnfStyle w:val="000000010000" w:firstRow="0" w:lastRow="0" w:firstColumn="0" w:lastColumn="0" w:oddVBand="0" w:evenVBand="0" w:oddHBand="0" w:evenHBand="1" w:firstRowFirstColumn="0" w:firstRowLastColumn="0" w:lastRowFirstColumn="0" w:lastRowLastColumn="0"/>
              <w:rPr>
                <w:lang w:eastAsia="en-GB"/>
              </w:rPr>
            </w:pPr>
            <w:r w:rsidRPr="00763D95">
              <w:rPr>
                <w:lang w:eastAsia="en-GB"/>
              </w:rPr>
              <w:t>(23,371,800)</w:t>
            </w:r>
          </w:p>
        </w:tc>
        <w:tc>
          <w:tcPr>
            <w:tcW w:w="0" w:type="auto"/>
          </w:tcPr>
          <w:p w:rsidR="007761C8" w:rsidRPr="00763D95" w:rsidRDefault="007761C8" w:rsidP="003F06BD">
            <w:pPr>
              <w:jc w:val="right"/>
              <w:cnfStyle w:val="000000010000" w:firstRow="0" w:lastRow="0" w:firstColumn="0" w:lastColumn="0" w:oddVBand="0" w:evenVBand="0" w:oddHBand="0" w:evenHBand="1" w:firstRowFirstColumn="0" w:firstRowLastColumn="0" w:lastRowFirstColumn="0" w:lastRowLastColumn="0"/>
              <w:rPr>
                <w:lang w:eastAsia="en-GB"/>
              </w:rPr>
            </w:pPr>
            <w:r w:rsidRPr="00763D95">
              <w:rPr>
                <w:lang w:eastAsia="en-GB"/>
              </w:rPr>
              <w:t>(16,600,000)</w:t>
            </w:r>
          </w:p>
        </w:tc>
      </w:tr>
      <w:tr w:rsidR="007761C8" w:rsidRPr="00763D95" w:rsidTr="00495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7761C8" w:rsidRPr="00763D95" w:rsidRDefault="007761C8" w:rsidP="003F06BD">
            <w:pPr>
              <w:rPr>
                <w:lang w:eastAsia="en-GB"/>
              </w:rPr>
            </w:pPr>
            <w:r w:rsidRPr="00763D95">
              <w:rPr>
                <w:lang w:eastAsia="en-GB"/>
              </w:rPr>
              <w:t>Retirement benefit obligations</w:t>
            </w:r>
          </w:p>
        </w:tc>
        <w:tc>
          <w:tcPr>
            <w:tcW w:w="0" w:type="auto"/>
          </w:tcPr>
          <w:p w:rsidR="007761C8" w:rsidRPr="00763D95" w:rsidRDefault="007761C8" w:rsidP="003F06BD">
            <w:pPr>
              <w:cnfStyle w:val="000000100000" w:firstRow="0" w:lastRow="0" w:firstColumn="0" w:lastColumn="0" w:oddVBand="0" w:evenVBand="0" w:oddHBand="1" w:evenHBand="0" w:firstRowFirstColumn="0" w:firstRowLastColumn="0" w:lastRowFirstColumn="0" w:lastRowLastColumn="0"/>
              <w:rPr>
                <w:lang w:eastAsia="en-GB"/>
              </w:rPr>
            </w:pPr>
            <w:r w:rsidRPr="00763D95">
              <w:rPr>
                <w:lang w:eastAsia="en-GB"/>
              </w:rPr>
              <w:t>6(b)</w:t>
            </w:r>
          </w:p>
        </w:tc>
        <w:tc>
          <w:tcPr>
            <w:tcW w:w="0" w:type="auto"/>
            <w:tcBorders>
              <w:bottom w:val="single" w:sz="8" w:space="0" w:color="000000" w:themeColor="text1"/>
            </w:tcBorders>
          </w:tcPr>
          <w:p w:rsidR="007761C8" w:rsidRPr="00763D95" w:rsidRDefault="007761C8" w:rsidP="003F06BD">
            <w:pPr>
              <w:jc w:val="right"/>
              <w:cnfStyle w:val="000000100000" w:firstRow="0" w:lastRow="0" w:firstColumn="0" w:lastColumn="0" w:oddVBand="0" w:evenVBand="0" w:oddHBand="1" w:evenHBand="0" w:firstRowFirstColumn="0" w:firstRowLastColumn="0" w:lastRowFirstColumn="0" w:lastRowLastColumn="0"/>
              <w:rPr>
                <w:lang w:eastAsia="en-GB"/>
              </w:rPr>
            </w:pPr>
            <w:r w:rsidRPr="00763D95">
              <w:rPr>
                <w:lang w:eastAsia="en-GB"/>
              </w:rPr>
              <w:t>23,371,800</w:t>
            </w:r>
          </w:p>
        </w:tc>
        <w:tc>
          <w:tcPr>
            <w:tcW w:w="0" w:type="auto"/>
            <w:tcBorders>
              <w:bottom w:val="single" w:sz="8" w:space="0" w:color="000000" w:themeColor="text1"/>
            </w:tcBorders>
          </w:tcPr>
          <w:p w:rsidR="007761C8" w:rsidRPr="00763D95" w:rsidRDefault="007761C8" w:rsidP="003F06BD">
            <w:pPr>
              <w:jc w:val="right"/>
              <w:cnfStyle w:val="000000100000" w:firstRow="0" w:lastRow="0" w:firstColumn="0" w:lastColumn="0" w:oddVBand="0" w:evenVBand="0" w:oddHBand="1" w:evenHBand="0" w:firstRowFirstColumn="0" w:firstRowLastColumn="0" w:lastRowFirstColumn="0" w:lastRowLastColumn="0"/>
              <w:rPr>
                <w:lang w:eastAsia="en-GB"/>
              </w:rPr>
            </w:pPr>
            <w:r w:rsidRPr="00763D95">
              <w:rPr>
                <w:lang w:eastAsia="en-GB"/>
              </w:rPr>
              <w:t>16,600,000</w:t>
            </w:r>
          </w:p>
        </w:tc>
      </w:tr>
      <w:tr w:rsidR="00AE7713" w:rsidRPr="00495E27" w:rsidTr="00495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AE7713" w:rsidRPr="00495E27" w:rsidRDefault="00AE7713" w:rsidP="003F06BD">
            <w:pPr>
              <w:rPr>
                <w:b/>
                <w:lang w:eastAsia="en-GB"/>
              </w:rPr>
            </w:pPr>
            <w:r w:rsidRPr="00495E27">
              <w:rPr>
                <w:b/>
                <w:lang w:eastAsia="en-GB"/>
              </w:rPr>
              <w:t>Total Net Assets</w:t>
            </w:r>
          </w:p>
        </w:tc>
        <w:tc>
          <w:tcPr>
            <w:tcW w:w="0" w:type="auto"/>
          </w:tcPr>
          <w:p w:rsidR="00AE7713" w:rsidRPr="00495E27" w:rsidRDefault="00AE7713" w:rsidP="003F06BD">
            <w:pPr>
              <w:cnfStyle w:val="000000010000" w:firstRow="0" w:lastRow="0" w:firstColumn="0" w:lastColumn="0" w:oddVBand="0" w:evenVBand="0" w:oddHBand="0" w:evenHBand="1" w:firstRowFirstColumn="0" w:firstRowLastColumn="0" w:lastRowFirstColumn="0" w:lastRowLastColumn="0"/>
              <w:rPr>
                <w:b/>
                <w:lang w:eastAsia="en-GB"/>
              </w:rPr>
            </w:pPr>
          </w:p>
        </w:tc>
        <w:tc>
          <w:tcPr>
            <w:tcW w:w="0" w:type="auto"/>
            <w:tcBorders>
              <w:top w:val="single" w:sz="8" w:space="0" w:color="000000" w:themeColor="text1"/>
              <w:bottom w:val="double" w:sz="4" w:space="0" w:color="auto"/>
            </w:tcBorders>
          </w:tcPr>
          <w:p w:rsidR="00AE7713" w:rsidRPr="00AE7713" w:rsidRDefault="00AE7713" w:rsidP="00AE7713">
            <w:pPr>
              <w:jc w:val="right"/>
              <w:cnfStyle w:val="000000010000" w:firstRow="0" w:lastRow="0" w:firstColumn="0" w:lastColumn="0" w:oddVBand="0" w:evenVBand="0" w:oddHBand="0" w:evenHBand="1" w:firstRowFirstColumn="0" w:firstRowLastColumn="0" w:lastRowFirstColumn="0" w:lastRowLastColumn="0"/>
              <w:rPr>
                <w:b/>
                <w:bCs/>
                <w:lang w:eastAsia="en-GB"/>
              </w:rPr>
            </w:pPr>
            <w:r w:rsidRPr="00AE7713">
              <w:rPr>
                <w:b/>
                <w:bCs/>
                <w:lang w:eastAsia="en-GB"/>
              </w:rPr>
              <w:t>3,154,407</w:t>
            </w:r>
          </w:p>
        </w:tc>
        <w:tc>
          <w:tcPr>
            <w:tcW w:w="0" w:type="auto"/>
            <w:tcBorders>
              <w:top w:val="single" w:sz="8" w:space="0" w:color="000000" w:themeColor="text1"/>
              <w:bottom w:val="double" w:sz="4" w:space="0" w:color="auto"/>
            </w:tcBorders>
          </w:tcPr>
          <w:p w:rsidR="00AE7713" w:rsidRPr="00AE7713" w:rsidRDefault="00AE7713" w:rsidP="00AE7713">
            <w:pPr>
              <w:jc w:val="right"/>
              <w:cnfStyle w:val="000000010000" w:firstRow="0" w:lastRow="0" w:firstColumn="0" w:lastColumn="0" w:oddVBand="0" w:evenVBand="0" w:oddHBand="0" w:evenHBand="1" w:firstRowFirstColumn="0" w:firstRowLastColumn="0" w:lastRowFirstColumn="0" w:lastRowLastColumn="0"/>
              <w:rPr>
                <w:b/>
                <w:bCs/>
                <w:lang w:eastAsia="en-GB"/>
              </w:rPr>
            </w:pPr>
            <w:r w:rsidRPr="00AE7713">
              <w:rPr>
                <w:b/>
                <w:bCs/>
                <w:lang w:eastAsia="en-GB"/>
              </w:rPr>
              <w:t>3,076,555</w:t>
            </w:r>
          </w:p>
        </w:tc>
      </w:tr>
      <w:tr w:rsidR="007761C8" w:rsidRPr="00495E27" w:rsidTr="00495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7761C8" w:rsidRPr="00495E27" w:rsidRDefault="007761C8" w:rsidP="003F06BD">
            <w:pPr>
              <w:rPr>
                <w:b/>
                <w:lang w:eastAsia="en-GB"/>
              </w:rPr>
            </w:pPr>
            <w:r w:rsidRPr="00495E27">
              <w:rPr>
                <w:b/>
                <w:lang w:eastAsia="en-GB"/>
              </w:rPr>
              <w:t>Representing</w:t>
            </w:r>
          </w:p>
        </w:tc>
        <w:tc>
          <w:tcPr>
            <w:tcW w:w="0" w:type="auto"/>
          </w:tcPr>
          <w:p w:rsidR="007761C8" w:rsidRPr="00495E27" w:rsidRDefault="007761C8" w:rsidP="003F06BD">
            <w:pPr>
              <w:cnfStyle w:val="000000100000" w:firstRow="0" w:lastRow="0" w:firstColumn="0" w:lastColumn="0" w:oddVBand="0" w:evenVBand="0" w:oddHBand="1" w:evenHBand="0" w:firstRowFirstColumn="0" w:firstRowLastColumn="0" w:lastRowFirstColumn="0" w:lastRowLastColumn="0"/>
              <w:rPr>
                <w:b/>
                <w:lang w:eastAsia="en-GB"/>
              </w:rPr>
            </w:pPr>
          </w:p>
        </w:tc>
        <w:tc>
          <w:tcPr>
            <w:tcW w:w="0" w:type="auto"/>
            <w:tcBorders>
              <w:top w:val="double" w:sz="4" w:space="0" w:color="auto"/>
            </w:tcBorders>
          </w:tcPr>
          <w:p w:rsidR="007761C8" w:rsidRPr="00495E27" w:rsidRDefault="007761C8" w:rsidP="003F06BD">
            <w:pPr>
              <w:jc w:val="right"/>
              <w:cnfStyle w:val="000000100000" w:firstRow="0" w:lastRow="0" w:firstColumn="0" w:lastColumn="0" w:oddVBand="0" w:evenVBand="0" w:oddHBand="1" w:evenHBand="0" w:firstRowFirstColumn="0" w:firstRowLastColumn="0" w:lastRowFirstColumn="0" w:lastRowLastColumn="0"/>
              <w:rPr>
                <w:b/>
                <w:bCs/>
                <w:lang w:eastAsia="en-GB"/>
              </w:rPr>
            </w:pPr>
          </w:p>
        </w:tc>
        <w:tc>
          <w:tcPr>
            <w:tcW w:w="0" w:type="auto"/>
            <w:tcBorders>
              <w:top w:val="double" w:sz="4" w:space="0" w:color="auto"/>
            </w:tcBorders>
          </w:tcPr>
          <w:p w:rsidR="007761C8" w:rsidRPr="00495E27" w:rsidRDefault="007761C8" w:rsidP="003F06BD">
            <w:pPr>
              <w:jc w:val="right"/>
              <w:cnfStyle w:val="000000100000" w:firstRow="0" w:lastRow="0" w:firstColumn="0" w:lastColumn="0" w:oddVBand="0" w:evenVBand="0" w:oddHBand="1" w:evenHBand="0" w:firstRowFirstColumn="0" w:firstRowLastColumn="0" w:lastRowFirstColumn="0" w:lastRowLastColumn="0"/>
              <w:rPr>
                <w:b/>
                <w:lang w:eastAsia="en-GB"/>
              </w:rPr>
            </w:pPr>
          </w:p>
        </w:tc>
      </w:tr>
      <w:tr w:rsidR="00AE7713" w:rsidRPr="00763D95" w:rsidTr="00495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AE7713" w:rsidRPr="00763D95" w:rsidRDefault="00AE7713" w:rsidP="003F06BD">
            <w:pPr>
              <w:rPr>
                <w:lang w:eastAsia="en-GB"/>
              </w:rPr>
            </w:pPr>
            <w:r w:rsidRPr="00763D95">
              <w:rPr>
                <w:lang w:eastAsia="en-GB"/>
              </w:rPr>
              <w:t>Capital account</w:t>
            </w:r>
          </w:p>
        </w:tc>
        <w:tc>
          <w:tcPr>
            <w:tcW w:w="0" w:type="auto"/>
          </w:tcPr>
          <w:p w:rsidR="00AE7713" w:rsidRPr="00763D95" w:rsidRDefault="00AE7713" w:rsidP="003F06BD">
            <w:pPr>
              <w:cnfStyle w:val="000000010000" w:firstRow="0" w:lastRow="0" w:firstColumn="0" w:lastColumn="0" w:oddVBand="0" w:evenVBand="0" w:oddHBand="0" w:evenHBand="1" w:firstRowFirstColumn="0" w:firstRowLastColumn="0" w:lastRowFirstColumn="0" w:lastRowLastColumn="0"/>
              <w:rPr>
                <w:lang w:eastAsia="en-GB"/>
              </w:rPr>
            </w:pPr>
            <w:r>
              <w:rPr>
                <w:lang w:eastAsia="en-GB"/>
              </w:rPr>
              <w:t>7</w:t>
            </w:r>
          </w:p>
        </w:tc>
        <w:tc>
          <w:tcPr>
            <w:tcW w:w="0" w:type="auto"/>
          </w:tcPr>
          <w:p w:rsidR="00AE7713" w:rsidRPr="007B3CBB" w:rsidRDefault="00AE7713" w:rsidP="00AE7713">
            <w:pPr>
              <w:jc w:val="right"/>
              <w:cnfStyle w:val="000000010000" w:firstRow="0" w:lastRow="0" w:firstColumn="0" w:lastColumn="0" w:oddVBand="0" w:evenVBand="0" w:oddHBand="0" w:evenHBand="1" w:firstRowFirstColumn="0" w:firstRowLastColumn="0" w:lastRowFirstColumn="0" w:lastRowLastColumn="0"/>
              <w:rPr>
                <w:lang w:eastAsia="en-GB"/>
              </w:rPr>
            </w:pPr>
            <w:r w:rsidRPr="007B3CBB">
              <w:rPr>
                <w:lang w:eastAsia="en-GB"/>
              </w:rPr>
              <w:t>2,729,241</w:t>
            </w:r>
          </w:p>
        </w:tc>
        <w:tc>
          <w:tcPr>
            <w:tcW w:w="0" w:type="auto"/>
          </w:tcPr>
          <w:p w:rsidR="00AE7713" w:rsidRPr="007B3CBB" w:rsidRDefault="00AE7713" w:rsidP="00AE7713">
            <w:pPr>
              <w:jc w:val="right"/>
              <w:cnfStyle w:val="000000010000" w:firstRow="0" w:lastRow="0" w:firstColumn="0" w:lastColumn="0" w:oddVBand="0" w:evenVBand="0" w:oddHBand="0" w:evenHBand="1" w:firstRowFirstColumn="0" w:firstRowLastColumn="0" w:lastRowFirstColumn="0" w:lastRowLastColumn="0"/>
              <w:rPr>
                <w:lang w:eastAsia="en-GB"/>
              </w:rPr>
            </w:pPr>
            <w:r w:rsidRPr="007B3CBB">
              <w:rPr>
                <w:lang w:eastAsia="en-GB"/>
              </w:rPr>
              <w:t>2,807,709</w:t>
            </w:r>
          </w:p>
        </w:tc>
      </w:tr>
      <w:tr w:rsidR="00AE7713" w:rsidRPr="00763D95" w:rsidTr="00495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AE7713" w:rsidRPr="00763D95" w:rsidRDefault="00AE7713" w:rsidP="003F06BD">
            <w:pPr>
              <w:rPr>
                <w:lang w:eastAsia="en-GB"/>
              </w:rPr>
            </w:pPr>
            <w:r w:rsidRPr="00763D95">
              <w:rPr>
                <w:lang w:eastAsia="en-GB"/>
              </w:rPr>
              <w:t>Retained revenue reserves</w:t>
            </w:r>
          </w:p>
        </w:tc>
        <w:tc>
          <w:tcPr>
            <w:tcW w:w="0" w:type="auto"/>
          </w:tcPr>
          <w:p w:rsidR="00AE7713" w:rsidRPr="00763D95" w:rsidRDefault="00AE7713" w:rsidP="003F06BD">
            <w:pPr>
              <w:cnfStyle w:val="000000100000" w:firstRow="0" w:lastRow="0" w:firstColumn="0" w:lastColumn="0" w:oddVBand="0" w:evenVBand="0" w:oddHBand="1" w:evenHBand="0" w:firstRowFirstColumn="0" w:firstRowLastColumn="0" w:lastRowFirstColumn="0" w:lastRowLastColumn="0"/>
              <w:rPr>
                <w:lang w:eastAsia="en-GB"/>
              </w:rPr>
            </w:pPr>
          </w:p>
        </w:tc>
        <w:tc>
          <w:tcPr>
            <w:tcW w:w="0" w:type="auto"/>
            <w:tcBorders>
              <w:bottom w:val="single" w:sz="8" w:space="0" w:color="000000" w:themeColor="text1"/>
            </w:tcBorders>
          </w:tcPr>
          <w:p w:rsidR="00AE7713" w:rsidRPr="007B3CBB" w:rsidRDefault="00AE7713" w:rsidP="00AE7713">
            <w:pPr>
              <w:jc w:val="right"/>
              <w:cnfStyle w:val="000000100000" w:firstRow="0" w:lastRow="0" w:firstColumn="0" w:lastColumn="0" w:oddVBand="0" w:evenVBand="0" w:oddHBand="1" w:evenHBand="0" w:firstRowFirstColumn="0" w:firstRowLastColumn="0" w:lastRowFirstColumn="0" w:lastRowLastColumn="0"/>
              <w:rPr>
                <w:lang w:eastAsia="en-GB"/>
              </w:rPr>
            </w:pPr>
            <w:r w:rsidRPr="007B3CBB">
              <w:rPr>
                <w:lang w:eastAsia="en-GB"/>
              </w:rPr>
              <w:t>425,166</w:t>
            </w:r>
          </w:p>
        </w:tc>
        <w:tc>
          <w:tcPr>
            <w:tcW w:w="0" w:type="auto"/>
            <w:tcBorders>
              <w:bottom w:val="single" w:sz="8" w:space="0" w:color="000000" w:themeColor="text1"/>
            </w:tcBorders>
          </w:tcPr>
          <w:p w:rsidR="00AE7713" w:rsidRDefault="00AE7713" w:rsidP="00AE7713">
            <w:pPr>
              <w:jc w:val="right"/>
              <w:cnfStyle w:val="000000100000" w:firstRow="0" w:lastRow="0" w:firstColumn="0" w:lastColumn="0" w:oddVBand="0" w:evenVBand="0" w:oddHBand="1" w:evenHBand="0" w:firstRowFirstColumn="0" w:firstRowLastColumn="0" w:lastRowFirstColumn="0" w:lastRowLastColumn="0"/>
              <w:rPr>
                <w:lang w:eastAsia="en-GB"/>
              </w:rPr>
            </w:pPr>
            <w:r w:rsidRPr="007B3CBB">
              <w:rPr>
                <w:lang w:eastAsia="en-GB"/>
              </w:rPr>
              <w:t>268,846</w:t>
            </w:r>
          </w:p>
        </w:tc>
      </w:tr>
      <w:tr w:rsidR="00AE7713" w:rsidRPr="00763D95" w:rsidTr="00495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AE7713" w:rsidRPr="00763D95" w:rsidRDefault="00AE7713" w:rsidP="003F06BD">
            <w:pPr>
              <w:rPr>
                <w:lang w:eastAsia="en-GB"/>
              </w:rPr>
            </w:pPr>
          </w:p>
        </w:tc>
        <w:tc>
          <w:tcPr>
            <w:tcW w:w="0" w:type="auto"/>
          </w:tcPr>
          <w:p w:rsidR="00AE7713" w:rsidRPr="00763D95" w:rsidRDefault="00AE7713" w:rsidP="003F06BD">
            <w:pPr>
              <w:cnfStyle w:val="000000010000" w:firstRow="0" w:lastRow="0" w:firstColumn="0" w:lastColumn="0" w:oddVBand="0" w:evenVBand="0" w:oddHBand="0" w:evenHBand="1" w:firstRowFirstColumn="0" w:firstRowLastColumn="0" w:lastRowFirstColumn="0" w:lastRowLastColumn="0"/>
              <w:rPr>
                <w:lang w:eastAsia="en-GB"/>
              </w:rPr>
            </w:pPr>
          </w:p>
        </w:tc>
        <w:tc>
          <w:tcPr>
            <w:tcW w:w="0" w:type="auto"/>
            <w:tcBorders>
              <w:top w:val="single" w:sz="8" w:space="0" w:color="000000" w:themeColor="text1"/>
              <w:bottom w:val="double" w:sz="4" w:space="0" w:color="auto"/>
            </w:tcBorders>
          </w:tcPr>
          <w:p w:rsidR="00AE7713" w:rsidRPr="00AE7713" w:rsidRDefault="00AE7713" w:rsidP="00AE7713">
            <w:pPr>
              <w:jc w:val="right"/>
              <w:cnfStyle w:val="000000010000" w:firstRow="0" w:lastRow="0" w:firstColumn="0" w:lastColumn="0" w:oddVBand="0" w:evenVBand="0" w:oddHBand="0" w:evenHBand="1" w:firstRowFirstColumn="0" w:firstRowLastColumn="0" w:lastRowFirstColumn="0" w:lastRowLastColumn="0"/>
              <w:rPr>
                <w:b/>
                <w:bCs/>
                <w:lang w:eastAsia="en-GB"/>
              </w:rPr>
            </w:pPr>
            <w:r w:rsidRPr="00AE7713">
              <w:rPr>
                <w:b/>
                <w:bCs/>
                <w:lang w:eastAsia="en-GB"/>
              </w:rPr>
              <w:t>3,154,407</w:t>
            </w:r>
          </w:p>
        </w:tc>
        <w:tc>
          <w:tcPr>
            <w:tcW w:w="0" w:type="auto"/>
            <w:tcBorders>
              <w:top w:val="single" w:sz="8" w:space="0" w:color="000000" w:themeColor="text1"/>
              <w:bottom w:val="double" w:sz="4" w:space="0" w:color="auto"/>
            </w:tcBorders>
          </w:tcPr>
          <w:p w:rsidR="00AE7713" w:rsidRPr="00AE7713" w:rsidRDefault="00AE7713" w:rsidP="00AE7713">
            <w:pPr>
              <w:jc w:val="right"/>
              <w:cnfStyle w:val="000000010000" w:firstRow="0" w:lastRow="0" w:firstColumn="0" w:lastColumn="0" w:oddVBand="0" w:evenVBand="0" w:oddHBand="0" w:evenHBand="1" w:firstRowFirstColumn="0" w:firstRowLastColumn="0" w:lastRowFirstColumn="0" w:lastRowLastColumn="0"/>
              <w:rPr>
                <w:b/>
                <w:bCs/>
                <w:lang w:eastAsia="en-GB"/>
              </w:rPr>
            </w:pPr>
            <w:r w:rsidRPr="00AE7713">
              <w:rPr>
                <w:b/>
                <w:bCs/>
                <w:lang w:eastAsia="en-GB"/>
              </w:rPr>
              <w:t>3,076,555</w:t>
            </w:r>
          </w:p>
        </w:tc>
      </w:tr>
    </w:tbl>
    <w:p w:rsidR="007761C8" w:rsidRPr="00763D95" w:rsidRDefault="007761C8" w:rsidP="007761C8">
      <w:pPr>
        <w:rPr>
          <w:lang w:eastAsia="en-GB"/>
        </w:rPr>
      </w:pPr>
    </w:p>
    <w:p w:rsidR="007761C8" w:rsidRPr="00763D95" w:rsidRDefault="007761C8" w:rsidP="007761C8">
      <w:pPr>
        <w:rPr>
          <w:lang w:eastAsia="en-GB"/>
        </w:rPr>
      </w:pPr>
      <w:r w:rsidRPr="00763D95">
        <w:rPr>
          <w:lang w:eastAsia="en-GB"/>
        </w:rPr>
        <w:t>The Statement of Cash Flows and notes 1 to 1</w:t>
      </w:r>
      <w:r w:rsidR="00AE7713">
        <w:rPr>
          <w:lang w:eastAsia="en-GB"/>
        </w:rPr>
        <w:t>2</w:t>
      </w:r>
      <w:r w:rsidRPr="00763D95">
        <w:rPr>
          <w:lang w:eastAsia="en-GB"/>
        </w:rPr>
        <w:t xml:space="preserve"> form part of these financial statements.</w:t>
      </w:r>
    </w:p>
    <w:p w:rsidR="00763D95" w:rsidRDefault="00763D95" w:rsidP="00763D95">
      <w:pPr>
        <w:rPr>
          <w:lang w:eastAsia="en-GB"/>
        </w:rPr>
        <w:sectPr w:rsidR="00763D95" w:rsidSect="009C0B80">
          <w:headerReference w:type="default" r:id="rId19"/>
          <w:footerReference w:type="default" r:id="rId20"/>
          <w:type w:val="continuous"/>
          <w:pgSz w:w="11907" w:h="16840" w:code="9"/>
          <w:pgMar w:top="1985" w:right="1985" w:bottom="1985" w:left="1985" w:header="709" w:footer="709" w:gutter="0"/>
          <w:pgNumType w:chapStyle="1" w:chapSep="emDash"/>
          <w:cols w:space="708"/>
          <w:titlePg/>
          <w:rtlGutter/>
          <w:docGrid w:linePitch="360"/>
        </w:sectPr>
      </w:pPr>
      <w:r w:rsidRPr="007761C8">
        <w:rPr>
          <w:lang w:eastAsia="en-GB"/>
        </w:rPr>
        <w:t>On behalf of the board of National Disability Authority (NDA)</w:t>
      </w:r>
    </w:p>
    <w:p w:rsidR="00D26148" w:rsidRDefault="00D26148" w:rsidP="00D26148">
      <w:pPr>
        <w:rPr>
          <w:lang w:eastAsia="en-GB"/>
        </w:rPr>
      </w:pPr>
      <w:r w:rsidRPr="00A80E34">
        <w:rPr>
          <w:noProof/>
          <w:lang w:eastAsia="en-IE"/>
        </w:rPr>
        <w:drawing>
          <wp:inline distT="0" distB="0" distL="0" distR="0">
            <wp:extent cx="2294890" cy="637998"/>
            <wp:effectExtent l="19050" t="0" r="0" b="0"/>
            <wp:docPr id="14" name="Picture 1" descr="Helen Guina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294890" cy="637998"/>
                    </a:xfrm>
                    <a:prstGeom prst="rect">
                      <a:avLst/>
                    </a:prstGeom>
                    <a:noFill/>
                    <a:ln w="9525">
                      <a:noFill/>
                      <a:miter lim="800000"/>
                      <a:headEnd/>
                      <a:tailEnd/>
                    </a:ln>
                  </pic:spPr>
                </pic:pic>
              </a:graphicData>
            </a:graphic>
          </wp:inline>
        </w:drawing>
      </w:r>
      <w:r>
        <w:rPr>
          <w:lang w:eastAsia="en-GB"/>
        </w:rPr>
        <w:br/>
      </w:r>
      <w:r w:rsidRPr="007761C8">
        <w:rPr>
          <w:lang w:eastAsia="en-GB"/>
        </w:rPr>
        <w:t>Helen Guinan,</w:t>
      </w:r>
      <w:r>
        <w:rPr>
          <w:lang w:eastAsia="en-GB"/>
        </w:rPr>
        <w:br/>
      </w:r>
      <w:r w:rsidRPr="007761C8">
        <w:rPr>
          <w:lang w:eastAsia="en-GB"/>
        </w:rPr>
        <w:t>Chairperson</w:t>
      </w:r>
      <w:r>
        <w:rPr>
          <w:lang w:eastAsia="en-GB"/>
        </w:rPr>
        <w:br/>
        <w:t>Date: 24/6/16</w:t>
      </w:r>
    </w:p>
    <w:p w:rsidR="00D26148" w:rsidRDefault="00D26148" w:rsidP="00D26148">
      <w:pPr>
        <w:rPr>
          <w:lang w:eastAsia="en-GB"/>
        </w:rPr>
      </w:pPr>
      <w:r w:rsidRPr="00A80E34">
        <w:rPr>
          <w:noProof/>
          <w:lang w:eastAsia="en-IE"/>
        </w:rPr>
        <w:drawing>
          <wp:inline distT="0" distB="0" distL="0" distR="0">
            <wp:extent cx="2294890" cy="624917"/>
            <wp:effectExtent l="19050" t="0" r="0" b="0"/>
            <wp:docPr id="15" name="Picture 3" descr="Siobhan Barr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294890" cy="624917"/>
                    </a:xfrm>
                    <a:prstGeom prst="rect">
                      <a:avLst/>
                    </a:prstGeom>
                    <a:noFill/>
                    <a:ln w="9525">
                      <a:noFill/>
                      <a:miter lim="800000"/>
                      <a:headEnd/>
                      <a:tailEnd/>
                    </a:ln>
                  </pic:spPr>
                </pic:pic>
              </a:graphicData>
            </a:graphic>
          </wp:inline>
        </w:drawing>
      </w:r>
      <w:r>
        <w:rPr>
          <w:lang w:eastAsia="en-GB"/>
        </w:rPr>
        <w:br/>
      </w:r>
      <w:r w:rsidRPr="007761C8">
        <w:rPr>
          <w:lang w:eastAsia="en-GB"/>
        </w:rPr>
        <w:t>Siobhan Barron,</w:t>
      </w:r>
      <w:r>
        <w:rPr>
          <w:lang w:eastAsia="en-GB"/>
        </w:rPr>
        <w:br/>
      </w:r>
      <w:r w:rsidRPr="007761C8">
        <w:rPr>
          <w:lang w:eastAsia="en-GB"/>
        </w:rPr>
        <w:t>Director</w:t>
      </w:r>
      <w:r>
        <w:rPr>
          <w:lang w:eastAsia="en-GB"/>
        </w:rPr>
        <w:br/>
      </w:r>
      <w:r w:rsidRPr="007761C8">
        <w:rPr>
          <w:lang w:eastAsia="en-GB"/>
        </w:rPr>
        <w:t>Date:</w:t>
      </w:r>
      <w:r>
        <w:rPr>
          <w:lang w:eastAsia="en-GB"/>
        </w:rPr>
        <w:t xml:space="preserve"> 29/6/16</w:t>
      </w:r>
    </w:p>
    <w:p w:rsidR="00D26148" w:rsidRDefault="00D26148" w:rsidP="00D26148">
      <w:pPr>
        <w:rPr>
          <w:b/>
          <w:lang w:eastAsia="en-GB"/>
        </w:rPr>
        <w:sectPr w:rsidR="00D26148" w:rsidSect="009C0B80">
          <w:type w:val="continuous"/>
          <w:pgSz w:w="11907" w:h="16840" w:code="9"/>
          <w:pgMar w:top="1985" w:right="1985" w:bottom="1985" w:left="1985" w:header="709" w:footer="709" w:gutter="0"/>
          <w:pgNumType w:chapStyle="1" w:chapSep="emDash"/>
          <w:cols w:num="2" w:space="708"/>
          <w:titlePg/>
          <w:rtlGutter/>
          <w:docGrid w:linePitch="360"/>
        </w:sectPr>
      </w:pPr>
    </w:p>
    <w:p w:rsidR="00D26148" w:rsidRDefault="00D26148" w:rsidP="00D26148">
      <w:pPr>
        <w:rPr>
          <w:lang w:eastAsia="en-GB"/>
        </w:rPr>
      </w:pPr>
      <w:r>
        <w:rPr>
          <w:lang w:eastAsia="en-GB"/>
        </w:rPr>
        <w:br/>
      </w:r>
      <w:r>
        <w:rPr>
          <w:noProof/>
          <w:lang w:eastAsia="en-IE"/>
        </w:rPr>
        <w:drawing>
          <wp:inline distT="0" distB="0" distL="0" distR="0">
            <wp:extent cx="2507615" cy="471170"/>
            <wp:effectExtent l="19050" t="0" r="6985" b="0"/>
            <wp:docPr id="16" name="Picture 4" descr="Frank Cunnee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507615" cy="471170"/>
                    </a:xfrm>
                    <a:prstGeom prst="rect">
                      <a:avLst/>
                    </a:prstGeom>
                    <a:noFill/>
                    <a:ln w="9525">
                      <a:noFill/>
                      <a:miter lim="800000"/>
                      <a:headEnd/>
                      <a:tailEnd/>
                    </a:ln>
                  </pic:spPr>
                </pic:pic>
              </a:graphicData>
            </a:graphic>
          </wp:inline>
        </w:drawing>
      </w:r>
    </w:p>
    <w:p w:rsidR="007761C8" w:rsidRPr="00D26148" w:rsidRDefault="00D26148" w:rsidP="007761C8">
      <w:pPr>
        <w:rPr>
          <w:lang w:eastAsia="en-GB"/>
        </w:rPr>
      </w:pPr>
      <w:r>
        <w:rPr>
          <w:lang w:eastAsia="en-GB"/>
        </w:rPr>
        <w:t>Frank Cunneen</w:t>
      </w:r>
      <w:r w:rsidRPr="007761C8">
        <w:rPr>
          <w:lang w:eastAsia="en-GB"/>
        </w:rPr>
        <w:t>,</w:t>
      </w:r>
      <w:r>
        <w:rPr>
          <w:lang w:eastAsia="en-GB"/>
        </w:rPr>
        <w:br/>
        <w:t>Authority Member</w:t>
      </w:r>
      <w:r>
        <w:rPr>
          <w:lang w:eastAsia="en-GB"/>
        </w:rPr>
        <w:br/>
      </w:r>
      <w:r w:rsidRPr="007761C8">
        <w:rPr>
          <w:lang w:eastAsia="en-GB"/>
        </w:rPr>
        <w:t>Date:</w:t>
      </w:r>
      <w:r>
        <w:rPr>
          <w:lang w:eastAsia="en-GB"/>
        </w:rPr>
        <w:t xml:space="preserve"> 28/6/16</w:t>
      </w:r>
      <w:r w:rsidR="007761C8" w:rsidRPr="007761C8">
        <w:rPr>
          <w:b/>
          <w:lang w:eastAsia="en-GB"/>
        </w:rPr>
        <w:br w:type="page"/>
      </w:r>
    </w:p>
    <w:p w:rsidR="007761C8" w:rsidRPr="007761C8" w:rsidRDefault="007761C8" w:rsidP="00763D95">
      <w:pPr>
        <w:rPr>
          <w:lang w:eastAsia="en-GB"/>
        </w:rPr>
      </w:pPr>
      <w:r w:rsidRPr="007761C8">
        <w:rPr>
          <w:lang w:eastAsia="en-GB"/>
        </w:rPr>
        <w:t xml:space="preserve">National Disability Authority </w:t>
      </w:r>
    </w:p>
    <w:p w:rsidR="007761C8" w:rsidRPr="007761C8" w:rsidRDefault="00763D95" w:rsidP="00763D95">
      <w:pPr>
        <w:pStyle w:val="Heading2"/>
        <w:rPr>
          <w:lang w:eastAsia="en-GB"/>
        </w:rPr>
      </w:pPr>
      <w:r w:rsidRPr="007761C8">
        <w:rPr>
          <w:lang w:eastAsia="en-GB"/>
        </w:rPr>
        <w:t xml:space="preserve">Statement </w:t>
      </w:r>
      <w:r>
        <w:rPr>
          <w:lang w:eastAsia="en-GB"/>
        </w:rPr>
        <w:t>o</w:t>
      </w:r>
      <w:r w:rsidRPr="007761C8">
        <w:rPr>
          <w:lang w:eastAsia="en-GB"/>
        </w:rPr>
        <w:t>f Cash Flows</w:t>
      </w:r>
    </w:p>
    <w:p w:rsidR="007761C8" w:rsidRPr="007761C8" w:rsidRDefault="007761C8" w:rsidP="00763D95">
      <w:pPr>
        <w:rPr>
          <w:lang w:eastAsia="en-GB"/>
        </w:rPr>
      </w:pPr>
      <w:r w:rsidRPr="007761C8">
        <w:rPr>
          <w:lang w:eastAsia="en-GB"/>
        </w:rPr>
        <w:t>For the year ended 31 December 2015</w:t>
      </w:r>
    </w:p>
    <w:tbl>
      <w:tblPr>
        <w:tblStyle w:val="LightShading1"/>
        <w:tblW w:w="0" w:type="auto"/>
        <w:tblLook w:val="04A0" w:firstRow="1" w:lastRow="0" w:firstColumn="1" w:lastColumn="0" w:noHBand="0" w:noVBand="1"/>
      </w:tblPr>
      <w:tblGrid>
        <w:gridCol w:w="5839"/>
        <w:gridCol w:w="1222"/>
        <w:gridCol w:w="1092"/>
      </w:tblGrid>
      <w:tr w:rsidR="00B77371" w:rsidRPr="00860D98" w:rsidTr="00B77371">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0" w:type="auto"/>
          </w:tcPr>
          <w:p w:rsidR="00B77371" w:rsidRPr="00860D98" w:rsidRDefault="00B77371" w:rsidP="00B77371">
            <w:pPr>
              <w:rPr>
                <w:lang w:eastAsia="en-GB"/>
              </w:rPr>
            </w:pPr>
          </w:p>
        </w:tc>
        <w:tc>
          <w:tcPr>
            <w:tcW w:w="0" w:type="auto"/>
          </w:tcPr>
          <w:p w:rsidR="00B77371" w:rsidRPr="00860D98" w:rsidRDefault="00B77371" w:rsidP="00B77371">
            <w:pPr>
              <w:jc w:val="right"/>
              <w:cnfStyle w:val="100000000000" w:firstRow="1" w:lastRow="0" w:firstColumn="0" w:lastColumn="0" w:oddVBand="0" w:evenVBand="0" w:oddHBand="0" w:evenHBand="0" w:firstRowFirstColumn="0" w:firstRowLastColumn="0" w:lastRowFirstColumn="0" w:lastRowLastColumn="0"/>
              <w:rPr>
                <w:lang w:eastAsia="en-GB"/>
              </w:rPr>
            </w:pPr>
            <w:r w:rsidRPr="00860D98">
              <w:rPr>
                <w:lang w:eastAsia="en-GB"/>
              </w:rPr>
              <w:t>2015</w:t>
            </w:r>
            <w:r>
              <w:rPr>
                <w:lang w:eastAsia="en-GB"/>
              </w:rPr>
              <w:br/>
            </w:r>
            <w:r w:rsidRPr="00860D98">
              <w:rPr>
                <w:lang w:eastAsia="en-GB"/>
              </w:rPr>
              <w:t>€</w:t>
            </w:r>
          </w:p>
        </w:tc>
        <w:tc>
          <w:tcPr>
            <w:tcW w:w="0" w:type="auto"/>
          </w:tcPr>
          <w:p w:rsidR="00B77371" w:rsidRPr="00860D98" w:rsidRDefault="00B77371" w:rsidP="00B77371">
            <w:pPr>
              <w:jc w:val="right"/>
              <w:cnfStyle w:val="100000000000" w:firstRow="1" w:lastRow="0" w:firstColumn="0" w:lastColumn="0" w:oddVBand="0" w:evenVBand="0" w:oddHBand="0" w:evenHBand="0" w:firstRowFirstColumn="0" w:firstRowLastColumn="0" w:lastRowFirstColumn="0" w:lastRowLastColumn="0"/>
              <w:rPr>
                <w:lang w:eastAsia="en-GB"/>
              </w:rPr>
            </w:pPr>
            <w:r w:rsidRPr="00860D98">
              <w:rPr>
                <w:lang w:eastAsia="en-GB"/>
              </w:rPr>
              <w:t>2014</w:t>
            </w:r>
            <w:r>
              <w:rPr>
                <w:lang w:eastAsia="en-GB"/>
              </w:rPr>
              <w:br/>
            </w:r>
            <w:r w:rsidRPr="00860D98">
              <w:rPr>
                <w:lang w:eastAsia="en-GB"/>
              </w:rPr>
              <w:t>€</w:t>
            </w:r>
          </w:p>
        </w:tc>
      </w:tr>
      <w:tr w:rsidR="00B77371" w:rsidRPr="00495E27" w:rsidTr="00B77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371" w:rsidRPr="00902955" w:rsidRDefault="00B77371" w:rsidP="00B77371">
            <w:pPr>
              <w:rPr>
                <w:b/>
                <w:szCs w:val="26"/>
                <w:lang w:eastAsia="en-GB"/>
              </w:rPr>
            </w:pPr>
            <w:r w:rsidRPr="00902955">
              <w:rPr>
                <w:b/>
                <w:szCs w:val="26"/>
                <w:lang w:eastAsia="en-GB"/>
              </w:rPr>
              <w:t>Net Cash Flows from Operating Activities</w:t>
            </w:r>
          </w:p>
        </w:tc>
        <w:tc>
          <w:tcPr>
            <w:tcW w:w="0" w:type="auto"/>
          </w:tcPr>
          <w:p w:rsidR="00B77371" w:rsidRPr="00495E27" w:rsidRDefault="00B77371" w:rsidP="00B77371">
            <w:pPr>
              <w:jc w:val="right"/>
              <w:cnfStyle w:val="000000100000" w:firstRow="0" w:lastRow="0" w:firstColumn="0" w:lastColumn="0" w:oddVBand="0" w:evenVBand="0" w:oddHBand="1" w:evenHBand="0" w:firstRowFirstColumn="0" w:firstRowLastColumn="0" w:lastRowFirstColumn="0" w:lastRowLastColumn="0"/>
              <w:rPr>
                <w:b/>
                <w:lang w:eastAsia="en-GB"/>
              </w:rPr>
            </w:pPr>
          </w:p>
        </w:tc>
        <w:tc>
          <w:tcPr>
            <w:tcW w:w="0" w:type="auto"/>
          </w:tcPr>
          <w:p w:rsidR="00B77371" w:rsidRPr="00495E27" w:rsidRDefault="00B77371" w:rsidP="00B77371">
            <w:pPr>
              <w:jc w:val="right"/>
              <w:cnfStyle w:val="000000100000" w:firstRow="0" w:lastRow="0" w:firstColumn="0" w:lastColumn="0" w:oddVBand="0" w:evenVBand="0" w:oddHBand="1" w:evenHBand="0" w:firstRowFirstColumn="0" w:firstRowLastColumn="0" w:lastRowFirstColumn="0" w:lastRowLastColumn="0"/>
              <w:rPr>
                <w:b/>
                <w:lang w:eastAsia="en-GB"/>
              </w:rPr>
            </w:pPr>
          </w:p>
        </w:tc>
      </w:tr>
      <w:tr w:rsidR="00902955" w:rsidRPr="00860D98" w:rsidTr="00B773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02955" w:rsidRPr="00902955" w:rsidRDefault="00902955" w:rsidP="00B77371">
            <w:pPr>
              <w:rPr>
                <w:szCs w:val="26"/>
                <w:lang w:eastAsia="en-GB"/>
              </w:rPr>
            </w:pPr>
            <w:r w:rsidRPr="00902955">
              <w:rPr>
                <w:szCs w:val="26"/>
                <w:lang w:eastAsia="en-GB"/>
              </w:rPr>
              <w:t>Excess Income over Expenditure</w:t>
            </w:r>
          </w:p>
        </w:tc>
        <w:tc>
          <w:tcPr>
            <w:tcW w:w="0" w:type="auto"/>
          </w:tcPr>
          <w:p w:rsidR="00902955" w:rsidRPr="006262CD" w:rsidRDefault="00902955" w:rsidP="00902955">
            <w:pPr>
              <w:jc w:val="right"/>
              <w:cnfStyle w:val="000000010000" w:firstRow="0" w:lastRow="0" w:firstColumn="0" w:lastColumn="0" w:oddVBand="0" w:evenVBand="0" w:oddHBand="0" w:evenHBand="1" w:firstRowFirstColumn="0" w:firstRowLastColumn="0" w:lastRowFirstColumn="0" w:lastRowLastColumn="0"/>
              <w:rPr>
                <w:lang w:eastAsia="en-GB"/>
              </w:rPr>
            </w:pPr>
            <w:r w:rsidRPr="006262CD">
              <w:rPr>
                <w:lang w:eastAsia="en-GB"/>
              </w:rPr>
              <w:t>77,852</w:t>
            </w:r>
          </w:p>
        </w:tc>
        <w:tc>
          <w:tcPr>
            <w:tcW w:w="0" w:type="auto"/>
          </w:tcPr>
          <w:p w:rsidR="00902955" w:rsidRPr="006262CD" w:rsidRDefault="00902955" w:rsidP="00902955">
            <w:pPr>
              <w:jc w:val="right"/>
              <w:cnfStyle w:val="000000010000" w:firstRow="0" w:lastRow="0" w:firstColumn="0" w:lastColumn="0" w:oddVBand="0" w:evenVBand="0" w:oddHBand="0" w:evenHBand="1" w:firstRowFirstColumn="0" w:firstRowLastColumn="0" w:lastRowFirstColumn="0" w:lastRowLastColumn="0"/>
              <w:rPr>
                <w:lang w:eastAsia="en-GB"/>
              </w:rPr>
            </w:pPr>
            <w:r w:rsidRPr="006262CD">
              <w:rPr>
                <w:lang w:eastAsia="en-GB"/>
              </w:rPr>
              <w:t>2,394</w:t>
            </w:r>
          </w:p>
        </w:tc>
      </w:tr>
      <w:tr w:rsidR="00902955" w:rsidRPr="00860D98" w:rsidTr="00B77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02955" w:rsidRPr="00902955" w:rsidRDefault="00902955" w:rsidP="00902955">
            <w:pPr>
              <w:rPr>
                <w:szCs w:val="26"/>
                <w:lang w:eastAsia="en-GB"/>
              </w:rPr>
            </w:pPr>
            <w:r w:rsidRPr="00902955">
              <w:rPr>
                <w:szCs w:val="26"/>
                <w:lang w:eastAsia="en-GB"/>
              </w:rPr>
              <w:t>Depreciation of Fixed Assets</w:t>
            </w:r>
          </w:p>
        </w:tc>
        <w:tc>
          <w:tcPr>
            <w:tcW w:w="0" w:type="auto"/>
          </w:tcPr>
          <w:p w:rsidR="00902955" w:rsidRPr="006262CD" w:rsidRDefault="00902955" w:rsidP="00902955">
            <w:pPr>
              <w:jc w:val="right"/>
              <w:cnfStyle w:val="000000100000" w:firstRow="0" w:lastRow="0" w:firstColumn="0" w:lastColumn="0" w:oddVBand="0" w:evenVBand="0" w:oddHBand="1" w:evenHBand="0" w:firstRowFirstColumn="0" w:firstRowLastColumn="0" w:lastRowFirstColumn="0" w:lastRowLastColumn="0"/>
              <w:rPr>
                <w:lang w:eastAsia="en-GB"/>
              </w:rPr>
            </w:pPr>
            <w:r w:rsidRPr="006262CD">
              <w:rPr>
                <w:lang w:eastAsia="en-GB"/>
              </w:rPr>
              <w:t>78,468</w:t>
            </w:r>
          </w:p>
        </w:tc>
        <w:tc>
          <w:tcPr>
            <w:tcW w:w="0" w:type="auto"/>
          </w:tcPr>
          <w:p w:rsidR="00902955" w:rsidRPr="006262CD" w:rsidRDefault="00902955" w:rsidP="00902955">
            <w:pPr>
              <w:jc w:val="right"/>
              <w:cnfStyle w:val="000000100000" w:firstRow="0" w:lastRow="0" w:firstColumn="0" w:lastColumn="0" w:oddVBand="0" w:evenVBand="0" w:oddHBand="1" w:evenHBand="0" w:firstRowFirstColumn="0" w:firstRowLastColumn="0" w:lastRowFirstColumn="0" w:lastRowLastColumn="0"/>
              <w:rPr>
                <w:lang w:eastAsia="en-GB"/>
              </w:rPr>
            </w:pPr>
            <w:r w:rsidRPr="006262CD">
              <w:rPr>
                <w:lang w:eastAsia="en-GB"/>
              </w:rPr>
              <w:t>73,963</w:t>
            </w:r>
          </w:p>
        </w:tc>
      </w:tr>
      <w:tr w:rsidR="00902955" w:rsidRPr="00860D98" w:rsidTr="00B773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02955" w:rsidRPr="00902955" w:rsidRDefault="004D225B" w:rsidP="004D225B">
            <w:pPr>
              <w:rPr>
                <w:szCs w:val="26"/>
                <w:lang w:eastAsia="en-GB"/>
              </w:rPr>
            </w:pPr>
            <w:r>
              <w:rPr>
                <w:szCs w:val="26"/>
                <w:lang w:eastAsia="en-GB"/>
              </w:rPr>
              <w:t>(</w:t>
            </w:r>
            <w:r w:rsidRPr="000024ED">
              <w:rPr>
                <w:szCs w:val="26"/>
                <w:lang w:eastAsia="en-GB"/>
              </w:rPr>
              <w:t>Increase</w:t>
            </w:r>
            <w:r>
              <w:rPr>
                <w:szCs w:val="26"/>
                <w:lang w:eastAsia="en-GB"/>
              </w:rPr>
              <w:t>)</w:t>
            </w:r>
            <w:r w:rsidRPr="000024ED">
              <w:rPr>
                <w:szCs w:val="26"/>
                <w:lang w:eastAsia="en-GB"/>
              </w:rPr>
              <w:t>/Decrease</w:t>
            </w:r>
            <w:r>
              <w:rPr>
                <w:szCs w:val="26"/>
                <w:lang w:eastAsia="en-GB"/>
              </w:rPr>
              <w:t xml:space="preserve"> </w:t>
            </w:r>
            <w:r w:rsidR="00902955" w:rsidRPr="00902955">
              <w:rPr>
                <w:szCs w:val="26"/>
                <w:lang w:eastAsia="en-GB"/>
              </w:rPr>
              <w:t>in Receivables</w:t>
            </w:r>
          </w:p>
        </w:tc>
        <w:tc>
          <w:tcPr>
            <w:tcW w:w="0" w:type="auto"/>
          </w:tcPr>
          <w:p w:rsidR="00902955" w:rsidRPr="006262CD" w:rsidRDefault="00902955" w:rsidP="00902955">
            <w:pPr>
              <w:jc w:val="right"/>
              <w:cnfStyle w:val="000000010000" w:firstRow="0" w:lastRow="0" w:firstColumn="0" w:lastColumn="0" w:oddVBand="0" w:evenVBand="0" w:oddHBand="0" w:evenHBand="1" w:firstRowFirstColumn="0" w:firstRowLastColumn="0" w:lastRowFirstColumn="0" w:lastRowLastColumn="0"/>
              <w:rPr>
                <w:lang w:eastAsia="en-GB"/>
              </w:rPr>
            </w:pPr>
            <w:r w:rsidRPr="006262CD">
              <w:rPr>
                <w:lang w:eastAsia="en-GB"/>
              </w:rPr>
              <w:t>(168,661)</w:t>
            </w:r>
          </w:p>
        </w:tc>
        <w:tc>
          <w:tcPr>
            <w:tcW w:w="0" w:type="auto"/>
          </w:tcPr>
          <w:p w:rsidR="00902955" w:rsidRPr="006262CD" w:rsidRDefault="00902955" w:rsidP="00902955">
            <w:pPr>
              <w:jc w:val="right"/>
              <w:cnfStyle w:val="000000010000" w:firstRow="0" w:lastRow="0" w:firstColumn="0" w:lastColumn="0" w:oddVBand="0" w:evenVBand="0" w:oddHBand="0" w:evenHBand="1" w:firstRowFirstColumn="0" w:firstRowLastColumn="0" w:lastRowFirstColumn="0" w:lastRowLastColumn="0"/>
              <w:rPr>
                <w:lang w:eastAsia="en-GB"/>
              </w:rPr>
            </w:pPr>
            <w:r w:rsidRPr="006262CD">
              <w:rPr>
                <w:lang w:eastAsia="en-GB"/>
              </w:rPr>
              <w:t>(45,924)</w:t>
            </w:r>
          </w:p>
        </w:tc>
      </w:tr>
      <w:tr w:rsidR="00902955" w:rsidRPr="00860D98" w:rsidTr="00495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02955" w:rsidRPr="00902955" w:rsidRDefault="000024ED" w:rsidP="000024ED">
            <w:pPr>
              <w:rPr>
                <w:szCs w:val="26"/>
                <w:lang w:eastAsia="en-GB"/>
              </w:rPr>
            </w:pPr>
            <w:r w:rsidRPr="000024ED">
              <w:rPr>
                <w:szCs w:val="26"/>
                <w:lang w:eastAsia="en-GB"/>
              </w:rPr>
              <w:t>Increase/</w:t>
            </w:r>
            <w:r w:rsidR="004D225B">
              <w:rPr>
                <w:szCs w:val="26"/>
                <w:lang w:eastAsia="en-GB"/>
              </w:rPr>
              <w:t>(</w:t>
            </w:r>
            <w:r w:rsidRPr="000024ED">
              <w:rPr>
                <w:szCs w:val="26"/>
                <w:lang w:eastAsia="en-GB"/>
              </w:rPr>
              <w:t>Decrease</w:t>
            </w:r>
            <w:r w:rsidR="004D225B">
              <w:rPr>
                <w:szCs w:val="26"/>
                <w:lang w:eastAsia="en-GB"/>
              </w:rPr>
              <w:t>)</w:t>
            </w:r>
            <w:r w:rsidRPr="000024ED">
              <w:rPr>
                <w:szCs w:val="26"/>
                <w:lang w:eastAsia="en-GB"/>
              </w:rPr>
              <w:t xml:space="preserve"> in Payables</w:t>
            </w:r>
          </w:p>
        </w:tc>
        <w:tc>
          <w:tcPr>
            <w:tcW w:w="0" w:type="auto"/>
            <w:tcBorders>
              <w:bottom w:val="single" w:sz="8" w:space="0" w:color="000000" w:themeColor="text1"/>
            </w:tcBorders>
          </w:tcPr>
          <w:p w:rsidR="00902955" w:rsidRPr="006262CD" w:rsidRDefault="00902955" w:rsidP="00902955">
            <w:pPr>
              <w:jc w:val="right"/>
              <w:cnfStyle w:val="000000100000" w:firstRow="0" w:lastRow="0" w:firstColumn="0" w:lastColumn="0" w:oddVBand="0" w:evenVBand="0" w:oddHBand="1" w:evenHBand="0" w:firstRowFirstColumn="0" w:firstRowLastColumn="0" w:lastRowFirstColumn="0" w:lastRowLastColumn="0"/>
              <w:rPr>
                <w:lang w:eastAsia="en-GB"/>
              </w:rPr>
            </w:pPr>
            <w:r w:rsidRPr="006262CD">
              <w:rPr>
                <w:lang w:eastAsia="en-GB"/>
              </w:rPr>
              <w:t>22,032</w:t>
            </w:r>
          </w:p>
        </w:tc>
        <w:tc>
          <w:tcPr>
            <w:tcW w:w="0" w:type="auto"/>
            <w:tcBorders>
              <w:bottom w:val="single" w:sz="8" w:space="0" w:color="000000" w:themeColor="text1"/>
            </w:tcBorders>
          </w:tcPr>
          <w:p w:rsidR="00902955" w:rsidRPr="006262CD" w:rsidRDefault="00902955" w:rsidP="00902955">
            <w:pPr>
              <w:jc w:val="right"/>
              <w:cnfStyle w:val="000000100000" w:firstRow="0" w:lastRow="0" w:firstColumn="0" w:lastColumn="0" w:oddVBand="0" w:evenVBand="0" w:oddHBand="1" w:evenHBand="0" w:firstRowFirstColumn="0" w:firstRowLastColumn="0" w:lastRowFirstColumn="0" w:lastRowLastColumn="0"/>
              <w:rPr>
                <w:lang w:eastAsia="en-GB"/>
              </w:rPr>
            </w:pPr>
            <w:r w:rsidRPr="006262CD">
              <w:rPr>
                <w:lang w:eastAsia="en-GB"/>
              </w:rPr>
              <w:t>(25,593)</w:t>
            </w:r>
          </w:p>
        </w:tc>
      </w:tr>
      <w:tr w:rsidR="00902955" w:rsidRPr="00495E27" w:rsidTr="00495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02955" w:rsidRPr="00902955" w:rsidRDefault="00902955" w:rsidP="00B77371">
            <w:pPr>
              <w:rPr>
                <w:b/>
                <w:szCs w:val="26"/>
                <w:lang w:eastAsia="en-GB"/>
              </w:rPr>
            </w:pPr>
            <w:r w:rsidRPr="00902955">
              <w:rPr>
                <w:b/>
                <w:szCs w:val="26"/>
                <w:lang w:eastAsia="en-GB"/>
              </w:rPr>
              <w:t>Net Cash Inflow from Operating Activities</w:t>
            </w:r>
          </w:p>
        </w:tc>
        <w:tc>
          <w:tcPr>
            <w:tcW w:w="0" w:type="auto"/>
            <w:tcBorders>
              <w:top w:val="single" w:sz="8" w:space="0" w:color="000000" w:themeColor="text1"/>
              <w:bottom w:val="single" w:sz="8" w:space="0" w:color="000000" w:themeColor="text1"/>
            </w:tcBorders>
          </w:tcPr>
          <w:p w:rsidR="00902955" w:rsidRPr="00902955" w:rsidRDefault="00902955" w:rsidP="00902955">
            <w:pPr>
              <w:jc w:val="right"/>
              <w:cnfStyle w:val="000000010000" w:firstRow="0" w:lastRow="0" w:firstColumn="0" w:lastColumn="0" w:oddVBand="0" w:evenVBand="0" w:oddHBand="0" w:evenHBand="1" w:firstRowFirstColumn="0" w:firstRowLastColumn="0" w:lastRowFirstColumn="0" w:lastRowLastColumn="0"/>
              <w:rPr>
                <w:b/>
                <w:bCs/>
                <w:lang w:eastAsia="en-GB"/>
              </w:rPr>
            </w:pPr>
            <w:r w:rsidRPr="00902955">
              <w:rPr>
                <w:b/>
                <w:bCs/>
                <w:lang w:eastAsia="en-GB"/>
              </w:rPr>
              <w:t>9,691</w:t>
            </w:r>
          </w:p>
        </w:tc>
        <w:tc>
          <w:tcPr>
            <w:tcW w:w="0" w:type="auto"/>
            <w:tcBorders>
              <w:top w:val="single" w:sz="8" w:space="0" w:color="000000" w:themeColor="text1"/>
              <w:bottom w:val="single" w:sz="8" w:space="0" w:color="000000" w:themeColor="text1"/>
            </w:tcBorders>
          </w:tcPr>
          <w:p w:rsidR="00902955" w:rsidRPr="00902955" w:rsidRDefault="00902955" w:rsidP="00902955">
            <w:pPr>
              <w:jc w:val="right"/>
              <w:cnfStyle w:val="000000010000" w:firstRow="0" w:lastRow="0" w:firstColumn="0" w:lastColumn="0" w:oddVBand="0" w:evenVBand="0" w:oddHBand="0" w:evenHBand="1" w:firstRowFirstColumn="0" w:firstRowLastColumn="0" w:lastRowFirstColumn="0" w:lastRowLastColumn="0"/>
              <w:rPr>
                <w:b/>
                <w:bCs/>
                <w:lang w:eastAsia="en-GB"/>
              </w:rPr>
            </w:pPr>
            <w:r w:rsidRPr="00902955">
              <w:rPr>
                <w:b/>
                <w:bCs/>
                <w:lang w:eastAsia="en-GB"/>
              </w:rPr>
              <w:t>4,840</w:t>
            </w:r>
          </w:p>
        </w:tc>
      </w:tr>
      <w:tr w:rsidR="00B77371" w:rsidRPr="00495E27" w:rsidTr="00495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371" w:rsidRPr="00902955" w:rsidRDefault="00B77371" w:rsidP="00B77371">
            <w:pPr>
              <w:rPr>
                <w:b/>
                <w:szCs w:val="26"/>
                <w:lang w:eastAsia="en-GB"/>
              </w:rPr>
            </w:pPr>
            <w:r w:rsidRPr="00902955">
              <w:rPr>
                <w:b/>
                <w:szCs w:val="26"/>
                <w:lang w:eastAsia="en-GB"/>
              </w:rPr>
              <w:t>Cash Flows from Investing Activities</w:t>
            </w:r>
          </w:p>
        </w:tc>
        <w:tc>
          <w:tcPr>
            <w:tcW w:w="0" w:type="auto"/>
            <w:tcBorders>
              <w:top w:val="single" w:sz="8" w:space="0" w:color="000000" w:themeColor="text1"/>
            </w:tcBorders>
          </w:tcPr>
          <w:p w:rsidR="00B77371" w:rsidRPr="00495E27" w:rsidRDefault="00B77371" w:rsidP="00B77371">
            <w:pPr>
              <w:jc w:val="right"/>
              <w:cnfStyle w:val="000000100000" w:firstRow="0" w:lastRow="0" w:firstColumn="0" w:lastColumn="0" w:oddVBand="0" w:evenVBand="0" w:oddHBand="1" w:evenHBand="0" w:firstRowFirstColumn="0" w:firstRowLastColumn="0" w:lastRowFirstColumn="0" w:lastRowLastColumn="0"/>
              <w:rPr>
                <w:b/>
                <w:bCs/>
                <w:lang w:eastAsia="en-GB"/>
              </w:rPr>
            </w:pPr>
          </w:p>
        </w:tc>
        <w:tc>
          <w:tcPr>
            <w:tcW w:w="0" w:type="auto"/>
            <w:tcBorders>
              <w:top w:val="single" w:sz="8" w:space="0" w:color="000000" w:themeColor="text1"/>
            </w:tcBorders>
          </w:tcPr>
          <w:p w:rsidR="00B77371" w:rsidRPr="00495E27" w:rsidRDefault="00B77371" w:rsidP="00B77371">
            <w:pPr>
              <w:jc w:val="right"/>
              <w:cnfStyle w:val="000000100000" w:firstRow="0" w:lastRow="0" w:firstColumn="0" w:lastColumn="0" w:oddVBand="0" w:evenVBand="0" w:oddHBand="1" w:evenHBand="0" w:firstRowFirstColumn="0" w:firstRowLastColumn="0" w:lastRowFirstColumn="0" w:lastRowLastColumn="0"/>
              <w:rPr>
                <w:b/>
                <w:bCs/>
                <w:lang w:eastAsia="en-GB"/>
              </w:rPr>
            </w:pPr>
          </w:p>
        </w:tc>
      </w:tr>
      <w:tr w:rsidR="00B77371" w:rsidRPr="00860D98" w:rsidTr="00495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371" w:rsidRPr="00902955" w:rsidRDefault="00B77371" w:rsidP="00B77371">
            <w:pPr>
              <w:rPr>
                <w:szCs w:val="26"/>
                <w:lang w:eastAsia="en-GB"/>
              </w:rPr>
            </w:pPr>
            <w:r w:rsidRPr="00902955">
              <w:rPr>
                <w:szCs w:val="26"/>
                <w:lang w:eastAsia="en-GB"/>
              </w:rPr>
              <w:t>Payments to acquire Property, Plant &amp; Equipment</w:t>
            </w:r>
          </w:p>
        </w:tc>
        <w:tc>
          <w:tcPr>
            <w:tcW w:w="0" w:type="auto"/>
            <w:tcBorders>
              <w:bottom w:val="single" w:sz="8" w:space="0" w:color="000000" w:themeColor="text1"/>
            </w:tcBorders>
          </w:tcPr>
          <w:p w:rsidR="00B77371" w:rsidRPr="00860D98" w:rsidRDefault="00B77371" w:rsidP="00B77371">
            <w:pPr>
              <w:jc w:val="right"/>
              <w:cnfStyle w:val="000000010000" w:firstRow="0" w:lastRow="0" w:firstColumn="0" w:lastColumn="0" w:oddVBand="0" w:evenVBand="0" w:oddHBand="0" w:evenHBand="1" w:firstRowFirstColumn="0" w:firstRowLastColumn="0" w:lastRowFirstColumn="0" w:lastRowLastColumn="0"/>
              <w:rPr>
                <w:lang w:eastAsia="en-GB"/>
              </w:rPr>
            </w:pPr>
            <w:r w:rsidRPr="00860D98">
              <w:rPr>
                <w:lang w:eastAsia="en-GB"/>
              </w:rPr>
              <w:t>-</w:t>
            </w:r>
          </w:p>
        </w:tc>
        <w:tc>
          <w:tcPr>
            <w:tcW w:w="0" w:type="auto"/>
            <w:tcBorders>
              <w:bottom w:val="single" w:sz="8" w:space="0" w:color="000000" w:themeColor="text1"/>
            </w:tcBorders>
          </w:tcPr>
          <w:p w:rsidR="00B77371" w:rsidRPr="00860D98" w:rsidRDefault="00B77371" w:rsidP="00B77371">
            <w:pPr>
              <w:jc w:val="right"/>
              <w:cnfStyle w:val="000000010000" w:firstRow="0" w:lastRow="0" w:firstColumn="0" w:lastColumn="0" w:oddVBand="0" w:evenVBand="0" w:oddHBand="0" w:evenHBand="1" w:firstRowFirstColumn="0" w:firstRowLastColumn="0" w:lastRowFirstColumn="0" w:lastRowLastColumn="0"/>
              <w:rPr>
                <w:lang w:eastAsia="en-GB"/>
              </w:rPr>
            </w:pPr>
            <w:r w:rsidRPr="00860D98">
              <w:rPr>
                <w:lang w:eastAsia="en-GB"/>
              </w:rPr>
              <w:t>(5,179)</w:t>
            </w:r>
          </w:p>
        </w:tc>
      </w:tr>
      <w:tr w:rsidR="00B77371" w:rsidRPr="00495E27" w:rsidTr="00495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371" w:rsidRPr="00902955" w:rsidRDefault="00B77371" w:rsidP="00B77371">
            <w:pPr>
              <w:rPr>
                <w:b/>
                <w:szCs w:val="26"/>
                <w:lang w:eastAsia="en-GB"/>
              </w:rPr>
            </w:pPr>
            <w:r w:rsidRPr="00902955">
              <w:rPr>
                <w:b/>
                <w:szCs w:val="26"/>
                <w:lang w:eastAsia="en-GB"/>
              </w:rPr>
              <w:t>Net Cash Flows from Investing Activities</w:t>
            </w:r>
          </w:p>
        </w:tc>
        <w:tc>
          <w:tcPr>
            <w:tcW w:w="0" w:type="auto"/>
            <w:tcBorders>
              <w:top w:val="single" w:sz="8" w:space="0" w:color="000000" w:themeColor="text1"/>
              <w:bottom w:val="single" w:sz="8" w:space="0" w:color="000000" w:themeColor="text1"/>
            </w:tcBorders>
          </w:tcPr>
          <w:p w:rsidR="00B77371" w:rsidRPr="00495E27" w:rsidRDefault="00B77371" w:rsidP="00B77371">
            <w:pPr>
              <w:jc w:val="right"/>
              <w:cnfStyle w:val="000000100000" w:firstRow="0" w:lastRow="0" w:firstColumn="0" w:lastColumn="0" w:oddVBand="0" w:evenVBand="0" w:oddHBand="1" w:evenHBand="0" w:firstRowFirstColumn="0" w:firstRowLastColumn="0" w:lastRowFirstColumn="0" w:lastRowLastColumn="0"/>
              <w:rPr>
                <w:b/>
                <w:bCs/>
                <w:lang w:eastAsia="en-GB"/>
              </w:rPr>
            </w:pPr>
            <w:r w:rsidRPr="00495E27">
              <w:rPr>
                <w:b/>
                <w:bCs/>
                <w:lang w:eastAsia="en-GB"/>
              </w:rPr>
              <w:t>-</w:t>
            </w:r>
          </w:p>
        </w:tc>
        <w:tc>
          <w:tcPr>
            <w:tcW w:w="0" w:type="auto"/>
            <w:tcBorders>
              <w:top w:val="single" w:sz="8" w:space="0" w:color="000000" w:themeColor="text1"/>
              <w:bottom w:val="single" w:sz="8" w:space="0" w:color="000000" w:themeColor="text1"/>
            </w:tcBorders>
          </w:tcPr>
          <w:p w:rsidR="00B77371" w:rsidRPr="00495E27" w:rsidRDefault="00B77371" w:rsidP="00B77371">
            <w:pPr>
              <w:jc w:val="right"/>
              <w:cnfStyle w:val="000000100000" w:firstRow="0" w:lastRow="0" w:firstColumn="0" w:lastColumn="0" w:oddVBand="0" w:evenVBand="0" w:oddHBand="1" w:evenHBand="0" w:firstRowFirstColumn="0" w:firstRowLastColumn="0" w:lastRowFirstColumn="0" w:lastRowLastColumn="0"/>
              <w:rPr>
                <w:b/>
                <w:bCs/>
                <w:lang w:eastAsia="en-GB"/>
              </w:rPr>
            </w:pPr>
            <w:r w:rsidRPr="00495E27">
              <w:rPr>
                <w:b/>
                <w:bCs/>
                <w:lang w:eastAsia="en-GB"/>
              </w:rPr>
              <w:t>(5,179)</w:t>
            </w:r>
          </w:p>
        </w:tc>
      </w:tr>
      <w:tr w:rsidR="00B77371" w:rsidRPr="00495E27" w:rsidTr="00495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371" w:rsidRPr="00902955" w:rsidRDefault="00B77371" w:rsidP="00B77371">
            <w:pPr>
              <w:rPr>
                <w:b/>
                <w:szCs w:val="26"/>
                <w:lang w:eastAsia="en-GB"/>
              </w:rPr>
            </w:pPr>
            <w:r w:rsidRPr="00902955">
              <w:rPr>
                <w:b/>
                <w:szCs w:val="26"/>
                <w:lang w:eastAsia="en-GB"/>
              </w:rPr>
              <w:t>Cash Flows from Financing Activities</w:t>
            </w:r>
          </w:p>
        </w:tc>
        <w:tc>
          <w:tcPr>
            <w:tcW w:w="0" w:type="auto"/>
            <w:tcBorders>
              <w:top w:val="single" w:sz="8" w:space="0" w:color="000000" w:themeColor="text1"/>
            </w:tcBorders>
          </w:tcPr>
          <w:p w:rsidR="00B77371" w:rsidRPr="00495E27" w:rsidRDefault="00B77371" w:rsidP="00B77371">
            <w:pPr>
              <w:jc w:val="right"/>
              <w:cnfStyle w:val="000000010000" w:firstRow="0" w:lastRow="0" w:firstColumn="0" w:lastColumn="0" w:oddVBand="0" w:evenVBand="0" w:oddHBand="0" w:evenHBand="1" w:firstRowFirstColumn="0" w:firstRowLastColumn="0" w:lastRowFirstColumn="0" w:lastRowLastColumn="0"/>
              <w:rPr>
                <w:b/>
                <w:bCs/>
                <w:lang w:eastAsia="en-GB"/>
              </w:rPr>
            </w:pPr>
          </w:p>
        </w:tc>
        <w:tc>
          <w:tcPr>
            <w:tcW w:w="0" w:type="auto"/>
            <w:tcBorders>
              <w:top w:val="single" w:sz="8" w:space="0" w:color="000000" w:themeColor="text1"/>
            </w:tcBorders>
          </w:tcPr>
          <w:p w:rsidR="00B77371" w:rsidRPr="00495E27" w:rsidRDefault="00B77371" w:rsidP="00B77371">
            <w:pPr>
              <w:jc w:val="right"/>
              <w:cnfStyle w:val="000000010000" w:firstRow="0" w:lastRow="0" w:firstColumn="0" w:lastColumn="0" w:oddVBand="0" w:evenVBand="0" w:oddHBand="0" w:evenHBand="1" w:firstRowFirstColumn="0" w:firstRowLastColumn="0" w:lastRowFirstColumn="0" w:lastRowLastColumn="0"/>
              <w:rPr>
                <w:b/>
                <w:bCs/>
                <w:lang w:eastAsia="en-GB"/>
              </w:rPr>
            </w:pPr>
          </w:p>
        </w:tc>
      </w:tr>
      <w:tr w:rsidR="00B77371" w:rsidRPr="00860D98" w:rsidTr="00495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371" w:rsidRPr="00902955" w:rsidRDefault="00B77371" w:rsidP="00B77371">
            <w:pPr>
              <w:rPr>
                <w:szCs w:val="26"/>
                <w:lang w:eastAsia="en-GB"/>
              </w:rPr>
            </w:pPr>
            <w:r w:rsidRPr="00902955">
              <w:rPr>
                <w:szCs w:val="26"/>
                <w:lang w:eastAsia="en-GB"/>
              </w:rPr>
              <w:t>Bank Interest received</w:t>
            </w:r>
          </w:p>
        </w:tc>
        <w:tc>
          <w:tcPr>
            <w:tcW w:w="0" w:type="auto"/>
            <w:tcBorders>
              <w:bottom w:val="single" w:sz="8" w:space="0" w:color="000000" w:themeColor="text1"/>
            </w:tcBorders>
          </w:tcPr>
          <w:p w:rsidR="00B77371" w:rsidRPr="00860D98" w:rsidRDefault="00B77371" w:rsidP="00B77371">
            <w:pPr>
              <w:jc w:val="right"/>
              <w:cnfStyle w:val="000000100000" w:firstRow="0" w:lastRow="0" w:firstColumn="0" w:lastColumn="0" w:oddVBand="0" w:evenVBand="0" w:oddHBand="1" w:evenHBand="0" w:firstRowFirstColumn="0" w:firstRowLastColumn="0" w:lastRowFirstColumn="0" w:lastRowLastColumn="0"/>
              <w:rPr>
                <w:lang w:eastAsia="en-GB"/>
              </w:rPr>
            </w:pPr>
            <w:r w:rsidRPr="00860D98">
              <w:rPr>
                <w:lang w:eastAsia="en-GB"/>
              </w:rPr>
              <w:t>-</w:t>
            </w:r>
          </w:p>
        </w:tc>
        <w:tc>
          <w:tcPr>
            <w:tcW w:w="0" w:type="auto"/>
            <w:tcBorders>
              <w:bottom w:val="single" w:sz="8" w:space="0" w:color="000000" w:themeColor="text1"/>
            </w:tcBorders>
          </w:tcPr>
          <w:p w:rsidR="00B77371" w:rsidRPr="00860D98" w:rsidRDefault="00B77371" w:rsidP="00B77371">
            <w:pPr>
              <w:jc w:val="right"/>
              <w:cnfStyle w:val="000000100000" w:firstRow="0" w:lastRow="0" w:firstColumn="0" w:lastColumn="0" w:oddVBand="0" w:evenVBand="0" w:oddHBand="1" w:evenHBand="0" w:firstRowFirstColumn="0" w:firstRowLastColumn="0" w:lastRowFirstColumn="0" w:lastRowLastColumn="0"/>
              <w:rPr>
                <w:lang w:eastAsia="en-GB"/>
              </w:rPr>
            </w:pPr>
            <w:r w:rsidRPr="00860D98">
              <w:rPr>
                <w:lang w:eastAsia="en-GB"/>
              </w:rPr>
              <w:t>-</w:t>
            </w:r>
          </w:p>
        </w:tc>
      </w:tr>
      <w:tr w:rsidR="00B77371" w:rsidRPr="00495E27" w:rsidTr="00495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371" w:rsidRPr="00902955" w:rsidRDefault="00B77371" w:rsidP="00B77371">
            <w:pPr>
              <w:rPr>
                <w:b/>
                <w:szCs w:val="26"/>
                <w:lang w:eastAsia="en-GB"/>
              </w:rPr>
            </w:pPr>
            <w:r w:rsidRPr="00902955">
              <w:rPr>
                <w:b/>
                <w:szCs w:val="26"/>
                <w:lang w:eastAsia="en-GB"/>
              </w:rPr>
              <w:t>Net Cash Flows from Financing Activities</w:t>
            </w:r>
          </w:p>
        </w:tc>
        <w:tc>
          <w:tcPr>
            <w:tcW w:w="0" w:type="auto"/>
            <w:tcBorders>
              <w:top w:val="single" w:sz="8" w:space="0" w:color="000000" w:themeColor="text1"/>
              <w:bottom w:val="single" w:sz="8" w:space="0" w:color="000000" w:themeColor="text1"/>
            </w:tcBorders>
          </w:tcPr>
          <w:p w:rsidR="00B77371" w:rsidRPr="00495E27" w:rsidRDefault="00B77371" w:rsidP="00B77371">
            <w:pPr>
              <w:jc w:val="right"/>
              <w:cnfStyle w:val="000000010000" w:firstRow="0" w:lastRow="0" w:firstColumn="0" w:lastColumn="0" w:oddVBand="0" w:evenVBand="0" w:oddHBand="0" w:evenHBand="1" w:firstRowFirstColumn="0" w:firstRowLastColumn="0" w:lastRowFirstColumn="0" w:lastRowLastColumn="0"/>
              <w:rPr>
                <w:b/>
                <w:bCs/>
                <w:lang w:eastAsia="en-GB"/>
              </w:rPr>
            </w:pPr>
            <w:r w:rsidRPr="00495E27">
              <w:rPr>
                <w:b/>
                <w:bCs/>
                <w:lang w:eastAsia="en-GB"/>
              </w:rPr>
              <w:t>-</w:t>
            </w:r>
          </w:p>
        </w:tc>
        <w:tc>
          <w:tcPr>
            <w:tcW w:w="0" w:type="auto"/>
            <w:tcBorders>
              <w:top w:val="single" w:sz="8" w:space="0" w:color="000000" w:themeColor="text1"/>
              <w:bottom w:val="single" w:sz="8" w:space="0" w:color="000000" w:themeColor="text1"/>
            </w:tcBorders>
          </w:tcPr>
          <w:p w:rsidR="00B77371" w:rsidRPr="00495E27" w:rsidRDefault="00B77371" w:rsidP="00B77371">
            <w:pPr>
              <w:jc w:val="right"/>
              <w:cnfStyle w:val="000000010000" w:firstRow="0" w:lastRow="0" w:firstColumn="0" w:lastColumn="0" w:oddVBand="0" w:evenVBand="0" w:oddHBand="0" w:evenHBand="1" w:firstRowFirstColumn="0" w:firstRowLastColumn="0" w:lastRowFirstColumn="0" w:lastRowLastColumn="0"/>
              <w:rPr>
                <w:b/>
                <w:bCs/>
                <w:lang w:eastAsia="en-GB"/>
              </w:rPr>
            </w:pPr>
            <w:r w:rsidRPr="00495E27">
              <w:rPr>
                <w:b/>
                <w:bCs/>
                <w:lang w:eastAsia="en-GB"/>
              </w:rPr>
              <w:t>-</w:t>
            </w:r>
          </w:p>
        </w:tc>
      </w:tr>
      <w:tr w:rsidR="00B77371" w:rsidRPr="00495E27" w:rsidTr="00495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371" w:rsidRPr="00902955" w:rsidRDefault="00B77371" w:rsidP="00B77371">
            <w:pPr>
              <w:rPr>
                <w:b/>
                <w:szCs w:val="26"/>
                <w:lang w:eastAsia="en-GB"/>
              </w:rPr>
            </w:pPr>
            <w:r w:rsidRPr="00902955">
              <w:rPr>
                <w:b/>
                <w:szCs w:val="26"/>
                <w:lang w:eastAsia="en-GB"/>
              </w:rPr>
              <w:t>Net Increase/(Decrease) in Cash and Cash Equivalents</w:t>
            </w:r>
          </w:p>
        </w:tc>
        <w:tc>
          <w:tcPr>
            <w:tcW w:w="0" w:type="auto"/>
            <w:tcBorders>
              <w:top w:val="single" w:sz="8" w:space="0" w:color="000000" w:themeColor="text1"/>
            </w:tcBorders>
          </w:tcPr>
          <w:p w:rsidR="00B77371" w:rsidRPr="00495E27" w:rsidRDefault="00B77371" w:rsidP="00B77371">
            <w:pPr>
              <w:jc w:val="right"/>
              <w:cnfStyle w:val="000000100000" w:firstRow="0" w:lastRow="0" w:firstColumn="0" w:lastColumn="0" w:oddVBand="0" w:evenVBand="0" w:oddHBand="1" w:evenHBand="0" w:firstRowFirstColumn="0" w:firstRowLastColumn="0" w:lastRowFirstColumn="0" w:lastRowLastColumn="0"/>
              <w:rPr>
                <w:b/>
                <w:lang w:eastAsia="en-GB"/>
              </w:rPr>
            </w:pPr>
            <w:r w:rsidRPr="00495E27">
              <w:rPr>
                <w:b/>
                <w:lang w:eastAsia="en-GB"/>
              </w:rPr>
              <w:t>9,691</w:t>
            </w:r>
          </w:p>
        </w:tc>
        <w:tc>
          <w:tcPr>
            <w:tcW w:w="0" w:type="auto"/>
            <w:tcBorders>
              <w:top w:val="single" w:sz="8" w:space="0" w:color="000000" w:themeColor="text1"/>
            </w:tcBorders>
          </w:tcPr>
          <w:p w:rsidR="00B77371" w:rsidRPr="00495E27" w:rsidRDefault="00B77371" w:rsidP="00B77371">
            <w:pPr>
              <w:jc w:val="right"/>
              <w:cnfStyle w:val="000000100000" w:firstRow="0" w:lastRow="0" w:firstColumn="0" w:lastColumn="0" w:oddVBand="0" w:evenVBand="0" w:oddHBand="1" w:evenHBand="0" w:firstRowFirstColumn="0" w:firstRowLastColumn="0" w:lastRowFirstColumn="0" w:lastRowLastColumn="0"/>
              <w:rPr>
                <w:b/>
                <w:lang w:eastAsia="en-GB"/>
              </w:rPr>
            </w:pPr>
            <w:r w:rsidRPr="00495E27">
              <w:rPr>
                <w:b/>
                <w:lang w:eastAsia="en-GB"/>
              </w:rPr>
              <w:t>(339)</w:t>
            </w:r>
          </w:p>
        </w:tc>
      </w:tr>
      <w:tr w:rsidR="00B77371" w:rsidRPr="00860D98" w:rsidTr="00495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371" w:rsidRPr="00902955" w:rsidRDefault="00B77371" w:rsidP="00B77371">
            <w:pPr>
              <w:rPr>
                <w:szCs w:val="26"/>
                <w:lang w:eastAsia="en-GB"/>
              </w:rPr>
            </w:pPr>
            <w:r w:rsidRPr="00902955">
              <w:rPr>
                <w:szCs w:val="26"/>
                <w:lang w:eastAsia="en-GB"/>
              </w:rPr>
              <w:t>Cash and cash equivalents at 1 January</w:t>
            </w:r>
          </w:p>
        </w:tc>
        <w:tc>
          <w:tcPr>
            <w:tcW w:w="0" w:type="auto"/>
            <w:tcBorders>
              <w:bottom w:val="single" w:sz="8" w:space="0" w:color="000000" w:themeColor="text1"/>
            </w:tcBorders>
          </w:tcPr>
          <w:p w:rsidR="00B77371" w:rsidRPr="00860D98" w:rsidRDefault="00B77371" w:rsidP="00B77371">
            <w:pPr>
              <w:jc w:val="right"/>
              <w:cnfStyle w:val="000000010000" w:firstRow="0" w:lastRow="0" w:firstColumn="0" w:lastColumn="0" w:oddVBand="0" w:evenVBand="0" w:oddHBand="0" w:evenHBand="1" w:firstRowFirstColumn="0" w:firstRowLastColumn="0" w:lastRowFirstColumn="0" w:lastRowLastColumn="0"/>
              <w:rPr>
                <w:bCs/>
                <w:lang w:eastAsia="en-GB"/>
              </w:rPr>
            </w:pPr>
            <w:r w:rsidRPr="00860D98">
              <w:rPr>
                <w:bCs/>
                <w:lang w:eastAsia="en-GB"/>
              </w:rPr>
              <w:t>1,984</w:t>
            </w:r>
          </w:p>
        </w:tc>
        <w:tc>
          <w:tcPr>
            <w:tcW w:w="0" w:type="auto"/>
            <w:tcBorders>
              <w:bottom w:val="single" w:sz="8" w:space="0" w:color="000000" w:themeColor="text1"/>
            </w:tcBorders>
          </w:tcPr>
          <w:p w:rsidR="00B77371" w:rsidRPr="00860D98" w:rsidRDefault="00B77371" w:rsidP="00B77371">
            <w:pPr>
              <w:jc w:val="right"/>
              <w:cnfStyle w:val="000000010000" w:firstRow="0" w:lastRow="0" w:firstColumn="0" w:lastColumn="0" w:oddVBand="0" w:evenVBand="0" w:oddHBand="0" w:evenHBand="1" w:firstRowFirstColumn="0" w:firstRowLastColumn="0" w:lastRowFirstColumn="0" w:lastRowLastColumn="0"/>
              <w:rPr>
                <w:bCs/>
                <w:lang w:eastAsia="en-GB"/>
              </w:rPr>
            </w:pPr>
            <w:r w:rsidRPr="00860D98">
              <w:rPr>
                <w:bCs/>
                <w:lang w:eastAsia="en-GB"/>
              </w:rPr>
              <w:t>2,323</w:t>
            </w:r>
          </w:p>
        </w:tc>
      </w:tr>
      <w:tr w:rsidR="00B77371" w:rsidRPr="00495E27" w:rsidTr="00495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371" w:rsidRPr="00902955" w:rsidRDefault="00B77371" w:rsidP="00B77371">
            <w:pPr>
              <w:rPr>
                <w:b/>
                <w:szCs w:val="26"/>
                <w:lang w:eastAsia="en-GB"/>
              </w:rPr>
            </w:pPr>
            <w:r w:rsidRPr="00902955">
              <w:rPr>
                <w:b/>
                <w:szCs w:val="26"/>
                <w:lang w:eastAsia="en-GB"/>
              </w:rPr>
              <w:t>Cash and cash equivalents at 31 December</w:t>
            </w:r>
          </w:p>
        </w:tc>
        <w:tc>
          <w:tcPr>
            <w:tcW w:w="0" w:type="auto"/>
            <w:tcBorders>
              <w:top w:val="single" w:sz="8" w:space="0" w:color="000000" w:themeColor="text1"/>
              <w:bottom w:val="double" w:sz="4" w:space="0" w:color="auto"/>
            </w:tcBorders>
          </w:tcPr>
          <w:p w:rsidR="00B77371" w:rsidRPr="00495E27" w:rsidRDefault="00B77371" w:rsidP="00B77371">
            <w:pPr>
              <w:jc w:val="right"/>
              <w:cnfStyle w:val="000000100000" w:firstRow="0" w:lastRow="0" w:firstColumn="0" w:lastColumn="0" w:oddVBand="0" w:evenVBand="0" w:oddHBand="1" w:evenHBand="0" w:firstRowFirstColumn="0" w:firstRowLastColumn="0" w:lastRowFirstColumn="0" w:lastRowLastColumn="0"/>
              <w:rPr>
                <w:b/>
                <w:lang w:eastAsia="en-GB"/>
              </w:rPr>
            </w:pPr>
            <w:r w:rsidRPr="00495E27">
              <w:rPr>
                <w:b/>
                <w:lang w:eastAsia="en-GB"/>
              </w:rPr>
              <w:t>11,675</w:t>
            </w:r>
          </w:p>
        </w:tc>
        <w:tc>
          <w:tcPr>
            <w:tcW w:w="0" w:type="auto"/>
            <w:tcBorders>
              <w:top w:val="single" w:sz="8" w:space="0" w:color="000000" w:themeColor="text1"/>
              <w:bottom w:val="double" w:sz="4" w:space="0" w:color="auto"/>
            </w:tcBorders>
          </w:tcPr>
          <w:p w:rsidR="00B77371" w:rsidRPr="00495E27" w:rsidRDefault="00B77371" w:rsidP="00B77371">
            <w:pPr>
              <w:jc w:val="right"/>
              <w:cnfStyle w:val="000000100000" w:firstRow="0" w:lastRow="0" w:firstColumn="0" w:lastColumn="0" w:oddVBand="0" w:evenVBand="0" w:oddHBand="1" w:evenHBand="0" w:firstRowFirstColumn="0" w:firstRowLastColumn="0" w:lastRowFirstColumn="0" w:lastRowLastColumn="0"/>
              <w:rPr>
                <w:b/>
                <w:lang w:eastAsia="en-GB"/>
              </w:rPr>
            </w:pPr>
            <w:r w:rsidRPr="00495E27">
              <w:rPr>
                <w:b/>
                <w:lang w:eastAsia="en-GB"/>
              </w:rPr>
              <w:t>1,984</w:t>
            </w:r>
          </w:p>
        </w:tc>
      </w:tr>
    </w:tbl>
    <w:p w:rsidR="007761C8" w:rsidRDefault="007761C8" w:rsidP="007761C8">
      <w:pPr>
        <w:rPr>
          <w:b/>
          <w:lang w:eastAsia="en-GB"/>
        </w:rPr>
      </w:pPr>
      <w:r w:rsidRPr="007761C8">
        <w:rPr>
          <w:b/>
          <w:lang w:eastAsia="en-GB"/>
        </w:rPr>
        <w:br w:type="page"/>
      </w:r>
    </w:p>
    <w:p w:rsidR="00902955" w:rsidRPr="00763D95" w:rsidRDefault="00902955" w:rsidP="00902955">
      <w:pPr>
        <w:rPr>
          <w:lang w:eastAsia="en-GB"/>
        </w:rPr>
      </w:pPr>
      <w:r w:rsidRPr="00763D95">
        <w:rPr>
          <w:lang w:eastAsia="en-GB"/>
        </w:rPr>
        <w:t>The Statement of Cash Flows and notes 1 to 1</w:t>
      </w:r>
      <w:r>
        <w:rPr>
          <w:lang w:eastAsia="en-GB"/>
        </w:rPr>
        <w:t>2</w:t>
      </w:r>
      <w:r w:rsidRPr="00763D95">
        <w:rPr>
          <w:lang w:eastAsia="en-GB"/>
        </w:rPr>
        <w:t xml:space="preserve"> form part of these financial statements.</w:t>
      </w:r>
    </w:p>
    <w:p w:rsidR="00902955" w:rsidRDefault="00902955" w:rsidP="00902955">
      <w:pPr>
        <w:rPr>
          <w:lang w:eastAsia="en-GB"/>
        </w:rPr>
        <w:sectPr w:rsidR="00902955" w:rsidSect="009C0B80">
          <w:headerReference w:type="default" r:id="rId21"/>
          <w:footerReference w:type="default" r:id="rId22"/>
          <w:type w:val="continuous"/>
          <w:pgSz w:w="11907" w:h="16840" w:code="9"/>
          <w:pgMar w:top="1985" w:right="1985" w:bottom="1985" w:left="1985" w:header="709" w:footer="709" w:gutter="0"/>
          <w:pgNumType w:chapStyle="1" w:chapSep="emDash"/>
          <w:cols w:space="708"/>
          <w:titlePg/>
          <w:rtlGutter/>
          <w:docGrid w:linePitch="360"/>
        </w:sectPr>
      </w:pPr>
      <w:r w:rsidRPr="007761C8">
        <w:rPr>
          <w:lang w:eastAsia="en-GB"/>
        </w:rPr>
        <w:t>On behalf of the board of National Disability Authority (NDA)</w:t>
      </w:r>
    </w:p>
    <w:p w:rsidR="00D26148" w:rsidRDefault="00D26148" w:rsidP="00D26148">
      <w:pPr>
        <w:rPr>
          <w:lang w:eastAsia="en-GB"/>
        </w:rPr>
      </w:pPr>
      <w:r w:rsidRPr="00A80E34">
        <w:rPr>
          <w:noProof/>
          <w:lang w:eastAsia="en-IE"/>
        </w:rPr>
        <w:drawing>
          <wp:inline distT="0" distB="0" distL="0" distR="0">
            <wp:extent cx="2294890" cy="637998"/>
            <wp:effectExtent l="19050" t="0" r="0" b="0"/>
            <wp:docPr id="17" name="Picture 1" descr="Helen Guina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294890" cy="637998"/>
                    </a:xfrm>
                    <a:prstGeom prst="rect">
                      <a:avLst/>
                    </a:prstGeom>
                    <a:noFill/>
                    <a:ln w="9525">
                      <a:noFill/>
                      <a:miter lim="800000"/>
                      <a:headEnd/>
                      <a:tailEnd/>
                    </a:ln>
                  </pic:spPr>
                </pic:pic>
              </a:graphicData>
            </a:graphic>
          </wp:inline>
        </w:drawing>
      </w:r>
      <w:r>
        <w:rPr>
          <w:lang w:eastAsia="en-GB"/>
        </w:rPr>
        <w:br/>
      </w:r>
      <w:r w:rsidRPr="007761C8">
        <w:rPr>
          <w:lang w:eastAsia="en-GB"/>
        </w:rPr>
        <w:t>Helen Guinan,</w:t>
      </w:r>
      <w:r>
        <w:rPr>
          <w:lang w:eastAsia="en-GB"/>
        </w:rPr>
        <w:br/>
      </w:r>
      <w:r w:rsidRPr="007761C8">
        <w:rPr>
          <w:lang w:eastAsia="en-GB"/>
        </w:rPr>
        <w:t>Chairperson</w:t>
      </w:r>
      <w:r>
        <w:rPr>
          <w:lang w:eastAsia="en-GB"/>
        </w:rPr>
        <w:br/>
        <w:t>Date: 24/6/16</w:t>
      </w:r>
    </w:p>
    <w:p w:rsidR="00D26148" w:rsidRDefault="00D26148" w:rsidP="00D26148">
      <w:pPr>
        <w:rPr>
          <w:lang w:eastAsia="en-GB"/>
        </w:rPr>
      </w:pPr>
      <w:r w:rsidRPr="00A80E34">
        <w:rPr>
          <w:noProof/>
          <w:lang w:eastAsia="en-IE"/>
        </w:rPr>
        <w:drawing>
          <wp:inline distT="0" distB="0" distL="0" distR="0">
            <wp:extent cx="2294890" cy="624917"/>
            <wp:effectExtent l="19050" t="0" r="0" b="0"/>
            <wp:docPr id="18" name="Picture 3" descr="Siobhan Barr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294890" cy="624917"/>
                    </a:xfrm>
                    <a:prstGeom prst="rect">
                      <a:avLst/>
                    </a:prstGeom>
                    <a:noFill/>
                    <a:ln w="9525">
                      <a:noFill/>
                      <a:miter lim="800000"/>
                      <a:headEnd/>
                      <a:tailEnd/>
                    </a:ln>
                  </pic:spPr>
                </pic:pic>
              </a:graphicData>
            </a:graphic>
          </wp:inline>
        </w:drawing>
      </w:r>
      <w:r>
        <w:rPr>
          <w:lang w:eastAsia="en-GB"/>
        </w:rPr>
        <w:br/>
      </w:r>
      <w:r w:rsidRPr="007761C8">
        <w:rPr>
          <w:lang w:eastAsia="en-GB"/>
        </w:rPr>
        <w:t>Siobhan Barron,</w:t>
      </w:r>
      <w:r>
        <w:rPr>
          <w:lang w:eastAsia="en-GB"/>
        </w:rPr>
        <w:br/>
      </w:r>
      <w:r w:rsidRPr="007761C8">
        <w:rPr>
          <w:lang w:eastAsia="en-GB"/>
        </w:rPr>
        <w:t>Director</w:t>
      </w:r>
      <w:r>
        <w:rPr>
          <w:lang w:eastAsia="en-GB"/>
        </w:rPr>
        <w:br/>
      </w:r>
      <w:r w:rsidRPr="007761C8">
        <w:rPr>
          <w:lang w:eastAsia="en-GB"/>
        </w:rPr>
        <w:t>Date:</w:t>
      </w:r>
      <w:r>
        <w:rPr>
          <w:lang w:eastAsia="en-GB"/>
        </w:rPr>
        <w:t xml:space="preserve"> 29/6/16</w:t>
      </w:r>
    </w:p>
    <w:p w:rsidR="00D26148" w:rsidRDefault="00D26148" w:rsidP="00D26148">
      <w:pPr>
        <w:rPr>
          <w:b/>
          <w:lang w:eastAsia="en-GB"/>
        </w:rPr>
        <w:sectPr w:rsidR="00D26148" w:rsidSect="009C0B80">
          <w:type w:val="continuous"/>
          <w:pgSz w:w="11907" w:h="16840" w:code="9"/>
          <w:pgMar w:top="1985" w:right="1985" w:bottom="1985" w:left="1985" w:header="709" w:footer="709" w:gutter="0"/>
          <w:pgNumType w:chapStyle="1" w:chapSep="emDash"/>
          <w:cols w:num="2" w:space="708"/>
          <w:titlePg/>
          <w:rtlGutter/>
          <w:docGrid w:linePitch="360"/>
        </w:sectPr>
      </w:pPr>
    </w:p>
    <w:p w:rsidR="00D26148" w:rsidRDefault="00D26148" w:rsidP="00D26148">
      <w:pPr>
        <w:rPr>
          <w:lang w:eastAsia="en-GB"/>
        </w:rPr>
      </w:pPr>
      <w:r>
        <w:rPr>
          <w:lang w:eastAsia="en-GB"/>
        </w:rPr>
        <w:br/>
      </w:r>
      <w:r>
        <w:rPr>
          <w:noProof/>
          <w:lang w:eastAsia="en-IE"/>
        </w:rPr>
        <w:drawing>
          <wp:inline distT="0" distB="0" distL="0" distR="0">
            <wp:extent cx="2507615" cy="471170"/>
            <wp:effectExtent l="19050" t="0" r="6985" b="0"/>
            <wp:docPr id="19" name="Picture 4" descr="Frank Cunnee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507615" cy="471170"/>
                    </a:xfrm>
                    <a:prstGeom prst="rect">
                      <a:avLst/>
                    </a:prstGeom>
                    <a:noFill/>
                    <a:ln w="9525">
                      <a:noFill/>
                      <a:miter lim="800000"/>
                      <a:headEnd/>
                      <a:tailEnd/>
                    </a:ln>
                  </pic:spPr>
                </pic:pic>
              </a:graphicData>
            </a:graphic>
          </wp:inline>
        </w:drawing>
      </w:r>
    </w:p>
    <w:p w:rsidR="00DA2DEF" w:rsidRDefault="00D26148" w:rsidP="00902955">
      <w:pPr>
        <w:rPr>
          <w:lang w:eastAsia="en-GB"/>
        </w:rPr>
        <w:sectPr w:rsidR="00DA2DEF" w:rsidSect="00902955">
          <w:type w:val="continuous"/>
          <w:pgSz w:w="11907" w:h="16840" w:code="9"/>
          <w:pgMar w:top="1985" w:right="1985" w:bottom="1985" w:left="1985" w:header="709" w:footer="709" w:gutter="0"/>
          <w:pgNumType w:chapStyle="1" w:chapSep="emDash"/>
          <w:cols w:num="2" w:space="708"/>
          <w:titlePg/>
          <w:rtlGutter/>
          <w:docGrid w:linePitch="360"/>
        </w:sectPr>
      </w:pPr>
      <w:r>
        <w:rPr>
          <w:lang w:eastAsia="en-GB"/>
        </w:rPr>
        <w:t>Frank Cunneen</w:t>
      </w:r>
      <w:r w:rsidRPr="007761C8">
        <w:rPr>
          <w:lang w:eastAsia="en-GB"/>
        </w:rPr>
        <w:t>,</w:t>
      </w:r>
      <w:r>
        <w:rPr>
          <w:lang w:eastAsia="en-GB"/>
        </w:rPr>
        <w:br/>
        <w:t>Authority Member</w:t>
      </w:r>
      <w:r>
        <w:rPr>
          <w:lang w:eastAsia="en-GB"/>
        </w:rPr>
        <w:br/>
      </w:r>
      <w:r w:rsidRPr="007761C8">
        <w:rPr>
          <w:lang w:eastAsia="en-GB"/>
        </w:rPr>
        <w:t>Date:</w:t>
      </w:r>
      <w:r>
        <w:rPr>
          <w:lang w:eastAsia="en-GB"/>
        </w:rPr>
        <w:t xml:space="preserve"> 28/6/16</w:t>
      </w:r>
    </w:p>
    <w:p w:rsidR="007761C8" w:rsidRPr="007761C8" w:rsidRDefault="007761C8" w:rsidP="00860D98">
      <w:pPr>
        <w:pStyle w:val="Heading2"/>
        <w:rPr>
          <w:lang w:eastAsia="en-GB"/>
        </w:rPr>
      </w:pPr>
      <w:r w:rsidRPr="007761C8">
        <w:rPr>
          <w:lang w:eastAsia="en-GB"/>
        </w:rPr>
        <w:t>Notes to the Financial Statements</w:t>
      </w:r>
    </w:p>
    <w:p w:rsidR="007761C8" w:rsidRPr="007761C8" w:rsidRDefault="007761C8" w:rsidP="00860D98">
      <w:pPr>
        <w:rPr>
          <w:lang w:eastAsia="en-GB"/>
        </w:rPr>
      </w:pPr>
      <w:r w:rsidRPr="007761C8">
        <w:rPr>
          <w:lang w:eastAsia="en-GB"/>
        </w:rPr>
        <w:t>For the year ended 31 December 2015</w:t>
      </w:r>
    </w:p>
    <w:p w:rsidR="007761C8" w:rsidRPr="007761C8" w:rsidRDefault="005114F5" w:rsidP="005114F5">
      <w:pPr>
        <w:pStyle w:val="Heading3"/>
        <w:rPr>
          <w:lang w:eastAsia="en-GB"/>
        </w:rPr>
      </w:pPr>
      <w:r>
        <w:rPr>
          <w:lang w:eastAsia="en-GB"/>
        </w:rPr>
        <w:t xml:space="preserve">1. </w:t>
      </w:r>
      <w:r w:rsidR="007761C8" w:rsidRPr="007761C8">
        <w:rPr>
          <w:lang w:eastAsia="en-GB"/>
        </w:rPr>
        <w:t>Accounting Policies</w:t>
      </w:r>
    </w:p>
    <w:p w:rsidR="007761C8" w:rsidRPr="007761C8" w:rsidRDefault="007761C8" w:rsidP="00860D98">
      <w:pPr>
        <w:rPr>
          <w:lang w:eastAsia="en-GB"/>
        </w:rPr>
      </w:pPr>
      <w:r w:rsidRPr="007761C8">
        <w:rPr>
          <w:lang w:eastAsia="en-GB"/>
        </w:rPr>
        <w:t xml:space="preserve">The basis of accounting and significant accounting policies adopted by National Disability Authority (NDA/Authority) are set out below. They have all been applied consistently throughout the year and for the preceding year. The financial statements are presented in </w:t>
      </w:r>
      <w:r w:rsidR="002E230E" w:rsidRPr="007761C8">
        <w:rPr>
          <w:lang w:eastAsia="en-GB"/>
        </w:rPr>
        <w:t>Euro (</w:t>
      </w:r>
      <w:r w:rsidRPr="007761C8">
        <w:rPr>
          <w:lang w:eastAsia="en-GB"/>
        </w:rPr>
        <w:t>€).</w:t>
      </w:r>
    </w:p>
    <w:p w:rsidR="007761C8" w:rsidRPr="007761C8" w:rsidRDefault="005114F5" w:rsidP="005114F5">
      <w:pPr>
        <w:pStyle w:val="Heading4"/>
        <w:rPr>
          <w:lang w:eastAsia="en-GB"/>
        </w:rPr>
      </w:pPr>
      <w:r w:rsidRPr="005114F5">
        <w:rPr>
          <w:lang w:eastAsia="en-GB"/>
        </w:rPr>
        <w:t>a)</w:t>
      </w:r>
      <w:r>
        <w:rPr>
          <w:lang w:eastAsia="en-GB"/>
        </w:rPr>
        <w:t xml:space="preserve"> </w:t>
      </w:r>
      <w:r w:rsidR="007761C8" w:rsidRPr="007761C8">
        <w:rPr>
          <w:lang w:eastAsia="en-GB"/>
        </w:rPr>
        <w:t>General Information</w:t>
      </w:r>
    </w:p>
    <w:p w:rsidR="007761C8" w:rsidRPr="007761C8" w:rsidRDefault="007761C8" w:rsidP="00860D98">
      <w:pPr>
        <w:rPr>
          <w:lang w:eastAsia="en-GB"/>
        </w:rPr>
      </w:pPr>
      <w:r w:rsidRPr="007761C8">
        <w:rPr>
          <w:lang w:eastAsia="en-GB"/>
        </w:rPr>
        <w:t>National Disability Authority was set up under section 6 of the National Disability Act 1999, with a head office at 25 Clyde Road, Dublin 4 on 12 June 2000 on the dissolution of the former organisation, the National Rehabilitation Board.</w:t>
      </w:r>
    </w:p>
    <w:p w:rsidR="007761C8" w:rsidRPr="007761C8" w:rsidRDefault="007761C8" w:rsidP="0097419B">
      <w:pPr>
        <w:rPr>
          <w:lang w:eastAsia="en-GB"/>
        </w:rPr>
      </w:pPr>
      <w:r w:rsidRPr="007761C8">
        <w:rPr>
          <w:lang w:eastAsia="en-GB"/>
        </w:rPr>
        <w:t>The principal function of the National Disability Authority (NDA) is to advise the Minister for Justice and Equality regarding issues of policy and practice relevant to the lives of persons with disabilities.</w:t>
      </w:r>
    </w:p>
    <w:p w:rsidR="007761C8" w:rsidRPr="0097419B" w:rsidRDefault="007761C8" w:rsidP="0097419B">
      <w:pPr>
        <w:pStyle w:val="NormalBeforeList"/>
        <w:rPr>
          <w:lang w:eastAsia="en-GB"/>
        </w:rPr>
      </w:pPr>
      <w:r w:rsidRPr="0097419B">
        <w:rPr>
          <w:lang w:eastAsia="en-GB"/>
        </w:rPr>
        <w:t xml:space="preserve">National Disability Authority’s particular functions as set out in section 8 of the National Disability Act 1999 include: </w:t>
      </w:r>
    </w:p>
    <w:p w:rsidR="007761C8" w:rsidRPr="0097419B" w:rsidRDefault="007761C8" w:rsidP="0097419B">
      <w:pPr>
        <w:pStyle w:val="ListBullet"/>
        <w:rPr>
          <w:lang w:eastAsia="en-GB"/>
        </w:rPr>
      </w:pPr>
      <w:r w:rsidRPr="0097419B">
        <w:rPr>
          <w:lang w:eastAsia="en-GB"/>
        </w:rPr>
        <w:t>To act as a central, national body which will assist the Minister in the coordination and development of policy in relati</w:t>
      </w:r>
      <w:r w:rsidR="002E230E">
        <w:rPr>
          <w:lang w:eastAsia="en-GB"/>
        </w:rPr>
        <w:t>on to persons with disabilities</w:t>
      </w:r>
    </w:p>
    <w:p w:rsidR="007761C8" w:rsidRPr="0097419B" w:rsidRDefault="007761C8" w:rsidP="0097419B">
      <w:pPr>
        <w:pStyle w:val="ListBullet"/>
        <w:rPr>
          <w:lang w:eastAsia="en-GB"/>
        </w:rPr>
      </w:pPr>
      <w:r w:rsidRPr="0097419B">
        <w:rPr>
          <w:lang w:eastAsia="en-GB"/>
        </w:rPr>
        <w:t>To undertake, commission or collaborate in research projects and activities on issues relating to disability and to assist in the development of statistical information appropriate for the planning, delivery and monitoring of programmes and servic</w:t>
      </w:r>
      <w:r w:rsidR="002E230E">
        <w:rPr>
          <w:lang w:eastAsia="en-GB"/>
        </w:rPr>
        <w:t>es for people with disabilities</w:t>
      </w:r>
    </w:p>
    <w:p w:rsidR="007761C8" w:rsidRPr="0097419B" w:rsidRDefault="007761C8" w:rsidP="0097419B">
      <w:pPr>
        <w:pStyle w:val="ListBullet"/>
        <w:rPr>
          <w:lang w:eastAsia="en-GB"/>
        </w:rPr>
      </w:pPr>
      <w:r w:rsidRPr="0097419B">
        <w:rPr>
          <w:lang w:eastAsia="en-GB"/>
        </w:rPr>
        <w:t xml:space="preserve">To advise the Minister on appropriate standards for programmes and services provided or to be provided to persons with disabilities and to act as an advisory body with regard to the development of general and specific standards in relation </w:t>
      </w:r>
      <w:r w:rsidR="002E230E">
        <w:rPr>
          <w:lang w:eastAsia="en-GB"/>
        </w:rPr>
        <w:t>to such programmes and services</w:t>
      </w:r>
    </w:p>
    <w:p w:rsidR="007761C8" w:rsidRPr="0097419B" w:rsidRDefault="007761C8" w:rsidP="0097419B">
      <w:pPr>
        <w:pStyle w:val="ListBullet"/>
        <w:rPr>
          <w:lang w:eastAsia="en-GB"/>
        </w:rPr>
      </w:pPr>
      <w:r w:rsidRPr="0097419B">
        <w:rPr>
          <w:lang w:eastAsia="en-GB"/>
        </w:rPr>
        <w:t>To monitor the implementation of standards and codes of practice in programmes and services provided to persons with disabilities and to</w:t>
      </w:r>
      <w:r w:rsidR="002E230E">
        <w:rPr>
          <w:lang w:eastAsia="en-GB"/>
        </w:rPr>
        <w:t xml:space="preserve"> report to the Minister thereon</w:t>
      </w:r>
    </w:p>
    <w:p w:rsidR="007761C8" w:rsidRPr="0097419B" w:rsidRDefault="007761C8" w:rsidP="0097419B">
      <w:pPr>
        <w:pStyle w:val="ListBullet"/>
        <w:rPr>
          <w:lang w:eastAsia="en-GB"/>
        </w:rPr>
      </w:pPr>
      <w:r w:rsidRPr="0097419B">
        <w:rPr>
          <w:lang w:eastAsia="en-GB"/>
        </w:rPr>
        <w:t>To liaise with other bodies, both corporate and unincorporated, involved in the provision of services to persons with disabilities and to facilitate and support the development and implementation of appropriate standards for programmes and services for pers</w:t>
      </w:r>
      <w:r w:rsidR="002E230E">
        <w:rPr>
          <w:lang w:eastAsia="en-GB"/>
        </w:rPr>
        <w:t>ons with</w:t>
      </w:r>
      <w:r w:rsidR="002E230E">
        <w:rPr>
          <w:rFonts w:ascii="Gill Sans MT" w:hAnsi="Gill Sans MT"/>
          <w:lang w:eastAsia="en-GB"/>
        </w:rPr>
        <w:t> </w:t>
      </w:r>
      <w:r w:rsidR="002E230E">
        <w:rPr>
          <w:lang w:eastAsia="en-GB"/>
        </w:rPr>
        <w:t>disabilities</w:t>
      </w:r>
    </w:p>
    <w:p w:rsidR="007761C8" w:rsidRPr="0097419B" w:rsidRDefault="007761C8" w:rsidP="0097419B">
      <w:pPr>
        <w:pStyle w:val="ListBullet"/>
        <w:rPr>
          <w:lang w:eastAsia="en-GB"/>
        </w:rPr>
      </w:pPr>
      <w:r w:rsidRPr="0097419B">
        <w:rPr>
          <w:lang w:eastAsia="en-GB"/>
        </w:rPr>
        <w:t>To prepare codes of practice for the purpose of achieving the aim of good standards and quality in the provision of programmes and services provided or to be provid</w:t>
      </w:r>
      <w:r w:rsidR="002E230E">
        <w:rPr>
          <w:lang w:eastAsia="en-GB"/>
        </w:rPr>
        <w:t>ed to persons with disabilities</w:t>
      </w:r>
    </w:p>
    <w:p w:rsidR="007761C8" w:rsidRPr="0097419B" w:rsidRDefault="007761C8" w:rsidP="0097419B">
      <w:pPr>
        <w:pStyle w:val="ListBullet"/>
        <w:rPr>
          <w:lang w:eastAsia="en-GB"/>
        </w:rPr>
      </w:pPr>
      <w:r w:rsidRPr="0097419B">
        <w:rPr>
          <w:lang w:eastAsia="en-GB"/>
        </w:rPr>
        <w:t>To recognise the achievement of good standards and quality in the provision of programmes and services to persons with disabilities, including through the provision of a di</w:t>
      </w:r>
      <w:r w:rsidR="002E230E">
        <w:rPr>
          <w:lang w:eastAsia="en-GB"/>
        </w:rPr>
        <w:t>sability equality awards system</w:t>
      </w:r>
    </w:p>
    <w:p w:rsidR="007761C8" w:rsidRPr="0097419B" w:rsidRDefault="007761C8" w:rsidP="0097419B">
      <w:pPr>
        <w:pStyle w:val="ListBullet"/>
        <w:rPr>
          <w:lang w:eastAsia="en-GB"/>
        </w:rPr>
      </w:pPr>
      <w:r w:rsidRPr="0097419B">
        <w:rPr>
          <w:lang w:eastAsia="en-GB"/>
        </w:rPr>
        <w:t>To prepare strategic plans.</w:t>
      </w:r>
    </w:p>
    <w:p w:rsidR="007761C8" w:rsidRPr="0097419B" w:rsidRDefault="007761C8" w:rsidP="0097419B">
      <w:pPr>
        <w:pStyle w:val="NormalBeforeList"/>
        <w:rPr>
          <w:lang w:eastAsia="en-GB"/>
        </w:rPr>
      </w:pPr>
      <w:r w:rsidRPr="0097419B">
        <w:rPr>
          <w:lang w:eastAsia="en-GB"/>
        </w:rPr>
        <w:t>Additional functions of the Authority under the Disability Act 2005</w:t>
      </w:r>
      <w:r w:rsidR="00656D15">
        <w:rPr>
          <w:rFonts w:ascii="Gill Sans MT" w:hAnsi="Gill Sans MT"/>
          <w:lang w:eastAsia="en-GB"/>
        </w:rPr>
        <w:t> </w:t>
      </w:r>
      <w:r w:rsidRPr="0097419B">
        <w:rPr>
          <w:lang w:eastAsia="en-GB"/>
        </w:rPr>
        <w:t>include:</w:t>
      </w:r>
    </w:p>
    <w:p w:rsidR="007761C8" w:rsidRPr="0097419B" w:rsidRDefault="007761C8" w:rsidP="0097419B">
      <w:pPr>
        <w:pStyle w:val="ListBullet"/>
        <w:rPr>
          <w:lang w:eastAsia="en-GB"/>
        </w:rPr>
      </w:pPr>
      <w:r w:rsidRPr="0097419B">
        <w:rPr>
          <w:lang w:eastAsia="en-GB"/>
        </w:rPr>
        <w:t>To prepare codes of practice relating to the accessibility of public buildings, services, information and heritage sites and to the employment of people with disabilities in the public sector at the request of the Minister (Part 3) to monitor compliance with statutory targets for recruitment and employment of people with disabilities in the public sector, recommend actions to be taken where these targets are not being met, and prepare codes of pr</w:t>
      </w:r>
      <w:r w:rsidR="002E230E">
        <w:rPr>
          <w:lang w:eastAsia="en-GB"/>
        </w:rPr>
        <w:t>actice where requested (Part 5)</w:t>
      </w:r>
    </w:p>
    <w:p w:rsidR="007761C8" w:rsidRPr="0097419B" w:rsidRDefault="007761C8" w:rsidP="0097419B">
      <w:pPr>
        <w:pStyle w:val="ListBullet"/>
        <w:rPr>
          <w:lang w:eastAsia="en-GB"/>
        </w:rPr>
      </w:pPr>
      <w:r w:rsidRPr="0097419B">
        <w:rPr>
          <w:lang w:eastAsia="en-GB"/>
        </w:rPr>
        <w:t>To establish and operate a Centre for Excellence in Universal Design in relation to the built environment, products, services and information technology which will promote the principles of universal design so that each of these may be accessed, understood and used to the greatest practicable extent by people with disabilities:</w:t>
      </w:r>
    </w:p>
    <w:p w:rsidR="007761C8" w:rsidRPr="0097419B" w:rsidRDefault="007761C8" w:rsidP="0097419B">
      <w:pPr>
        <w:pStyle w:val="ListBullet"/>
        <w:tabs>
          <w:tab w:val="clear" w:pos="360"/>
          <w:tab w:val="num" w:pos="717"/>
        </w:tabs>
        <w:ind w:left="714"/>
        <w:rPr>
          <w:lang w:eastAsia="en-GB"/>
        </w:rPr>
      </w:pPr>
      <w:r w:rsidRPr="0097419B">
        <w:rPr>
          <w:lang w:eastAsia="en-GB"/>
        </w:rPr>
        <w:t>In the most independent and natural manner, and</w:t>
      </w:r>
    </w:p>
    <w:p w:rsidR="007761C8" w:rsidRPr="0097419B" w:rsidRDefault="007761C8" w:rsidP="0097419B">
      <w:pPr>
        <w:pStyle w:val="ListBullet"/>
        <w:tabs>
          <w:tab w:val="clear" w:pos="360"/>
          <w:tab w:val="num" w:pos="717"/>
        </w:tabs>
        <w:ind w:left="714"/>
        <w:rPr>
          <w:lang w:eastAsia="en-GB"/>
        </w:rPr>
      </w:pPr>
      <w:r w:rsidRPr="0097419B">
        <w:rPr>
          <w:lang w:eastAsia="en-GB"/>
        </w:rPr>
        <w:t>In the widest possible range of situations without the need for adaptation, modification, assistive devices or specialised solution (Part 6).</w:t>
      </w:r>
    </w:p>
    <w:p w:rsidR="007761C8" w:rsidRPr="007761C8" w:rsidRDefault="005114F5" w:rsidP="005114F5">
      <w:pPr>
        <w:pStyle w:val="Heading4"/>
        <w:rPr>
          <w:lang w:eastAsia="en-GB"/>
        </w:rPr>
      </w:pPr>
      <w:r>
        <w:t xml:space="preserve">b) </w:t>
      </w:r>
      <w:r w:rsidR="007761C8" w:rsidRPr="005114F5">
        <w:t>Statement</w:t>
      </w:r>
      <w:r w:rsidR="007761C8" w:rsidRPr="007761C8">
        <w:rPr>
          <w:lang w:eastAsia="en-GB"/>
        </w:rPr>
        <w:t xml:space="preserve"> of </w:t>
      </w:r>
      <w:r w:rsidR="007761C8" w:rsidRPr="0097419B">
        <w:rPr>
          <w:lang w:eastAsia="en-GB"/>
        </w:rPr>
        <w:t>Compliance</w:t>
      </w:r>
    </w:p>
    <w:p w:rsidR="007761C8" w:rsidRPr="007761C8" w:rsidRDefault="007761C8" w:rsidP="0097419B">
      <w:pPr>
        <w:rPr>
          <w:lang w:eastAsia="en-GB"/>
        </w:rPr>
      </w:pPr>
      <w:r w:rsidRPr="007761C8">
        <w:rPr>
          <w:lang w:eastAsia="en-GB"/>
        </w:rPr>
        <w:t xml:space="preserve">The financial statements of the National Disability Authority for the year ended 31 December 2015 have been prepared in accordance with FRS 102, the financial reporting standard applicable in the UK and Ireland issued by the Financial Reporting Council (FRC), as promulgated by Chartered Accountants Ireland. These are the National Disability Authority’s first set of financial statements prepared in accordance with FRS 102. The date of transition to FRS 102 is 1 January 2014. </w:t>
      </w:r>
      <w:r w:rsidR="00656D15" w:rsidRPr="00656D15">
        <w:rPr>
          <w:lang w:eastAsia="en-GB"/>
        </w:rPr>
        <w:t>The transition to FRS 102 has not affected its reported financial position or financial performance.</w:t>
      </w:r>
    </w:p>
    <w:p w:rsidR="007761C8" w:rsidRPr="005D596A" w:rsidRDefault="005114F5" w:rsidP="00631B50">
      <w:pPr>
        <w:pStyle w:val="Heading4"/>
      </w:pPr>
      <w:r>
        <w:rPr>
          <w:lang w:eastAsia="en-GB"/>
        </w:rPr>
        <w:t xml:space="preserve">c) </w:t>
      </w:r>
      <w:r w:rsidR="007761C8" w:rsidRPr="007761C8">
        <w:rPr>
          <w:lang w:eastAsia="en-GB"/>
        </w:rPr>
        <w:t xml:space="preserve">Basis of </w:t>
      </w:r>
      <w:r w:rsidR="007761C8" w:rsidRPr="005114F5">
        <w:t>Preparation</w:t>
      </w:r>
    </w:p>
    <w:p w:rsidR="007761C8" w:rsidRPr="007761C8" w:rsidRDefault="007761C8" w:rsidP="001F0E68">
      <w:pPr>
        <w:rPr>
          <w:lang w:eastAsia="en-GB"/>
        </w:rPr>
      </w:pPr>
      <w:r w:rsidRPr="007761C8">
        <w:rPr>
          <w:lang w:eastAsia="en-GB"/>
        </w:rPr>
        <w:t>The financial statements have been prepared using the accruals method of accounting, except as indicated below and in accordance with FRS 102 under the historical cost convention. Financial Reporting Standards recommended by recognised accountancy bodies are adopted as they become operative. The financial statements are in the form approved by the Minister for Justice and Equality with the concurrence of the Minister for Finance under the existing legislation. The following accounting policies have been applied consistently in dealing with items which are considered material in relation to National Disability Authority’s financial statements.</w:t>
      </w:r>
    </w:p>
    <w:p w:rsidR="007761C8" w:rsidRPr="005114F5" w:rsidRDefault="005114F5" w:rsidP="005114F5">
      <w:pPr>
        <w:pStyle w:val="Heading4"/>
      </w:pPr>
      <w:r>
        <w:rPr>
          <w:lang w:eastAsia="en-GB"/>
        </w:rPr>
        <w:t xml:space="preserve">d) </w:t>
      </w:r>
      <w:r w:rsidR="007761C8" w:rsidRPr="005114F5">
        <w:rPr>
          <w:lang w:eastAsia="en-GB"/>
        </w:rPr>
        <w:t>Revenue</w:t>
      </w:r>
    </w:p>
    <w:p w:rsidR="007761C8" w:rsidRPr="007761C8" w:rsidRDefault="007761C8" w:rsidP="005114F5">
      <w:pPr>
        <w:pStyle w:val="Heading5"/>
        <w:rPr>
          <w:lang w:eastAsia="en-GB"/>
        </w:rPr>
      </w:pPr>
      <w:r w:rsidRPr="007761C8">
        <w:rPr>
          <w:lang w:eastAsia="en-GB"/>
        </w:rPr>
        <w:t xml:space="preserve">Oireachtas Grants </w:t>
      </w:r>
    </w:p>
    <w:p w:rsidR="007761C8" w:rsidRPr="007761C8" w:rsidRDefault="007761C8" w:rsidP="005114F5">
      <w:pPr>
        <w:rPr>
          <w:lang w:eastAsia="en-GB"/>
        </w:rPr>
      </w:pPr>
      <w:r w:rsidRPr="007761C8">
        <w:rPr>
          <w:lang w:eastAsia="en-GB"/>
        </w:rPr>
        <w:t>The NDA receives a grant annually from the Department of Justice and Equality as provided in the National Disability Authority Act 1999. Revenue is generally recognised on an accruals basis; one exception to this is in the case of Oireachtas Grants which are recogn</w:t>
      </w:r>
      <w:r w:rsidR="005114F5">
        <w:rPr>
          <w:lang w:eastAsia="en-GB"/>
        </w:rPr>
        <w:t>ised on a cash receipts basis.</w:t>
      </w:r>
    </w:p>
    <w:p w:rsidR="007761C8" w:rsidRPr="007761C8" w:rsidRDefault="005114F5" w:rsidP="005114F5">
      <w:pPr>
        <w:pStyle w:val="Heading4"/>
        <w:rPr>
          <w:lang w:eastAsia="en-GB"/>
        </w:rPr>
      </w:pPr>
      <w:r>
        <w:rPr>
          <w:lang w:eastAsia="en-GB"/>
        </w:rPr>
        <w:t xml:space="preserve">e) </w:t>
      </w:r>
      <w:r w:rsidR="007761C8" w:rsidRPr="007761C8">
        <w:rPr>
          <w:lang w:eastAsia="en-GB"/>
        </w:rPr>
        <w:t>Property, Plant and Equipment</w:t>
      </w:r>
    </w:p>
    <w:p w:rsidR="007761C8" w:rsidRPr="007761C8" w:rsidRDefault="007761C8" w:rsidP="005114F5">
      <w:pPr>
        <w:pStyle w:val="NormalBeforeList"/>
        <w:rPr>
          <w:lang w:eastAsia="en-GB"/>
        </w:rPr>
      </w:pPr>
      <w:r w:rsidRPr="007761C8">
        <w:rPr>
          <w:lang w:eastAsia="en-GB"/>
        </w:rPr>
        <w:t>Property, plant and equipment are stated at cost less accumulated depreciation, adjusted for any provision for impairment. Depreciation is provided on all property, plant and equipment, other than premises, at rates estimated to write off the cost less the estimated residual value of each asset on a straight line basis over their estimated useful lives, as follows:</w:t>
      </w:r>
    </w:p>
    <w:p w:rsidR="0006588E" w:rsidRDefault="007761C8">
      <w:pPr>
        <w:pStyle w:val="ListParagraph"/>
        <w:numPr>
          <w:ilvl w:val="0"/>
          <w:numId w:val="2"/>
        </w:numPr>
        <w:rPr>
          <w:rFonts w:ascii="Gill Sans" w:hAnsi="Gill Sans"/>
          <w:sz w:val="26"/>
          <w:szCs w:val="26"/>
          <w:lang w:eastAsia="en-GB"/>
        </w:rPr>
      </w:pPr>
      <w:r w:rsidRPr="005E7672">
        <w:rPr>
          <w:rFonts w:ascii="Gill Sans" w:hAnsi="Gill Sans"/>
          <w:sz w:val="26"/>
          <w:szCs w:val="26"/>
          <w:lang w:eastAsia="en-GB"/>
        </w:rPr>
        <w:t>Freehold Premises</w:t>
      </w:r>
      <w:r w:rsidR="005114F5" w:rsidRPr="005E7672">
        <w:rPr>
          <w:rFonts w:ascii="Gill Sans" w:hAnsi="Gill Sans"/>
          <w:sz w:val="26"/>
          <w:szCs w:val="26"/>
          <w:lang w:eastAsia="en-GB"/>
        </w:rPr>
        <w:t xml:space="preserve">: </w:t>
      </w:r>
      <w:r w:rsidRPr="005E7672">
        <w:rPr>
          <w:rFonts w:ascii="Gill Sans" w:hAnsi="Gill Sans"/>
          <w:sz w:val="26"/>
          <w:szCs w:val="26"/>
          <w:lang w:eastAsia="en-GB"/>
        </w:rPr>
        <w:t>2.5%</w:t>
      </w:r>
      <w:r w:rsidR="00875C32">
        <w:rPr>
          <w:rFonts w:ascii="Gill Sans" w:hAnsi="Gill Sans"/>
          <w:sz w:val="26"/>
          <w:szCs w:val="26"/>
          <w:lang w:eastAsia="en-GB"/>
        </w:rPr>
        <w:t xml:space="preserve"> </w:t>
      </w:r>
      <w:r w:rsidRPr="005E7672">
        <w:rPr>
          <w:rFonts w:ascii="Gill Sans" w:hAnsi="Gill Sans"/>
          <w:sz w:val="26"/>
          <w:szCs w:val="26"/>
          <w:lang w:eastAsia="en-GB"/>
        </w:rPr>
        <w:t>per annum (Reducing balance)</w:t>
      </w:r>
    </w:p>
    <w:p w:rsidR="0006588E" w:rsidRDefault="007761C8">
      <w:pPr>
        <w:pStyle w:val="ListParagraph"/>
        <w:numPr>
          <w:ilvl w:val="0"/>
          <w:numId w:val="2"/>
        </w:numPr>
        <w:rPr>
          <w:rFonts w:ascii="Gill Sans" w:hAnsi="Gill Sans"/>
          <w:sz w:val="26"/>
          <w:szCs w:val="26"/>
          <w:lang w:eastAsia="en-GB"/>
        </w:rPr>
      </w:pPr>
      <w:r w:rsidRPr="005E7672">
        <w:rPr>
          <w:rFonts w:ascii="Gill Sans" w:hAnsi="Gill Sans"/>
          <w:sz w:val="26"/>
          <w:szCs w:val="26"/>
          <w:lang w:eastAsia="en-GB"/>
        </w:rPr>
        <w:t>Fixtures and Fittings, Equipment</w:t>
      </w:r>
      <w:r w:rsidR="005114F5" w:rsidRPr="005E7672">
        <w:rPr>
          <w:rFonts w:ascii="Gill Sans" w:hAnsi="Gill Sans"/>
          <w:sz w:val="26"/>
          <w:szCs w:val="26"/>
          <w:lang w:eastAsia="en-GB"/>
        </w:rPr>
        <w:t xml:space="preserve">: </w:t>
      </w:r>
      <w:r w:rsidRPr="005E7672">
        <w:rPr>
          <w:rFonts w:ascii="Gill Sans" w:hAnsi="Gill Sans"/>
          <w:sz w:val="26"/>
          <w:szCs w:val="26"/>
          <w:lang w:eastAsia="en-GB"/>
        </w:rPr>
        <w:t>10% per annum (Straight line)</w:t>
      </w:r>
    </w:p>
    <w:p w:rsidR="0006588E" w:rsidRDefault="007761C8">
      <w:pPr>
        <w:pStyle w:val="ListParagraph"/>
        <w:numPr>
          <w:ilvl w:val="0"/>
          <w:numId w:val="2"/>
        </w:numPr>
        <w:rPr>
          <w:rFonts w:ascii="Gill Sans" w:hAnsi="Gill Sans"/>
          <w:sz w:val="26"/>
          <w:szCs w:val="26"/>
          <w:lang w:eastAsia="en-GB"/>
        </w:rPr>
      </w:pPr>
      <w:r w:rsidRPr="005E7672">
        <w:rPr>
          <w:rFonts w:ascii="Gill Sans" w:hAnsi="Gill Sans"/>
          <w:sz w:val="26"/>
          <w:szCs w:val="26"/>
          <w:lang w:eastAsia="en-GB"/>
        </w:rPr>
        <w:t>Computer hardware and software</w:t>
      </w:r>
      <w:r w:rsidR="005114F5" w:rsidRPr="005E7672">
        <w:rPr>
          <w:rFonts w:ascii="Gill Sans" w:hAnsi="Gill Sans"/>
          <w:sz w:val="26"/>
          <w:szCs w:val="26"/>
          <w:lang w:eastAsia="en-GB"/>
        </w:rPr>
        <w:t xml:space="preserve">: </w:t>
      </w:r>
      <w:r w:rsidRPr="005E7672">
        <w:rPr>
          <w:rFonts w:ascii="Gill Sans" w:hAnsi="Gill Sans"/>
          <w:sz w:val="26"/>
          <w:szCs w:val="26"/>
          <w:lang w:eastAsia="en-GB"/>
        </w:rPr>
        <w:t>20% per annum (Straight line)</w:t>
      </w:r>
    </w:p>
    <w:p w:rsidR="007761C8" w:rsidRPr="007761C8" w:rsidRDefault="007761C8" w:rsidP="00A479A4">
      <w:pPr>
        <w:pStyle w:val="NormalAfterList"/>
        <w:rPr>
          <w:lang w:eastAsia="en-GB"/>
        </w:rPr>
      </w:pPr>
      <w:r w:rsidRPr="007761C8">
        <w:rPr>
          <w:lang w:eastAsia="en-GB"/>
        </w:rPr>
        <w:t>Residual value represents the estimated amount which would currently be obtained from disposal of an asset, after deducting estimated costs of disposal, if the asset were already of an age and in the condition expected at the end of its useful life.</w:t>
      </w:r>
    </w:p>
    <w:p w:rsidR="007761C8" w:rsidRPr="007761C8" w:rsidRDefault="007761C8" w:rsidP="00A479A4">
      <w:pPr>
        <w:rPr>
          <w:lang w:eastAsia="en-GB"/>
        </w:rPr>
      </w:pPr>
      <w:r w:rsidRPr="007761C8">
        <w:rPr>
          <w:lang w:eastAsia="en-GB"/>
        </w:rPr>
        <w:t>If there is objective evidence of impairment of the value of an asset, an impairment loss is recognised in the Statement of Income and Expenditure and Retained Revenue Reserves in the year.</w:t>
      </w:r>
    </w:p>
    <w:p w:rsidR="005C6CF2" w:rsidRDefault="005E7672" w:rsidP="005E7672">
      <w:pPr>
        <w:pStyle w:val="Heading4"/>
        <w:rPr>
          <w:lang w:eastAsia="en-GB"/>
        </w:rPr>
      </w:pPr>
      <w:r>
        <w:rPr>
          <w:lang w:eastAsia="en-GB"/>
        </w:rPr>
        <w:t xml:space="preserve">f) </w:t>
      </w:r>
      <w:r w:rsidR="005C6CF2" w:rsidRPr="005C6CF2">
        <w:rPr>
          <w:lang w:eastAsia="en-GB"/>
        </w:rPr>
        <w:t>Capital Account</w:t>
      </w:r>
    </w:p>
    <w:p w:rsidR="005C6CF2" w:rsidRPr="005C6CF2" w:rsidRDefault="005C6CF2" w:rsidP="005C6CF2">
      <w:pPr>
        <w:rPr>
          <w:lang w:eastAsia="en-GB"/>
        </w:rPr>
      </w:pPr>
      <w:r w:rsidRPr="005C6CF2">
        <w:rPr>
          <w:lang w:eastAsia="en-GB"/>
        </w:rPr>
        <w:t>The Capital Account represents the unamortised value of income used for capital purposes (i.e. acquisitions).</w:t>
      </w:r>
    </w:p>
    <w:p w:rsidR="007761C8" w:rsidRPr="007761C8" w:rsidRDefault="005C6CF2" w:rsidP="005E7672">
      <w:pPr>
        <w:pStyle w:val="Heading4"/>
        <w:rPr>
          <w:lang w:eastAsia="en-GB"/>
        </w:rPr>
      </w:pPr>
      <w:r>
        <w:rPr>
          <w:lang w:eastAsia="en-GB"/>
        </w:rPr>
        <w:t xml:space="preserve">g) </w:t>
      </w:r>
      <w:r w:rsidR="007761C8" w:rsidRPr="007761C8">
        <w:rPr>
          <w:lang w:eastAsia="en-GB"/>
        </w:rPr>
        <w:t>Receivables</w:t>
      </w:r>
    </w:p>
    <w:p w:rsidR="007761C8" w:rsidRPr="007761C8" w:rsidRDefault="007761C8" w:rsidP="005E7672">
      <w:pPr>
        <w:rPr>
          <w:lang w:eastAsia="en-GB"/>
        </w:rPr>
      </w:pPr>
      <w:r w:rsidRPr="007761C8">
        <w:rPr>
          <w:lang w:eastAsia="en-GB"/>
        </w:rPr>
        <w:t>Receivables are recognised at fair value, less a provision for doubtful debts. The provision for doubtful debts is a specific provision, and is established when there is objective evidence that the NDA will not be able to collect all amounts owed to it. All movements in the provision for doubtful debts are recognised in the Statement of Income and Expenditure and Retained Revenue Reserves.</w:t>
      </w:r>
    </w:p>
    <w:p w:rsidR="007761C8" w:rsidRPr="007761C8" w:rsidRDefault="005C6CF2" w:rsidP="004A6896">
      <w:pPr>
        <w:pStyle w:val="Heading4"/>
        <w:rPr>
          <w:lang w:eastAsia="en-GB"/>
        </w:rPr>
      </w:pPr>
      <w:r>
        <w:rPr>
          <w:lang w:eastAsia="en-GB"/>
        </w:rPr>
        <w:t>h</w:t>
      </w:r>
      <w:r w:rsidR="004A6896">
        <w:rPr>
          <w:lang w:eastAsia="en-GB"/>
        </w:rPr>
        <w:t xml:space="preserve">) </w:t>
      </w:r>
      <w:r w:rsidR="007761C8" w:rsidRPr="007761C8">
        <w:rPr>
          <w:lang w:eastAsia="en-GB"/>
        </w:rPr>
        <w:t xml:space="preserve">Employee Benefits </w:t>
      </w:r>
    </w:p>
    <w:p w:rsidR="007761C8" w:rsidRPr="007761C8" w:rsidRDefault="007761C8" w:rsidP="004A6896">
      <w:pPr>
        <w:pStyle w:val="Heading5"/>
        <w:rPr>
          <w:lang w:eastAsia="en-GB"/>
        </w:rPr>
      </w:pPr>
      <w:r w:rsidRPr="007761C8">
        <w:rPr>
          <w:lang w:eastAsia="en-GB"/>
        </w:rPr>
        <w:t>Short-term Benefits</w:t>
      </w:r>
    </w:p>
    <w:p w:rsidR="007761C8" w:rsidRPr="007761C8" w:rsidRDefault="007761C8" w:rsidP="005E7672">
      <w:pPr>
        <w:rPr>
          <w:lang w:eastAsia="en-GB"/>
        </w:rPr>
      </w:pPr>
      <w:r w:rsidRPr="007761C8">
        <w:rPr>
          <w:lang w:eastAsia="en-GB"/>
        </w:rPr>
        <w:t>Short</w:t>
      </w:r>
      <w:r w:rsidR="00986DC2">
        <w:rPr>
          <w:lang w:eastAsia="en-GB"/>
        </w:rPr>
        <w:t>-</w:t>
      </w:r>
      <w:r w:rsidRPr="007761C8">
        <w:rPr>
          <w:lang w:eastAsia="en-GB"/>
        </w:rPr>
        <w:t xml:space="preserve">term benefits such as holiday pay are recognised as an expense in the year, and benefits that are accrued at year-end are included in the Payables figure in the Statement of Financial Position. </w:t>
      </w:r>
    </w:p>
    <w:p w:rsidR="007761C8" w:rsidRPr="007761C8" w:rsidRDefault="007761C8" w:rsidP="004A6896">
      <w:pPr>
        <w:pStyle w:val="Heading5"/>
        <w:rPr>
          <w:lang w:eastAsia="en-GB"/>
        </w:rPr>
      </w:pPr>
      <w:r w:rsidRPr="007761C8">
        <w:rPr>
          <w:lang w:eastAsia="en-GB"/>
        </w:rPr>
        <w:t xml:space="preserve">Retirement Benefits </w:t>
      </w:r>
    </w:p>
    <w:p w:rsidR="007761C8" w:rsidRPr="007761C8" w:rsidRDefault="007761C8" w:rsidP="007761C8">
      <w:pPr>
        <w:rPr>
          <w:b/>
          <w:lang w:eastAsia="en-GB"/>
        </w:rPr>
      </w:pPr>
      <w:r w:rsidRPr="007761C8">
        <w:rPr>
          <w:lang w:eastAsia="en-GB"/>
        </w:rPr>
        <w:t>The NDA operates a defined benefit superannuation scheme for staff. Superannuation entitlements arising under the scheme are paid out of current income and are charged to the Income and Expenditure Account, net of employee superannuation contributions in the year they become payable. Up until the end of 2015 no staff came within the Single Public Services Pension Scheme (“Single Scheme”), which is a defined benefit scheme for pensionable public servants appointed on or after 1 January 2013.</w:t>
      </w:r>
    </w:p>
    <w:p w:rsidR="007761C8" w:rsidRPr="007761C8" w:rsidRDefault="007761C8" w:rsidP="004A6896">
      <w:pPr>
        <w:rPr>
          <w:lang w:eastAsia="en-GB"/>
        </w:rPr>
      </w:pPr>
      <w:r w:rsidRPr="007761C8">
        <w:rPr>
          <w:lang w:eastAsia="en-GB"/>
        </w:rPr>
        <w:t>Pension costs reflect pension benefits earned by employees and former NRB employees where appropriate, and are shown net of staff pension contributions which are remitted to the Department of Justice and Equality. An amount corresponding to the pension charge is recognised as income to the extent that it is recoverable, and offset by grants received in the year to discharge pension payment lump sums.</w:t>
      </w:r>
    </w:p>
    <w:p w:rsidR="007761C8" w:rsidRPr="007761C8" w:rsidRDefault="007761C8" w:rsidP="005E7672">
      <w:pPr>
        <w:rPr>
          <w:lang w:eastAsia="en-GB"/>
        </w:rPr>
      </w:pPr>
      <w:r w:rsidRPr="007761C8">
        <w:rPr>
          <w:lang w:eastAsia="en-GB"/>
        </w:rPr>
        <w:t>Actuarial gains or losses arising on scheme liabilities are reflected in the Statement of Comprehensive Income, and a corresponding adjustment is recognised in the amount recoverable from the Department of Justice and Equality.</w:t>
      </w:r>
    </w:p>
    <w:p w:rsidR="007761C8" w:rsidRPr="007761C8" w:rsidRDefault="007761C8" w:rsidP="005E7672">
      <w:pPr>
        <w:rPr>
          <w:lang w:eastAsia="en-GB"/>
        </w:rPr>
      </w:pPr>
      <w:r w:rsidRPr="007761C8">
        <w:rPr>
          <w:lang w:eastAsia="en-GB"/>
        </w:rPr>
        <w:t xml:space="preserve">The financial </w:t>
      </w:r>
      <w:r w:rsidR="002E230E" w:rsidRPr="007761C8">
        <w:rPr>
          <w:lang w:eastAsia="en-GB"/>
        </w:rPr>
        <w:t>statements reflect, at fair value, the assets and liabilities arising from the NDA’s pension obligations and any related funding, and recognise</w:t>
      </w:r>
      <w:r w:rsidRPr="007761C8">
        <w:rPr>
          <w:lang w:eastAsia="en-GB"/>
        </w:rPr>
        <w:t xml:space="preserve"> the costs of providing pension benefits in the accounting periods in which they are earned by employees. Retirement benefit scheme liabilities are measured on an actuarial basis using th</w:t>
      </w:r>
      <w:r w:rsidR="004A6896">
        <w:rPr>
          <w:lang w:eastAsia="en-GB"/>
        </w:rPr>
        <w:t>e projected unit credit method.</w:t>
      </w:r>
    </w:p>
    <w:p w:rsidR="007761C8" w:rsidRPr="007761C8" w:rsidRDefault="005C6CF2" w:rsidP="004A6896">
      <w:pPr>
        <w:pStyle w:val="Heading4"/>
        <w:rPr>
          <w:lang w:eastAsia="en-GB"/>
        </w:rPr>
      </w:pPr>
      <w:r>
        <w:rPr>
          <w:lang w:eastAsia="en-GB"/>
        </w:rPr>
        <w:t>i</w:t>
      </w:r>
      <w:r w:rsidR="004A6896">
        <w:rPr>
          <w:lang w:eastAsia="en-GB"/>
        </w:rPr>
        <w:t xml:space="preserve">) </w:t>
      </w:r>
      <w:r w:rsidR="007761C8" w:rsidRPr="007761C8">
        <w:rPr>
          <w:lang w:eastAsia="en-GB"/>
        </w:rPr>
        <w:t>Critical Accounting Judgements and Estimates</w:t>
      </w:r>
    </w:p>
    <w:p w:rsidR="007761C8" w:rsidRPr="007761C8" w:rsidRDefault="007761C8" w:rsidP="004A6896">
      <w:pPr>
        <w:rPr>
          <w:lang w:eastAsia="en-GB"/>
        </w:rPr>
      </w:pPr>
      <w:r w:rsidRPr="007761C8">
        <w:rPr>
          <w:lang w:eastAsia="en-GB"/>
        </w:rPr>
        <w:t>The preparation of the financial statements requires management to make judgements, estimates and assumptions that affect the amounts reported for assets and liabilities as at the balance sheet date and the amounts reported for revenues and expenses during the year. However, the nature of estimation means that actual outcomes could differ from those estimates. The following judgements have had the most significant effect on amounts recognised in the financial statements.</w:t>
      </w:r>
    </w:p>
    <w:p w:rsidR="007761C8" w:rsidRPr="007761C8" w:rsidRDefault="007761C8" w:rsidP="004A6896">
      <w:pPr>
        <w:pStyle w:val="Heading5"/>
        <w:rPr>
          <w:lang w:eastAsia="en-GB"/>
        </w:rPr>
      </w:pPr>
      <w:r w:rsidRPr="007761C8">
        <w:rPr>
          <w:lang w:eastAsia="en-GB"/>
        </w:rPr>
        <w:t>Depreciation and Residual Values</w:t>
      </w:r>
    </w:p>
    <w:p w:rsidR="007761C8" w:rsidRPr="007761C8" w:rsidRDefault="007761C8" w:rsidP="005E7672">
      <w:pPr>
        <w:rPr>
          <w:lang w:eastAsia="en-GB"/>
        </w:rPr>
      </w:pPr>
      <w:r w:rsidRPr="007761C8">
        <w:rPr>
          <w:lang w:eastAsia="en-GB"/>
        </w:rPr>
        <w:t>The Directors have reviewed the asset lives and associated residual values of all fixed asset classes, and in particular, the useful economic life and residual values of fixtures and fittings, and have concluded that asset lives and residual values are appropriate.</w:t>
      </w:r>
    </w:p>
    <w:p w:rsidR="007761C8" w:rsidRPr="007761C8" w:rsidRDefault="007761C8" w:rsidP="004A6896">
      <w:pPr>
        <w:pStyle w:val="Heading5"/>
        <w:rPr>
          <w:lang w:eastAsia="en-GB"/>
        </w:rPr>
      </w:pPr>
      <w:r w:rsidRPr="007761C8">
        <w:rPr>
          <w:lang w:eastAsia="en-GB"/>
        </w:rPr>
        <w:t xml:space="preserve">Capital Accounting Policy </w:t>
      </w:r>
    </w:p>
    <w:p w:rsidR="007761C8" w:rsidRPr="007761C8" w:rsidRDefault="007761C8" w:rsidP="005E7672">
      <w:pPr>
        <w:rPr>
          <w:lang w:eastAsia="en-GB"/>
        </w:rPr>
      </w:pPr>
      <w:r w:rsidRPr="007761C8">
        <w:rPr>
          <w:lang w:eastAsia="en-GB"/>
        </w:rPr>
        <w:t>The Capital Account represents the unamortised value of income used for capital purposes (i.e. acquisitions).</w:t>
      </w:r>
    </w:p>
    <w:p w:rsidR="007761C8" w:rsidRPr="007761C8" w:rsidRDefault="007761C8" w:rsidP="004A6896">
      <w:pPr>
        <w:pStyle w:val="Heading5"/>
        <w:rPr>
          <w:lang w:eastAsia="en-GB"/>
        </w:rPr>
      </w:pPr>
      <w:r w:rsidRPr="007761C8">
        <w:rPr>
          <w:lang w:eastAsia="en-GB"/>
        </w:rPr>
        <w:t>Retirement Benefit Obligation</w:t>
      </w:r>
    </w:p>
    <w:p w:rsidR="007761C8" w:rsidRPr="007761C8" w:rsidRDefault="007761C8" w:rsidP="004A6896">
      <w:pPr>
        <w:rPr>
          <w:lang w:eastAsia="en-GB"/>
        </w:rPr>
      </w:pPr>
      <w:r w:rsidRPr="007761C8">
        <w:rPr>
          <w:lang w:eastAsia="en-GB"/>
        </w:rPr>
        <w:t>The assumptions underlying the actuarial valuations for which the amounts recognised in the financial statements are determined (including discount rates, rates of increase in future compensation levels, mortality rates and healthcare cost trend rates) are updated annually based on current economic conditions, and for any relevant changes to the terms and conditions of the pension and post-retirement plans.</w:t>
      </w:r>
    </w:p>
    <w:p w:rsidR="007761C8" w:rsidRPr="007761C8" w:rsidRDefault="007761C8" w:rsidP="005E7672">
      <w:pPr>
        <w:pStyle w:val="NormalBeforeList"/>
        <w:rPr>
          <w:lang w:eastAsia="en-GB"/>
        </w:rPr>
      </w:pPr>
      <w:r w:rsidRPr="007761C8">
        <w:rPr>
          <w:lang w:eastAsia="en-GB"/>
        </w:rPr>
        <w:t>The assumptions can be affected by:</w:t>
      </w:r>
    </w:p>
    <w:p w:rsidR="0006588E" w:rsidRDefault="007761C8">
      <w:pPr>
        <w:pStyle w:val="ListParagraph"/>
        <w:numPr>
          <w:ilvl w:val="0"/>
          <w:numId w:val="3"/>
        </w:numPr>
        <w:rPr>
          <w:rFonts w:ascii="Gill Sans" w:hAnsi="Gill Sans"/>
          <w:sz w:val="26"/>
          <w:szCs w:val="26"/>
          <w:lang w:eastAsia="en-GB"/>
        </w:rPr>
      </w:pPr>
      <w:r w:rsidRPr="005E7672">
        <w:rPr>
          <w:rFonts w:ascii="Gill Sans" w:hAnsi="Gill Sans"/>
          <w:sz w:val="26"/>
          <w:szCs w:val="26"/>
          <w:lang w:eastAsia="en-GB"/>
        </w:rPr>
        <w:t>the discount rate, changes in the rate of return on high-quality corporate bonds</w:t>
      </w:r>
      <w:r w:rsidR="00840B4F">
        <w:rPr>
          <w:rFonts w:ascii="Gill Sans" w:hAnsi="Gill Sans"/>
          <w:sz w:val="26"/>
          <w:szCs w:val="26"/>
          <w:lang w:eastAsia="en-GB"/>
        </w:rPr>
        <w:t>;</w:t>
      </w:r>
    </w:p>
    <w:p w:rsidR="0006588E" w:rsidRDefault="007761C8">
      <w:pPr>
        <w:pStyle w:val="ListParagraph"/>
        <w:numPr>
          <w:ilvl w:val="0"/>
          <w:numId w:val="3"/>
        </w:numPr>
        <w:rPr>
          <w:rFonts w:ascii="Gill Sans" w:hAnsi="Gill Sans"/>
          <w:sz w:val="26"/>
          <w:szCs w:val="26"/>
          <w:lang w:eastAsia="en-GB"/>
        </w:rPr>
      </w:pPr>
      <w:r w:rsidRPr="005E7672">
        <w:rPr>
          <w:rFonts w:ascii="Gill Sans" w:hAnsi="Gill Sans"/>
          <w:sz w:val="26"/>
          <w:szCs w:val="26"/>
          <w:lang w:eastAsia="en-GB"/>
        </w:rPr>
        <w:t>future compensation levels, future labour market conditions</w:t>
      </w:r>
      <w:r w:rsidR="00840B4F">
        <w:rPr>
          <w:rFonts w:ascii="Gill Sans" w:hAnsi="Gill Sans"/>
          <w:sz w:val="26"/>
          <w:szCs w:val="26"/>
          <w:lang w:eastAsia="en-GB"/>
        </w:rPr>
        <w:t>;</w:t>
      </w:r>
    </w:p>
    <w:p w:rsidR="0006588E" w:rsidRDefault="007761C8">
      <w:pPr>
        <w:pStyle w:val="ListParagraph"/>
        <w:numPr>
          <w:ilvl w:val="0"/>
          <w:numId w:val="3"/>
        </w:numPr>
        <w:rPr>
          <w:rFonts w:ascii="Gill Sans" w:hAnsi="Gill Sans"/>
          <w:sz w:val="26"/>
          <w:szCs w:val="26"/>
          <w:lang w:eastAsia="en-GB"/>
        </w:rPr>
      </w:pPr>
      <w:r w:rsidRPr="005E7672">
        <w:rPr>
          <w:rFonts w:ascii="Gill Sans" w:hAnsi="Gill Sans"/>
          <w:sz w:val="26"/>
          <w:szCs w:val="26"/>
          <w:lang w:eastAsia="en-GB"/>
        </w:rPr>
        <w:t>health care cost trend rates, the rate of medical cost inflation in the relevant regions</w:t>
      </w:r>
      <w:r w:rsidR="001C14DA">
        <w:rPr>
          <w:rFonts w:ascii="Gill Sans" w:hAnsi="Gill Sans"/>
          <w:sz w:val="26"/>
          <w:szCs w:val="26"/>
          <w:lang w:eastAsia="en-GB"/>
        </w:rPr>
        <w:t>.</w:t>
      </w:r>
    </w:p>
    <w:p w:rsidR="00FB5EA5" w:rsidRPr="0059165F" w:rsidRDefault="00FB5EA5">
      <w:pPr>
        <w:spacing w:after="0"/>
      </w:pPr>
      <w:r>
        <w:rPr>
          <w:lang w:eastAsia="en-GB"/>
        </w:rPr>
        <w:br w:type="page"/>
      </w:r>
    </w:p>
    <w:p w:rsidR="007761C8" w:rsidRPr="005E7672" w:rsidRDefault="004A6896" w:rsidP="004A6896">
      <w:pPr>
        <w:pStyle w:val="Heading3"/>
        <w:rPr>
          <w:lang w:eastAsia="en-GB"/>
        </w:rPr>
      </w:pPr>
      <w:r>
        <w:rPr>
          <w:lang w:eastAsia="en-GB"/>
        </w:rPr>
        <w:t xml:space="preserve">2. </w:t>
      </w:r>
      <w:r w:rsidR="007761C8" w:rsidRPr="005E7672">
        <w:rPr>
          <w:lang w:eastAsia="en-GB"/>
        </w:rPr>
        <w:t>Oireachtas Grants</w:t>
      </w:r>
    </w:p>
    <w:p w:rsidR="007761C8" w:rsidRPr="005E7672" w:rsidRDefault="007761C8" w:rsidP="005E7672">
      <w:pPr>
        <w:pStyle w:val="NormalBeforeList"/>
        <w:rPr>
          <w:lang w:eastAsia="en-GB"/>
        </w:rPr>
      </w:pPr>
      <w:r w:rsidRPr="005E7672">
        <w:rPr>
          <w:lang w:eastAsia="en-GB"/>
        </w:rPr>
        <w:t>The Oireachtas Grants voted to the National Disability Authority from Department of Justice and Equality as shown in the financial statements consists of:</w:t>
      </w:r>
    </w:p>
    <w:tbl>
      <w:tblPr>
        <w:tblStyle w:val="LightShading1"/>
        <w:tblW w:w="0" w:type="auto"/>
        <w:tblLook w:val="04A0" w:firstRow="1" w:lastRow="0" w:firstColumn="1" w:lastColumn="0" w:noHBand="0" w:noVBand="1"/>
      </w:tblPr>
      <w:tblGrid>
        <w:gridCol w:w="4220"/>
        <w:gridCol w:w="1209"/>
        <w:gridCol w:w="1362"/>
        <w:gridCol w:w="1362"/>
      </w:tblGrid>
      <w:tr w:rsidR="007761C8" w:rsidRPr="005E7672" w:rsidTr="00AD615F">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812" w:type="dxa"/>
          </w:tcPr>
          <w:p w:rsidR="007761C8" w:rsidRPr="005E7672" w:rsidRDefault="007761C8" w:rsidP="00B40603">
            <w:pPr>
              <w:rPr>
                <w:lang w:eastAsia="en-GB"/>
              </w:rPr>
            </w:pPr>
          </w:p>
        </w:tc>
        <w:tc>
          <w:tcPr>
            <w:tcW w:w="1276" w:type="dxa"/>
          </w:tcPr>
          <w:p w:rsidR="007761C8" w:rsidRPr="005E7672" w:rsidRDefault="007761C8" w:rsidP="00B40603">
            <w:pPr>
              <w:cnfStyle w:val="100000000000" w:firstRow="1" w:lastRow="0" w:firstColumn="0" w:lastColumn="0" w:oddVBand="0" w:evenVBand="0" w:oddHBand="0" w:evenHBand="0" w:firstRowFirstColumn="0" w:firstRowLastColumn="0" w:lastRowFirstColumn="0" w:lastRowLastColumn="0"/>
              <w:rPr>
                <w:lang w:eastAsia="en-GB"/>
              </w:rPr>
            </w:pPr>
            <w:r w:rsidRPr="005E7672">
              <w:rPr>
                <w:lang w:eastAsia="en-GB"/>
              </w:rPr>
              <w:t>Note</w:t>
            </w:r>
          </w:p>
        </w:tc>
        <w:tc>
          <w:tcPr>
            <w:tcW w:w="1276" w:type="dxa"/>
          </w:tcPr>
          <w:p w:rsidR="007761C8" w:rsidRPr="005E7672" w:rsidRDefault="007761C8" w:rsidP="00AD615F">
            <w:pPr>
              <w:jc w:val="right"/>
              <w:cnfStyle w:val="100000000000" w:firstRow="1" w:lastRow="0" w:firstColumn="0" w:lastColumn="0" w:oddVBand="0" w:evenVBand="0" w:oddHBand="0" w:evenHBand="0" w:firstRowFirstColumn="0" w:firstRowLastColumn="0" w:lastRowFirstColumn="0" w:lastRowLastColumn="0"/>
              <w:rPr>
                <w:lang w:eastAsia="en-GB"/>
              </w:rPr>
            </w:pPr>
            <w:r w:rsidRPr="005E7672">
              <w:rPr>
                <w:lang w:eastAsia="en-GB"/>
              </w:rPr>
              <w:t>2015</w:t>
            </w:r>
            <w:r w:rsidR="00AD615F">
              <w:rPr>
                <w:lang w:eastAsia="en-GB"/>
              </w:rPr>
              <w:br/>
            </w:r>
            <w:r w:rsidRPr="005E7672">
              <w:rPr>
                <w:lang w:eastAsia="en-GB"/>
              </w:rPr>
              <w:t>€</w:t>
            </w:r>
          </w:p>
        </w:tc>
        <w:tc>
          <w:tcPr>
            <w:tcW w:w="1276" w:type="dxa"/>
          </w:tcPr>
          <w:p w:rsidR="007761C8" w:rsidRPr="005E7672" w:rsidRDefault="007761C8" w:rsidP="00AD615F">
            <w:pPr>
              <w:jc w:val="right"/>
              <w:cnfStyle w:val="100000000000" w:firstRow="1" w:lastRow="0" w:firstColumn="0" w:lastColumn="0" w:oddVBand="0" w:evenVBand="0" w:oddHBand="0" w:evenHBand="0" w:firstRowFirstColumn="0" w:firstRowLastColumn="0" w:lastRowFirstColumn="0" w:lastRowLastColumn="0"/>
              <w:rPr>
                <w:lang w:eastAsia="en-GB"/>
              </w:rPr>
            </w:pPr>
            <w:r w:rsidRPr="005E7672">
              <w:rPr>
                <w:lang w:eastAsia="en-GB"/>
              </w:rPr>
              <w:t>2014</w:t>
            </w:r>
            <w:r w:rsidR="00AD615F">
              <w:rPr>
                <w:lang w:eastAsia="en-GB"/>
              </w:rPr>
              <w:br/>
            </w:r>
            <w:r w:rsidRPr="005E7672">
              <w:rPr>
                <w:lang w:eastAsia="en-GB"/>
              </w:rPr>
              <w:t>€</w:t>
            </w:r>
          </w:p>
        </w:tc>
      </w:tr>
      <w:tr w:rsidR="007761C8" w:rsidRPr="005E7672" w:rsidTr="008A3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rsidR="007761C8" w:rsidRPr="005E7672" w:rsidRDefault="007761C8" w:rsidP="00B40603">
            <w:pPr>
              <w:rPr>
                <w:lang w:eastAsia="en-GB"/>
              </w:rPr>
            </w:pPr>
            <w:r w:rsidRPr="005E7672">
              <w:rPr>
                <w:lang w:eastAsia="en-GB"/>
              </w:rPr>
              <w:t>Grants for current expenditure</w:t>
            </w:r>
          </w:p>
        </w:tc>
        <w:tc>
          <w:tcPr>
            <w:tcW w:w="1276" w:type="dxa"/>
          </w:tcPr>
          <w:p w:rsidR="007761C8" w:rsidRPr="005E7672" w:rsidRDefault="007761C8" w:rsidP="00CD11F4">
            <w:pPr>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Vote 24 Subhead</w:t>
            </w:r>
            <w:r w:rsidR="001549BC">
              <w:rPr>
                <w:lang w:eastAsia="en-GB"/>
              </w:rPr>
              <w:t xml:space="preserve"> D10</w:t>
            </w:r>
          </w:p>
        </w:tc>
        <w:tc>
          <w:tcPr>
            <w:tcW w:w="1276" w:type="dxa"/>
            <w:tcBorders>
              <w:bottom w:val="single" w:sz="8" w:space="0" w:color="000000" w:themeColor="text1"/>
            </w:tcBorders>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3,798,647</w:t>
            </w:r>
          </w:p>
        </w:tc>
        <w:tc>
          <w:tcPr>
            <w:tcW w:w="1276" w:type="dxa"/>
            <w:tcBorders>
              <w:bottom w:val="single" w:sz="8" w:space="0" w:color="000000" w:themeColor="text1"/>
            </w:tcBorders>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3,240,600</w:t>
            </w:r>
          </w:p>
        </w:tc>
      </w:tr>
      <w:tr w:rsidR="007761C8" w:rsidRPr="005E7672" w:rsidTr="008A32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rsidR="007761C8" w:rsidRPr="005E7672" w:rsidRDefault="007761C8" w:rsidP="00B40603">
            <w:pPr>
              <w:rPr>
                <w:lang w:eastAsia="en-GB"/>
              </w:rPr>
            </w:pPr>
          </w:p>
        </w:tc>
        <w:tc>
          <w:tcPr>
            <w:tcW w:w="1276" w:type="dxa"/>
          </w:tcPr>
          <w:p w:rsidR="007761C8" w:rsidRPr="005E7672" w:rsidRDefault="007761C8" w:rsidP="00B40603">
            <w:pPr>
              <w:cnfStyle w:val="000000010000" w:firstRow="0" w:lastRow="0" w:firstColumn="0" w:lastColumn="0" w:oddVBand="0" w:evenVBand="0" w:oddHBand="0" w:evenHBand="1" w:firstRowFirstColumn="0" w:firstRowLastColumn="0" w:lastRowFirstColumn="0" w:lastRowLastColumn="0"/>
              <w:rPr>
                <w:lang w:eastAsia="en-GB"/>
              </w:rPr>
            </w:pPr>
          </w:p>
        </w:tc>
        <w:tc>
          <w:tcPr>
            <w:tcW w:w="1276" w:type="dxa"/>
            <w:tcBorders>
              <w:top w:val="single" w:sz="8" w:space="0" w:color="000000" w:themeColor="text1"/>
              <w:bottom w:val="single" w:sz="8" w:space="0" w:color="000000" w:themeColor="text1"/>
            </w:tcBorders>
          </w:tcPr>
          <w:p w:rsidR="007761C8" w:rsidRPr="008A3296" w:rsidRDefault="007761C8" w:rsidP="00B40603">
            <w:pPr>
              <w:jc w:val="right"/>
              <w:cnfStyle w:val="000000010000" w:firstRow="0" w:lastRow="0" w:firstColumn="0" w:lastColumn="0" w:oddVBand="0" w:evenVBand="0" w:oddHBand="0" w:evenHBand="1" w:firstRowFirstColumn="0" w:firstRowLastColumn="0" w:lastRowFirstColumn="0" w:lastRowLastColumn="0"/>
              <w:rPr>
                <w:b/>
                <w:lang w:eastAsia="en-GB"/>
              </w:rPr>
            </w:pPr>
            <w:r w:rsidRPr="008A3296">
              <w:rPr>
                <w:b/>
                <w:lang w:eastAsia="en-GB"/>
              </w:rPr>
              <w:t>3,798,647</w:t>
            </w:r>
          </w:p>
        </w:tc>
        <w:tc>
          <w:tcPr>
            <w:tcW w:w="1276" w:type="dxa"/>
            <w:tcBorders>
              <w:top w:val="single" w:sz="8" w:space="0" w:color="000000" w:themeColor="text1"/>
              <w:bottom w:val="single" w:sz="8" w:space="0" w:color="000000" w:themeColor="text1"/>
            </w:tcBorders>
          </w:tcPr>
          <w:p w:rsidR="007761C8" w:rsidRPr="008A3296" w:rsidRDefault="007761C8" w:rsidP="00B40603">
            <w:pPr>
              <w:jc w:val="right"/>
              <w:cnfStyle w:val="000000010000" w:firstRow="0" w:lastRow="0" w:firstColumn="0" w:lastColumn="0" w:oddVBand="0" w:evenVBand="0" w:oddHBand="0" w:evenHBand="1" w:firstRowFirstColumn="0" w:firstRowLastColumn="0" w:lastRowFirstColumn="0" w:lastRowLastColumn="0"/>
              <w:rPr>
                <w:b/>
                <w:lang w:eastAsia="en-GB"/>
              </w:rPr>
            </w:pPr>
            <w:r w:rsidRPr="008A3296">
              <w:rPr>
                <w:b/>
                <w:lang w:eastAsia="en-GB"/>
              </w:rPr>
              <w:t>3,240,600</w:t>
            </w:r>
          </w:p>
        </w:tc>
      </w:tr>
    </w:tbl>
    <w:p w:rsidR="007761C8" w:rsidRPr="005E7672" w:rsidRDefault="007761C8" w:rsidP="007761C8">
      <w:pPr>
        <w:rPr>
          <w:lang w:eastAsia="en-GB"/>
        </w:rPr>
      </w:pPr>
    </w:p>
    <w:p w:rsidR="007761C8" w:rsidRPr="005E7672" w:rsidRDefault="004A6896" w:rsidP="004A6896">
      <w:pPr>
        <w:pStyle w:val="Heading3"/>
        <w:rPr>
          <w:lang w:eastAsia="en-GB"/>
        </w:rPr>
      </w:pPr>
      <w:r>
        <w:rPr>
          <w:lang w:eastAsia="en-GB"/>
        </w:rPr>
        <w:t xml:space="preserve">3. </w:t>
      </w:r>
      <w:r w:rsidR="007761C8" w:rsidRPr="005E7672">
        <w:rPr>
          <w:lang w:eastAsia="en-GB"/>
        </w:rPr>
        <w:t>Other Revenue</w:t>
      </w:r>
    </w:p>
    <w:tbl>
      <w:tblPr>
        <w:tblStyle w:val="LightShading1"/>
        <w:tblW w:w="0" w:type="auto"/>
        <w:tblLook w:val="04A0" w:firstRow="1" w:lastRow="0" w:firstColumn="1" w:lastColumn="0" w:noHBand="0" w:noVBand="1"/>
      </w:tblPr>
      <w:tblGrid>
        <w:gridCol w:w="4700"/>
        <w:gridCol w:w="1029"/>
        <w:gridCol w:w="1212"/>
        <w:gridCol w:w="1212"/>
      </w:tblGrid>
      <w:tr w:rsidR="007761C8" w:rsidRPr="005E7672" w:rsidTr="003E7B99">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812" w:type="dxa"/>
          </w:tcPr>
          <w:p w:rsidR="007761C8" w:rsidRPr="005E7672" w:rsidRDefault="007761C8" w:rsidP="00B40603">
            <w:pPr>
              <w:rPr>
                <w:lang w:eastAsia="en-GB"/>
              </w:rPr>
            </w:pPr>
          </w:p>
        </w:tc>
        <w:tc>
          <w:tcPr>
            <w:tcW w:w="1276" w:type="dxa"/>
          </w:tcPr>
          <w:p w:rsidR="007761C8" w:rsidRPr="005E7672" w:rsidRDefault="007761C8" w:rsidP="00B40603">
            <w:pPr>
              <w:cnfStyle w:val="100000000000" w:firstRow="1" w:lastRow="0" w:firstColumn="0" w:lastColumn="0" w:oddVBand="0" w:evenVBand="0" w:oddHBand="0" w:evenHBand="0" w:firstRowFirstColumn="0" w:firstRowLastColumn="0" w:lastRowFirstColumn="0" w:lastRowLastColumn="0"/>
              <w:rPr>
                <w:lang w:eastAsia="en-GB"/>
              </w:rPr>
            </w:pPr>
          </w:p>
        </w:tc>
        <w:tc>
          <w:tcPr>
            <w:tcW w:w="1276" w:type="dxa"/>
          </w:tcPr>
          <w:p w:rsidR="007761C8" w:rsidRPr="005E7672" w:rsidRDefault="007761C8" w:rsidP="00B40603">
            <w:pPr>
              <w:jc w:val="right"/>
              <w:cnfStyle w:val="100000000000" w:firstRow="1" w:lastRow="0" w:firstColumn="0" w:lastColumn="0" w:oddVBand="0" w:evenVBand="0" w:oddHBand="0" w:evenHBand="0" w:firstRowFirstColumn="0" w:firstRowLastColumn="0" w:lastRowFirstColumn="0" w:lastRowLastColumn="0"/>
              <w:rPr>
                <w:lang w:eastAsia="en-GB"/>
              </w:rPr>
            </w:pPr>
            <w:r w:rsidRPr="005E7672">
              <w:rPr>
                <w:lang w:eastAsia="en-GB"/>
              </w:rPr>
              <w:t>2015</w:t>
            </w:r>
            <w:r w:rsidR="00B40603">
              <w:rPr>
                <w:lang w:eastAsia="en-GB"/>
              </w:rPr>
              <w:br/>
            </w:r>
            <w:r w:rsidRPr="005E7672">
              <w:rPr>
                <w:lang w:eastAsia="en-GB"/>
              </w:rPr>
              <w:t>€</w:t>
            </w:r>
          </w:p>
        </w:tc>
        <w:tc>
          <w:tcPr>
            <w:tcW w:w="1276" w:type="dxa"/>
          </w:tcPr>
          <w:p w:rsidR="007761C8" w:rsidRPr="005E7672" w:rsidRDefault="007761C8" w:rsidP="00B40603">
            <w:pPr>
              <w:jc w:val="right"/>
              <w:cnfStyle w:val="100000000000" w:firstRow="1" w:lastRow="0" w:firstColumn="0" w:lastColumn="0" w:oddVBand="0" w:evenVBand="0" w:oddHBand="0" w:evenHBand="0" w:firstRowFirstColumn="0" w:firstRowLastColumn="0" w:lastRowFirstColumn="0" w:lastRowLastColumn="0"/>
              <w:rPr>
                <w:lang w:eastAsia="en-GB"/>
              </w:rPr>
            </w:pPr>
            <w:r w:rsidRPr="005E7672">
              <w:rPr>
                <w:lang w:eastAsia="en-GB"/>
              </w:rPr>
              <w:t>2014</w:t>
            </w:r>
            <w:r w:rsidR="00B40603">
              <w:rPr>
                <w:lang w:eastAsia="en-GB"/>
              </w:rPr>
              <w:br/>
            </w:r>
            <w:r w:rsidRPr="005E7672">
              <w:rPr>
                <w:lang w:eastAsia="en-GB"/>
              </w:rPr>
              <w:t>€</w:t>
            </w:r>
          </w:p>
        </w:tc>
      </w:tr>
      <w:tr w:rsidR="007761C8" w:rsidRPr="005E7672" w:rsidTr="003E7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rsidR="007761C8" w:rsidRPr="005E7672" w:rsidRDefault="007761C8" w:rsidP="00B40603">
            <w:pPr>
              <w:rPr>
                <w:lang w:eastAsia="en-GB"/>
              </w:rPr>
            </w:pPr>
            <w:r w:rsidRPr="005E7672">
              <w:rPr>
                <w:lang w:eastAsia="en-GB"/>
              </w:rPr>
              <w:t xml:space="preserve">Social Welfare </w:t>
            </w:r>
          </w:p>
        </w:tc>
        <w:tc>
          <w:tcPr>
            <w:tcW w:w="1276" w:type="dxa"/>
          </w:tcPr>
          <w:p w:rsidR="007761C8" w:rsidRPr="005E7672" w:rsidRDefault="007761C8" w:rsidP="00B40603">
            <w:pPr>
              <w:cnfStyle w:val="000000100000" w:firstRow="0" w:lastRow="0" w:firstColumn="0" w:lastColumn="0" w:oddVBand="0" w:evenVBand="0" w:oddHBand="1" w:evenHBand="0" w:firstRowFirstColumn="0" w:firstRowLastColumn="0" w:lastRowFirstColumn="0" w:lastRowLastColumn="0"/>
              <w:rPr>
                <w:lang w:eastAsia="en-GB"/>
              </w:rPr>
            </w:pPr>
          </w:p>
        </w:tc>
        <w:tc>
          <w:tcPr>
            <w:tcW w:w="1276" w:type="dxa"/>
          </w:tcPr>
          <w:p w:rsidR="007761C8" w:rsidRPr="005E7672" w:rsidRDefault="007761C8" w:rsidP="00B40603">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2,631</w:t>
            </w:r>
          </w:p>
        </w:tc>
        <w:tc>
          <w:tcPr>
            <w:tcW w:w="1276" w:type="dxa"/>
          </w:tcPr>
          <w:p w:rsidR="007761C8" w:rsidRPr="005E7672" w:rsidRDefault="007761C8" w:rsidP="00B40603">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7,082</w:t>
            </w:r>
          </w:p>
        </w:tc>
      </w:tr>
      <w:tr w:rsidR="007761C8" w:rsidRPr="005E7672" w:rsidTr="003E7B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rsidR="007761C8" w:rsidRPr="005E7672" w:rsidRDefault="007761C8" w:rsidP="00B40603">
            <w:pPr>
              <w:rPr>
                <w:lang w:eastAsia="en-GB"/>
              </w:rPr>
            </w:pPr>
            <w:r w:rsidRPr="005E7672">
              <w:rPr>
                <w:lang w:eastAsia="en-GB"/>
              </w:rPr>
              <w:t>EU Project Funding</w:t>
            </w:r>
          </w:p>
        </w:tc>
        <w:tc>
          <w:tcPr>
            <w:tcW w:w="1276" w:type="dxa"/>
          </w:tcPr>
          <w:p w:rsidR="007761C8" w:rsidRPr="005E7672" w:rsidRDefault="007761C8" w:rsidP="00B40603">
            <w:pPr>
              <w:cnfStyle w:val="000000010000" w:firstRow="0" w:lastRow="0" w:firstColumn="0" w:lastColumn="0" w:oddVBand="0" w:evenVBand="0" w:oddHBand="0" w:evenHBand="1" w:firstRowFirstColumn="0" w:firstRowLastColumn="0" w:lastRowFirstColumn="0" w:lastRowLastColumn="0"/>
              <w:rPr>
                <w:lang w:eastAsia="en-GB"/>
              </w:rPr>
            </w:pPr>
          </w:p>
        </w:tc>
        <w:tc>
          <w:tcPr>
            <w:tcW w:w="1276" w:type="dxa"/>
          </w:tcPr>
          <w:p w:rsidR="007761C8" w:rsidRPr="005E7672" w:rsidRDefault="007761C8" w:rsidP="00B40603">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w:t>
            </w:r>
          </w:p>
        </w:tc>
        <w:tc>
          <w:tcPr>
            <w:tcW w:w="1276" w:type="dxa"/>
          </w:tcPr>
          <w:p w:rsidR="007761C8" w:rsidRPr="005E7672" w:rsidRDefault="007761C8" w:rsidP="00B40603">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15,275</w:t>
            </w:r>
          </w:p>
        </w:tc>
      </w:tr>
      <w:tr w:rsidR="007761C8" w:rsidRPr="005E7672" w:rsidTr="008A3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rsidR="007761C8" w:rsidRPr="005E7672" w:rsidRDefault="007761C8" w:rsidP="00B40603">
            <w:pPr>
              <w:rPr>
                <w:lang w:eastAsia="en-GB"/>
              </w:rPr>
            </w:pPr>
            <w:r w:rsidRPr="005E7672">
              <w:rPr>
                <w:lang w:eastAsia="en-GB"/>
              </w:rPr>
              <w:t xml:space="preserve">Rental Income </w:t>
            </w:r>
          </w:p>
        </w:tc>
        <w:tc>
          <w:tcPr>
            <w:tcW w:w="1276" w:type="dxa"/>
          </w:tcPr>
          <w:p w:rsidR="007761C8" w:rsidRPr="005E7672" w:rsidRDefault="007761C8" w:rsidP="00B40603">
            <w:pPr>
              <w:cnfStyle w:val="000000100000" w:firstRow="0" w:lastRow="0" w:firstColumn="0" w:lastColumn="0" w:oddVBand="0" w:evenVBand="0" w:oddHBand="1" w:evenHBand="0" w:firstRowFirstColumn="0" w:firstRowLastColumn="0" w:lastRowFirstColumn="0" w:lastRowLastColumn="0"/>
              <w:rPr>
                <w:lang w:eastAsia="en-GB"/>
              </w:rPr>
            </w:pPr>
          </w:p>
        </w:tc>
        <w:tc>
          <w:tcPr>
            <w:tcW w:w="1276" w:type="dxa"/>
            <w:tcBorders>
              <w:bottom w:val="single" w:sz="8" w:space="0" w:color="000000" w:themeColor="text1"/>
            </w:tcBorders>
          </w:tcPr>
          <w:p w:rsidR="007761C8" w:rsidRPr="005E7672" w:rsidRDefault="007761C8" w:rsidP="00B40603">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29,322</w:t>
            </w:r>
          </w:p>
        </w:tc>
        <w:tc>
          <w:tcPr>
            <w:tcW w:w="1276" w:type="dxa"/>
            <w:tcBorders>
              <w:bottom w:val="single" w:sz="8" w:space="0" w:color="000000" w:themeColor="text1"/>
            </w:tcBorders>
          </w:tcPr>
          <w:p w:rsidR="007761C8" w:rsidRPr="005E7672" w:rsidRDefault="007761C8" w:rsidP="00B40603">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w:t>
            </w:r>
          </w:p>
        </w:tc>
      </w:tr>
      <w:tr w:rsidR="007761C8" w:rsidRPr="005E7672" w:rsidTr="008A32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rsidR="007761C8" w:rsidRPr="005E7672" w:rsidRDefault="007761C8" w:rsidP="00B40603">
            <w:pPr>
              <w:rPr>
                <w:lang w:eastAsia="en-GB"/>
              </w:rPr>
            </w:pPr>
          </w:p>
        </w:tc>
        <w:tc>
          <w:tcPr>
            <w:tcW w:w="1276" w:type="dxa"/>
          </w:tcPr>
          <w:p w:rsidR="007761C8" w:rsidRPr="005E7672" w:rsidRDefault="007761C8" w:rsidP="00B40603">
            <w:pPr>
              <w:cnfStyle w:val="000000010000" w:firstRow="0" w:lastRow="0" w:firstColumn="0" w:lastColumn="0" w:oddVBand="0" w:evenVBand="0" w:oddHBand="0" w:evenHBand="1" w:firstRowFirstColumn="0" w:firstRowLastColumn="0" w:lastRowFirstColumn="0" w:lastRowLastColumn="0"/>
              <w:rPr>
                <w:lang w:eastAsia="en-GB"/>
              </w:rPr>
            </w:pPr>
          </w:p>
        </w:tc>
        <w:tc>
          <w:tcPr>
            <w:tcW w:w="1276" w:type="dxa"/>
            <w:tcBorders>
              <w:top w:val="single" w:sz="8" w:space="0" w:color="000000" w:themeColor="text1"/>
              <w:bottom w:val="double" w:sz="4" w:space="0" w:color="auto"/>
            </w:tcBorders>
          </w:tcPr>
          <w:p w:rsidR="007761C8" w:rsidRPr="008A3296" w:rsidRDefault="007761C8" w:rsidP="00B40603">
            <w:pPr>
              <w:jc w:val="right"/>
              <w:cnfStyle w:val="000000010000" w:firstRow="0" w:lastRow="0" w:firstColumn="0" w:lastColumn="0" w:oddVBand="0" w:evenVBand="0" w:oddHBand="0" w:evenHBand="1" w:firstRowFirstColumn="0" w:firstRowLastColumn="0" w:lastRowFirstColumn="0" w:lastRowLastColumn="0"/>
              <w:rPr>
                <w:b/>
                <w:lang w:eastAsia="en-GB"/>
              </w:rPr>
            </w:pPr>
            <w:r w:rsidRPr="008A3296">
              <w:rPr>
                <w:b/>
                <w:lang w:eastAsia="en-GB"/>
              </w:rPr>
              <w:t>31,953</w:t>
            </w:r>
          </w:p>
        </w:tc>
        <w:tc>
          <w:tcPr>
            <w:tcW w:w="1276" w:type="dxa"/>
            <w:tcBorders>
              <w:top w:val="single" w:sz="8" w:space="0" w:color="000000" w:themeColor="text1"/>
              <w:bottom w:val="double" w:sz="4" w:space="0" w:color="auto"/>
            </w:tcBorders>
          </w:tcPr>
          <w:p w:rsidR="007761C8" w:rsidRPr="008A3296" w:rsidRDefault="007761C8" w:rsidP="00B40603">
            <w:pPr>
              <w:jc w:val="right"/>
              <w:cnfStyle w:val="000000010000" w:firstRow="0" w:lastRow="0" w:firstColumn="0" w:lastColumn="0" w:oddVBand="0" w:evenVBand="0" w:oddHBand="0" w:evenHBand="1" w:firstRowFirstColumn="0" w:firstRowLastColumn="0" w:lastRowFirstColumn="0" w:lastRowLastColumn="0"/>
              <w:rPr>
                <w:b/>
                <w:lang w:eastAsia="en-GB"/>
              </w:rPr>
            </w:pPr>
            <w:r w:rsidRPr="008A3296">
              <w:rPr>
                <w:b/>
                <w:lang w:eastAsia="en-GB"/>
              </w:rPr>
              <w:t>22,357</w:t>
            </w:r>
          </w:p>
        </w:tc>
      </w:tr>
    </w:tbl>
    <w:p w:rsidR="007761C8" w:rsidRPr="005E7672" w:rsidRDefault="007761C8" w:rsidP="007761C8">
      <w:pPr>
        <w:rPr>
          <w:lang w:eastAsia="en-GB"/>
        </w:rPr>
      </w:pPr>
    </w:p>
    <w:p w:rsidR="007761C8" w:rsidRPr="005E7672" w:rsidRDefault="007761C8" w:rsidP="007761C8">
      <w:pPr>
        <w:rPr>
          <w:lang w:eastAsia="en-GB"/>
        </w:rPr>
      </w:pPr>
      <w:r w:rsidRPr="005E7672">
        <w:rPr>
          <w:lang w:eastAsia="en-GB"/>
        </w:rPr>
        <w:t>Rental income relates to rent of €19,677 from FR Kelly European and Trademark Attorneys in relation to property rented to them at 25 Clyde Road, Dublin 4. The remaining €9,645 relates to the charge for services provided at 25 Clyde Road.</w:t>
      </w:r>
    </w:p>
    <w:p w:rsidR="00FB5EA5" w:rsidRPr="0059165F" w:rsidRDefault="00FB5EA5">
      <w:pPr>
        <w:spacing w:after="0"/>
      </w:pPr>
      <w:r>
        <w:rPr>
          <w:lang w:eastAsia="en-GB"/>
        </w:rPr>
        <w:br w:type="page"/>
      </w:r>
    </w:p>
    <w:p w:rsidR="007761C8" w:rsidRPr="005E7672" w:rsidRDefault="004A6896" w:rsidP="004A6896">
      <w:pPr>
        <w:pStyle w:val="Heading3"/>
        <w:rPr>
          <w:lang w:eastAsia="en-GB"/>
        </w:rPr>
      </w:pPr>
      <w:r>
        <w:rPr>
          <w:lang w:eastAsia="en-GB"/>
        </w:rPr>
        <w:t xml:space="preserve">4. </w:t>
      </w:r>
      <w:r w:rsidR="007761C8" w:rsidRPr="005E7672">
        <w:rPr>
          <w:lang w:eastAsia="en-GB"/>
        </w:rPr>
        <w:t>Projects and Commissioned Works Payable</w:t>
      </w:r>
    </w:p>
    <w:tbl>
      <w:tblPr>
        <w:tblStyle w:val="LightShading1"/>
        <w:tblW w:w="0" w:type="auto"/>
        <w:tblLook w:val="04A0" w:firstRow="1" w:lastRow="0" w:firstColumn="1" w:lastColumn="0" w:noHBand="0" w:noVBand="1"/>
      </w:tblPr>
      <w:tblGrid>
        <w:gridCol w:w="3199"/>
        <w:gridCol w:w="1148"/>
        <w:gridCol w:w="1148"/>
      </w:tblGrid>
      <w:tr w:rsidR="00B77371" w:rsidRPr="005E7672" w:rsidTr="00B77371">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0" w:type="auto"/>
          </w:tcPr>
          <w:p w:rsidR="00B77371" w:rsidRPr="005E7672" w:rsidRDefault="00B77371" w:rsidP="00B40603">
            <w:pPr>
              <w:rPr>
                <w:lang w:eastAsia="en-GB"/>
              </w:rPr>
            </w:pPr>
          </w:p>
        </w:tc>
        <w:tc>
          <w:tcPr>
            <w:tcW w:w="0" w:type="auto"/>
          </w:tcPr>
          <w:p w:rsidR="00B77371" w:rsidRPr="005E7672" w:rsidRDefault="00B77371" w:rsidP="00AD615F">
            <w:pPr>
              <w:jc w:val="right"/>
              <w:cnfStyle w:val="100000000000" w:firstRow="1" w:lastRow="0" w:firstColumn="0" w:lastColumn="0" w:oddVBand="0" w:evenVBand="0" w:oddHBand="0" w:evenHBand="0" w:firstRowFirstColumn="0" w:firstRowLastColumn="0" w:lastRowFirstColumn="0" w:lastRowLastColumn="0"/>
              <w:rPr>
                <w:lang w:eastAsia="en-GB"/>
              </w:rPr>
            </w:pPr>
            <w:r w:rsidRPr="005E7672">
              <w:rPr>
                <w:lang w:eastAsia="en-GB"/>
              </w:rPr>
              <w:t>2015</w:t>
            </w:r>
            <w:r>
              <w:rPr>
                <w:lang w:eastAsia="en-GB"/>
              </w:rPr>
              <w:br/>
            </w:r>
            <w:r w:rsidRPr="005E7672">
              <w:rPr>
                <w:lang w:eastAsia="en-GB"/>
              </w:rPr>
              <w:t>€</w:t>
            </w:r>
          </w:p>
        </w:tc>
        <w:tc>
          <w:tcPr>
            <w:tcW w:w="0" w:type="auto"/>
          </w:tcPr>
          <w:p w:rsidR="00B77371" w:rsidRPr="005E7672" w:rsidRDefault="00B77371" w:rsidP="00AD615F">
            <w:pPr>
              <w:jc w:val="right"/>
              <w:cnfStyle w:val="100000000000" w:firstRow="1" w:lastRow="0" w:firstColumn="0" w:lastColumn="0" w:oddVBand="0" w:evenVBand="0" w:oddHBand="0" w:evenHBand="0" w:firstRowFirstColumn="0" w:firstRowLastColumn="0" w:lastRowFirstColumn="0" w:lastRowLastColumn="0"/>
              <w:rPr>
                <w:lang w:eastAsia="en-GB"/>
              </w:rPr>
            </w:pPr>
            <w:r w:rsidRPr="005E7672">
              <w:rPr>
                <w:lang w:eastAsia="en-GB"/>
              </w:rPr>
              <w:t>2014</w:t>
            </w:r>
            <w:r>
              <w:rPr>
                <w:lang w:eastAsia="en-GB"/>
              </w:rPr>
              <w:br/>
            </w:r>
            <w:r w:rsidRPr="005E7672">
              <w:rPr>
                <w:lang w:eastAsia="en-GB"/>
              </w:rPr>
              <w:t>€</w:t>
            </w:r>
          </w:p>
        </w:tc>
      </w:tr>
      <w:tr w:rsidR="00B77371" w:rsidRPr="005E7672" w:rsidTr="00B77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371" w:rsidRPr="005E7672" w:rsidRDefault="00B77371" w:rsidP="00B40603">
            <w:pPr>
              <w:rPr>
                <w:lang w:eastAsia="en-GB"/>
              </w:rPr>
            </w:pPr>
            <w:r w:rsidRPr="005E7672">
              <w:rPr>
                <w:lang w:eastAsia="en-GB"/>
              </w:rPr>
              <w:t>Research</w:t>
            </w:r>
          </w:p>
        </w:tc>
        <w:tc>
          <w:tcPr>
            <w:tcW w:w="0" w:type="auto"/>
          </w:tcPr>
          <w:p w:rsidR="00B77371" w:rsidRPr="005E7672" w:rsidRDefault="00B77371"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320,137</w:t>
            </w:r>
          </w:p>
        </w:tc>
        <w:tc>
          <w:tcPr>
            <w:tcW w:w="0" w:type="auto"/>
          </w:tcPr>
          <w:p w:rsidR="00B77371" w:rsidRPr="005E7672" w:rsidRDefault="00B77371"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158,584</w:t>
            </w:r>
          </w:p>
        </w:tc>
      </w:tr>
      <w:tr w:rsidR="00B77371" w:rsidRPr="005E7672" w:rsidTr="00B773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371" w:rsidRPr="005E7672" w:rsidRDefault="00B77371" w:rsidP="00B40603">
            <w:pPr>
              <w:rPr>
                <w:lang w:eastAsia="en-GB"/>
              </w:rPr>
            </w:pPr>
            <w:r w:rsidRPr="005E7672">
              <w:rPr>
                <w:lang w:eastAsia="en-GB"/>
              </w:rPr>
              <w:t xml:space="preserve">Information Resources </w:t>
            </w:r>
          </w:p>
        </w:tc>
        <w:tc>
          <w:tcPr>
            <w:tcW w:w="0" w:type="auto"/>
          </w:tcPr>
          <w:p w:rsidR="00B77371" w:rsidRPr="005E7672" w:rsidRDefault="00B77371"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9,093</w:t>
            </w:r>
          </w:p>
        </w:tc>
        <w:tc>
          <w:tcPr>
            <w:tcW w:w="0" w:type="auto"/>
          </w:tcPr>
          <w:p w:rsidR="00B77371" w:rsidRPr="005E7672" w:rsidRDefault="00B77371"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58,676</w:t>
            </w:r>
          </w:p>
        </w:tc>
      </w:tr>
      <w:tr w:rsidR="00B77371" w:rsidRPr="005E7672" w:rsidTr="00B77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371" w:rsidRPr="005E7672" w:rsidRDefault="00B77371" w:rsidP="00B40603">
            <w:pPr>
              <w:rPr>
                <w:lang w:eastAsia="en-GB"/>
              </w:rPr>
            </w:pPr>
            <w:r w:rsidRPr="005E7672">
              <w:rPr>
                <w:lang w:eastAsia="en-GB"/>
              </w:rPr>
              <w:t>Universal Design Promotion</w:t>
            </w:r>
          </w:p>
        </w:tc>
        <w:tc>
          <w:tcPr>
            <w:tcW w:w="0" w:type="auto"/>
          </w:tcPr>
          <w:p w:rsidR="00B77371" w:rsidRPr="005E7672" w:rsidRDefault="00B77371"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50,129</w:t>
            </w:r>
          </w:p>
        </w:tc>
        <w:tc>
          <w:tcPr>
            <w:tcW w:w="0" w:type="auto"/>
          </w:tcPr>
          <w:p w:rsidR="00B77371" w:rsidRPr="005E7672" w:rsidRDefault="00B77371"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52,063</w:t>
            </w:r>
          </w:p>
        </w:tc>
      </w:tr>
      <w:tr w:rsidR="00B77371" w:rsidRPr="005E7672" w:rsidTr="00B773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371" w:rsidRPr="005E7672" w:rsidRDefault="00B77371" w:rsidP="00B40603">
            <w:pPr>
              <w:rPr>
                <w:lang w:eastAsia="en-GB"/>
              </w:rPr>
            </w:pPr>
            <w:r w:rsidRPr="005E7672">
              <w:rPr>
                <w:lang w:eastAsia="en-GB"/>
              </w:rPr>
              <w:t>Corporate Services</w:t>
            </w:r>
          </w:p>
        </w:tc>
        <w:tc>
          <w:tcPr>
            <w:tcW w:w="0" w:type="auto"/>
          </w:tcPr>
          <w:p w:rsidR="00B77371" w:rsidRPr="005E7672" w:rsidRDefault="00B77371"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57,749</w:t>
            </w:r>
          </w:p>
        </w:tc>
        <w:tc>
          <w:tcPr>
            <w:tcW w:w="0" w:type="auto"/>
          </w:tcPr>
          <w:p w:rsidR="00B77371" w:rsidRPr="005E7672" w:rsidRDefault="00B77371"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51,941</w:t>
            </w:r>
          </w:p>
        </w:tc>
      </w:tr>
      <w:tr w:rsidR="00B77371" w:rsidRPr="005E7672" w:rsidTr="00B77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371" w:rsidRPr="005E7672" w:rsidRDefault="00B77371" w:rsidP="00B40603">
            <w:pPr>
              <w:rPr>
                <w:lang w:eastAsia="en-GB"/>
              </w:rPr>
            </w:pPr>
            <w:r w:rsidRPr="005E7672">
              <w:rPr>
                <w:lang w:eastAsia="en-GB"/>
              </w:rPr>
              <w:t>Standards and Guidelines</w:t>
            </w:r>
          </w:p>
        </w:tc>
        <w:tc>
          <w:tcPr>
            <w:tcW w:w="0" w:type="auto"/>
          </w:tcPr>
          <w:p w:rsidR="00B77371" w:rsidRPr="005E7672" w:rsidRDefault="00B77371"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4,052</w:t>
            </w:r>
          </w:p>
        </w:tc>
        <w:tc>
          <w:tcPr>
            <w:tcW w:w="0" w:type="auto"/>
          </w:tcPr>
          <w:p w:rsidR="00B77371" w:rsidRPr="005E7672" w:rsidRDefault="00B77371"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25,942</w:t>
            </w:r>
          </w:p>
        </w:tc>
      </w:tr>
      <w:tr w:rsidR="00B77371" w:rsidRPr="005E7672" w:rsidTr="00B773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371" w:rsidRPr="005E7672" w:rsidRDefault="00B77371" w:rsidP="00B40603">
            <w:pPr>
              <w:rPr>
                <w:lang w:eastAsia="en-GB"/>
              </w:rPr>
            </w:pPr>
            <w:r w:rsidRPr="005E7672">
              <w:rPr>
                <w:lang w:eastAsia="en-GB"/>
              </w:rPr>
              <w:t xml:space="preserve">Conference and seminars </w:t>
            </w:r>
          </w:p>
        </w:tc>
        <w:tc>
          <w:tcPr>
            <w:tcW w:w="0" w:type="auto"/>
          </w:tcPr>
          <w:p w:rsidR="00B77371" w:rsidRPr="005E7672" w:rsidRDefault="00B77371"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63,991</w:t>
            </w:r>
          </w:p>
        </w:tc>
        <w:tc>
          <w:tcPr>
            <w:tcW w:w="0" w:type="auto"/>
          </w:tcPr>
          <w:p w:rsidR="00B77371" w:rsidRPr="005E7672" w:rsidRDefault="00B77371"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18,560</w:t>
            </w:r>
          </w:p>
        </w:tc>
      </w:tr>
      <w:tr w:rsidR="00B77371" w:rsidRPr="005E7672" w:rsidTr="00B77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371" w:rsidRPr="005E7672" w:rsidRDefault="00B77371" w:rsidP="00B40603">
            <w:pPr>
              <w:rPr>
                <w:lang w:eastAsia="en-GB"/>
              </w:rPr>
            </w:pPr>
            <w:r w:rsidRPr="005E7672">
              <w:rPr>
                <w:lang w:eastAsia="en-GB"/>
              </w:rPr>
              <w:t xml:space="preserve">Consultation </w:t>
            </w:r>
          </w:p>
        </w:tc>
        <w:tc>
          <w:tcPr>
            <w:tcW w:w="0" w:type="auto"/>
          </w:tcPr>
          <w:p w:rsidR="00B77371" w:rsidRPr="005E7672" w:rsidRDefault="00B77371"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28,994</w:t>
            </w:r>
          </w:p>
        </w:tc>
        <w:tc>
          <w:tcPr>
            <w:tcW w:w="0" w:type="auto"/>
          </w:tcPr>
          <w:p w:rsidR="00B77371" w:rsidRPr="005E7672" w:rsidRDefault="00B77371"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6,780</w:t>
            </w:r>
          </w:p>
        </w:tc>
      </w:tr>
      <w:tr w:rsidR="00B77371" w:rsidRPr="005E7672" w:rsidTr="008A32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371" w:rsidRPr="005E7672" w:rsidRDefault="00B77371" w:rsidP="00B40603">
            <w:pPr>
              <w:rPr>
                <w:lang w:eastAsia="en-GB"/>
              </w:rPr>
            </w:pPr>
            <w:r w:rsidRPr="005E7672">
              <w:rPr>
                <w:lang w:eastAsia="en-GB"/>
              </w:rPr>
              <w:t xml:space="preserve">Translation </w:t>
            </w:r>
          </w:p>
        </w:tc>
        <w:tc>
          <w:tcPr>
            <w:tcW w:w="0" w:type="auto"/>
            <w:tcBorders>
              <w:bottom w:val="single" w:sz="8" w:space="0" w:color="000000" w:themeColor="text1"/>
            </w:tcBorders>
          </w:tcPr>
          <w:p w:rsidR="00B77371" w:rsidRPr="005E7672" w:rsidRDefault="00B77371" w:rsidP="00B40603">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492</w:t>
            </w:r>
          </w:p>
        </w:tc>
        <w:tc>
          <w:tcPr>
            <w:tcW w:w="0" w:type="auto"/>
            <w:tcBorders>
              <w:bottom w:val="single" w:sz="8" w:space="0" w:color="000000" w:themeColor="text1"/>
            </w:tcBorders>
          </w:tcPr>
          <w:p w:rsidR="00B77371" w:rsidRPr="005E7672" w:rsidRDefault="00B77371" w:rsidP="00B40603">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2,374</w:t>
            </w:r>
          </w:p>
        </w:tc>
      </w:tr>
      <w:tr w:rsidR="00B77371" w:rsidRPr="005E7672" w:rsidTr="008A3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371" w:rsidRPr="005E7672" w:rsidRDefault="00B77371" w:rsidP="00B40603">
            <w:pPr>
              <w:rPr>
                <w:lang w:eastAsia="en-GB"/>
              </w:rPr>
            </w:pPr>
          </w:p>
        </w:tc>
        <w:tc>
          <w:tcPr>
            <w:tcW w:w="0" w:type="auto"/>
            <w:tcBorders>
              <w:top w:val="single" w:sz="8" w:space="0" w:color="000000" w:themeColor="text1"/>
              <w:bottom w:val="double" w:sz="4" w:space="0" w:color="auto"/>
            </w:tcBorders>
          </w:tcPr>
          <w:p w:rsidR="00B77371" w:rsidRPr="00CD11F4" w:rsidRDefault="00B77371" w:rsidP="00B40603">
            <w:pPr>
              <w:jc w:val="right"/>
              <w:cnfStyle w:val="000000100000" w:firstRow="0" w:lastRow="0" w:firstColumn="0" w:lastColumn="0" w:oddVBand="0" w:evenVBand="0" w:oddHBand="1" w:evenHBand="0" w:firstRowFirstColumn="0" w:firstRowLastColumn="0" w:lastRowFirstColumn="0" w:lastRowLastColumn="0"/>
              <w:rPr>
                <w:b/>
                <w:lang w:eastAsia="en-GB"/>
              </w:rPr>
            </w:pPr>
            <w:r w:rsidRPr="00CD11F4">
              <w:rPr>
                <w:b/>
                <w:lang w:eastAsia="en-GB"/>
              </w:rPr>
              <w:t>534,637</w:t>
            </w:r>
          </w:p>
        </w:tc>
        <w:tc>
          <w:tcPr>
            <w:tcW w:w="0" w:type="auto"/>
            <w:tcBorders>
              <w:top w:val="single" w:sz="8" w:space="0" w:color="000000" w:themeColor="text1"/>
              <w:bottom w:val="double" w:sz="4" w:space="0" w:color="auto"/>
            </w:tcBorders>
          </w:tcPr>
          <w:p w:rsidR="00B77371" w:rsidRPr="00CD11F4" w:rsidRDefault="00B77371" w:rsidP="00B40603">
            <w:pPr>
              <w:jc w:val="right"/>
              <w:cnfStyle w:val="000000100000" w:firstRow="0" w:lastRow="0" w:firstColumn="0" w:lastColumn="0" w:oddVBand="0" w:evenVBand="0" w:oddHBand="1" w:evenHBand="0" w:firstRowFirstColumn="0" w:firstRowLastColumn="0" w:lastRowFirstColumn="0" w:lastRowLastColumn="0"/>
              <w:rPr>
                <w:b/>
                <w:lang w:eastAsia="en-GB"/>
              </w:rPr>
            </w:pPr>
            <w:r w:rsidRPr="00CD11F4">
              <w:rPr>
                <w:b/>
                <w:lang w:eastAsia="en-GB"/>
              </w:rPr>
              <w:t>374,920</w:t>
            </w:r>
          </w:p>
        </w:tc>
      </w:tr>
    </w:tbl>
    <w:p w:rsidR="007761C8" w:rsidRPr="005E7672" w:rsidRDefault="007761C8" w:rsidP="007761C8">
      <w:pPr>
        <w:rPr>
          <w:lang w:eastAsia="en-GB"/>
        </w:rPr>
      </w:pPr>
    </w:p>
    <w:p w:rsidR="00FB5EA5" w:rsidRPr="0059165F" w:rsidRDefault="00FB5EA5">
      <w:pPr>
        <w:spacing w:after="0"/>
      </w:pPr>
      <w:r>
        <w:rPr>
          <w:lang w:eastAsia="en-GB"/>
        </w:rPr>
        <w:br w:type="page"/>
      </w:r>
    </w:p>
    <w:p w:rsidR="007761C8" w:rsidRPr="005E7672" w:rsidRDefault="004A6896" w:rsidP="004A6896">
      <w:pPr>
        <w:pStyle w:val="Heading3"/>
        <w:rPr>
          <w:lang w:eastAsia="en-GB"/>
        </w:rPr>
      </w:pPr>
      <w:r>
        <w:rPr>
          <w:lang w:eastAsia="en-GB"/>
        </w:rPr>
        <w:t xml:space="preserve">5. </w:t>
      </w:r>
      <w:r w:rsidR="007761C8" w:rsidRPr="005E7672">
        <w:rPr>
          <w:lang w:eastAsia="en-GB"/>
        </w:rPr>
        <w:t>Admi</w:t>
      </w:r>
      <w:r>
        <w:rPr>
          <w:lang w:eastAsia="en-GB"/>
        </w:rPr>
        <w:t>nistration and Operations Costs</w:t>
      </w:r>
    </w:p>
    <w:tbl>
      <w:tblPr>
        <w:tblStyle w:val="LightShading1"/>
        <w:tblW w:w="0" w:type="auto"/>
        <w:tblLook w:val="04A0" w:firstRow="1" w:lastRow="0" w:firstColumn="1" w:lastColumn="0" w:noHBand="0" w:noVBand="1"/>
      </w:tblPr>
      <w:tblGrid>
        <w:gridCol w:w="4006"/>
        <w:gridCol w:w="628"/>
        <w:gridCol w:w="1362"/>
        <w:gridCol w:w="1362"/>
      </w:tblGrid>
      <w:tr w:rsidR="007761C8" w:rsidRPr="005E7672" w:rsidTr="00AD61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B40603">
            <w:pPr>
              <w:rPr>
                <w:lang w:eastAsia="en-GB"/>
              </w:rPr>
            </w:pPr>
          </w:p>
        </w:tc>
        <w:tc>
          <w:tcPr>
            <w:tcW w:w="0" w:type="auto"/>
          </w:tcPr>
          <w:p w:rsidR="007761C8" w:rsidRPr="005E7672" w:rsidRDefault="007761C8" w:rsidP="00B40603">
            <w:pPr>
              <w:cnfStyle w:val="100000000000" w:firstRow="1" w:lastRow="0" w:firstColumn="0" w:lastColumn="0" w:oddVBand="0" w:evenVBand="0" w:oddHBand="0" w:evenHBand="0" w:firstRowFirstColumn="0" w:firstRowLastColumn="0" w:lastRowFirstColumn="0" w:lastRowLastColumn="0"/>
              <w:rPr>
                <w:lang w:eastAsia="en-GB"/>
              </w:rPr>
            </w:pPr>
          </w:p>
        </w:tc>
        <w:tc>
          <w:tcPr>
            <w:tcW w:w="0" w:type="auto"/>
          </w:tcPr>
          <w:p w:rsidR="007761C8" w:rsidRPr="005E7672" w:rsidRDefault="007761C8" w:rsidP="00AD615F">
            <w:pPr>
              <w:jc w:val="right"/>
              <w:cnfStyle w:val="100000000000" w:firstRow="1" w:lastRow="0" w:firstColumn="0" w:lastColumn="0" w:oddVBand="0" w:evenVBand="0" w:oddHBand="0" w:evenHBand="0" w:firstRowFirstColumn="0" w:firstRowLastColumn="0" w:lastRowFirstColumn="0" w:lastRowLastColumn="0"/>
              <w:rPr>
                <w:lang w:eastAsia="en-GB"/>
              </w:rPr>
            </w:pPr>
            <w:r w:rsidRPr="005E7672">
              <w:rPr>
                <w:lang w:eastAsia="en-GB"/>
              </w:rPr>
              <w:t>2015</w:t>
            </w:r>
            <w:r w:rsidR="00AD615F">
              <w:rPr>
                <w:lang w:eastAsia="en-GB"/>
              </w:rPr>
              <w:br/>
            </w:r>
            <w:r w:rsidRPr="005E7672">
              <w:rPr>
                <w:lang w:eastAsia="en-GB"/>
              </w:rPr>
              <w:t>€</w:t>
            </w:r>
          </w:p>
        </w:tc>
        <w:tc>
          <w:tcPr>
            <w:tcW w:w="0" w:type="auto"/>
          </w:tcPr>
          <w:p w:rsidR="007761C8" w:rsidRPr="005E7672" w:rsidRDefault="007761C8" w:rsidP="00AD615F">
            <w:pPr>
              <w:jc w:val="right"/>
              <w:cnfStyle w:val="100000000000" w:firstRow="1" w:lastRow="0" w:firstColumn="0" w:lastColumn="0" w:oddVBand="0" w:evenVBand="0" w:oddHBand="0" w:evenHBand="0" w:firstRowFirstColumn="0" w:firstRowLastColumn="0" w:lastRowFirstColumn="0" w:lastRowLastColumn="0"/>
              <w:rPr>
                <w:lang w:eastAsia="en-GB"/>
              </w:rPr>
            </w:pPr>
            <w:r w:rsidRPr="005E7672">
              <w:rPr>
                <w:lang w:eastAsia="en-GB"/>
              </w:rPr>
              <w:t>2014</w:t>
            </w:r>
            <w:r w:rsidR="00AD615F">
              <w:rPr>
                <w:lang w:eastAsia="en-GB"/>
              </w:rPr>
              <w:br/>
            </w:r>
            <w:r w:rsidRPr="005E7672">
              <w:rPr>
                <w:lang w:eastAsia="en-GB"/>
              </w:rPr>
              <w:t>€</w:t>
            </w:r>
          </w:p>
        </w:tc>
      </w:tr>
      <w:tr w:rsidR="007761C8" w:rsidRPr="005E7672" w:rsidTr="00AD6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B40603">
            <w:pPr>
              <w:rPr>
                <w:lang w:eastAsia="en-GB"/>
              </w:rPr>
            </w:pPr>
            <w:r w:rsidRPr="005E7672">
              <w:rPr>
                <w:lang w:eastAsia="en-GB"/>
              </w:rPr>
              <w:t>Remuneration and Other Pay Costs</w:t>
            </w:r>
          </w:p>
        </w:tc>
        <w:tc>
          <w:tcPr>
            <w:tcW w:w="0" w:type="auto"/>
          </w:tcPr>
          <w:p w:rsidR="007761C8" w:rsidRPr="005E7672" w:rsidRDefault="005C6CF2" w:rsidP="00B40603">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5</w:t>
            </w:r>
            <w:r w:rsidR="007761C8" w:rsidRPr="005E7672">
              <w:rPr>
                <w:lang w:eastAsia="en-GB"/>
              </w:rPr>
              <w:t>(a)</w:t>
            </w:r>
          </w:p>
        </w:tc>
        <w:tc>
          <w:tcPr>
            <w:tcW w:w="0" w:type="auto"/>
          </w:tcPr>
          <w:p w:rsidR="007761C8" w:rsidRPr="005E7672" w:rsidRDefault="00875C32"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875C32">
              <w:rPr>
                <w:lang w:eastAsia="en-GB"/>
              </w:rPr>
              <w:t>1,984,863</w:t>
            </w:r>
          </w:p>
        </w:tc>
        <w:tc>
          <w:tcPr>
            <w:tcW w:w="0" w:type="auto"/>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1,904,132</w:t>
            </w:r>
          </w:p>
        </w:tc>
      </w:tr>
      <w:tr w:rsidR="007761C8" w:rsidRPr="005E7672" w:rsidTr="00AD61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B40603">
            <w:pPr>
              <w:rPr>
                <w:lang w:eastAsia="en-GB"/>
              </w:rPr>
            </w:pPr>
            <w:r w:rsidRPr="005E7672">
              <w:rPr>
                <w:lang w:eastAsia="en-GB"/>
              </w:rPr>
              <w:t>Building overheads</w:t>
            </w:r>
          </w:p>
        </w:tc>
        <w:tc>
          <w:tcPr>
            <w:tcW w:w="0" w:type="auto"/>
          </w:tcPr>
          <w:p w:rsidR="007761C8" w:rsidRPr="005E7672" w:rsidRDefault="007761C8" w:rsidP="00B40603">
            <w:pPr>
              <w:cnfStyle w:val="000000010000" w:firstRow="0" w:lastRow="0" w:firstColumn="0" w:lastColumn="0" w:oddVBand="0" w:evenVBand="0" w:oddHBand="0" w:evenHBand="1" w:firstRowFirstColumn="0" w:firstRowLastColumn="0" w:lastRowFirstColumn="0" w:lastRowLastColumn="0"/>
              <w:rPr>
                <w:lang w:eastAsia="en-GB"/>
              </w:rPr>
            </w:pPr>
          </w:p>
        </w:tc>
        <w:tc>
          <w:tcPr>
            <w:tcW w:w="0" w:type="auto"/>
          </w:tcPr>
          <w:p w:rsidR="007761C8" w:rsidRPr="005E7672" w:rsidRDefault="007761C8"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119,973</w:t>
            </w:r>
          </w:p>
        </w:tc>
        <w:tc>
          <w:tcPr>
            <w:tcW w:w="0" w:type="auto"/>
          </w:tcPr>
          <w:p w:rsidR="007761C8" w:rsidRPr="005E7672" w:rsidRDefault="007761C8"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87,819</w:t>
            </w:r>
          </w:p>
        </w:tc>
      </w:tr>
      <w:tr w:rsidR="007761C8" w:rsidRPr="005E7672" w:rsidTr="00AD6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B40603">
            <w:pPr>
              <w:rPr>
                <w:lang w:eastAsia="en-GB"/>
              </w:rPr>
            </w:pPr>
            <w:r w:rsidRPr="005E7672">
              <w:rPr>
                <w:lang w:eastAsia="en-GB"/>
              </w:rPr>
              <w:t xml:space="preserve">Rates </w:t>
            </w:r>
          </w:p>
        </w:tc>
        <w:tc>
          <w:tcPr>
            <w:tcW w:w="0" w:type="auto"/>
          </w:tcPr>
          <w:p w:rsidR="007761C8" w:rsidRPr="005E7672" w:rsidRDefault="007761C8" w:rsidP="00B40603">
            <w:pPr>
              <w:cnfStyle w:val="000000100000" w:firstRow="0" w:lastRow="0" w:firstColumn="0" w:lastColumn="0" w:oddVBand="0" w:evenVBand="0" w:oddHBand="1" w:evenHBand="0" w:firstRowFirstColumn="0" w:firstRowLastColumn="0" w:lastRowFirstColumn="0" w:lastRowLastColumn="0"/>
              <w:rPr>
                <w:lang w:eastAsia="en-GB"/>
              </w:rPr>
            </w:pPr>
          </w:p>
        </w:tc>
        <w:tc>
          <w:tcPr>
            <w:tcW w:w="0" w:type="auto"/>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51,993</w:t>
            </w:r>
          </w:p>
        </w:tc>
        <w:tc>
          <w:tcPr>
            <w:tcW w:w="0" w:type="auto"/>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52,197</w:t>
            </w:r>
          </w:p>
        </w:tc>
      </w:tr>
      <w:tr w:rsidR="007761C8" w:rsidRPr="005E7672" w:rsidTr="00AD61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B40603">
            <w:pPr>
              <w:rPr>
                <w:lang w:eastAsia="en-GB"/>
              </w:rPr>
            </w:pPr>
            <w:r w:rsidRPr="005E7672">
              <w:rPr>
                <w:lang w:eastAsia="en-GB"/>
              </w:rPr>
              <w:t xml:space="preserve">Cleaning and domestic services </w:t>
            </w:r>
          </w:p>
        </w:tc>
        <w:tc>
          <w:tcPr>
            <w:tcW w:w="0" w:type="auto"/>
          </w:tcPr>
          <w:p w:rsidR="007761C8" w:rsidRPr="005E7672" w:rsidRDefault="007761C8" w:rsidP="00B40603">
            <w:pPr>
              <w:cnfStyle w:val="000000010000" w:firstRow="0" w:lastRow="0" w:firstColumn="0" w:lastColumn="0" w:oddVBand="0" w:evenVBand="0" w:oddHBand="0" w:evenHBand="1" w:firstRowFirstColumn="0" w:firstRowLastColumn="0" w:lastRowFirstColumn="0" w:lastRowLastColumn="0"/>
              <w:rPr>
                <w:lang w:eastAsia="en-GB"/>
              </w:rPr>
            </w:pPr>
          </w:p>
        </w:tc>
        <w:tc>
          <w:tcPr>
            <w:tcW w:w="0" w:type="auto"/>
          </w:tcPr>
          <w:p w:rsidR="007761C8" w:rsidRPr="005E7672" w:rsidRDefault="007761C8"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51,280</w:t>
            </w:r>
          </w:p>
        </w:tc>
        <w:tc>
          <w:tcPr>
            <w:tcW w:w="0" w:type="auto"/>
          </w:tcPr>
          <w:p w:rsidR="007761C8" w:rsidRPr="005E7672" w:rsidRDefault="007761C8"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52,013</w:t>
            </w:r>
          </w:p>
        </w:tc>
      </w:tr>
      <w:tr w:rsidR="007761C8" w:rsidRPr="005E7672" w:rsidTr="00AD6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B40603">
            <w:pPr>
              <w:rPr>
                <w:lang w:eastAsia="en-GB"/>
              </w:rPr>
            </w:pPr>
            <w:r w:rsidRPr="005E7672">
              <w:rPr>
                <w:lang w:eastAsia="en-GB"/>
              </w:rPr>
              <w:t>Authority Fees and expenses</w:t>
            </w:r>
          </w:p>
        </w:tc>
        <w:tc>
          <w:tcPr>
            <w:tcW w:w="0" w:type="auto"/>
          </w:tcPr>
          <w:p w:rsidR="007761C8" w:rsidRPr="005E7672" w:rsidRDefault="005C6CF2" w:rsidP="00B40603">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5</w:t>
            </w:r>
            <w:r w:rsidR="007761C8" w:rsidRPr="005E7672">
              <w:rPr>
                <w:lang w:eastAsia="en-GB"/>
              </w:rPr>
              <w:t>(c)</w:t>
            </w:r>
          </w:p>
        </w:tc>
        <w:tc>
          <w:tcPr>
            <w:tcW w:w="0" w:type="auto"/>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71,277</w:t>
            </w:r>
          </w:p>
        </w:tc>
        <w:tc>
          <w:tcPr>
            <w:tcW w:w="0" w:type="auto"/>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35,193</w:t>
            </w:r>
          </w:p>
        </w:tc>
      </w:tr>
      <w:tr w:rsidR="007761C8" w:rsidRPr="005E7672" w:rsidTr="00AD61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B40603">
            <w:pPr>
              <w:rPr>
                <w:lang w:eastAsia="en-GB"/>
              </w:rPr>
            </w:pPr>
            <w:r w:rsidRPr="005E7672">
              <w:rPr>
                <w:lang w:eastAsia="en-GB"/>
              </w:rPr>
              <w:t>Postage and telecoms</w:t>
            </w:r>
          </w:p>
        </w:tc>
        <w:tc>
          <w:tcPr>
            <w:tcW w:w="0" w:type="auto"/>
          </w:tcPr>
          <w:p w:rsidR="007761C8" w:rsidRPr="005E7672" w:rsidRDefault="007761C8" w:rsidP="00B40603">
            <w:pPr>
              <w:cnfStyle w:val="000000010000" w:firstRow="0" w:lastRow="0" w:firstColumn="0" w:lastColumn="0" w:oddVBand="0" w:evenVBand="0" w:oddHBand="0" w:evenHBand="1" w:firstRowFirstColumn="0" w:firstRowLastColumn="0" w:lastRowFirstColumn="0" w:lastRowLastColumn="0"/>
              <w:rPr>
                <w:lang w:eastAsia="en-GB"/>
              </w:rPr>
            </w:pPr>
          </w:p>
        </w:tc>
        <w:tc>
          <w:tcPr>
            <w:tcW w:w="0" w:type="auto"/>
          </w:tcPr>
          <w:p w:rsidR="007761C8" w:rsidRPr="005E7672" w:rsidRDefault="007761C8"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23,277</w:t>
            </w:r>
          </w:p>
        </w:tc>
        <w:tc>
          <w:tcPr>
            <w:tcW w:w="0" w:type="auto"/>
          </w:tcPr>
          <w:p w:rsidR="007761C8" w:rsidRPr="005E7672" w:rsidRDefault="007761C8"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22,446</w:t>
            </w:r>
          </w:p>
        </w:tc>
      </w:tr>
      <w:tr w:rsidR="007761C8" w:rsidRPr="005E7672" w:rsidTr="00AD6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B40603">
            <w:pPr>
              <w:rPr>
                <w:lang w:eastAsia="en-GB"/>
              </w:rPr>
            </w:pPr>
            <w:r w:rsidRPr="005E7672">
              <w:rPr>
                <w:lang w:eastAsia="en-GB"/>
              </w:rPr>
              <w:t xml:space="preserve">Office costs </w:t>
            </w:r>
          </w:p>
        </w:tc>
        <w:tc>
          <w:tcPr>
            <w:tcW w:w="0" w:type="auto"/>
          </w:tcPr>
          <w:p w:rsidR="007761C8" w:rsidRPr="005E7672" w:rsidRDefault="007761C8" w:rsidP="00B40603">
            <w:pPr>
              <w:cnfStyle w:val="000000100000" w:firstRow="0" w:lastRow="0" w:firstColumn="0" w:lastColumn="0" w:oddVBand="0" w:evenVBand="0" w:oddHBand="1" w:evenHBand="0" w:firstRowFirstColumn="0" w:firstRowLastColumn="0" w:lastRowFirstColumn="0" w:lastRowLastColumn="0"/>
              <w:rPr>
                <w:lang w:eastAsia="en-GB"/>
              </w:rPr>
            </w:pPr>
          </w:p>
        </w:tc>
        <w:tc>
          <w:tcPr>
            <w:tcW w:w="0" w:type="auto"/>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46,580</w:t>
            </w:r>
          </w:p>
        </w:tc>
        <w:tc>
          <w:tcPr>
            <w:tcW w:w="0" w:type="auto"/>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26,831</w:t>
            </w:r>
          </w:p>
        </w:tc>
      </w:tr>
      <w:tr w:rsidR="007761C8" w:rsidRPr="005E7672" w:rsidTr="00AD61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B40603">
            <w:pPr>
              <w:rPr>
                <w:lang w:eastAsia="en-GB"/>
              </w:rPr>
            </w:pPr>
            <w:r w:rsidRPr="005E7672">
              <w:rPr>
                <w:lang w:eastAsia="en-GB"/>
              </w:rPr>
              <w:t xml:space="preserve">Library </w:t>
            </w:r>
          </w:p>
        </w:tc>
        <w:tc>
          <w:tcPr>
            <w:tcW w:w="0" w:type="auto"/>
          </w:tcPr>
          <w:p w:rsidR="007761C8" w:rsidRPr="005E7672" w:rsidRDefault="007761C8" w:rsidP="00B40603">
            <w:pPr>
              <w:cnfStyle w:val="000000010000" w:firstRow="0" w:lastRow="0" w:firstColumn="0" w:lastColumn="0" w:oddVBand="0" w:evenVBand="0" w:oddHBand="0" w:evenHBand="1" w:firstRowFirstColumn="0" w:firstRowLastColumn="0" w:lastRowFirstColumn="0" w:lastRowLastColumn="0"/>
              <w:rPr>
                <w:lang w:eastAsia="en-GB"/>
              </w:rPr>
            </w:pPr>
          </w:p>
        </w:tc>
        <w:tc>
          <w:tcPr>
            <w:tcW w:w="0" w:type="auto"/>
          </w:tcPr>
          <w:p w:rsidR="007761C8" w:rsidRPr="005E7672" w:rsidRDefault="007761C8"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35,097</w:t>
            </w:r>
          </w:p>
        </w:tc>
        <w:tc>
          <w:tcPr>
            <w:tcW w:w="0" w:type="auto"/>
          </w:tcPr>
          <w:p w:rsidR="007761C8" w:rsidRPr="005E7672" w:rsidRDefault="007761C8"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7,869</w:t>
            </w:r>
          </w:p>
        </w:tc>
      </w:tr>
      <w:tr w:rsidR="007761C8" w:rsidRPr="005E7672" w:rsidTr="00AD6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B40603">
            <w:pPr>
              <w:rPr>
                <w:lang w:eastAsia="en-GB"/>
              </w:rPr>
            </w:pPr>
            <w:r w:rsidRPr="005E7672">
              <w:rPr>
                <w:lang w:eastAsia="en-GB"/>
              </w:rPr>
              <w:t xml:space="preserve">IT costs </w:t>
            </w:r>
          </w:p>
        </w:tc>
        <w:tc>
          <w:tcPr>
            <w:tcW w:w="0" w:type="auto"/>
          </w:tcPr>
          <w:p w:rsidR="007761C8" w:rsidRPr="005E7672" w:rsidRDefault="007761C8" w:rsidP="00B40603">
            <w:pPr>
              <w:cnfStyle w:val="000000100000" w:firstRow="0" w:lastRow="0" w:firstColumn="0" w:lastColumn="0" w:oddVBand="0" w:evenVBand="0" w:oddHBand="1" w:evenHBand="0" w:firstRowFirstColumn="0" w:firstRowLastColumn="0" w:lastRowFirstColumn="0" w:lastRowLastColumn="0"/>
              <w:rPr>
                <w:lang w:eastAsia="en-GB"/>
              </w:rPr>
            </w:pPr>
          </w:p>
        </w:tc>
        <w:tc>
          <w:tcPr>
            <w:tcW w:w="0" w:type="auto"/>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94,070</w:t>
            </w:r>
          </w:p>
        </w:tc>
        <w:tc>
          <w:tcPr>
            <w:tcW w:w="0" w:type="auto"/>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95,669</w:t>
            </w:r>
          </w:p>
        </w:tc>
      </w:tr>
      <w:tr w:rsidR="007761C8" w:rsidRPr="005E7672" w:rsidTr="003E7B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B40603">
            <w:pPr>
              <w:rPr>
                <w:lang w:eastAsia="en-GB"/>
              </w:rPr>
            </w:pPr>
            <w:r w:rsidRPr="005E7672">
              <w:rPr>
                <w:lang w:eastAsia="en-GB"/>
              </w:rPr>
              <w:t xml:space="preserve">Professional fees </w:t>
            </w:r>
          </w:p>
        </w:tc>
        <w:tc>
          <w:tcPr>
            <w:tcW w:w="0" w:type="auto"/>
          </w:tcPr>
          <w:p w:rsidR="007761C8" w:rsidRPr="005E7672" w:rsidRDefault="007761C8" w:rsidP="00B40603">
            <w:pPr>
              <w:cnfStyle w:val="000000010000" w:firstRow="0" w:lastRow="0" w:firstColumn="0" w:lastColumn="0" w:oddVBand="0" w:evenVBand="0" w:oddHBand="0" w:evenHBand="1" w:firstRowFirstColumn="0" w:firstRowLastColumn="0" w:lastRowFirstColumn="0" w:lastRowLastColumn="0"/>
              <w:rPr>
                <w:lang w:eastAsia="en-GB"/>
              </w:rPr>
            </w:pPr>
          </w:p>
        </w:tc>
        <w:tc>
          <w:tcPr>
            <w:tcW w:w="0" w:type="auto"/>
          </w:tcPr>
          <w:p w:rsidR="007761C8" w:rsidRPr="005E7672" w:rsidRDefault="007761C8" w:rsidP="00B40603">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49,955</w:t>
            </w:r>
          </w:p>
        </w:tc>
        <w:tc>
          <w:tcPr>
            <w:tcW w:w="0" w:type="auto"/>
          </w:tcPr>
          <w:p w:rsidR="007761C8" w:rsidRPr="005E7672" w:rsidRDefault="007761C8" w:rsidP="00B40603">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12,787</w:t>
            </w:r>
          </w:p>
        </w:tc>
      </w:tr>
      <w:tr w:rsidR="007761C8" w:rsidRPr="005E7672" w:rsidTr="003E7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B40603">
            <w:pPr>
              <w:rPr>
                <w:lang w:eastAsia="en-GB"/>
              </w:rPr>
            </w:pPr>
            <w:r w:rsidRPr="005E7672">
              <w:rPr>
                <w:lang w:eastAsia="en-GB"/>
              </w:rPr>
              <w:t xml:space="preserve">Audit fees </w:t>
            </w:r>
          </w:p>
        </w:tc>
        <w:tc>
          <w:tcPr>
            <w:tcW w:w="0" w:type="auto"/>
          </w:tcPr>
          <w:p w:rsidR="007761C8" w:rsidRPr="005E7672" w:rsidRDefault="007761C8" w:rsidP="00B40603">
            <w:pPr>
              <w:cnfStyle w:val="000000100000" w:firstRow="0" w:lastRow="0" w:firstColumn="0" w:lastColumn="0" w:oddVBand="0" w:evenVBand="0" w:oddHBand="1" w:evenHBand="0" w:firstRowFirstColumn="0" w:firstRowLastColumn="0" w:lastRowFirstColumn="0" w:lastRowLastColumn="0"/>
              <w:rPr>
                <w:lang w:eastAsia="en-GB"/>
              </w:rPr>
            </w:pPr>
          </w:p>
        </w:tc>
        <w:tc>
          <w:tcPr>
            <w:tcW w:w="0" w:type="auto"/>
          </w:tcPr>
          <w:p w:rsidR="007761C8" w:rsidRPr="005E7672" w:rsidRDefault="007761C8" w:rsidP="00B40603">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12,000</w:t>
            </w:r>
          </w:p>
        </w:tc>
        <w:tc>
          <w:tcPr>
            <w:tcW w:w="0" w:type="auto"/>
          </w:tcPr>
          <w:p w:rsidR="007761C8" w:rsidRPr="005E7672" w:rsidRDefault="007761C8" w:rsidP="00B40603">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16,600</w:t>
            </w:r>
          </w:p>
        </w:tc>
      </w:tr>
      <w:tr w:rsidR="007761C8" w:rsidRPr="005E7672" w:rsidTr="008A32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B40603">
            <w:pPr>
              <w:rPr>
                <w:lang w:eastAsia="en-GB"/>
              </w:rPr>
            </w:pPr>
            <w:r w:rsidRPr="005E7672">
              <w:rPr>
                <w:lang w:eastAsia="en-GB"/>
              </w:rPr>
              <w:t xml:space="preserve">Building repairs </w:t>
            </w:r>
          </w:p>
        </w:tc>
        <w:tc>
          <w:tcPr>
            <w:tcW w:w="0" w:type="auto"/>
          </w:tcPr>
          <w:p w:rsidR="007761C8" w:rsidRPr="005E7672" w:rsidRDefault="007761C8" w:rsidP="00B40603">
            <w:pPr>
              <w:cnfStyle w:val="000000010000" w:firstRow="0" w:lastRow="0" w:firstColumn="0" w:lastColumn="0" w:oddVBand="0" w:evenVBand="0" w:oddHBand="0" w:evenHBand="1" w:firstRowFirstColumn="0" w:firstRowLastColumn="0" w:lastRowFirstColumn="0" w:lastRowLastColumn="0"/>
              <w:rPr>
                <w:lang w:eastAsia="en-GB"/>
              </w:rPr>
            </w:pPr>
          </w:p>
        </w:tc>
        <w:tc>
          <w:tcPr>
            <w:tcW w:w="0" w:type="auto"/>
            <w:tcBorders>
              <w:bottom w:val="single" w:sz="8" w:space="0" w:color="000000" w:themeColor="text1"/>
            </w:tcBorders>
          </w:tcPr>
          <w:p w:rsidR="007761C8" w:rsidRPr="005E7672" w:rsidRDefault="007761C8" w:rsidP="00B40603">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86,528</w:t>
            </w:r>
          </w:p>
        </w:tc>
        <w:tc>
          <w:tcPr>
            <w:tcW w:w="0" w:type="auto"/>
            <w:tcBorders>
              <w:bottom w:val="single" w:sz="8" w:space="0" w:color="000000" w:themeColor="text1"/>
            </w:tcBorders>
          </w:tcPr>
          <w:p w:rsidR="007761C8" w:rsidRPr="005E7672" w:rsidRDefault="007761C8" w:rsidP="00B40603">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39,914</w:t>
            </w:r>
          </w:p>
        </w:tc>
      </w:tr>
      <w:tr w:rsidR="007761C8" w:rsidRPr="008A3296" w:rsidTr="008A3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8A3296" w:rsidRDefault="007761C8" w:rsidP="00B40603">
            <w:pPr>
              <w:rPr>
                <w:b/>
                <w:lang w:eastAsia="en-GB"/>
              </w:rPr>
            </w:pPr>
          </w:p>
        </w:tc>
        <w:tc>
          <w:tcPr>
            <w:tcW w:w="0" w:type="auto"/>
          </w:tcPr>
          <w:p w:rsidR="007761C8" w:rsidRPr="008A3296" w:rsidRDefault="007761C8" w:rsidP="00B40603">
            <w:pPr>
              <w:cnfStyle w:val="000000100000" w:firstRow="0" w:lastRow="0" w:firstColumn="0" w:lastColumn="0" w:oddVBand="0" w:evenVBand="0" w:oddHBand="1" w:evenHBand="0" w:firstRowFirstColumn="0" w:firstRowLastColumn="0" w:lastRowFirstColumn="0" w:lastRowLastColumn="0"/>
              <w:rPr>
                <w:b/>
                <w:lang w:eastAsia="en-GB"/>
              </w:rPr>
            </w:pPr>
          </w:p>
        </w:tc>
        <w:tc>
          <w:tcPr>
            <w:tcW w:w="0" w:type="auto"/>
            <w:tcBorders>
              <w:top w:val="single" w:sz="8" w:space="0" w:color="000000" w:themeColor="text1"/>
              <w:bottom w:val="double" w:sz="4" w:space="0" w:color="auto"/>
            </w:tcBorders>
          </w:tcPr>
          <w:p w:rsidR="007761C8" w:rsidRPr="008A3296" w:rsidRDefault="00875C32" w:rsidP="00B40603">
            <w:pPr>
              <w:jc w:val="right"/>
              <w:cnfStyle w:val="000000100000" w:firstRow="0" w:lastRow="0" w:firstColumn="0" w:lastColumn="0" w:oddVBand="0" w:evenVBand="0" w:oddHBand="1" w:evenHBand="0" w:firstRowFirstColumn="0" w:firstRowLastColumn="0" w:lastRowFirstColumn="0" w:lastRowLastColumn="0"/>
              <w:rPr>
                <w:b/>
                <w:lang w:eastAsia="en-GB"/>
              </w:rPr>
            </w:pPr>
            <w:r w:rsidRPr="00875C32">
              <w:rPr>
                <w:b/>
                <w:lang w:eastAsia="en-GB"/>
              </w:rPr>
              <w:t>2,626,893</w:t>
            </w:r>
          </w:p>
        </w:tc>
        <w:tc>
          <w:tcPr>
            <w:tcW w:w="0" w:type="auto"/>
            <w:tcBorders>
              <w:top w:val="single" w:sz="8" w:space="0" w:color="000000" w:themeColor="text1"/>
              <w:bottom w:val="double" w:sz="4" w:space="0" w:color="auto"/>
            </w:tcBorders>
          </w:tcPr>
          <w:p w:rsidR="007761C8" w:rsidRPr="008A3296" w:rsidRDefault="007761C8" w:rsidP="00B40603">
            <w:pPr>
              <w:jc w:val="right"/>
              <w:cnfStyle w:val="000000100000" w:firstRow="0" w:lastRow="0" w:firstColumn="0" w:lastColumn="0" w:oddVBand="0" w:evenVBand="0" w:oddHBand="1" w:evenHBand="0" w:firstRowFirstColumn="0" w:firstRowLastColumn="0" w:lastRowFirstColumn="0" w:lastRowLastColumn="0"/>
              <w:rPr>
                <w:b/>
                <w:lang w:eastAsia="en-GB"/>
              </w:rPr>
            </w:pPr>
            <w:r w:rsidRPr="008A3296">
              <w:rPr>
                <w:b/>
                <w:lang w:eastAsia="en-GB"/>
              </w:rPr>
              <w:t>2,353,470</w:t>
            </w:r>
          </w:p>
        </w:tc>
      </w:tr>
    </w:tbl>
    <w:p w:rsidR="007761C8" w:rsidRPr="005E7672" w:rsidRDefault="007761C8" w:rsidP="007761C8">
      <w:pPr>
        <w:rPr>
          <w:lang w:eastAsia="en-GB"/>
        </w:rPr>
      </w:pPr>
    </w:p>
    <w:p w:rsidR="00FB5EA5" w:rsidRPr="0059165F" w:rsidRDefault="00FB5EA5">
      <w:pPr>
        <w:spacing w:after="0"/>
      </w:pPr>
      <w:r>
        <w:rPr>
          <w:lang w:eastAsia="en-GB"/>
        </w:rPr>
        <w:br w:type="page"/>
      </w:r>
    </w:p>
    <w:p w:rsidR="007761C8" w:rsidRPr="005E7672" w:rsidRDefault="004A6896" w:rsidP="004A6896">
      <w:pPr>
        <w:pStyle w:val="Heading4"/>
        <w:rPr>
          <w:lang w:eastAsia="en-GB"/>
        </w:rPr>
      </w:pPr>
      <w:r>
        <w:rPr>
          <w:lang w:eastAsia="en-GB"/>
        </w:rPr>
        <w:t xml:space="preserve">(a) </w:t>
      </w:r>
      <w:r w:rsidR="007761C8" w:rsidRPr="005E7672">
        <w:rPr>
          <w:lang w:eastAsia="en-GB"/>
        </w:rPr>
        <w:t>Remuneration and Other Pay Costs</w:t>
      </w:r>
    </w:p>
    <w:tbl>
      <w:tblPr>
        <w:tblStyle w:val="LightShading1"/>
        <w:tblW w:w="0" w:type="auto"/>
        <w:tblLook w:val="04A0" w:firstRow="1" w:lastRow="0" w:firstColumn="1" w:lastColumn="0" w:noHBand="0" w:noVBand="1"/>
      </w:tblPr>
      <w:tblGrid>
        <w:gridCol w:w="3662"/>
        <w:gridCol w:w="1362"/>
        <w:gridCol w:w="1362"/>
      </w:tblGrid>
      <w:tr w:rsidR="00B77371" w:rsidRPr="005E7672" w:rsidTr="00B77371">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0" w:type="auto"/>
          </w:tcPr>
          <w:p w:rsidR="00B77371" w:rsidRPr="005E7672" w:rsidRDefault="00B77371" w:rsidP="00B40603">
            <w:pPr>
              <w:rPr>
                <w:lang w:eastAsia="en-GB"/>
              </w:rPr>
            </w:pPr>
          </w:p>
        </w:tc>
        <w:tc>
          <w:tcPr>
            <w:tcW w:w="0" w:type="auto"/>
          </w:tcPr>
          <w:p w:rsidR="00B77371" w:rsidRPr="005E7672" w:rsidRDefault="00B77371" w:rsidP="00AD615F">
            <w:pPr>
              <w:jc w:val="right"/>
              <w:cnfStyle w:val="100000000000" w:firstRow="1" w:lastRow="0" w:firstColumn="0" w:lastColumn="0" w:oddVBand="0" w:evenVBand="0" w:oddHBand="0" w:evenHBand="0" w:firstRowFirstColumn="0" w:firstRowLastColumn="0" w:lastRowFirstColumn="0" w:lastRowLastColumn="0"/>
              <w:rPr>
                <w:lang w:eastAsia="en-GB"/>
              </w:rPr>
            </w:pPr>
            <w:r w:rsidRPr="005E7672">
              <w:rPr>
                <w:lang w:eastAsia="en-GB"/>
              </w:rPr>
              <w:t>2015</w:t>
            </w:r>
            <w:r>
              <w:rPr>
                <w:lang w:eastAsia="en-GB"/>
              </w:rPr>
              <w:br/>
            </w:r>
            <w:r w:rsidRPr="005E7672">
              <w:rPr>
                <w:lang w:eastAsia="en-GB"/>
              </w:rPr>
              <w:t>€</w:t>
            </w:r>
          </w:p>
        </w:tc>
        <w:tc>
          <w:tcPr>
            <w:tcW w:w="0" w:type="auto"/>
          </w:tcPr>
          <w:p w:rsidR="00B77371" w:rsidRPr="005E7672" w:rsidRDefault="00B77371" w:rsidP="00AD615F">
            <w:pPr>
              <w:jc w:val="right"/>
              <w:cnfStyle w:val="100000000000" w:firstRow="1" w:lastRow="0" w:firstColumn="0" w:lastColumn="0" w:oddVBand="0" w:evenVBand="0" w:oddHBand="0" w:evenHBand="0" w:firstRowFirstColumn="0" w:firstRowLastColumn="0" w:lastRowFirstColumn="0" w:lastRowLastColumn="0"/>
              <w:rPr>
                <w:lang w:eastAsia="en-GB"/>
              </w:rPr>
            </w:pPr>
            <w:r w:rsidRPr="005E7672">
              <w:rPr>
                <w:lang w:eastAsia="en-GB"/>
              </w:rPr>
              <w:t>2014</w:t>
            </w:r>
            <w:r>
              <w:rPr>
                <w:lang w:eastAsia="en-GB"/>
              </w:rPr>
              <w:br/>
            </w:r>
            <w:r w:rsidRPr="005E7672">
              <w:rPr>
                <w:lang w:eastAsia="en-GB"/>
              </w:rPr>
              <w:t>€</w:t>
            </w:r>
          </w:p>
        </w:tc>
      </w:tr>
      <w:tr w:rsidR="00B77371" w:rsidRPr="005E7672" w:rsidTr="00B77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371" w:rsidRPr="005E7672" w:rsidRDefault="00B77371" w:rsidP="00B40603">
            <w:pPr>
              <w:rPr>
                <w:lang w:eastAsia="en-GB"/>
              </w:rPr>
            </w:pPr>
            <w:r w:rsidRPr="005E7672">
              <w:rPr>
                <w:lang w:eastAsia="en-GB"/>
              </w:rPr>
              <w:t>Staff salaries</w:t>
            </w:r>
          </w:p>
        </w:tc>
        <w:tc>
          <w:tcPr>
            <w:tcW w:w="0" w:type="auto"/>
          </w:tcPr>
          <w:p w:rsidR="00B77371" w:rsidRPr="005E7672" w:rsidRDefault="00875C32" w:rsidP="00B40603">
            <w:pPr>
              <w:jc w:val="right"/>
              <w:cnfStyle w:val="000000100000" w:firstRow="0" w:lastRow="0" w:firstColumn="0" w:lastColumn="0" w:oddVBand="0" w:evenVBand="0" w:oddHBand="1" w:evenHBand="0" w:firstRowFirstColumn="0" w:firstRowLastColumn="0" w:lastRowFirstColumn="0" w:lastRowLastColumn="0"/>
              <w:rPr>
                <w:lang w:eastAsia="en-GB"/>
              </w:rPr>
            </w:pPr>
            <w:r>
              <w:rPr>
                <w:lang w:eastAsia="en-GB"/>
              </w:rPr>
              <w:t>1,938,041</w:t>
            </w:r>
          </w:p>
        </w:tc>
        <w:tc>
          <w:tcPr>
            <w:tcW w:w="0" w:type="auto"/>
          </w:tcPr>
          <w:p w:rsidR="00B77371" w:rsidRPr="005E7672" w:rsidRDefault="00B77371" w:rsidP="00B40603">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1,869,847</w:t>
            </w:r>
          </w:p>
        </w:tc>
      </w:tr>
      <w:tr w:rsidR="00B77371" w:rsidRPr="005E7672" w:rsidTr="00B773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371" w:rsidRPr="005E7672" w:rsidRDefault="00B77371" w:rsidP="00CD11F4">
            <w:pPr>
              <w:rPr>
                <w:lang w:eastAsia="en-GB"/>
              </w:rPr>
            </w:pPr>
            <w:r w:rsidRPr="005E7672">
              <w:rPr>
                <w:lang w:eastAsia="en-GB"/>
              </w:rPr>
              <w:t xml:space="preserve">Agency </w:t>
            </w:r>
            <w:r w:rsidR="00CD11F4">
              <w:rPr>
                <w:lang w:eastAsia="en-GB"/>
              </w:rPr>
              <w:t>s</w:t>
            </w:r>
            <w:r w:rsidRPr="005E7672">
              <w:rPr>
                <w:lang w:eastAsia="en-GB"/>
              </w:rPr>
              <w:t>taff pay</w:t>
            </w:r>
          </w:p>
        </w:tc>
        <w:tc>
          <w:tcPr>
            <w:tcW w:w="0" w:type="auto"/>
          </w:tcPr>
          <w:p w:rsidR="00B77371" w:rsidRPr="005E7672" w:rsidRDefault="00B77371" w:rsidP="00B40603">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1,295</w:t>
            </w:r>
          </w:p>
        </w:tc>
        <w:tc>
          <w:tcPr>
            <w:tcW w:w="0" w:type="auto"/>
          </w:tcPr>
          <w:p w:rsidR="00B77371" w:rsidRPr="005E7672" w:rsidRDefault="00B77371" w:rsidP="00B40603">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3,644</w:t>
            </w:r>
          </w:p>
        </w:tc>
      </w:tr>
      <w:tr w:rsidR="00B77371" w:rsidRPr="005E7672" w:rsidTr="00B77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371" w:rsidRPr="005E7672" w:rsidRDefault="00B77371" w:rsidP="00B40603">
            <w:pPr>
              <w:rPr>
                <w:lang w:eastAsia="en-GB"/>
              </w:rPr>
            </w:pPr>
            <w:r w:rsidRPr="005E7672">
              <w:rPr>
                <w:lang w:eastAsia="en-GB"/>
              </w:rPr>
              <w:t>Staff training and development</w:t>
            </w:r>
          </w:p>
        </w:tc>
        <w:tc>
          <w:tcPr>
            <w:tcW w:w="0" w:type="auto"/>
          </w:tcPr>
          <w:p w:rsidR="00B77371" w:rsidRPr="005E7672" w:rsidRDefault="00B77371" w:rsidP="00B40603">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26,902</w:t>
            </w:r>
          </w:p>
        </w:tc>
        <w:tc>
          <w:tcPr>
            <w:tcW w:w="0" w:type="auto"/>
          </w:tcPr>
          <w:p w:rsidR="00B77371" w:rsidRPr="005E7672" w:rsidRDefault="00B77371" w:rsidP="00B40603">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16,704</w:t>
            </w:r>
          </w:p>
        </w:tc>
      </w:tr>
      <w:tr w:rsidR="00B77371" w:rsidRPr="005E7672" w:rsidTr="008A32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371" w:rsidRPr="005E7672" w:rsidRDefault="00B77371" w:rsidP="00B40603">
            <w:pPr>
              <w:rPr>
                <w:lang w:eastAsia="en-GB"/>
              </w:rPr>
            </w:pPr>
            <w:r w:rsidRPr="005E7672">
              <w:rPr>
                <w:lang w:eastAsia="en-GB"/>
              </w:rPr>
              <w:t>Staff travel and subsistence costs</w:t>
            </w:r>
          </w:p>
        </w:tc>
        <w:tc>
          <w:tcPr>
            <w:tcW w:w="0" w:type="auto"/>
            <w:tcBorders>
              <w:bottom w:val="single" w:sz="8" w:space="0" w:color="000000" w:themeColor="text1"/>
            </w:tcBorders>
          </w:tcPr>
          <w:p w:rsidR="00B77371" w:rsidRPr="005E7672" w:rsidRDefault="00B77371" w:rsidP="00B40603">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18,625</w:t>
            </w:r>
          </w:p>
        </w:tc>
        <w:tc>
          <w:tcPr>
            <w:tcW w:w="0" w:type="auto"/>
            <w:tcBorders>
              <w:bottom w:val="single" w:sz="8" w:space="0" w:color="000000" w:themeColor="text1"/>
            </w:tcBorders>
          </w:tcPr>
          <w:p w:rsidR="00B77371" w:rsidRPr="005E7672" w:rsidRDefault="00B77371" w:rsidP="00B40603">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13,937</w:t>
            </w:r>
          </w:p>
        </w:tc>
      </w:tr>
      <w:tr w:rsidR="00B77371" w:rsidRPr="005E7672" w:rsidTr="008A3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371" w:rsidRPr="005E7672" w:rsidRDefault="00B77371" w:rsidP="00B40603">
            <w:pPr>
              <w:rPr>
                <w:lang w:eastAsia="en-GB"/>
              </w:rPr>
            </w:pPr>
          </w:p>
        </w:tc>
        <w:tc>
          <w:tcPr>
            <w:tcW w:w="0" w:type="auto"/>
            <w:tcBorders>
              <w:top w:val="single" w:sz="8" w:space="0" w:color="000000" w:themeColor="text1"/>
              <w:bottom w:val="double" w:sz="4" w:space="0" w:color="auto"/>
            </w:tcBorders>
          </w:tcPr>
          <w:p w:rsidR="00B77371" w:rsidRPr="008A3296" w:rsidRDefault="00875C32" w:rsidP="00B40603">
            <w:pPr>
              <w:jc w:val="right"/>
              <w:cnfStyle w:val="000000100000" w:firstRow="0" w:lastRow="0" w:firstColumn="0" w:lastColumn="0" w:oddVBand="0" w:evenVBand="0" w:oddHBand="1" w:evenHBand="0" w:firstRowFirstColumn="0" w:firstRowLastColumn="0" w:lastRowFirstColumn="0" w:lastRowLastColumn="0"/>
              <w:rPr>
                <w:b/>
                <w:lang w:eastAsia="en-GB"/>
              </w:rPr>
            </w:pPr>
            <w:r w:rsidRPr="00875C32">
              <w:rPr>
                <w:b/>
                <w:lang w:eastAsia="en-GB"/>
              </w:rPr>
              <w:t>1,984,863</w:t>
            </w:r>
          </w:p>
        </w:tc>
        <w:tc>
          <w:tcPr>
            <w:tcW w:w="0" w:type="auto"/>
            <w:tcBorders>
              <w:top w:val="single" w:sz="8" w:space="0" w:color="000000" w:themeColor="text1"/>
              <w:bottom w:val="double" w:sz="4" w:space="0" w:color="auto"/>
            </w:tcBorders>
          </w:tcPr>
          <w:p w:rsidR="00B77371" w:rsidRPr="008A3296" w:rsidRDefault="00B77371" w:rsidP="00B40603">
            <w:pPr>
              <w:jc w:val="right"/>
              <w:cnfStyle w:val="000000100000" w:firstRow="0" w:lastRow="0" w:firstColumn="0" w:lastColumn="0" w:oddVBand="0" w:evenVBand="0" w:oddHBand="1" w:evenHBand="0" w:firstRowFirstColumn="0" w:firstRowLastColumn="0" w:lastRowFirstColumn="0" w:lastRowLastColumn="0"/>
              <w:rPr>
                <w:b/>
                <w:lang w:eastAsia="en-GB"/>
              </w:rPr>
            </w:pPr>
            <w:r w:rsidRPr="008A3296">
              <w:rPr>
                <w:b/>
                <w:lang w:eastAsia="en-GB"/>
              </w:rPr>
              <w:t>1,904,132</w:t>
            </w:r>
          </w:p>
        </w:tc>
      </w:tr>
    </w:tbl>
    <w:p w:rsidR="007761C8" w:rsidRPr="005E7672" w:rsidRDefault="007761C8" w:rsidP="007761C8">
      <w:pPr>
        <w:rPr>
          <w:lang w:eastAsia="en-GB"/>
        </w:rPr>
      </w:pPr>
    </w:p>
    <w:p w:rsidR="007761C8" w:rsidRPr="005E7672" w:rsidRDefault="004A6896" w:rsidP="004A6896">
      <w:pPr>
        <w:pStyle w:val="Heading4"/>
        <w:rPr>
          <w:lang w:eastAsia="en-GB"/>
        </w:rPr>
      </w:pPr>
      <w:r>
        <w:rPr>
          <w:lang w:eastAsia="en-GB"/>
        </w:rPr>
        <w:t>(b) Employee benefits breakdown</w:t>
      </w:r>
    </w:p>
    <w:tbl>
      <w:tblPr>
        <w:tblStyle w:val="LightShading1"/>
        <w:tblW w:w="0" w:type="auto"/>
        <w:tblLook w:val="04A0" w:firstRow="1" w:lastRow="0" w:firstColumn="1" w:lastColumn="0" w:noHBand="0" w:noVBand="1"/>
      </w:tblPr>
      <w:tblGrid>
        <w:gridCol w:w="4206"/>
        <w:gridCol w:w="1474"/>
        <w:gridCol w:w="1474"/>
      </w:tblGrid>
      <w:tr w:rsidR="007761C8" w:rsidRPr="005E7672" w:rsidTr="003E7B99">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B40603">
            <w:pPr>
              <w:rPr>
                <w:lang w:eastAsia="en-GB"/>
              </w:rPr>
            </w:pPr>
            <w:r w:rsidRPr="005E7672">
              <w:rPr>
                <w:lang w:eastAsia="en-GB"/>
              </w:rPr>
              <w:t>Range of total employee benefits</w:t>
            </w:r>
          </w:p>
        </w:tc>
        <w:tc>
          <w:tcPr>
            <w:tcW w:w="0" w:type="auto"/>
            <w:gridSpan w:val="2"/>
          </w:tcPr>
          <w:p w:rsidR="007761C8" w:rsidRPr="005E7672" w:rsidRDefault="007761C8" w:rsidP="00B40603">
            <w:pPr>
              <w:cnfStyle w:val="100000000000" w:firstRow="1" w:lastRow="0" w:firstColumn="0" w:lastColumn="0" w:oddVBand="0" w:evenVBand="0" w:oddHBand="0" w:evenHBand="0" w:firstRowFirstColumn="0" w:firstRowLastColumn="0" w:lastRowFirstColumn="0" w:lastRowLastColumn="0"/>
              <w:rPr>
                <w:lang w:eastAsia="en-GB"/>
              </w:rPr>
            </w:pPr>
            <w:r w:rsidRPr="005E7672">
              <w:rPr>
                <w:lang w:eastAsia="en-GB"/>
              </w:rPr>
              <w:t>Number of Employees</w:t>
            </w:r>
          </w:p>
        </w:tc>
      </w:tr>
      <w:tr w:rsidR="007761C8" w:rsidRPr="005E7672" w:rsidTr="00AD615F">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503FEA" w:rsidP="00B40603">
            <w:pPr>
              <w:rPr>
                <w:lang w:eastAsia="en-GB"/>
              </w:rPr>
            </w:pPr>
            <w:r w:rsidRPr="005E7672">
              <w:rPr>
                <w:lang w:eastAsia="en-GB"/>
              </w:rPr>
              <w:t>From</w:t>
            </w:r>
            <w:r>
              <w:rPr>
                <w:lang w:eastAsia="en-GB"/>
              </w:rPr>
              <w:t>–</w:t>
            </w:r>
            <w:r w:rsidR="007761C8" w:rsidRPr="005E7672">
              <w:rPr>
                <w:lang w:eastAsia="en-GB"/>
              </w:rPr>
              <w:t>To</w:t>
            </w:r>
          </w:p>
        </w:tc>
        <w:tc>
          <w:tcPr>
            <w:tcW w:w="0" w:type="auto"/>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2015</w:t>
            </w:r>
          </w:p>
        </w:tc>
        <w:tc>
          <w:tcPr>
            <w:tcW w:w="0" w:type="auto"/>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2014</w:t>
            </w:r>
          </w:p>
        </w:tc>
      </w:tr>
      <w:tr w:rsidR="005C6CF2" w:rsidRPr="005E7672" w:rsidTr="003E7B99">
        <w:trPr>
          <w:cnfStyle w:val="000000010000" w:firstRow="0" w:lastRow="0" w:firstColumn="0" w:lastColumn="0" w:oddVBand="0" w:evenVBand="0" w:oddHBand="0" w:evenHBand="1"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0" w:type="auto"/>
          </w:tcPr>
          <w:p w:rsidR="005C6CF2" w:rsidRPr="005E7672" w:rsidRDefault="005C6CF2" w:rsidP="00494800">
            <w:pPr>
              <w:rPr>
                <w:lang w:eastAsia="en-GB"/>
              </w:rPr>
            </w:pPr>
            <w:r w:rsidRPr="005C6CF2">
              <w:rPr>
                <w:lang w:eastAsia="en-GB"/>
              </w:rPr>
              <w:t>Less than €59,999</w:t>
            </w:r>
          </w:p>
        </w:tc>
        <w:tc>
          <w:tcPr>
            <w:tcW w:w="0" w:type="auto"/>
          </w:tcPr>
          <w:p w:rsidR="005C6CF2" w:rsidRPr="005E7672" w:rsidRDefault="005C6CF2" w:rsidP="00B40603">
            <w:pPr>
              <w:jc w:val="right"/>
              <w:cnfStyle w:val="000000010000" w:firstRow="0" w:lastRow="0" w:firstColumn="0" w:lastColumn="0" w:oddVBand="0" w:evenVBand="0" w:oddHBand="0" w:evenHBand="1" w:firstRowFirstColumn="0" w:firstRowLastColumn="0" w:lastRowFirstColumn="0" w:lastRowLastColumn="0"/>
              <w:rPr>
                <w:lang w:eastAsia="en-GB"/>
              </w:rPr>
            </w:pPr>
            <w:r>
              <w:rPr>
                <w:lang w:eastAsia="en-GB"/>
              </w:rPr>
              <w:t>18</w:t>
            </w:r>
          </w:p>
        </w:tc>
        <w:tc>
          <w:tcPr>
            <w:tcW w:w="0" w:type="auto"/>
          </w:tcPr>
          <w:p w:rsidR="005C6CF2" w:rsidRPr="005E7672" w:rsidRDefault="005C6CF2" w:rsidP="00B40603">
            <w:pPr>
              <w:jc w:val="right"/>
              <w:cnfStyle w:val="000000010000" w:firstRow="0" w:lastRow="0" w:firstColumn="0" w:lastColumn="0" w:oddVBand="0" w:evenVBand="0" w:oddHBand="0" w:evenHBand="1" w:firstRowFirstColumn="0" w:firstRowLastColumn="0" w:lastRowFirstColumn="0" w:lastRowLastColumn="0"/>
              <w:rPr>
                <w:lang w:eastAsia="en-GB"/>
              </w:rPr>
            </w:pPr>
            <w:r>
              <w:rPr>
                <w:lang w:eastAsia="en-GB"/>
              </w:rPr>
              <w:t>21</w:t>
            </w:r>
          </w:p>
        </w:tc>
      </w:tr>
      <w:tr w:rsidR="007761C8" w:rsidRPr="005E7672" w:rsidTr="003E7B9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B40603">
            <w:pPr>
              <w:rPr>
                <w:lang w:eastAsia="en-GB"/>
              </w:rPr>
            </w:pPr>
            <w:r w:rsidRPr="005E7672">
              <w:rPr>
                <w:lang w:eastAsia="en-GB"/>
              </w:rPr>
              <w:t>€60,000</w:t>
            </w:r>
            <w:r w:rsidR="00503FEA">
              <w:rPr>
                <w:lang w:eastAsia="en-GB"/>
              </w:rPr>
              <w:t>–</w:t>
            </w:r>
            <w:r w:rsidRPr="005E7672">
              <w:rPr>
                <w:lang w:eastAsia="en-GB"/>
              </w:rPr>
              <w:t>€69,999</w:t>
            </w:r>
          </w:p>
        </w:tc>
        <w:tc>
          <w:tcPr>
            <w:tcW w:w="0" w:type="auto"/>
          </w:tcPr>
          <w:p w:rsidR="007761C8" w:rsidRPr="005E7672" w:rsidRDefault="007761C8" w:rsidP="00B40603">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4</w:t>
            </w:r>
          </w:p>
        </w:tc>
        <w:tc>
          <w:tcPr>
            <w:tcW w:w="0" w:type="auto"/>
          </w:tcPr>
          <w:p w:rsidR="007761C8" w:rsidRPr="005E7672" w:rsidRDefault="007761C8" w:rsidP="00B40603">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4</w:t>
            </w:r>
          </w:p>
        </w:tc>
      </w:tr>
      <w:tr w:rsidR="007761C8" w:rsidRPr="005E7672" w:rsidTr="003E7B99">
        <w:trPr>
          <w:cnfStyle w:val="000000010000" w:firstRow="0" w:lastRow="0" w:firstColumn="0" w:lastColumn="0" w:oddVBand="0" w:evenVBand="0" w:oddHBand="0" w:evenHBand="1"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B40603">
            <w:pPr>
              <w:rPr>
                <w:lang w:eastAsia="en-GB"/>
              </w:rPr>
            </w:pPr>
            <w:r w:rsidRPr="005E7672">
              <w:rPr>
                <w:lang w:eastAsia="en-GB"/>
              </w:rPr>
              <w:t>€70,000</w:t>
            </w:r>
            <w:r w:rsidR="00503FEA">
              <w:rPr>
                <w:lang w:eastAsia="en-GB"/>
              </w:rPr>
              <w:t>–</w:t>
            </w:r>
            <w:r w:rsidRPr="005E7672">
              <w:rPr>
                <w:lang w:eastAsia="en-GB"/>
              </w:rPr>
              <w:t>€79,999</w:t>
            </w:r>
          </w:p>
        </w:tc>
        <w:tc>
          <w:tcPr>
            <w:tcW w:w="0" w:type="auto"/>
          </w:tcPr>
          <w:p w:rsidR="007761C8" w:rsidRPr="005E7672" w:rsidRDefault="007761C8" w:rsidP="00B40603">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6</w:t>
            </w:r>
          </w:p>
        </w:tc>
        <w:tc>
          <w:tcPr>
            <w:tcW w:w="0" w:type="auto"/>
          </w:tcPr>
          <w:p w:rsidR="007761C8" w:rsidRPr="005E7672" w:rsidRDefault="007761C8" w:rsidP="00B40603">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5</w:t>
            </w:r>
          </w:p>
        </w:tc>
      </w:tr>
      <w:tr w:rsidR="007761C8" w:rsidRPr="005E7672" w:rsidTr="003E7B9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B40603">
            <w:pPr>
              <w:rPr>
                <w:lang w:eastAsia="en-GB"/>
              </w:rPr>
            </w:pPr>
            <w:r w:rsidRPr="005E7672">
              <w:rPr>
                <w:lang w:eastAsia="en-GB"/>
              </w:rPr>
              <w:t>€80,000</w:t>
            </w:r>
            <w:r w:rsidR="00503FEA">
              <w:rPr>
                <w:lang w:eastAsia="en-GB"/>
              </w:rPr>
              <w:t>–</w:t>
            </w:r>
            <w:r w:rsidRPr="005E7672">
              <w:rPr>
                <w:lang w:eastAsia="en-GB"/>
              </w:rPr>
              <w:t>€89,999</w:t>
            </w:r>
          </w:p>
        </w:tc>
        <w:tc>
          <w:tcPr>
            <w:tcW w:w="0" w:type="auto"/>
          </w:tcPr>
          <w:p w:rsidR="007761C8" w:rsidRPr="005E7672" w:rsidRDefault="007761C8" w:rsidP="00B40603">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w:t>
            </w:r>
          </w:p>
        </w:tc>
        <w:tc>
          <w:tcPr>
            <w:tcW w:w="0" w:type="auto"/>
          </w:tcPr>
          <w:p w:rsidR="007761C8" w:rsidRPr="005E7672" w:rsidRDefault="007761C8" w:rsidP="00B40603">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w:t>
            </w:r>
          </w:p>
        </w:tc>
      </w:tr>
      <w:tr w:rsidR="007761C8" w:rsidRPr="005E7672" w:rsidTr="003E7B99">
        <w:trPr>
          <w:cnfStyle w:val="000000010000" w:firstRow="0" w:lastRow="0" w:firstColumn="0" w:lastColumn="0" w:oddVBand="0" w:evenVBand="0" w:oddHBand="0" w:evenHBand="1"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B40603">
            <w:pPr>
              <w:rPr>
                <w:lang w:eastAsia="en-GB"/>
              </w:rPr>
            </w:pPr>
            <w:r w:rsidRPr="005E7672">
              <w:rPr>
                <w:lang w:eastAsia="en-GB"/>
              </w:rPr>
              <w:t>€90,000</w:t>
            </w:r>
            <w:r w:rsidR="00503FEA">
              <w:rPr>
                <w:lang w:eastAsia="en-GB"/>
              </w:rPr>
              <w:t>–</w:t>
            </w:r>
            <w:r w:rsidRPr="005E7672">
              <w:rPr>
                <w:lang w:eastAsia="en-GB"/>
              </w:rPr>
              <w:t>€99,999</w:t>
            </w:r>
          </w:p>
        </w:tc>
        <w:tc>
          <w:tcPr>
            <w:tcW w:w="0" w:type="auto"/>
          </w:tcPr>
          <w:p w:rsidR="007761C8" w:rsidRPr="005E7672" w:rsidRDefault="007761C8" w:rsidP="00B40603">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3</w:t>
            </w:r>
          </w:p>
        </w:tc>
        <w:tc>
          <w:tcPr>
            <w:tcW w:w="0" w:type="auto"/>
          </w:tcPr>
          <w:p w:rsidR="007761C8" w:rsidRPr="005E7672" w:rsidRDefault="007761C8" w:rsidP="00B40603">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3</w:t>
            </w:r>
          </w:p>
        </w:tc>
      </w:tr>
      <w:tr w:rsidR="007761C8" w:rsidRPr="005E7672" w:rsidTr="003E7B9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AF1861" w:rsidP="00AF1861">
            <w:pPr>
              <w:rPr>
                <w:lang w:eastAsia="en-GB"/>
              </w:rPr>
            </w:pPr>
            <w:r>
              <w:rPr>
                <w:lang w:eastAsia="en-GB"/>
              </w:rPr>
              <w:t xml:space="preserve">Greater than </w:t>
            </w:r>
            <w:r w:rsidR="007761C8" w:rsidRPr="005E7672">
              <w:rPr>
                <w:lang w:eastAsia="en-GB"/>
              </w:rPr>
              <w:t>€100,000</w:t>
            </w:r>
          </w:p>
        </w:tc>
        <w:tc>
          <w:tcPr>
            <w:tcW w:w="0" w:type="auto"/>
          </w:tcPr>
          <w:p w:rsidR="007761C8" w:rsidRPr="005E7672" w:rsidRDefault="007761C8" w:rsidP="00B40603">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w:t>
            </w:r>
          </w:p>
        </w:tc>
        <w:tc>
          <w:tcPr>
            <w:tcW w:w="0" w:type="auto"/>
          </w:tcPr>
          <w:p w:rsidR="007761C8" w:rsidRPr="005E7672" w:rsidRDefault="007761C8" w:rsidP="00B40603">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w:t>
            </w:r>
          </w:p>
        </w:tc>
      </w:tr>
      <w:tr w:rsidR="00AF1861" w:rsidRPr="005E7672" w:rsidTr="003E7B99">
        <w:trPr>
          <w:cnfStyle w:val="000000010000" w:firstRow="0" w:lastRow="0" w:firstColumn="0" w:lastColumn="0" w:oddVBand="0" w:evenVBand="0" w:oddHBand="0" w:evenHBand="1"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0" w:type="auto"/>
          </w:tcPr>
          <w:p w:rsidR="00AF1861" w:rsidRDefault="00AF1861" w:rsidP="00AF1861">
            <w:pPr>
              <w:rPr>
                <w:lang w:eastAsia="en-GB"/>
              </w:rPr>
            </w:pPr>
            <w:r w:rsidRPr="00AF1861">
              <w:rPr>
                <w:lang w:eastAsia="en-GB"/>
              </w:rPr>
              <w:t>Total number employed</w:t>
            </w:r>
          </w:p>
        </w:tc>
        <w:tc>
          <w:tcPr>
            <w:tcW w:w="0" w:type="auto"/>
          </w:tcPr>
          <w:p w:rsidR="00AF1861" w:rsidRPr="005E7672" w:rsidRDefault="00AF1861" w:rsidP="00B40603">
            <w:pPr>
              <w:jc w:val="right"/>
              <w:cnfStyle w:val="000000010000" w:firstRow="0" w:lastRow="0" w:firstColumn="0" w:lastColumn="0" w:oddVBand="0" w:evenVBand="0" w:oddHBand="0" w:evenHBand="1" w:firstRowFirstColumn="0" w:firstRowLastColumn="0" w:lastRowFirstColumn="0" w:lastRowLastColumn="0"/>
              <w:rPr>
                <w:lang w:eastAsia="en-GB"/>
              </w:rPr>
            </w:pPr>
            <w:r>
              <w:rPr>
                <w:lang w:eastAsia="en-GB"/>
              </w:rPr>
              <w:t>31</w:t>
            </w:r>
          </w:p>
        </w:tc>
        <w:tc>
          <w:tcPr>
            <w:tcW w:w="0" w:type="auto"/>
          </w:tcPr>
          <w:p w:rsidR="00AF1861" w:rsidRPr="005E7672" w:rsidRDefault="00AF1861" w:rsidP="00B40603">
            <w:pPr>
              <w:jc w:val="right"/>
              <w:cnfStyle w:val="000000010000" w:firstRow="0" w:lastRow="0" w:firstColumn="0" w:lastColumn="0" w:oddVBand="0" w:evenVBand="0" w:oddHBand="0" w:evenHBand="1" w:firstRowFirstColumn="0" w:firstRowLastColumn="0" w:lastRowFirstColumn="0" w:lastRowLastColumn="0"/>
              <w:rPr>
                <w:lang w:eastAsia="en-GB"/>
              </w:rPr>
            </w:pPr>
            <w:r>
              <w:rPr>
                <w:lang w:eastAsia="en-GB"/>
              </w:rPr>
              <w:t>33</w:t>
            </w:r>
          </w:p>
        </w:tc>
      </w:tr>
    </w:tbl>
    <w:p w:rsidR="007761C8" w:rsidRPr="005E7672" w:rsidRDefault="007761C8" w:rsidP="005D596A">
      <w:pPr>
        <w:rPr>
          <w:lang w:eastAsia="en-GB"/>
        </w:rPr>
      </w:pPr>
    </w:p>
    <w:p w:rsidR="007761C8" w:rsidRPr="005E7672" w:rsidRDefault="007761C8" w:rsidP="004A6896">
      <w:pPr>
        <w:pStyle w:val="Heading4"/>
        <w:rPr>
          <w:lang w:eastAsia="en-GB"/>
        </w:rPr>
      </w:pPr>
      <w:r w:rsidRPr="005E7672">
        <w:rPr>
          <w:lang w:eastAsia="en-GB"/>
        </w:rPr>
        <w:t>(c) Authority Members’ Emoluments</w:t>
      </w:r>
    </w:p>
    <w:tbl>
      <w:tblPr>
        <w:tblStyle w:val="LightShading1"/>
        <w:tblW w:w="0" w:type="auto"/>
        <w:tblLook w:val="04A0" w:firstRow="1" w:lastRow="0" w:firstColumn="1" w:lastColumn="0" w:noHBand="0" w:noVBand="1"/>
      </w:tblPr>
      <w:tblGrid>
        <w:gridCol w:w="2863"/>
        <w:gridCol w:w="1303"/>
        <w:gridCol w:w="1982"/>
        <w:gridCol w:w="2005"/>
      </w:tblGrid>
      <w:tr w:rsidR="007761C8" w:rsidRPr="005E7672" w:rsidTr="00AD615F">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AD615F">
            <w:pPr>
              <w:rPr>
                <w:lang w:eastAsia="en-GB"/>
              </w:rPr>
            </w:pPr>
            <w:r w:rsidRPr="005E7672">
              <w:rPr>
                <w:lang w:eastAsia="en-GB"/>
              </w:rPr>
              <w:t xml:space="preserve">Board </w:t>
            </w:r>
            <w:r w:rsidR="00AD615F">
              <w:rPr>
                <w:lang w:eastAsia="en-GB"/>
              </w:rPr>
              <w:t>m</w:t>
            </w:r>
            <w:r w:rsidRPr="005E7672">
              <w:rPr>
                <w:lang w:eastAsia="en-GB"/>
              </w:rPr>
              <w:t>ember</w:t>
            </w:r>
          </w:p>
        </w:tc>
        <w:tc>
          <w:tcPr>
            <w:tcW w:w="0" w:type="auto"/>
          </w:tcPr>
          <w:p w:rsidR="007761C8" w:rsidRPr="005E7672" w:rsidRDefault="007761C8" w:rsidP="00AD615F">
            <w:pPr>
              <w:jc w:val="right"/>
              <w:cnfStyle w:val="100000000000" w:firstRow="1" w:lastRow="0" w:firstColumn="0" w:lastColumn="0" w:oddVBand="0" w:evenVBand="0" w:oddHBand="0" w:evenHBand="0" w:firstRowFirstColumn="0" w:firstRowLastColumn="0" w:lastRowFirstColumn="0" w:lastRowLastColumn="0"/>
              <w:rPr>
                <w:lang w:eastAsia="en-GB"/>
              </w:rPr>
            </w:pPr>
            <w:r w:rsidRPr="005E7672">
              <w:rPr>
                <w:lang w:eastAsia="en-GB"/>
              </w:rPr>
              <w:t>Board</w:t>
            </w:r>
            <w:r w:rsidR="00FA21D0">
              <w:rPr>
                <w:lang w:eastAsia="en-GB"/>
              </w:rPr>
              <w:t xml:space="preserve"> </w:t>
            </w:r>
            <w:r w:rsidR="00AD615F">
              <w:rPr>
                <w:lang w:eastAsia="en-GB"/>
              </w:rPr>
              <w:t>f</w:t>
            </w:r>
            <w:r w:rsidRPr="005E7672">
              <w:rPr>
                <w:lang w:eastAsia="en-GB"/>
              </w:rPr>
              <w:t>ees</w:t>
            </w:r>
          </w:p>
        </w:tc>
        <w:tc>
          <w:tcPr>
            <w:tcW w:w="0" w:type="auto"/>
          </w:tcPr>
          <w:p w:rsidR="007761C8" w:rsidRPr="005E7672" w:rsidRDefault="007761C8" w:rsidP="00AD615F">
            <w:pPr>
              <w:jc w:val="right"/>
              <w:cnfStyle w:val="100000000000" w:firstRow="1" w:lastRow="0" w:firstColumn="0" w:lastColumn="0" w:oddVBand="0" w:evenVBand="0" w:oddHBand="0" w:evenHBand="0" w:firstRowFirstColumn="0" w:firstRowLastColumn="0" w:lastRowFirstColumn="0" w:lastRowLastColumn="0"/>
              <w:rPr>
                <w:lang w:eastAsia="en-GB"/>
              </w:rPr>
            </w:pPr>
            <w:r w:rsidRPr="005E7672">
              <w:rPr>
                <w:lang w:eastAsia="en-GB"/>
              </w:rPr>
              <w:t>Incurred</w:t>
            </w:r>
            <w:r w:rsidR="00AD615F">
              <w:rPr>
                <w:lang w:eastAsia="en-GB"/>
              </w:rPr>
              <w:t xml:space="preserve"> e</w:t>
            </w:r>
            <w:r w:rsidRPr="005E7672">
              <w:rPr>
                <w:lang w:eastAsia="en-GB"/>
              </w:rPr>
              <w:t>xpenses</w:t>
            </w:r>
          </w:p>
        </w:tc>
        <w:tc>
          <w:tcPr>
            <w:tcW w:w="0" w:type="auto"/>
          </w:tcPr>
          <w:p w:rsidR="007761C8" w:rsidRPr="005E7672" w:rsidRDefault="007761C8" w:rsidP="00AD615F">
            <w:pPr>
              <w:jc w:val="right"/>
              <w:cnfStyle w:val="100000000000" w:firstRow="1" w:lastRow="0" w:firstColumn="0" w:lastColumn="0" w:oddVBand="0" w:evenVBand="0" w:oddHBand="0" w:evenHBand="0" w:firstRowFirstColumn="0" w:firstRowLastColumn="0" w:lastRowFirstColumn="0" w:lastRowLastColumn="0"/>
              <w:rPr>
                <w:lang w:eastAsia="en-GB"/>
              </w:rPr>
            </w:pPr>
            <w:r w:rsidRPr="005E7672">
              <w:rPr>
                <w:lang w:eastAsia="en-GB"/>
              </w:rPr>
              <w:t>Meetings attended</w:t>
            </w:r>
          </w:p>
        </w:tc>
      </w:tr>
      <w:tr w:rsidR="007761C8" w:rsidRPr="005E7672" w:rsidTr="00AD6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AD615F">
            <w:pPr>
              <w:rPr>
                <w:lang w:eastAsia="en-GB"/>
              </w:rPr>
            </w:pPr>
            <w:r w:rsidRPr="005E7672">
              <w:rPr>
                <w:lang w:eastAsia="en-GB"/>
              </w:rPr>
              <w:t>Ms .Helen Guinan (Chairperson)</w:t>
            </w:r>
          </w:p>
        </w:tc>
        <w:tc>
          <w:tcPr>
            <w:tcW w:w="0" w:type="auto"/>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8,978</w:t>
            </w:r>
          </w:p>
        </w:tc>
        <w:tc>
          <w:tcPr>
            <w:tcW w:w="0" w:type="auto"/>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4,600</w:t>
            </w:r>
          </w:p>
        </w:tc>
        <w:tc>
          <w:tcPr>
            <w:tcW w:w="0" w:type="auto"/>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7/7</w:t>
            </w:r>
          </w:p>
        </w:tc>
      </w:tr>
      <w:tr w:rsidR="007761C8" w:rsidRPr="005E7672" w:rsidTr="00AD61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AD615F">
            <w:pPr>
              <w:rPr>
                <w:lang w:eastAsia="en-GB"/>
              </w:rPr>
            </w:pPr>
            <w:r w:rsidRPr="005E7672">
              <w:rPr>
                <w:lang w:eastAsia="en-GB"/>
              </w:rPr>
              <w:t xml:space="preserve">Ms. Orla Barry </w:t>
            </w:r>
          </w:p>
        </w:tc>
        <w:tc>
          <w:tcPr>
            <w:tcW w:w="0" w:type="auto"/>
          </w:tcPr>
          <w:p w:rsidR="007761C8" w:rsidRPr="005E7672" w:rsidRDefault="007761C8"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w:t>
            </w:r>
          </w:p>
        </w:tc>
        <w:tc>
          <w:tcPr>
            <w:tcW w:w="0" w:type="auto"/>
          </w:tcPr>
          <w:p w:rsidR="007761C8" w:rsidRPr="005E7672" w:rsidRDefault="007761C8"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w:t>
            </w:r>
          </w:p>
        </w:tc>
        <w:tc>
          <w:tcPr>
            <w:tcW w:w="0" w:type="auto"/>
          </w:tcPr>
          <w:p w:rsidR="007761C8" w:rsidRPr="005E7672" w:rsidRDefault="007761C8"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6/7</w:t>
            </w:r>
          </w:p>
        </w:tc>
      </w:tr>
      <w:tr w:rsidR="007761C8" w:rsidRPr="005E7672" w:rsidTr="00AD6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AD615F">
            <w:pPr>
              <w:rPr>
                <w:lang w:eastAsia="en-GB"/>
              </w:rPr>
            </w:pPr>
            <w:r w:rsidRPr="005E7672">
              <w:rPr>
                <w:lang w:eastAsia="en-GB"/>
              </w:rPr>
              <w:t>Mr. Frank Cunneen</w:t>
            </w:r>
          </w:p>
        </w:tc>
        <w:tc>
          <w:tcPr>
            <w:tcW w:w="0" w:type="auto"/>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5,985</w:t>
            </w:r>
          </w:p>
        </w:tc>
        <w:tc>
          <w:tcPr>
            <w:tcW w:w="0" w:type="auto"/>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w:t>
            </w:r>
          </w:p>
        </w:tc>
        <w:tc>
          <w:tcPr>
            <w:tcW w:w="0" w:type="auto"/>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7/7</w:t>
            </w:r>
          </w:p>
        </w:tc>
      </w:tr>
      <w:tr w:rsidR="007761C8" w:rsidRPr="005E7672" w:rsidTr="00AD61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AD615F">
            <w:pPr>
              <w:rPr>
                <w:lang w:eastAsia="en-GB"/>
              </w:rPr>
            </w:pPr>
            <w:r w:rsidRPr="005E7672">
              <w:rPr>
                <w:lang w:eastAsia="en-GB"/>
              </w:rPr>
              <w:t>Mr. Des Kenny</w:t>
            </w:r>
          </w:p>
        </w:tc>
        <w:tc>
          <w:tcPr>
            <w:tcW w:w="0" w:type="auto"/>
          </w:tcPr>
          <w:p w:rsidR="007761C8" w:rsidRPr="005E7672" w:rsidRDefault="007761C8"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5,985</w:t>
            </w:r>
          </w:p>
        </w:tc>
        <w:tc>
          <w:tcPr>
            <w:tcW w:w="0" w:type="auto"/>
          </w:tcPr>
          <w:p w:rsidR="007761C8" w:rsidRPr="005E7672" w:rsidRDefault="007761C8"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w:t>
            </w:r>
          </w:p>
        </w:tc>
        <w:tc>
          <w:tcPr>
            <w:tcW w:w="0" w:type="auto"/>
          </w:tcPr>
          <w:p w:rsidR="007761C8" w:rsidRPr="005E7672" w:rsidRDefault="007761C8"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7/7</w:t>
            </w:r>
          </w:p>
        </w:tc>
      </w:tr>
      <w:tr w:rsidR="007761C8" w:rsidRPr="005E7672" w:rsidTr="00AD6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AD615F">
            <w:pPr>
              <w:rPr>
                <w:lang w:eastAsia="en-GB"/>
              </w:rPr>
            </w:pPr>
            <w:r w:rsidRPr="005E7672">
              <w:rPr>
                <w:lang w:eastAsia="en-GB"/>
              </w:rPr>
              <w:t>Ms. Ruthann La Malfa</w:t>
            </w:r>
          </w:p>
        </w:tc>
        <w:tc>
          <w:tcPr>
            <w:tcW w:w="0" w:type="auto"/>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5,985</w:t>
            </w:r>
          </w:p>
        </w:tc>
        <w:tc>
          <w:tcPr>
            <w:tcW w:w="0" w:type="auto"/>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w:t>
            </w:r>
          </w:p>
        </w:tc>
        <w:tc>
          <w:tcPr>
            <w:tcW w:w="0" w:type="auto"/>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7/7</w:t>
            </w:r>
          </w:p>
        </w:tc>
      </w:tr>
      <w:tr w:rsidR="007761C8" w:rsidRPr="005E7672" w:rsidTr="00AD61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AD615F">
            <w:pPr>
              <w:rPr>
                <w:lang w:eastAsia="en-GB"/>
              </w:rPr>
            </w:pPr>
            <w:r w:rsidRPr="005E7672">
              <w:rPr>
                <w:lang w:eastAsia="en-GB"/>
              </w:rPr>
              <w:t>Ms. Mary Lavelle</w:t>
            </w:r>
          </w:p>
        </w:tc>
        <w:tc>
          <w:tcPr>
            <w:tcW w:w="0" w:type="auto"/>
          </w:tcPr>
          <w:p w:rsidR="007761C8" w:rsidRPr="005E7672" w:rsidRDefault="007761C8"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5,985</w:t>
            </w:r>
          </w:p>
        </w:tc>
        <w:tc>
          <w:tcPr>
            <w:tcW w:w="0" w:type="auto"/>
          </w:tcPr>
          <w:p w:rsidR="007761C8" w:rsidRPr="005E7672" w:rsidRDefault="007761C8"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w:t>
            </w:r>
          </w:p>
        </w:tc>
        <w:tc>
          <w:tcPr>
            <w:tcW w:w="0" w:type="auto"/>
          </w:tcPr>
          <w:p w:rsidR="007761C8" w:rsidRPr="005E7672" w:rsidRDefault="007761C8"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6/7</w:t>
            </w:r>
          </w:p>
        </w:tc>
      </w:tr>
      <w:tr w:rsidR="007761C8" w:rsidRPr="005E7672" w:rsidTr="00AD6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AD615F">
            <w:pPr>
              <w:rPr>
                <w:lang w:eastAsia="en-GB"/>
              </w:rPr>
            </w:pPr>
            <w:r w:rsidRPr="005E7672">
              <w:rPr>
                <w:lang w:eastAsia="en-GB"/>
              </w:rPr>
              <w:t>Ms. Teresa McDonnell</w:t>
            </w:r>
          </w:p>
        </w:tc>
        <w:tc>
          <w:tcPr>
            <w:tcW w:w="0" w:type="auto"/>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5,985</w:t>
            </w:r>
          </w:p>
        </w:tc>
        <w:tc>
          <w:tcPr>
            <w:tcW w:w="0" w:type="auto"/>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29</w:t>
            </w:r>
          </w:p>
        </w:tc>
        <w:tc>
          <w:tcPr>
            <w:tcW w:w="0" w:type="auto"/>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5/7</w:t>
            </w:r>
          </w:p>
        </w:tc>
      </w:tr>
      <w:tr w:rsidR="007761C8" w:rsidRPr="005E7672" w:rsidTr="00AD61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AD615F">
            <w:pPr>
              <w:rPr>
                <w:lang w:eastAsia="en-GB"/>
              </w:rPr>
            </w:pPr>
            <w:r w:rsidRPr="005E7672">
              <w:rPr>
                <w:lang w:eastAsia="en-GB"/>
              </w:rPr>
              <w:t>Mr. Deaglán O’Briain</w:t>
            </w:r>
          </w:p>
        </w:tc>
        <w:tc>
          <w:tcPr>
            <w:tcW w:w="0" w:type="auto"/>
          </w:tcPr>
          <w:p w:rsidR="007761C8" w:rsidRPr="005E7672" w:rsidRDefault="007761C8"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w:t>
            </w:r>
          </w:p>
        </w:tc>
        <w:tc>
          <w:tcPr>
            <w:tcW w:w="0" w:type="auto"/>
          </w:tcPr>
          <w:p w:rsidR="007761C8" w:rsidRPr="005E7672" w:rsidRDefault="007761C8"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w:t>
            </w:r>
          </w:p>
        </w:tc>
        <w:tc>
          <w:tcPr>
            <w:tcW w:w="0" w:type="auto"/>
          </w:tcPr>
          <w:p w:rsidR="007761C8" w:rsidRPr="005E7672" w:rsidRDefault="007761C8"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6/7</w:t>
            </w:r>
          </w:p>
        </w:tc>
      </w:tr>
      <w:tr w:rsidR="007761C8" w:rsidRPr="005E7672" w:rsidTr="00AD6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AD615F">
            <w:pPr>
              <w:rPr>
                <w:lang w:eastAsia="en-GB"/>
              </w:rPr>
            </w:pPr>
            <w:r w:rsidRPr="005E7672">
              <w:rPr>
                <w:lang w:eastAsia="en-GB"/>
              </w:rPr>
              <w:t>Ms. Deirdre O’Connor</w:t>
            </w:r>
          </w:p>
        </w:tc>
        <w:tc>
          <w:tcPr>
            <w:tcW w:w="0" w:type="auto"/>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5,663</w:t>
            </w:r>
          </w:p>
        </w:tc>
        <w:tc>
          <w:tcPr>
            <w:tcW w:w="0" w:type="auto"/>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w:t>
            </w:r>
          </w:p>
        </w:tc>
        <w:tc>
          <w:tcPr>
            <w:tcW w:w="0" w:type="auto"/>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6/7</w:t>
            </w:r>
          </w:p>
        </w:tc>
      </w:tr>
      <w:tr w:rsidR="007761C8" w:rsidRPr="005E7672" w:rsidTr="00AD61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AD615F">
            <w:pPr>
              <w:rPr>
                <w:lang w:eastAsia="en-GB"/>
              </w:rPr>
            </w:pPr>
            <w:r w:rsidRPr="005E7672">
              <w:rPr>
                <w:lang w:eastAsia="en-GB"/>
              </w:rPr>
              <w:t>Mr. James O’Grady</w:t>
            </w:r>
          </w:p>
        </w:tc>
        <w:tc>
          <w:tcPr>
            <w:tcW w:w="0" w:type="auto"/>
          </w:tcPr>
          <w:p w:rsidR="007761C8" w:rsidRPr="005E7672" w:rsidRDefault="007761C8"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5,985</w:t>
            </w:r>
          </w:p>
        </w:tc>
        <w:tc>
          <w:tcPr>
            <w:tcW w:w="0" w:type="auto"/>
          </w:tcPr>
          <w:p w:rsidR="007761C8" w:rsidRPr="005E7672" w:rsidRDefault="007761C8"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w:t>
            </w:r>
          </w:p>
        </w:tc>
        <w:tc>
          <w:tcPr>
            <w:tcW w:w="0" w:type="auto"/>
          </w:tcPr>
          <w:p w:rsidR="007761C8" w:rsidRPr="005E7672" w:rsidRDefault="007761C8"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7/7</w:t>
            </w:r>
          </w:p>
        </w:tc>
      </w:tr>
      <w:tr w:rsidR="007761C8" w:rsidRPr="005E7672" w:rsidTr="00AD6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AD615F">
            <w:pPr>
              <w:rPr>
                <w:lang w:eastAsia="en-GB"/>
              </w:rPr>
            </w:pPr>
            <w:r w:rsidRPr="005E7672">
              <w:rPr>
                <w:lang w:eastAsia="en-GB"/>
              </w:rPr>
              <w:t>Mr. Donie O’Leary</w:t>
            </w:r>
          </w:p>
        </w:tc>
        <w:tc>
          <w:tcPr>
            <w:tcW w:w="0" w:type="auto"/>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5,985</w:t>
            </w:r>
          </w:p>
        </w:tc>
        <w:tc>
          <w:tcPr>
            <w:tcW w:w="0" w:type="auto"/>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1,005</w:t>
            </w:r>
          </w:p>
        </w:tc>
        <w:tc>
          <w:tcPr>
            <w:tcW w:w="0" w:type="auto"/>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7/7</w:t>
            </w:r>
          </w:p>
        </w:tc>
      </w:tr>
      <w:tr w:rsidR="007761C8" w:rsidRPr="005E7672" w:rsidTr="00AD61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AD615F">
            <w:pPr>
              <w:rPr>
                <w:lang w:eastAsia="en-GB"/>
              </w:rPr>
            </w:pPr>
            <w:r w:rsidRPr="005E7672">
              <w:rPr>
                <w:lang w:eastAsia="en-GB"/>
              </w:rPr>
              <w:t>Ms. Alison Ryan</w:t>
            </w:r>
          </w:p>
        </w:tc>
        <w:tc>
          <w:tcPr>
            <w:tcW w:w="0" w:type="auto"/>
          </w:tcPr>
          <w:p w:rsidR="007761C8" w:rsidRPr="005E7672" w:rsidRDefault="007761C8"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5,985</w:t>
            </w:r>
          </w:p>
        </w:tc>
        <w:tc>
          <w:tcPr>
            <w:tcW w:w="0" w:type="auto"/>
          </w:tcPr>
          <w:p w:rsidR="007761C8" w:rsidRPr="005E7672" w:rsidRDefault="007761C8"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83</w:t>
            </w:r>
          </w:p>
        </w:tc>
        <w:tc>
          <w:tcPr>
            <w:tcW w:w="0" w:type="auto"/>
          </w:tcPr>
          <w:p w:rsidR="007761C8" w:rsidRPr="005E7672" w:rsidRDefault="007761C8"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5/7</w:t>
            </w:r>
          </w:p>
        </w:tc>
      </w:tr>
      <w:tr w:rsidR="007761C8" w:rsidRPr="005E7672" w:rsidTr="00AD6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AD615F">
            <w:pPr>
              <w:rPr>
                <w:lang w:eastAsia="en-GB"/>
              </w:rPr>
            </w:pPr>
            <w:r w:rsidRPr="005E7672">
              <w:rPr>
                <w:lang w:eastAsia="en-GB"/>
              </w:rPr>
              <w:t>Mr. Donal Rice</w:t>
            </w:r>
          </w:p>
        </w:tc>
        <w:tc>
          <w:tcPr>
            <w:tcW w:w="0" w:type="auto"/>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w:t>
            </w:r>
          </w:p>
        </w:tc>
        <w:tc>
          <w:tcPr>
            <w:tcW w:w="0" w:type="auto"/>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w:t>
            </w:r>
          </w:p>
        </w:tc>
        <w:tc>
          <w:tcPr>
            <w:tcW w:w="0" w:type="auto"/>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6/7</w:t>
            </w:r>
          </w:p>
        </w:tc>
      </w:tr>
      <w:tr w:rsidR="007761C8" w:rsidRPr="005E7672" w:rsidTr="008A32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AD615F">
            <w:pPr>
              <w:rPr>
                <w:lang w:eastAsia="en-GB"/>
              </w:rPr>
            </w:pPr>
            <w:r w:rsidRPr="005E7672">
              <w:rPr>
                <w:lang w:eastAsia="en-GB"/>
              </w:rPr>
              <w:t>Audit Committee</w:t>
            </w:r>
            <w:r w:rsidR="00AD615F">
              <w:rPr>
                <w:lang w:eastAsia="en-GB"/>
              </w:rPr>
              <w:br/>
            </w:r>
            <w:r w:rsidRPr="005E7672">
              <w:rPr>
                <w:lang w:eastAsia="en-GB"/>
              </w:rPr>
              <w:t>Mr. Donal Lawlor</w:t>
            </w:r>
          </w:p>
        </w:tc>
        <w:tc>
          <w:tcPr>
            <w:tcW w:w="0" w:type="auto"/>
            <w:tcBorders>
              <w:bottom w:val="single" w:sz="8" w:space="0" w:color="000000" w:themeColor="text1"/>
            </w:tcBorders>
          </w:tcPr>
          <w:p w:rsidR="007761C8" w:rsidRPr="005E7672" w:rsidRDefault="007761C8"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1,282</w:t>
            </w:r>
          </w:p>
        </w:tc>
        <w:tc>
          <w:tcPr>
            <w:tcW w:w="0" w:type="auto"/>
            <w:tcBorders>
              <w:bottom w:val="single" w:sz="8" w:space="0" w:color="000000" w:themeColor="text1"/>
            </w:tcBorders>
          </w:tcPr>
          <w:p w:rsidR="007761C8" w:rsidRPr="005E7672" w:rsidRDefault="007761C8"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w:t>
            </w:r>
          </w:p>
        </w:tc>
        <w:tc>
          <w:tcPr>
            <w:tcW w:w="0" w:type="auto"/>
          </w:tcPr>
          <w:p w:rsidR="007761C8" w:rsidRPr="005E7672" w:rsidRDefault="007761C8" w:rsidP="00AD615F">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4/4</w:t>
            </w:r>
          </w:p>
        </w:tc>
      </w:tr>
      <w:tr w:rsidR="007761C8" w:rsidRPr="005E7672" w:rsidTr="008A3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AD615F">
            <w:pPr>
              <w:rPr>
                <w:lang w:eastAsia="en-GB"/>
              </w:rPr>
            </w:pPr>
          </w:p>
        </w:tc>
        <w:tc>
          <w:tcPr>
            <w:tcW w:w="0" w:type="auto"/>
            <w:tcBorders>
              <w:top w:val="single" w:sz="8" w:space="0" w:color="000000" w:themeColor="text1"/>
              <w:bottom w:val="double" w:sz="4" w:space="0" w:color="auto"/>
            </w:tcBorders>
          </w:tcPr>
          <w:p w:rsidR="007761C8" w:rsidRPr="008A3296" w:rsidRDefault="007761C8" w:rsidP="00AD615F">
            <w:pPr>
              <w:jc w:val="right"/>
              <w:cnfStyle w:val="000000100000" w:firstRow="0" w:lastRow="0" w:firstColumn="0" w:lastColumn="0" w:oddVBand="0" w:evenVBand="0" w:oddHBand="1" w:evenHBand="0" w:firstRowFirstColumn="0" w:firstRowLastColumn="0" w:lastRowFirstColumn="0" w:lastRowLastColumn="0"/>
              <w:rPr>
                <w:b/>
                <w:lang w:eastAsia="en-GB"/>
              </w:rPr>
            </w:pPr>
            <w:r w:rsidRPr="008A3296">
              <w:rPr>
                <w:b/>
                <w:lang w:eastAsia="en-GB"/>
              </w:rPr>
              <w:t>63,803</w:t>
            </w:r>
          </w:p>
        </w:tc>
        <w:tc>
          <w:tcPr>
            <w:tcW w:w="0" w:type="auto"/>
            <w:tcBorders>
              <w:top w:val="single" w:sz="8" w:space="0" w:color="000000" w:themeColor="text1"/>
              <w:bottom w:val="double" w:sz="4" w:space="0" w:color="auto"/>
            </w:tcBorders>
          </w:tcPr>
          <w:p w:rsidR="007761C8" w:rsidRPr="008A3296" w:rsidRDefault="007761C8" w:rsidP="00AD615F">
            <w:pPr>
              <w:jc w:val="right"/>
              <w:cnfStyle w:val="000000100000" w:firstRow="0" w:lastRow="0" w:firstColumn="0" w:lastColumn="0" w:oddVBand="0" w:evenVBand="0" w:oddHBand="1" w:evenHBand="0" w:firstRowFirstColumn="0" w:firstRowLastColumn="0" w:lastRowFirstColumn="0" w:lastRowLastColumn="0"/>
              <w:rPr>
                <w:b/>
                <w:lang w:eastAsia="en-GB"/>
              </w:rPr>
            </w:pPr>
            <w:r w:rsidRPr="008A3296">
              <w:rPr>
                <w:b/>
                <w:lang w:eastAsia="en-GB"/>
              </w:rPr>
              <w:t>5,717</w:t>
            </w:r>
          </w:p>
        </w:tc>
        <w:tc>
          <w:tcPr>
            <w:tcW w:w="0" w:type="auto"/>
          </w:tcPr>
          <w:p w:rsidR="007761C8" w:rsidRPr="005E7672" w:rsidRDefault="007761C8" w:rsidP="00AD615F">
            <w:pPr>
              <w:jc w:val="right"/>
              <w:cnfStyle w:val="000000100000" w:firstRow="0" w:lastRow="0" w:firstColumn="0" w:lastColumn="0" w:oddVBand="0" w:evenVBand="0" w:oddHBand="1" w:evenHBand="0" w:firstRowFirstColumn="0" w:firstRowLastColumn="0" w:lastRowFirstColumn="0" w:lastRowLastColumn="0"/>
              <w:rPr>
                <w:lang w:eastAsia="en-GB"/>
              </w:rPr>
            </w:pPr>
          </w:p>
        </w:tc>
      </w:tr>
    </w:tbl>
    <w:p w:rsidR="001C14DA" w:rsidRDefault="001C14DA" w:rsidP="001C14DA">
      <w:pPr>
        <w:rPr>
          <w:lang w:eastAsia="en-GB"/>
        </w:rPr>
      </w:pPr>
    </w:p>
    <w:p w:rsidR="007761C8" w:rsidRPr="005E7672" w:rsidRDefault="007761C8" w:rsidP="004A6896">
      <w:pPr>
        <w:pStyle w:val="Heading5"/>
        <w:rPr>
          <w:lang w:eastAsia="en-GB"/>
        </w:rPr>
      </w:pPr>
      <w:r w:rsidRPr="005E7672">
        <w:rPr>
          <w:lang w:eastAsia="en-GB"/>
        </w:rPr>
        <w:t xml:space="preserve">Authority Members Fees and Expenses </w:t>
      </w:r>
    </w:p>
    <w:p w:rsidR="007761C8" w:rsidRPr="005E7672" w:rsidRDefault="007761C8" w:rsidP="007761C8">
      <w:pPr>
        <w:rPr>
          <w:lang w:eastAsia="en-GB"/>
        </w:rPr>
      </w:pPr>
      <w:r w:rsidRPr="005E7672">
        <w:rPr>
          <w:lang w:eastAsia="en-GB"/>
        </w:rPr>
        <w:t xml:space="preserve">Authority fees shown in note </w:t>
      </w:r>
      <w:r w:rsidR="00AF1861">
        <w:rPr>
          <w:lang w:eastAsia="en-GB"/>
        </w:rPr>
        <w:t>5</w:t>
      </w:r>
      <w:r w:rsidRPr="005E7672">
        <w:rPr>
          <w:lang w:eastAsia="en-GB"/>
        </w:rPr>
        <w:t xml:space="preserve"> are exclusive of accruals of (€1,891) and €134 for 2014 and 2015 respectively.</w:t>
      </w:r>
    </w:p>
    <w:p w:rsidR="007761C8" w:rsidRPr="005E7672" w:rsidRDefault="007761C8" w:rsidP="004A6896">
      <w:pPr>
        <w:pStyle w:val="Heading5"/>
        <w:rPr>
          <w:lang w:eastAsia="en-GB"/>
        </w:rPr>
      </w:pPr>
      <w:r w:rsidRPr="005E7672">
        <w:rPr>
          <w:lang w:eastAsia="en-GB"/>
        </w:rPr>
        <w:t>Director</w:t>
      </w:r>
      <w:r w:rsidR="00B87408">
        <w:rPr>
          <w:lang w:eastAsia="en-GB"/>
        </w:rPr>
        <w:t>’</w:t>
      </w:r>
      <w:r w:rsidRPr="005E7672">
        <w:rPr>
          <w:lang w:eastAsia="en-GB"/>
        </w:rPr>
        <w:t>s Remuneration</w:t>
      </w:r>
    </w:p>
    <w:p w:rsidR="007761C8" w:rsidRPr="005E7672" w:rsidRDefault="007761C8" w:rsidP="007761C8">
      <w:pPr>
        <w:rPr>
          <w:lang w:eastAsia="en-GB"/>
        </w:rPr>
      </w:pPr>
      <w:r w:rsidRPr="005E7672">
        <w:rPr>
          <w:lang w:eastAsia="en-GB"/>
        </w:rPr>
        <w:t xml:space="preserve">The Director was paid a salary in 2015 of €99,501(2014: €95,816) on the Civil Service Principal Officer Scale. The increase year on year relates to an additional pay date in 2015. The Director did not receive a pay increase and no other payment was made in the year to the Director in the nature of pay. The Director is a member of the Department of Justice and Equality superannuation scheme and her entitlements do not extend beyond the standard entitlements available under such a scheme. </w:t>
      </w:r>
    </w:p>
    <w:p w:rsidR="007761C8" w:rsidRPr="005E7672" w:rsidRDefault="007761C8" w:rsidP="007761C8">
      <w:pPr>
        <w:rPr>
          <w:lang w:eastAsia="en-GB"/>
        </w:rPr>
      </w:pPr>
      <w:r w:rsidRPr="005E7672">
        <w:rPr>
          <w:lang w:eastAsia="en-GB"/>
        </w:rPr>
        <w:t>The Director incurred with no direct benefit to the individual an amount of €366 (2014: €</w:t>
      </w:r>
      <w:r w:rsidR="00AF1861">
        <w:rPr>
          <w:lang w:eastAsia="en-GB"/>
        </w:rPr>
        <w:t>1,233</w:t>
      </w:r>
      <w:r w:rsidRPr="005E7672">
        <w:rPr>
          <w:lang w:eastAsia="en-GB"/>
        </w:rPr>
        <w:t>) in respect of travel and subsistence.</w:t>
      </w:r>
    </w:p>
    <w:p w:rsidR="007761C8" w:rsidRPr="005E7672" w:rsidRDefault="007761C8" w:rsidP="004A6896">
      <w:pPr>
        <w:pStyle w:val="Heading5"/>
        <w:rPr>
          <w:lang w:eastAsia="en-GB"/>
        </w:rPr>
      </w:pPr>
      <w:r w:rsidRPr="005E7672">
        <w:rPr>
          <w:lang w:eastAsia="en-GB"/>
        </w:rPr>
        <w:t xml:space="preserve">Pension Levy Contributions </w:t>
      </w:r>
    </w:p>
    <w:p w:rsidR="007761C8" w:rsidRPr="005E7672" w:rsidRDefault="007761C8" w:rsidP="007761C8">
      <w:pPr>
        <w:rPr>
          <w:lang w:eastAsia="en-GB"/>
        </w:rPr>
      </w:pPr>
      <w:r w:rsidRPr="005E7672">
        <w:rPr>
          <w:lang w:eastAsia="en-GB"/>
        </w:rPr>
        <w:t>€112,798 (2014: €109,695) was deducted from staff by way of a pension levy and retained by the Department of Justice and Equality.</w:t>
      </w:r>
    </w:p>
    <w:p w:rsidR="007761C8" w:rsidRPr="005E7672" w:rsidRDefault="007761C8" w:rsidP="004A6896">
      <w:pPr>
        <w:pStyle w:val="Heading5"/>
        <w:rPr>
          <w:lang w:eastAsia="en-GB"/>
        </w:rPr>
      </w:pPr>
      <w:r w:rsidRPr="005E7672">
        <w:rPr>
          <w:lang w:eastAsia="en-GB"/>
        </w:rPr>
        <w:t>Authority Meetings</w:t>
      </w:r>
    </w:p>
    <w:p w:rsidR="007761C8" w:rsidRPr="005E7672" w:rsidRDefault="007761C8" w:rsidP="007761C8">
      <w:pPr>
        <w:rPr>
          <w:lang w:eastAsia="en-GB"/>
        </w:rPr>
      </w:pPr>
      <w:r w:rsidRPr="005E7672">
        <w:rPr>
          <w:lang w:eastAsia="en-GB"/>
        </w:rPr>
        <w:t xml:space="preserve">During 2015, seven Authority meetings were held. There were no appointments or resignations from the Board during the period. </w:t>
      </w:r>
    </w:p>
    <w:p w:rsidR="007761C8" w:rsidRPr="005E7672" w:rsidRDefault="004A6896" w:rsidP="004A6896">
      <w:pPr>
        <w:pStyle w:val="Heading3"/>
        <w:rPr>
          <w:lang w:eastAsia="en-GB"/>
        </w:rPr>
      </w:pPr>
      <w:r>
        <w:rPr>
          <w:lang w:eastAsia="en-GB"/>
        </w:rPr>
        <w:t xml:space="preserve">6. </w:t>
      </w:r>
      <w:r w:rsidR="007761C8" w:rsidRPr="005E7672">
        <w:rPr>
          <w:lang w:eastAsia="en-GB"/>
        </w:rPr>
        <w:t>Retirement Benefit Costs</w:t>
      </w:r>
    </w:p>
    <w:p w:rsidR="007761C8" w:rsidRPr="005E7672" w:rsidRDefault="004A6896" w:rsidP="004A6896">
      <w:pPr>
        <w:pStyle w:val="Heading4"/>
        <w:rPr>
          <w:lang w:eastAsia="en-GB"/>
        </w:rPr>
      </w:pPr>
      <w:r>
        <w:rPr>
          <w:lang w:eastAsia="en-GB"/>
        </w:rPr>
        <w:t xml:space="preserve">(a) </w:t>
      </w:r>
      <w:r w:rsidR="007761C8" w:rsidRPr="005E7672">
        <w:rPr>
          <w:lang w:eastAsia="en-GB"/>
        </w:rPr>
        <w:t>Analysis of total retirement benefit costs charged to the Statement of Income and Expenditure and Retained Revenue Reserves</w:t>
      </w:r>
    </w:p>
    <w:tbl>
      <w:tblPr>
        <w:tblStyle w:val="LightShading1"/>
        <w:tblW w:w="0" w:type="auto"/>
        <w:tblLook w:val="04A0" w:firstRow="1" w:lastRow="0" w:firstColumn="1" w:lastColumn="0" w:noHBand="0" w:noVBand="1"/>
      </w:tblPr>
      <w:tblGrid>
        <w:gridCol w:w="4657"/>
        <w:gridCol w:w="1362"/>
        <w:gridCol w:w="1362"/>
      </w:tblGrid>
      <w:tr w:rsidR="003E7B99" w:rsidRPr="005E7672" w:rsidTr="00FB5EA5">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4657" w:type="dxa"/>
          </w:tcPr>
          <w:p w:rsidR="003E7B99" w:rsidRPr="005E7672" w:rsidRDefault="003E7B99" w:rsidP="007761C8">
            <w:pPr>
              <w:rPr>
                <w:lang w:eastAsia="en-GB"/>
              </w:rPr>
            </w:pPr>
          </w:p>
        </w:tc>
        <w:tc>
          <w:tcPr>
            <w:tcW w:w="1266" w:type="dxa"/>
          </w:tcPr>
          <w:p w:rsidR="003E7B99" w:rsidRPr="005E7672" w:rsidRDefault="003E7B99" w:rsidP="00FB5EA5">
            <w:pPr>
              <w:jc w:val="right"/>
              <w:cnfStyle w:val="100000000000" w:firstRow="1" w:lastRow="0" w:firstColumn="0" w:lastColumn="0" w:oddVBand="0" w:evenVBand="0" w:oddHBand="0" w:evenHBand="0" w:firstRowFirstColumn="0" w:firstRowLastColumn="0" w:lastRowFirstColumn="0" w:lastRowLastColumn="0"/>
              <w:rPr>
                <w:lang w:eastAsia="en-GB"/>
              </w:rPr>
            </w:pPr>
            <w:r w:rsidRPr="005E7672">
              <w:rPr>
                <w:lang w:eastAsia="en-GB"/>
              </w:rPr>
              <w:t>2015</w:t>
            </w:r>
            <w:r>
              <w:rPr>
                <w:lang w:eastAsia="en-GB"/>
              </w:rPr>
              <w:br/>
            </w:r>
            <w:r w:rsidRPr="005E7672">
              <w:rPr>
                <w:lang w:eastAsia="en-GB"/>
              </w:rPr>
              <w:t>€</w:t>
            </w:r>
          </w:p>
        </w:tc>
        <w:tc>
          <w:tcPr>
            <w:tcW w:w="1266" w:type="dxa"/>
          </w:tcPr>
          <w:p w:rsidR="003E7B99" w:rsidRPr="005E7672" w:rsidRDefault="003E7B99" w:rsidP="00FB5EA5">
            <w:pPr>
              <w:jc w:val="right"/>
              <w:cnfStyle w:val="100000000000" w:firstRow="1" w:lastRow="0" w:firstColumn="0" w:lastColumn="0" w:oddVBand="0" w:evenVBand="0" w:oddHBand="0" w:evenHBand="0" w:firstRowFirstColumn="0" w:firstRowLastColumn="0" w:lastRowFirstColumn="0" w:lastRowLastColumn="0"/>
              <w:rPr>
                <w:lang w:eastAsia="en-GB"/>
              </w:rPr>
            </w:pPr>
            <w:r w:rsidRPr="005E7672">
              <w:rPr>
                <w:lang w:eastAsia="en-GB"/>
              </w:rPr>
              <w:t>2014</w:t>
            </w:r>
            <w:r>
              <w:rPr>
                <w:lang w:eastAsia="en-GB"/>
              </w:rPr>
              <w:br/>
            </w:r>
            <w:r w:rsidRPr="005E7672">
              <w:rPr>
                <w:lang w:eastAsia="en-GB"/>
              </w:rPr>
              <w:t>€</w:t>
            </w:r>
          </w:p>
        </w:tc>
      </w:tr>
      <w:tr w:rsidR="003E7B99" w:rsidRPr="005E7672" w:rsidTr="00FB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7" w:type="dxa"/>
          </w:tcPr>
          <w:p w:rsidR="003E7B99" w:rsidRPr="005E7672" w:rsidRDefault="003E7B99" w:rsidP="005D596A">
            <w:pPr>
              <w:rPr>
                <w:lang w:eastAsia="en-GB"/>
              </w:rPr>
            </w:pPr>
            <w:r w:rsidRPr="005E7672">
              <w:rPr>
                <w:lang w:eastAsia="en-GB"/>
              </w:rPr>
              <w:t>Current service costs</w:t>
            </w:r>
          </w:p>
        </w:tc>
        <w:tc>
          <w:tcPr>
            <w:tcW w:w="1266" w:type="dxa"/>
          </w:tcPr>
          <w:p w:rsidR="003E7B99" w:rsidRPr="005E7672" w:rsidRDefault="003E7B99" w:rsidP="00FB5EA5">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420,000</w:t>
            </w:r>
          </w:p>
        </w:tc>
        <w:tc>
          <w:tcPr>
            <w:tcW w:w="1266" w:type="dxa"/>
          </w:tcPr>
          <w:p w:rsidR="003E7B99" w:rsidRPr="005E7672" w:rsidRDefault="003E7B99" w:rsidP="00FB5EA5">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420,000</w:t>
            </w:r>
          </w:p>
        </w:tc>
      </w:tr>
      <w:tr w:rsidR="003E7B99" w:rsidRPr="005E7672" w:rsidTr="00FB5E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7" w:type="dxa"/>
          </w:tcPr>
          <w:p w:rsidR="003E7B99" w:rsidRPr="005E7672" w:rsidRDefault="003E7B99" w:rsidP="005D596A">
            <w:pPr>
              <w:rPr>
                <w:lang w:eastAsia="en-GB"/>
              </w:rPr>
            </w:pPr>
            <w:r w:rsidRPr="005E7672">
              <w:rPr>
                <w:lang w:eastAsia="en-GB"/>
              </w:rPr>
              <w:t>Interest on retirement benefit scheme liabilities</w:t>
            </w:r>
          </w:p>
        </w:tc>
        <w:tc>
          <w:tcPr>
            <w:tcW w:w="1266" w:type="dxa"/>
          </w:tcPr>
          <w:p w:rsidR="003E7B99" w:rsidRPr="005E7672" w:rsidRDefault="003E7B99" w:rsidP="00FB5EA5">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913,000</w:t>
            </w:r>
          </w:p>
        </w:tc>
        <w:tc>
          <w:tcPr>
            <w:tcW w:w="1266" w:type="dxa"/>
          </w:tcPr>
          <w:p w:rsidR="003E7B99" w:rsidRPr="005E7672" w:rsidRDefault="003E7B99" w:rsidP="00FB5EA5">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920,000</w:t>
            </w:r>
          </w:p>
        </w:tc>
      </w:tr>
      <w:tr w:rsidR="003E7B99" w:rsidRPr="005E7672" w:rsidTr="008A3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7" w:type="dxa"/>
          </w:tcPr>
          <w:p w:rsidR="003E7B99" w:rsidRPr="005E7672" w:rsidRDefault="003E7B99" w:rsidP="005D596A">
            <w:pPr>
              <w:rPr>
                <w:lang w:eastAsia="en-GB"/>
              </w:rPr>
            </w:pPr>
            <w:r w:rsidRPr="005E7672">
              <w:rPr>
                <w:lang w:eastAsia="en-GB"/>
              </w:rPr>
              <w:t>Employee Contributions</w:t>
            </w:r>
          </w:p>
        </w:tc>
        <w:tc>
          <w:tcPr>
            <w:tcW w:w="1266" w:type="dxa"/>
            <w:tcBorders>
              <w:bottom w:val="single" w:sz="8" w:space="0" w:color="000000" w:themeColor="text1"/>
            </w:tcBorders>
          </w:tcPr>
          <w:p w:rsidR="003E7B99" w:rsidRPr="005E7672" w:rsidRDefault="003E7B99" w:rsidP="00FB5EA5">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(104,000)</w:t>
            </w:r>
          </w:p>
        </w:tc>
        <w:tc>
          <w:tcPr>
            <w:tcW w:w="1266" w:type="dxa"/>
            <w:tcBorders>
              <w:bottom w:val="single" w:sz="8" w:space="0" w:color="000000" w:themeColor="text1"/>
            </w:tcBorders>
          </w:tcPr>
          <w:p w:rsidR="003E7B99" w:rsidRPr="005E7672" w:rsidRDefault="003E7B99" w:rsidP="00FB5EA5">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(103,790)</w:t>
            </w:r>
          </w:p>
        </w:tc>
      </w:tr>
      <w:tr w:rsidR="003E7B99" w:rsidRPr="005E7672" w:rsidTr="008A32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7" w:type="dxa"/>
          </w:tcPr>
          <w:p w:rsidR="003E7B99" w:rsidRPr="005E7672" w:rsidRDefault="003E7B99" w:rsidP="007761C8">
            <w:pPr>
              <w:rPr>
                <w:lang w:eastAsia="en-GB"/>
              </w:rPr>
            </w:pPr>
          </w:p>
        </w:tc>
        <w:tc>
          <w:tcPr>
            <w:tcW w:w="1266" w:type="dxa"/>
            <w:tcBorders>
              <w:top w:val="single" w:sz="8" w:space="0" w:color="000000" w:themeColor="text1"/>
              <w:bottom w:val="double" w:sz="4" w:space="0" w:color="auto"/>
            </w:tcBorders>
          </w:tcPr>
          <w:p w:rsidR="003E7B99" w:rsidRPr="008A3296" w:rsidRDefault="003E7B99" w:rsidP="00FB5EA5">
            <w:pPr>
              <w:jc w:val="right"/>
              <w:cnfStyle w:val="000000010000" w:firstRow="0" w:lastRow="0" w:firstColumn="0" w:lastColumn="0" w:oddVBand="0" w:evenVBand="0" w:oddHBand="0" w:evenHBand="1" w:firstRowFirstColumn="0" w:firstRowLastColumn="0" w:lastRowFirstColumn="0" w:lastRowLastColumn="0"/>
              <w:rPr>
                <w:b/>
                <w:lang w:eastAsia="en-GB"/>
              </w:rPr>
            </w:pPr>
            <w:r w:rsidRPr="008A3296">
              <w:rPr>
                <w:b/>
                <w:lang w:eastAsia="en-GB"/>
              </w:rPr>
              <w:t>1,229,000</w:t>
            </w:r>
          </w:p>
        </w:tc>
        <w:tc>
          <w:tcPr>
            <w:tcW w:w="1266" w:type="dxa"/>
            <w:tcBorders>
              <w:top w:val="single" w:sz="8" w:space="0" w:color="000000" w:themeColor="text1"/>
              <w:bottom w:val="double" w:sz="4" w:space="0" w:color="auto"/>
            </w:tcBorders>
          </w:tcPr>
          <w:p w:rsidR="003E7B99" w:rsidRPr="008A3296" w:rsidRDefault="003E7B99" w:rsidP="00FB5EA5">
            <w:pPr>
              <w:jc w:val="right"/>
              <w:cnfStyle w:val="000000010000" w:firstRow="0" w:lastRow="0" w:firstColumn="0" w:lastColumn="0" w:oddVBand="0" w:evenVBand="0" w:oddHBand="0" w:evenHBand="1" w:firstRowFirstColumn="0" w:firstRowLastColumn="0" w:lastRowFirstColumn="0" w:lastRowLastColumn="0"/>
              <w:rPr>
                <w:b/>
                <w:lang w:eastAsia="en-GB"/>
              </w:rPr>
            </w:pPr>
            <w:r w:rsidRPr="008A3296">
              <w:rPr>
                <w:b/>
                <w:lang w:eastAsia="en-GB"/>
              </w:rPr>
              <w:t>1,236,210</w:t>
            </w:r>
          </w:p>
        </w:tc>
      </w:tr>
    </w:tbl>
    <w:p w:rsidR="00FB5EA5" w:rsidRDefault="00FB5EA5" w:rsidP="00ED066E">
      <w:pPr>
        <w:rPr>
          <w:lang w:eastAsia="en-GB"/>
        </w:rPr>
      </w:pPr>
    </w:p>
    <w:p w:rsidR="00FB5EA5" w:rsidRPr="0059165F" w:rsidRDefault="00FB5EA5" w:rsidP="00FB5EA5">
      <w:r>
        <w:rPr>
          <w:lang w:eastAsia="en-GB"/>
        </w:rPr>
        <w:br w:type="page"/>
      </w:r>
    </w:p>
    <w:p w:rsidR="007761C8" w:rsidRPr="005E7672" w:rsidRDefault="004A6896" w:rsidP="004A6896">
      <w:pPr>
        <w:pStyle w:val="Heading4"/>
        <w:rPr>
          <w:lang w:eastAsia="en-GB"/>
        </w:rPr>
      </w:pPr>
      <w:r>
        <w:rPr>
          <w:lang w:eastAsia="en-GB"/>
        </w:rPr>
        <w:t xml:space="preserve">(b) </w:t>
      </w:r>
      <w:r w:rsidR="007761C8" w:rsidRPr="005E7672">
        <w:rPr>
          <w:lang w:eastAsia="en-GB"/>
        </w:rPr>
        <w:t>Movement in net retirement benefit obligations during the financial year</w:t>
      </w:r>
    </w:p>
    <w:tbl>
      <w:tblPr>
        <w:tblStyle w:val="LightShading1"/>
        <w:tblW w:w="0" w:type="auto"/>
        <w:tblLook w:val="04A0" w:firstRow="1" w:lastRow="0" w:firstColumn="1" w:lastColumn="0" w:noHBand="0" w:noVBand="1"/>
      </w:tblPr>
      <w:tblGrid>
        <w:gridCol w:w="5143"/>
        <w:gridCol w:w="1505"/>
        <w:gridCol w:w="1505"/>
      </w:tblGrid>
      <w:tr w:rsidR="003E7B99" w:rsidRPr="005E7672" w:rsidTr="00FB5EA5">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0" w:type="auto"/>
          </w:tcPr>
          <w:p w:rsidR="003E7B99" w:rsidRPr="005E7672" w:rsidRDefault="003E7B99" w:rsidP="007761C8">
            <w:pPr>
              <w:rPr>
                <w:lang w:eastAsia="en-GB"/>
              </w:rPr>
            </w:pPr>
          </w:p>
        </w:tc>
        <w:tc>
          <w:tcPr>
            <w:tcW w:w="0" w:type="auto"/>
          </w:tcPr>
          <w:p w:rsidR="003E7B99" w:rsidRPr="005E7672" w:rsidRDefault="003E7B99" w:rsidP="00FB5EA5">
            <w:pPr>
              <w:jc w:val="right"/>
              <w:cnfStyle w:val="100000000000" w:firstRow="1" w:lastRow="0" w:firstColumn="0" w:lastColumn="0" w:oddVBand="0" w:evenVBand="0" w:oddHBand="0" w:evenHBand="0" w:firstRowFirstColumn="0" w:firstRowLastColumn="0" w:lastRowFirstColumn="0" w:lastRowLastColumn="0"/>
              <w:rPr>
                <w:lang w:eastAsia="en-GB"/>
              </w:rPr>
            </w:pPr>
            <w:r w:rsidRPr="005E7672">
              <w:rPr>
                <w:lang w:eastAsia="en-GB"/>
              </w:rPr>
              <w:t>2015</w:t>
            </w:r>
            <w:r>
              <w:rPr>
                <w:lang w:eastAsia="en-GB"/>
              </w:rPr>
              <w:br/>
            </w:r>
            <w:r w:rsidRPr="005E7672">
              <w:rPr>
                <w:lang w:eastAsia="en-GB"/>
              </w:rPr>
              <w:t>€</w:t>
            </w:r>
          </w:p>
        </w:tc>
        <w:tc>
          <w:tcPr>
            <w:tcW w:w="0" w:type="auto"/>
          </w:tcPr>
          <w:p w:rsidR="003E7B99" w:rsidRPr="005E7672" w:rsidRDefault="003E7B99" w:rsidP="00FB5EA5">
            <w:pPr>
              <w:jc w:val="right"/>
              <w:cnfStyle w:val="100000000000" w:firstRow="1" w:lastRow="0" w:firstColumn="0" w:lastColumn="0" w:oddVBand="0" w:evenVBand="0" w:oddHBand="0" w:evenHBand="0" w:firstRowFirstColumn="0" w:firstRowLastColumn="0" w:lastRowFirstColumn="0" w:lastRowLastColumn="0"/>
              <w:rPr>
                <w:lang w:eastAsia="en-GB"/>
              </w:rPr>
            </w:pPr>
            <w:r w:rsidRPr="005E7672">
              <w:rPr>
                <w:lang w:eastAsia="en-GB"/>
              </w:rPr>
              <w:t>2014</w:t>
            </w:r>
            <w:r>
              <w:rPr>
                <w:lang w:eastAsia="en-GB"/>
              </w:rPr>
              <w:br/>
            </w:r>
            <w:r w:rsidRPr="005E7672">
              <w:rPr>
                <w:lang w:eastAsia="en-GB"/>
              </w:rPr>
              <w:t>€</w:t>
            </w:r>
          </w:p>
        </w:tc>
      </w:tr>
      <w:tr w:rsidR="003E7B99" w:rsidRPr="005E7672" w:rsidTr="00FB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E7B99" w:rsidRPr="005E7672" w:rsidRDefault="003E7B99" w:rsidP="005D596A">
            <w:pPr>
              <w:rPr>
                <w:lang w:eastAsia="en-GB"/>
              </w:rPr>
            </w:pPr>
            <w:r w:rsidRPr="005E7672">
              <w:rPr>
                <w:lang w:eastAsia="en-GB"/>
              </w:rPr>
              <w:t>Net retirement benefit obligation at 1 January</w:t>
            </w:r>
          </w:p>
        </w:tc>
        <w:tc>
          <w:tcPr>
            <w:tcW w:w="0" w:type="auto"/>
          </w:tcPr>
          <w:p w:rsidR="003E7B99" w:rsidRPr="005E7672" w:rsidRDefault="003E7B99" w:rsidP="00FB5EA5">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16,600,000</w:t>
            </w:r>
          </w:p>
        </w:tc>
        <w:tc>
          <w:tcPr>
            <w:tcW w:w="0" w:type="auto"/>
          </w:tcPr>
          <w:p w:rsidR="003E7B99" w:rsidRPr="005E7672" w:rsidRDefault="003E7B99" w:rsidP="00FB5EA5">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16,800,000</w:t>
            </w:r>
          </w:p>
        </w:tc>
      </w:tr>
      <w:tr w:rsidR="003E7B99" w:rsidRPr="005E7672" w:rsidTr="00FB5E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E7B99" w:rsidRPr="005E7672" w:rsidRDefault="003E7B99" w:rsidP="005D596A">
            <w:pPr>
              <w:rPr>
                <w:lang w:eastAsia="en-GB"/>
              </w:rPr>
            </w:pPr>
            <w:r w:rsidRPr="005E7672">
              <w:rPr>
                <w:lang w:eastAsia="en-GB"/>
              </w:rPr>
              <w:t>Current service costs</w:t>
            </w:r>
          </w:p>
        </w:tc>
        <w:tc>
          <w:tcPr>
            <w:tcW w:w="0" w:type="auto"/>
          </w:tcPr>
          <w:p w:rsidR="003E7B99" w:rsidRPr="005E7672" w:rsidRDefault="003E7B99" w:rsidP="00FB5EA5">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420,000</w:t>
            </w:r>
          </w:p>
        </w:tc>
        <w:tc>
          <w:tcPr>
            <w:tcW w:w="0" w:type="auto"/>
          </w:tcPr>
          <w:p w:rsidR="003E7B99" w:rsidRPr="005E7672" w:rsidRDefault="003E7B99" w:rsidP="00FB5EA5">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420,000</w:t>
            </w:r>
          </w:p>
        </w:tc>
      </w:tr>
      <w:tr w:rsidR="003E7B99" w:rsidRPr="005E7672" w:rsidTr="00FB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E7B99" w:rsidRPr="005E7672" w:rsidRDefault="003E7B99" w:rsidP="005D596A">
            <w:pPr>
              <w:rPr>
                <w:lang w:eastAsia="en-GB"/>
              </w:rPr>
            </w:pPr>
            <w:r w:rsidRPr="005E7672">
              <w:rPr>
                <w:lang w:eastAsia="en-GB"/>
              </w:rPr>
              <w:t>Interest costs</w:t>
            </w:r>
          </w:p>
        </w:tc>
        <w:tc>
          <w:tcPr>
            <w:tcW w:w="0" w:type="auto"/>
          </w:tcPr>
          <w:p w:rsidR="003E7B99" w:rsidRPr="005E7672" w:rsidRDefault="003E7B99" w:rsidP="00FB5EA5">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913,000</w:t>
            </w:r>
          </w:p>
        </w:tc>
        <w:tc>
          <w:tcPr>
            <w:tcW w:w="0" w:type="auto"/>
          </w:tcPr>
          <w:p w:rsidR="003E7B99" w:rsidRPr="005E7672" w:rsidRDefault="003E7B99" w:rsidP="00FB5EA5">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920,000</w:t>
            </w:r>
          </w:p>
        </w:tc>
      </w:tr>
      <w:tr w:rsidR="003E7B99" w:rsidRPr="005E7672" w:rsidTr="00FB5E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E7B99" w:rsidRPr="005E7672" w:rsidRDefault="003E7B99" w:rsidP="005D596A">
            <w:pPr>
              <w:rPr>
                <w:lang w:eastAsia="en-GB"/>
              </w:rPr>
            </w:pPr>
            <w:r w:rsidRPr="005E7672">
              <w:rPr>
                <w:lang w:eastAsia="en-GB"/>
              </w:rPr>
              <w:t>Actuarial gain/(loss)</w:t>
            </w:r>
          </w:p>
        </w:tc>
        <w:tc>
          <w:tcPr>
            <w:tcW w:w="0" w:type="auto"/>
          </w:tcPr>
          <w:p w:rsidR="003E7B99" w:rsidRPr="005E7672" w:rsidRDefault="003E7B99" w:rsidP="00FB5EA5">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6,055,550</w:t>
            </w:r>
          </w:p>
        </w:tc>
        <w:tc>
          <w:tcPr>
            <w:tcW w:w="0" w:type="auto"/>
          </w:tcPr>
          <w:p w:rsidR="003E7B99" w:rsidRPr="005E7672" w:rsidRDefault="003E7B99" w:rsidP="00FB5EA5">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(978,000)</w:t>
            </w:r>
          </w:p>
        </w:tc>
      </w:tr>
      <w:tr w:rsidR="003E7B99" w:rsidRPr="005E7672" w:rsidTr="008A3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E7B99" w:rsidRPr="005E7672" w:rsidRDefault="003E7B99" w:rsidP="005D596A">
            <w:pPr>
              <w:rPr>
                <w:lang w:eastAsia="en-GB"/>
              </w:rPr>
            </w:pPr>
            <w:r w:rsidRPr="005E7672">
              <w:rPr>
                <w:lang w:eastAsia="en-GB"/>
              </w:rPr>
              <w:t>Pensions paid in the year</w:t>
            </w:r>
          </w:p>
        </w:tc>
        <w:tc>
          <w:tcPr>
            <w:tcW w:w="0" w:type="auto"/>
            <w:tcBorders>
              <w:bottom w:val="single" w:sz="8" w:space="0" w:color="000000" w:themeColor="text1"/>
            </w:tcBorders>
          </w:tcPr>
          <w:p w:rsidR="003E7B99" w:rsidRPr="005E7672" w:rsidRDefault="003E7B99" w:rsidP="00FB5EA5">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(616,750)</w:t>
            </w:r>
          </w:p>
        </w:tc>
        <w:tc>
          <w:tcPr>
            <w:tcW w:w="0" w:type="auto"/>
            <w:tcBorders>
              <w:bottom w:val="single" w:sz="8" w:space="0" w:color="000000" w:themeColor="text1"/>
            </w:tcBorders>
          </w:tcPr>
          <w:p w:rsidR="003E7B99" w:rsidRPr="005E7672" w:rsidRDefault="003E7B99" w:rsidP="00FB5EA5">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(562,000)</w:t>
            </w:r>
          </w:p>
        </w:tc>
      </w:tr>
      <w:tr w:rsidR="003E7B99" w:rsidRPr="008A3296" w:rsidTr="008A32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E7B99" w:rsidRPr="008A3296" w:rsidRDefault="003E7B99" w:rsidP="005D596A">
            <w:pPr>
              <w:rPr>
                <w:b/>
                <w:lang w:eastAsia="en-GB"/>
              </w:rPr>
            </w:pPr>
            <w:r w:rsidRPr="008A3296">
              <w:rPr>
                <w:b/>
                <w:lang w:eastAsia="en-GB"/>
              </w:rPr>
              <w:t>Net retirement benefit obligation at 31 December</w:t>
            </w:r>
          </w:p>
        </w:tc>
        <w:tc>
          <w:tcPr>
            <w:tcW w:w="0" w:type="auto"/>
            <w:tcBorders>
              <w:top w:val="single" w:sz="8" w:space="0" w:color="000000" w:themeColor="text1"/>
              <w:bottom w:val="double" w:sz="4" w:space="0" w:color="auto"/>
            </w:tcBorders>
          </w:tcPr>
          <w:p w:rsidR="003E7B99" w:rsidRPr="008A3296" w:rsidRDefault="003E7B99" w:rsidP="00FB5EA5">
            <w:pPr>
              <w:jc w:val="right"/>
              <w:cnfStyle w:val="000000010000" w:firstRow="0" w:lastRow="0" w:firstColumn="0" w:lastColumn="0" w:oddVBand="0" w:evenVBand="0" w:oddHBand="0" w:evenHBand="1" w:firstRowFirstColumn="0" w:firstRowLastColumn="0" w:lastRowFirstColumn="0" w:lastRowLastColumn="0"/>
              <w:rPr>
                <w:b/>
                <w:lang w:eastAsia="en-GB"/>
              </w:rPr>
            </w:pPr>
            <w:r w:rsidRPr="008A3296">
              <w:rPr>
                <w:b/>
                <w:lang w:eastAsia="en-GB"/>
              </w:rPr>
              <w:t>23,371,800</w:t>
            </w:r>
          </w:p>
        </w:tc>
        <w:tc>
          <w:tcPr>
            <w:tcW w:w="0" w:type="auto"/>
            <w:tcBorders>
              <w:top w:val="single" w:sz="8" w:space="0" w:color="000000" w:themeColor="text1"/>
              <w:bottom w:val="double" w:sz="4" w:space="0" w:color="auto"/>
            </w:tcBorders>
          </w:tcPr>
          <w:p w:rsidR="003E7B99" w:rsidRPr="008A3296" w:rsidRDefault="003E7B99" w:rsidP="00FB5EA5">
            <w:pPr>
              <w:jc w:val="right"/>
              <w:cnfStyle w:val="000000010000" w:firstRow="0" w:lastRow="0" w:firstColumn="0" w:lastColumn="0" w:oddVBand="0" w:evenVBand="0" w:oddHBand="0" w:evenHBand="1" w:firstRowFirstColumn="0" w:firstRowLastColumn="0" w:lastRowFirstColumn="0" w:lastRowLastColumn="0"/>
              <w:rPr>
                <w:b/>
                <w:lang w:eastAsia="en-GB"/>
              </w:rPr>
            </w:pPr>
            <w:r w:rsidRPr="008A3296">
              <w:rPr>
                <w:b/>
                <w:lang w:eastAsia="en-GB"/>
              </w:rPr>
              <w:t>16,600,000</w:t>
            </w:r>
          </w:p>
        </w:tc>
      </w:tr>
    </w:tbl>
    <w:p w:rsidR="007761C8" w:rsidRPr="005E7672" w:rsidRDefault="007761C8" w:rsidP="007761C8">
      <w:pPr>
        <w:rPr>
          <w:lang w:eastAsia="en-GB"/>
        </w:rPr>
      </w:pPr>
    </w:p>
    <w:p w:rsidR="007761C8" w:rsidRPr="005E7672" w:rsidRDefault="00D659B8" w:rsidP="00D659B8">
      <w:pPr>
        <w:pStyle w:val="Heading4"/>
        <w:rPr>
          <w:lang w:eastAsia="en-GB"/>
        </w:rPr>
      </w:pPr>
      <w:r>
        <w:rPr>
          <w:lang w:eastAsia="en-GB"/>
        </w:rPr>
        <w:t xml:space="preserve">(c) </w:t>
      </w:r>
      <w:r w:rsidR="007761C8" w:rsidRPr="005E7672">
        <w:rPr>
          <w:lang w:eastAsia="en-GB"/>
        </w:rPr>
        <w:t>Deferred funding for retirement benefits</w:t>
      </w:r>
    </w:p>
    <w:p w:rsidR="007761C8" w:rsidRPr="005E7672" w:rsidRDefault="007761C8" w:rsidP="007761C8">
      <w:pPr>
        <w:rPr>
          <w:lang w:eastAsia="en-GB"/>
        </w:rPr>
      </w:pPr>
      <w:r w:rsidRPr="005E7672">
        <w:rPr>
          <w:lang w:eastAsia="en-GB"/>
        </w:rPr>
        <w:t xml:space="preserve">The NDA recognises these amounts as an asset corresponding to the unfunded deferred liability for retirement benefits on the basis of the set of assumptions described above and a number of past events. </w:t>
      </w:r>
    </w:p>
    <w:p w:rsidR="007761C8" w:rsidRPr="005E7672" w:rsidRDefault="007761C8" w:rsidP="007761C8">
      <w:pPr>
        <w:rPr>
          <w:lang w:eastAsia="en-GB"/>
        </w:rPr>
      </w:pPr>
      <w:r w:rsidRPr="005E7672">
        <w:rPr>
          <w:lang w:eastAsia="en-GB"/>
        </w:rPr>
        <w:t>These events include the statutory basis for the establishment of the retirement benefit scheme, and the policy and practice currently in place in relation to funding public service pensions including contributions by employees and the annual estimates process. The NDA has no evidence that this funding policy will not continue to meet such sums in accordance with current practice.</w:t>
      </w:r>
    </w:p>
    <w:p w:rsidR="00FB5EA5" w:rsidRDefault="00FB5EA5">
      <w:pPr>
        <w:spacing w:after="0"/>
        <w:rPr>
          <w:lang w:eastAsia="en-GB"/>
        </w:rPr>
      </w:pPr>
      <w:r>
        <w:rPr>
          <w:lang w:eastAsia="en-GB"/>
        </w:rPr>
        <w:br w:type="page"/>
      </w:r>
    </w:p>
    <w:p w:rsidR="007761C8" w:rsidRPr="005E7672" w:rsidRDefault="007761C8" w:rsidP="00D659B8">
      <w:pPr>
        <w:pStyle w:val="NormalBeforeList"/>
        <w:rPr>
          <w:lang w:eastAsia="en-GB"/>
        </w:rPr>
      </w:pPr>
      <w:r w:rsidRPr="005E7672">
        <w:rPr>
          <w:lang w:eastAsia="en-GB"/>
        </w:rPr>
        <w:t>The net deferred funding for retirement benefits recognised in the Statement of Income and Expenditure and Retained Revenue Reserves was as follows:</w:t>
      </w:r>
    </w:p>
    <w:tbl>
      <w:tblPr>
        <w:tblStyle w:val="LightShading1"/>
        <w:tblW w:w="0" w:type="auto"/>
        <w:tblLook w:val="04A0" w:firstRow="1" w:lastRow="0" w:firstColumn="1" w:lastColumn="0" w:noHBand="0" w:noVBand="1"/>
      </w:tblPr>
      <w:tblGrid>
        <w:gridCol w:w="5449"/>
        <w:gridCol w:w="222"/>
        <w:gridCol w:w="1241"/>
        <w:gridCol w:w="1241"/>
      </w:tblGrid>
      <w:tr w:rsidR="007761C8" w:rsidRPr="005E7672" w:rsidTr="00FB5EA5">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7761C8">
            <w:pPr>
              <w:rPr>
                <w:lang w:eastAsia="en-GB"/>
              </w:rPr>
            </w:pPr>
          </w:p>
        </w:tc>
        <w:tc>
          <w:tcPr>
            <w:tcW w:w="0" w:type="auto"/>
          </w:tcPr>
          <w:p w:rsidR="007761C8" w:rsidRPr="005E7672" w:rsidRDefault="007761C8" w:rsidP="007761C8">
            <w:pPr>
              <w:cnfStyle w:val="100000000000" w:firstRow="1" w:lastRow="0" w:firstColumn="0" w:lastColumn="0" w:oddVBand="0" w:evenVBand="0" w:oddHBand="0" w:evenHBand="0" w:firstRowFirstColumn="0" w:firstRowLastColumn="0" w:lastRowFirstColumn="0" w:lastRowLastColumn="0"/>
              <w:rPr>
                <w:lang w:eastAsia="en-GB"/>
              </w:rPr>
            </w:pPr>
          </w:p>
        </w:tc>
        <w:tc>
          <w:tcPr>
            <w:tcW w:w="0" w:type="auto"/>
          </w:tcPr>
          <w:p w:rsidR="007761C8" w:rsidRPr="005E7672" w:rsidRDefault="007761C8" w:rsidP="00FB5EA5">
            <w:pPr>
              <w:jc w:val="right"/>
              <w:cnfStyle w:val="100000000000" w:firstRow="1" w:lastRow="0" w:firstColumn="0" w:lastColumn="0" w:oddVBand="0" w:evenVBand="0" w:oddHBand="0" w:evenHBand="0" w:firstRowFirstColumn="0" w:firstRowLastColumn="0" w:lastRowFirstColumn="0" w:lastRowLastColumn="0"/>
              <w:rPr>
                <w:lang w:eastAsia="en-GB"/>
              </w:rPr>
            </w:pPr>
            <w:r w:rsidRPr="005E7672">
              <w:rPr>
                <w:lang w:eastAsia="en-GB"/>
              </w:rPr>
              <w:t>2015</w:t>
            </w:r>
            <w:r w:rsidR="00FB5EA5">
              <w:rPr>
                <w:lang w:eastAsia="en-GB"/>
              </w:rPr>
              <w:br/>
            </w:r>
            <w:r w:rsidRPr="005E7672">
              <w:rPr>
                <w:lang w:eastAsia="en-GB"/>
              </w:rPr>
              <w:t>€</w:t>
            </w:r>
          </w:p>
        </w:tc>
        <w:tc>
          <w:tcPr>
            <w:tcW w:w="0" w:type="auto"/>
          </w:tcPr>
          <w:p w:rsidR="007761C8" w:rsidRPr="005E7672" w:rsidRDefault="007761C8" w:rsidP="00FB5EA5">
            <w:pPr>
              <w:jc w:val="right"/>
              <w:cnfStyle w:val="100000000000" w:firstRow="1" w:lastRow="0" w:firstColumn="0" w:lastColumn="0" w:oddVBand="0" w:evenVBand="0" w:oddHBand="0" w:evenHBand="0" w:firstRowFirstColumn="0" w:firstRowLastColumn="0" w:lastRowFirstColumn="0" w:lastRowLastColumn="0"/>
              <w:rPr>
                <w:lang w:eastAsia="en-GB"/>
              </w:rPr>
            </w:pPr>
            <w:r w:rsidRPr="005E7672">
              <w:rPr>
                <w:lang w:eastAsia="en-GB"/>
              </w:rPr>
              <w:t>2014</w:t>
            </w:r>
            <w:r w:rsidR="00FB5EA5">
              <w:rPr>
                <w:lang w:eastAsia="en-GB"/>
              </w:rPr>
              <w:br/>
            </w:r>
            <w:r w:rsidRPr="005E7672">
              <w:rPr>
                <w:lang w:eastAsia="en-GB"/>
              </w:rPr>
              <w:t>€</w:t>
            </w:r>
          </w:p>
        </w:tc>
      </w:tr>
      <w:tr w:rsidR="007761C8" w:rsidRPr="005E7672" w:rsidTr="00FB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5D596A">
            <w:pPr>
              <w:rPr>
                <w:lang w:eastAsia="en-GB"/>
              </w:rPr>
            </w:pPr>
            <w:r w:rsidRPr="005E7672">
              <w:rPr>
                <w:lang w:eastAsia="en-GB"/>
              </w:rPr>
              <w:t>Funding recoverable in respect of current year retirement benefit costs</w:t>
            </w:r>
          </w:p>
        </w:tc>
        <w:tc>
          <w:tcPr>
            <w:tcW w:w="0" w:type="auto"/>
          </w:tcPr>
          <w:p w:rsidR="007761C8" w:rsidRPr="005E7672" w:rsidRDefault="007761C8" w:rsidP="007761C8">
            <w:pPr>
              <w:cnfStyle w:val="000000100000" w:firstRow="0" w:lastRow="0" w:firstColumn="0" w:lastColumn="0" w:oddVBand="0" w:evenVBand="0" w:oddHBand="1" w:evenHBand="0" w:firstRowFirstColumn="0" w:firstRowLastColumn="0" w:lastRowFirstColumn="0" w:lastRowLastColumn="0"/>
              <w:rPr>
                <w:lang w:eastAsia="en-GB"/>
              </w:rPr>
            </w:pPr>
          </w:p>
        </w:tc>
        <w:tc>
          <w:tcPr>
            <w:tcW w:w="0" w:type="auto"/>
          </w:tcPr>
          <w:p w:rsidR="007761C8" w:rsidRPr="005E7672" w:rsidRDefault="007761C8" w:rsidP="00FB5EA5">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1,333,000</w:t>
            </w:r>
          </w:p>
        </w:tc>
        <w:tc>
          <w:tcPr>
            <w:tcW w:w="0" w:type="auto"/>
          </w:tcPr>
          <w:p w:rsidR="007761C8" w:rsidRPr="005E7672" w:rsidRDefault="007761C8" w:rsidP="00FB5EA5">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1,340,000</w:t>
            </w:r>
          </w:p>
        </w:tc>
      </w:tr>
      <w:tr w:rsidR="007761C8" w:rsidRPr="005E7672" w:rsidTr="008A32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5D596A">
            <w:pPr>
              <w:rPr>
                <w:lang w:eastAsia="en-GB"/>
              </w:rPr>
            </w:pPr>
            <w:r w:rsidRPr="005E7672">
              <w:rPr>
                <w:lang w:eastAsia="en-GB"/>
              </w:rPr>
              <w:t>State grant applied to pay retirement benefits</w:t>
            </w:r>
          </w:p>
        </w:tc>
        <w:tc>
          <w:tcPr>
            <w:tcW w:w="0" w:type="auto"/>
          </w:tcPr>
          <w:p w:rsidR="007761C8" w:rsidRPr="005E7672" w:rsidRDefault="007761C8" w:rsidP="007761C8">
            <w:pPr>
              <w:cnfStyle w:val="000000010000" w:firstRow="0" w:lastRow="0" w:firstColumn="0" w:lastColumn="0" w:oddVBand="0" w:evenVBand="0" w:oddHBand="0" w:evenHBand="1" w:firstRowFirstColumn="0" w:firstRowLastColumn="0" w:lastRowFirstColumn="0" w:lastRowLastColumn="0"/>
              <w:rPr>
                <w:lang w:eastAsia="en-GB"/>
              </w:rPr>
            </w:pPr>
          </w:p>
        </w:tc>
        <w:tc>
          <w:tcPr>
            <w:tcW w:w="0" w:type="auto"/>
            <w:tcBorders>
              <w:bottom w:val="single" w:sz="8" w:space="0" w:color="000000" w:themeColor="text1"/>
            </w:tcBorders>
          </w:tcPr>
          <w:p w:rsidR="007761C8" w:rsidRPr="005E7672" w:rsidRDefault="007761C8" w:rsidP="00FB5EA5">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(616,750)</w:t>
            </w:r>
          </w:p>
        </w:tc>
        <w:tc>
          <w:tcPr>
            <w:tcW w:w="0" w:type="auto"/>
            <w:tcBorders>
              <w:bottom w:val="single" w:sz="8" w:space="0" w:color="000000" w:themeColor="text1"/>
            </w:tcBorders>
          </w:tcPr>
          <w:p w:rsidR="007761C8" w:rsidRPr="005E7672" w:rsidRDefault="007761C8" w:rsidP="00FB5EA5">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(562,000)</w:t>
            </w:r>
          </w:p>
        </w:tc>
      </w:tr>
      <w:tr w:rsidR="007761C8" w:rsidRPr="005E7672" w:rsidTr="008A3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7761C8">
            <w:pPr>
              <w:rPr>
                <w:lang w:eastAsia="en-GB"/>
              </w:rPr>
            </w:pPr>
          </w:p>
        </w:tc>
        <w:tc>
          <w:tcPr>
            <w:tcW w:w="0" w:type="auto"/>
          </w:tcPr>
          <w:p w:rsidR="007761C8" w:rsidRPr="005E7672" w:rsidRDefault="007761C8" w:rsidP="007761C8">
            <w:pPr>
              <w:cnfStyle w:val="000000100000" w:firstRow="0" w:lastRow="0" w:firstColumn="0" w:lastColumn="0" w:oddVBand="0" w:evenVBand="0" w:oddHBand="1" w:evenHBand="0" w:firstRowFirstColumn="0" w:firstRowLastColumn="0" w:lastRowFirstColumn="0" w:lastRowLastColumn="0"/>
              <w:rPr>
                <w:lang w:eastAsia="en-GB"/>
              </w:rPr>
            </w:pPr>
          </w:p>
        </w:tc>
        <w:tc>
          <w:tcPr>
            <w:tcW w:w="0" w:type="auto"/>
            <w:tcBorders>
              <w:top w:val="single" w:sz="8" w:space="0" w:color="000000" w:themeColor="text1"/>
              <w:bottom w:val="double" w:sz="4" w:space="0" w:color="auto"/>
            </w:tcBorders>
          </w:tcPr>
          <w:p w:rsidR="007761C8" w:rsidRPr="008A3296" w:rsidRDefault="007761C8" w:rsidP="00FB5EA5">
            <w:pPr>
              <w:jc w:val="right"/>
              <w:cnfStyle w:val="000000100000" w:firstRow="0" w:lastRow="0" w:firstColumn="0" w:lastColumn="0" w:oddVBand="0" w:evenVBand="0" w:oddHBand="1" w:evenHBand="0" w:firstRowFirstColumn="0" w:firstRowLastColumn="0" w:lastRowFirstColumn="0" w:lastRowLastColumn="0"/>
              <w:rPr>
                <w:b/>
                <w:lang w:eastAsia="en-GB"/>
              </w:rPr>
            </w:pPr>
            <w:r w:rsidRPr="008A3296">
              <w:rPr>
                <w:b/>
                <w:lang w:eastAsia="en-GB"/>
              </w:rPr>
              <w:t>716,250</w:t>
            </w:r>
          </w:p>
        </w:tc>
        <w:tc>
          <w:tcPr>
            <w:tcW w:w="0" w:type="auto"/>
            <w:tcBorders>
              <w:top w:val="single" w:sz="8" w:space="0" w:color="000000" w:themeColor="text1"/>
              <w:bottom w:val="double" w:sz="4" w:space="0" w:color="auto"/>
            </w:tcBorders>
          </w:tcPr>
          <w:p w:rsidR="007761C8" w:rsidRPr="008A3296" w:rsidRDefault="007761C8" w:rsidP="00FB5EA5">
            <w:pPr>
              <w:jc w:val="right"/>
              <w:cnfStyle w:val="000000100000" w:firstRow="0" w:lastRow="0" w:firstColumn="0" w:lastColumn="0" w:oddVBand="0" w:evenVBand="0" w:oddHBand="1" w:evenHBand="0" w:firstRowFirstColumn="0" w:firstRowLastColumn="0" w:lastRowFirstColumn="0" w:lastRowLastColumn="0"/>
              <w:rPr>
                <w:b/>
                <w:lang w:eastAsia="en-GB"/>
              </w:rPr>
            </w:pPr>
            <w:r w:rsidRPr="008A3296">
              <w:rPr>
                <w:b/>
                <w:lang w:eastAsia="en-GB"/>
              </w:rPr>
              <w:t>778,000</w:t>
            </w:r>
          </w:p>
        </w:tc>
      </w:tr>
    </w:tbl>
    <w:p w:rsidR="007761C8" w:rsidRPr="005E7672" w:rsidRDefault="007761C8" w:rsidP="007761C8">
      <w:pPr>
        <w:rPr>
          <w:lang w:eastAsia="en-GB"/>
        </w:rPr>
      </w:pPr>
    </w:p>
    <w:p w:rsidR="007761C8" w:rsidRPr="005E7672" w:rsidRDefault="007761C8" w:rsidP="007761C8">
      <w:pPr>
        <w:rPr>
          <w:lang w:eastAsia="en-GB"/>
        </w:rPr>
      </w:pPr>
      <w:r w:rsidRPr="005E7672">
        <w:rPr>
          <w:lang w:eastAsia="en-GB"/>
        </w:rPr>
        <w:t>The deferred funding asset for retirement benefits at 31 December 2015 amounts to €23.3m (2014: €16.6m).</w:t>
      </w:r>
    </w:p>
    <w:p w:rsidR="007761C8" w:rsidRPr="005E7672" w:rsidRDefault="00D659B8" w:rsidP="00D659B8">
      <w:pPr>
        <w:pStyle w:val="Heading4"/>
        <w:rPr>
          <w:lang w:eastAsia="en-GB"/>
        </w:rPr>
      </w:pPr>
      <w:r>
        <w:rPr>
          <w:lang w:eastAsia="en-GB"/>
        </w:rPr>
        <w:t>(</w:t>
      </w:r>
      <w:r w:rsidR="001F49F1">
        <w:rPr>
          <w:lang w:eastAsia="en-GB"/>
        </w:rPr>
        <w:t>d</w:t>
      </w:r>
      <w:r>
        <w:rPr>
          <w:lang w:eastAsia="en-GB"/>
        </w:rPr>
        <w:t xml:space="preserve">) </w:t>
      </w:r>
      <w:r w:rsidR="007761C8" w:rsidRPr="005E7672">
        <w:rPr>
          <w:lang w:eastAsia="en-GB"/>
        </w:rPr>
        <w:t>General description of the scheme</w:t>
      </w:r>
    </w:p>
    <w:p w:rsidR="007761C8" w:rsidRPr="005E7672" w:rsidRDefault="007761C8" w:rsidP="007761C8">
      <w:pPr>
        <w:rPr>
          <w:lang w:eastAsia="en-GB"/>
        </w:rPr>
      </w:pPr>
      <w:r w:rsidRPr="005E7672">
        <w:rPr>
          <w:lang w:eastAsia="en-GB"/>
        </w:rPr>
        <w:t xml:space="preserve">The retirement benefit scheme is a defined benefit final salary pension arrangement with benefits and contributions defined by reference to current “model” public sector scheme regulations. The scheme provides a pension (being 1/80 per year of service), a gratuity or lump sum (being 3/80 per year of service) and spouses and children’s pensions. Normal retirement age is a member’s 65th birthday, and pre-2004 members have an entitlement to retire without actuarial reduction from age 60. Pensions in payment (and deferment) normally increase in line with general public sector salary inflation. </w:t>
      </w:r>
    </w:p>
    <w:p w:rsidR="007761C8" w:rsidRPr="005E7672" w:rsidRDefault="007761C8" w:rsidP="007761C8">
      <w:pPr>
        <w:rPr>
          <w:lang w:eastAsia="en-GB"/>
        </w:rPr>
      </w:pPr>
      <w:r w:rsidRPr="005E7672">
        <w:rPr>
          <w:lang w:eastAsia="en-GB"/>
        </w:rPr>
        <w:t>The valuation used for FRS 102 disclosures has been based on a full actuarial valuation performed on 29 February 2015</w:t>
      </w:r>
      <w:r w:rsidR="001C14DA">
        <w:rPr>
          <w:lang w:eastAsia="en-GB"/>
        </w:rPr>
        <w:t xml:space="preserve"> </w:t>
      </w:r>
      <w:r w:rsidRPr="005E7672">
        <w:rPr>
          <w:lang w:eastAsia="en-GB"/>
        </w:rPr>
        <w:t>by a qualified independent actuary, taking account of the requirements of the FRS in order to assess the scheme liabilities at 31 December 2015.</w:t>
      </w:r>
    </w:p>
    <w:p w:rsidR="00FB5EA5" w:rsidRDefault="00FB5EA5">
      <w:pPr>
        <w:spacing w:after="0"/>
        <w:rPr>
          <w:lang w:eastAsia="en-GB"/>
        </w:rPr>
      </w:pPr>
      <w:r>
        <w:rPr>
          <w:lang w:eastAsia="en-GB"/>
        </w:rPr>
        <w:br w:type="page"/>
      </w:r>
    </w:p>
    <w:p w:rsidR="007761C8" w:rsidRPr="005E7672" w:rsidRDefault="007761C8" w:rsidP="00D659B8">
      <w:pPr>
        <w:pStyle w:val="NormalBeforeList"/>
        <w:rPr>
          <w:lang w:eastAsia="en-GB"/>
        </w:rPr>
      </w:pPr>
      <w:r w:rsidRPr="005E7672">
        <w:rPr>
          <w:lang w:eastAsia="en-GB"/>
        </w:rPr>
        <w:t>The principal actuarial assumptions were as follows:</w:t>
      </w:r>
    </w:p>
    <w:tbl>
      <w:tblPr>
        <w:tblStyle w:val="LightShading1"/>
        <w:tblW w:w="0" w:type="auto"/>
        <w:tblLook w:val="04A0" w:firstRow="1" w:lastRow="0" w:firstColumn="1" w:lastColumn="0" w:noHBand="0" w:noVBand="1"/>
      </w:tblPr>
      <w:tblGrid>
        <w:gridCol w:w="5502"/>
        <w:gridCol w:w="839"/>
        <w:gridCol w:w="839"/>
      </w:tblGrid>
      <w:tr w:rsidR="00FB5EA5" w:rsidRPr="005E7672" w:rsidTr="00FB5EA5">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tcPr>
          <w:p w:rsidR="00FB5EA5" w:rsidRPr="005E7672" w:rsidRDefault="00FB5EA5" w:rsidP="007761C8">
            <w:pPr>
              <w:rPr>
                <w:lang w:eastAsia="en-GB"/>
              </w:rPr>
            </w:pPr>
          </w:p>
        </w:tc>
        <w:tc>
          <w:tcPr>
            <w:tcW w:w="839" w:type="dxa"/>
          </w:tcPr>
          <w:p w:rsidR="00FB5EA5" w:rsidRPr="005E7672" w:rsidRDefault="00FB5EA5" w:rsidP="00FB5EA5">
            <w:pPr>
              <w:jc w:val="right"/>
              <w:cnfStyle w:val="100000000000" w:firstRow="1" w:lastRow="0" w:firstColumn="0" w:lastColumn="0" w:oddVBand="0" w:evenVBand="0" w:oddHBand="0" w:evenHBand="0" w:firstRowFirstColumn="0" w:firstRowLastColumn="0" w:lastRowFirstColumn="0" w:lastRowLastColumn="0"/>
              <w:rPr>
                <w:lang w:eastAsia="en-GB"/>
              </w:rPr>
            </w:pPr>
            <w:r w:rsidRPr="005E7672">
              <w:rPr>
                <w:lang w:eastAsia="en-GB"/>
              </w:rPr>
              <w:t>2015</w:t>
            </w:r>
          </w:p>
        </w:tc>
        <w:tc>
          <w:tcPr>
            <w:tcW w:w="0" w:type="auto"/>
          </w:tcPr>
          <w:p w:rsidR="00FB5EA5" w:rsidRPr="005E7672" w:rsidRDefault="00FB5EA5" w:rsidP="00FB5EA5">
            <w:pPr>
              <w:jc w:val="right"/>
              <w:cnfStyle w:val="100000000000" w:firstRow="1" w:lastRow="0" w:firstColumn="0" w:lastColumn="0" w:oddVBand="0" w:evenVBand="0" w:oddHBand="0" w:evenHBand="0" w:firstRowFirstColumn="0" w:firstRowLastColumn="0" w:lastRowFirstColumn="0" w:lastRowLastColumn="0"/>
              <w:rPr>
                <w:lang w:eastAsia="en-GB"/>
              </w:rPr>
            </w:pPr>
            <w:r w:rsidRPr="005E7672">
              <w:rPr>
                <w:lang w:eastAsia="en-GB"/>
              </w:rPr>
              <w:t>2014</w:t>
            </w:r>
          </w:p>
        </w:tc>
      </w:tr>
      <w:tr w:rsidR="00FB5EA5" w:rsidRPr="005E7672" w:rsidTr="00FB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B5EA5" w:rsidRPr="005E7672" w:rsidRDefault="00FB5EA5" w:rsidP="005D596A">
            <w:pPr>
              <w:rPr>
                <w:lang w:eastAsia="en-GB"/>
              </w:rPr>
            </w:pPr>
            <w:r w:rsidRPr="005E7672">
              <w:rPr>
                <w:lang w:eastAsia="en-GB"/>
              </w:rPr>
              <w:t>Rate of increase in salaries</w:t>
            </w:r>
          </w:p>
        </w:tc>
        <w:tc>
          <w:tcPr>
            <w:tcW w:w="839" w:type="dxa"/>
          </w:tcPr>
          <w:p w:rsidR="00FB5EA5" w:rsidRPr="005E7672" w:rsidRDefault="00FB5EA5" w:rsidP="00FB5EA5">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3.50%</w:t>
            </w:r>
          </w:p>
        </w:tc>
        <w:tc>
          <w:tcPr>
            <w:tcW w:w="0" w:type="auto"/>
          </w:tcPr>
          <w:p w:rsidR="00FB5EA5" w:rsidRPr="005E7672" w:rsidRDefault="00FB5EA5" w:rsidP="00FB5EA5">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4.00%</w:t>
            </w:r>
          </w:p>
        </w:tc>
      </w:tr>
      <w:tr w:rsidR="00FB5EA5" w:rsidRPr="005E7672" w:rsidTr="00FB5E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B5EA5" w:rsidRPr="005E7672" w:rsidRDefault="00FB5EA5" w:rsidP="005D596A">
            <w:pPr>
              <w:rPr>
                <w:lang w:eastAsia="en-GB"/>
              </w:rPr>
            </w:pPr>
            <w:r w:rsidRPr="005E7672">
              <w:rPr>
                <w:lang w:eastAsia="en-GB"/>
              </w:rPr>
              <w:t>Rate of increase in retirement benefits in payment</w:t>
            </w:r>
          </w:p>
        </w:tc>
        <w:tc>
          <w:tcPr>
            <w:tcW w:w="839" w:type="dxa"/>
          </w:tcPr>
          <w:p w:rsidR="00FB5EA5" w:rsidRPr="005E7672" w:rsidRDefault="00FB5EA5" w:rsidP="00FB5EA5">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2.50%</w:t>
            </w:r>
          </w:p>
        </w:tc>
        <w:tc>
          <w:tcPr>
            <w:tcW w:w="0" w:type="auto"/>
          </w:tcPr>
          <w:p w:rsidR="00FB5EA5" w:rsidRPr="005E7672" w:rsidRDefault="00FB5EA5" w:rsidP="00FB5EA5">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4.00%</w:t>
            </w:r>
          </w:p>
        </w:tc>
      </w:tr>
      <w:tr w:rsidR="00FB5EA5" w:rsidRPr="005E7672" w:rsidTr="00FB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B5EA5" w:rsidRPr="005E7672" w:rsidRDefault="00FB5EA5" w:rsidP="005D596A">
            <w:pPr>
              <w:rPr>
                <w:lang w:eastAsia="en-GB"/>
              </w:rPr>
            </w:pPr>
            <w:r w:rsidRPr="005E7672">
              <w:rPr>
                <w:lang w:eastAsia="en-GB"/>
              </w:rPr>
              <w:t>Discount rate</w:t>
            </w:r>
          </w:p>
        </w:tc>
        <w:tc>
          <w:tcPr>
            <w:tcW w:w="839" w:type="dxa"/>
          </w:tcPr>
          <w:p w:rsidR="00FB5EA5" w:rsidRPr="005E7672" w:rsidRDefault="00FB5EA5" w:rsidP="00FB5EA5">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2.45%</w:t>
            </w:r>
          </w:p>
        </w:tc>
        <w:tc>
          <w:tcPr>
            <w:tcW w:w="0" w:type="auto"/>
          </w:tcPr>
          <w:p w:rsidR="00FB5EA5" w:rsidRPr="005E7672" w:rsidRDefault="00FB5EA5" w:rsidP="00FB5EA5">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5.50%</w:t>
            </w:r>
          </w:p>
        </w:tc>
      </w:tr>
      <w:tr w:rsidR="00FB5EA5" w:rsidRPr="005E7672" w:rsidTr="00FB5E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B5EA5" w:rsidRPr="005E7672" w:rsidRDefault="00FB5EA5" w:rsidP="005D596A">
            <w:pPr>
              <w:rPr>
                <w:lang w:eastAsia="en-GB"/>
              </w:rPr>
            </w:pPr>
            <w:r w:rsidRPr="005E7672">
              <w:rPr>
                <w:lang w:eastAsia="en-GB"/>
              </w:rPr>
              <w:t>Inflation rate</w:t>
            </w:r>
          </w:p>
        </w:tc>
        <w:tc>
          <w:tcPr>
            <w:tcW w:w="839" w:type="dxa"/>
          </w:tcPr>
          <w:p w:rsidR="00FB5EA5" w:rsidRPr="005E7672" w:rsidRDefault="00FB5EA5" w:rsidP="00FB5EA5">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1.50%</w:t>
            </w:r>
          </w:p>
        </w:tc>
        <w:tc>
          <w:tcPr>
            <w:tcW w:w="0" w:type="auto"/>
          </w:tcPr>
          <w:p w:rsidR="00FB5EA5" w:rsidRPr="005E7672" w:rsidRDefault="00FB5EA5" w:rsidP="00FB5EA5">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2.00%</w:t>
            </w:r>
          </w:p>
        </w:tc>
      </w:tr>
    </w:tbl>
    <w:p w:rsidR="00FB5EA5" w:rsidRDefault="00FB5EA5" w:rsidP="00FB5EA5">
      <w:pPr>
        <w:rPr>
          <w:lang w:eastAsia="en-GB"/>
        </w:rPr>
      </w:pPr>
    </w:p>
    <w:p w:rsidR="007761C8" w:rsidRPr="005E7672" w:rsidRDefault="007761C8" w:rsidP="00D659B8">
      <w:pPr>
        <w:pStyle w:val="Heading5"/>
        <w:rPr>
          <w:lang w:eastAsia="en-GB"/>
        </w:rPr>
      </w:pPr>
      <w:r w:rsidRPr="005E7672">
        <w:rPr>
          <w:lang w:eastAsia="en-GB"/>
        </w:rPr>
        <w:t>Mortality</w:t>
      </w:r>
    </w:p>
    <w:p w:rsidR="007761C8" w:rsidRPr="005E7672" w:rsidRDefault="007761C8" w:rsidP="007761C8">
      <w:pPr>
        <w:rPr>
          <w:lang w:eastAsia="en-GB"/>
        </w:rPr>
      </w:pPr>
      <w:r w:rsidRPr="005E7672">
        <w:rPr>
          <w:lang w:eastAsia="en-GB"/>
        </w:rPr>
        <w:t>58% of ILT15 for males with improvements (see below).</w:t>
      </w:r>
    </w:p>
    <w:p w:rsidR="007761C8" w:rsidRPr="005E7672" w:rsidRDefault="007761C8" w:rsidP="007761C8">
      <w:pPr>
        <w:rPr>
          <w:lang w:eastAsia="en-GB"/>
        </w:rPr>
      </w:pPr>
      <w:r w:rsidRPr="005E7672">
        <w:rPr>
          <w:lang w:eastAsia="en-GB"/>
        </w:rPr>
        <w:t>62% of ILT15 for females with improvements (see below).</w:t>
      </w:r>
    </w:p>
    <w:p w:rsidR="007761C8" w:rsidRPr="005E7672" w:rsidRDefault="007761C8" w:rsidP="007761C8">
      <w:pPr>
        <w:rPr>
          <w:lang w:eastAsia="en-GB"/>
        </w:rPr>
      </w:pPr>
      <w:r w:rsidRPr="005E7672">
        <w:rPr>
          <w:lang w:eastAsia="en-GB"/>
        </w:rPr>
        <w:t>Annuity factors increase by 0.30% p.a. (Males not in Spouses and Children’s Scheme) to 0.25% p.a. (Females not in Spouses and Children’s Scheme and Members of Spouses and Children’s Scheme) for each year between 2015 and the year of retirement.</w:t>
      </w:r>
    </w:p>
    <w:p w:rsidR="007761C8" w:rsidRPr="005E7672" w:rsidRDefault="007761C8" w:rsidP="007761C8">
      <w:pPr>
        <w:rPr>
          <w:lang w:eastAsia="en-GB"/>
        </w:rPr>
      </w:pPr>
      <w:r w:rsidRPr="005E7672">
        <w:rPr>
          <w:lang w:eastAsia="en-GB"/>
        </w:rPr>
        <w:t>The mortality basis explicitly allows for improvements in life expectancy over time, so that life expectancy at retirement will depend on the year in which a</w:t>
      </w:r>
      <w:r w:rsidR="00D659B8">
        <w:rPr>
          <w:lang w:eastAsia="en-GB"/>
        </w:rPr>
        <w:t xml:space="preserve"> member attains retirement age.</w:t>
      </w:r>
    </w:p>
    <w:p w:rsidR="007761C8" w:rsidRPr="005E7672" w:rsidRDefault="007761C8" w:rsidP="007761C8">
      <w:pPr>
        <w:rPr>
          <w:lang w:eastAsia="en-GB"/>
        </w:rPr>
      </w:pPr>
      <w:r w:rsidRPr="005E7672">
        <w:rPr>
          <w:lang w:eastAsia="en-GB"/>
        </w:rPr>
        <w:t>The table below shows the life expectancy for members attai</w:t>
      </w:r>
      <w:r w:rsidR="00D659B8">
        <w:rPr>
          <w:lang w:eastAsia="en-GB"/>
        </w:rPr>
        <w:t>ning age 65 in 2015.</w:t>
      </w:r>
    </w:p>
    <w:tbl>
      <w:tblPr>
        <w:tblStyle w:val="LightShading1"/>
        <w:tblW w:w="0" w:type="auto"/>
        <w:tblLook w:val="04A0" w:firstRow="1" w:lastRow="0" w:firstColumn="1" w:lastColumn="0" w:noHBand="0" w:noVBand="1"/>
      </w:tblPr>
      <w:tblGrid>
        <w:gridCol w:w="4124"/>
        <w:gridCol w:w="790"/>
      </w:tblGrid>
      <w:tr w:rsidR="005C1E39" w:rsidRPr="005E7672" w:rsidTr="001E13D6">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Pr>
          <w:p w:rsidR="005C1E39" w:rsidRPr="005E7672" w:rsidRDefault="005C1E39" w:rsidP="00FB5EA5">
            <w:pPr>
              <w:rPr>
                <w:lang w:eastAsia="en-GB"/>
              </w:rPr>
            </w:pPr>
            <w:r w:rsidRPr="005E7672">
              <w:rPr>
                <w:lang w:eastAsia="en-GB"/>
              </w:rPr>
              <w:t>Year of attaining age 65</w:t>
            </w:r>
          </w:p>
        </w:tc>
        <w:tc>
          <w:tcPr>
            <w:tcW w:w="0" w:type="auto"/>
          </w:tcPr>
          <w:p w:rsidR="005C1E39" w:rsidRPr="005E7672" w:rsidRDefault="005C1E39" w:rsidP="00FB5EA5">
            <w:pPr>
              <w:jc w:val="right"/>
              <w:cnfStyle w:val="100000000000" w:firstRow="1" w:lastRow="0" w:firstColumn="0" w:lastColumn="0" w:oddVBand="0" w:evenVBand="0" w:oddHBand="0" w:evenHBand="0" w:firstRowFirstColumn="0" w:firstRowLastColumn="0" w:lastRowFirstColumn="0" w:lastRowLastColumn="0"/>
              <w:rPr>
                <w:lang w:eastAsia="en-GB"/>
              </w:rPr>
            </w:pPr>
            <w:r w:rsidRPr="005E7672">
              <w:rPr>
                <w:lang w:eastAsia="en-GB"/>
              </w:rPr>
              <w:t>2015</w:t>
            </w:r>
          </w:p>
        </w:tc>
      </w:tr>
      <w:tr w:rsidR="005C1E39" w:rsidRPr="005E7672" w:rsidTr="001E1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C1E39" w:rsidRPr="005E7672" w:rsidRDefault="005C1E39" w:rsidP="00FB5EA5">
            <w:pPr>
              <w:rPr>
                <w:lang w:eastAsia="en-GB"/>
              </w:rPr>
            </w:pPr>
            <w:r w:rsidRPr="005E7672">
              <w:rPr>
                <w:lang w:eastAsia="en-GB"/>
              </w:rPr>
              <w:t xml:space="preserve">Male aged 60 at balance sheet date </w:t>
            </w:r>
          </w:p>
        </w:tc>
        <w:tc>
          <w:tcPr>
            <w:tcW w:w="0" w:type="auto"/>
          </w:tcPr>
          <w:p w:rsidR="005C1E39" w:rsidRPr="005E7672" w:rsidRDefault="005C1E39" w:rsidP="00FB5EA5">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25.3</w:t>
            </w:r>
          </w:p>
        </w:tc>
      </w:tr>
      <w:tr w:rsidR="005C1E39" w:rsidRPr="005E7672" w:rsidTr="001E13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C1E39" w:rsidRPr="005E7672" w:rsidRDefault="005C1E39" w:rsidP="00FB5EA5">
            <w:pPr>
              <w:rPr>
                <w:lang w:eastAsia="en-GB"/>
              </w:rPr>
            </w:pPr>
            <w:r w:rsidRPr="005E7672">
              <w:rPr>
                <w:lang w:eastAsia="en-GB"/>
              </w:rPr>
              <w:t xml:space="preserve">Female aged 60 at balance sheet date </w:t>
            </w:r>
          </w:p>
        </w:tc>
        <w:tc>
          <w:tcPr>
            <w:tcW w:w="0" w:type="auto"/>
          </w:tcPr>
          <w:p w:rsidR="005C1E39" w:rsidRPr="005E7672" w:rsidRDefault="005C1E39" w:rsidP="00FB5EA5">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28.1</w:t>
            </w:r>
          </w:p>
        </w:tc>
      </w:tr>
      <w:tr w:rsidR="005C1E39" w:rsidRPr="005E7672" w:rsidTr="001E1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C1E39" w:rsidRPr="005E7672" w:rsidRDefault="005C1E39" w:rsidP="00FB5EA5">
            <w:pPr>
              <w:rPr>
                <w:lang w:eastAsia="en-GB"/>
              </w:rPr>
            </w:pPr>
            <w:r w:rsidRPr="005E7672">
              <w:rPr>
                <w:lang w:eastAsia="en-GB"/>
              </w:rPr>
              <w:t xml:space="preserve">Male aged 65 at balance sheet date </w:t>
            </w:r>
          </w:p>
        </w:tc>
        <w:tc>
          <w:tcPr>
            <w:tcW w:w="0" w:type="auto"/>
          </w:tcPr>
          <w:p w:rsidR="005C1E39" w:rsidRPr="005E7672" w:rsidRDefault="005C1E39" w:rsidP="00FB5EA5">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21.1</w:t>
            </w:r>
          </w:p>
        </w:tc>
      </w:tr>
      <w:tr w:rsidR="005C1E39" w:rsidRPr="005E7672" w:rsidTr="001E13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C1E39" w:rsidRPr="005E7672" w:rsidRDefault="005C1E39" w:rsidP="00FB5EA5">
            <w:pPr>
              <w:rPr>
                <w:lang w:eastAsia="en-GB"/>
              </w:rPr>
            </w:pPr>
            <w:r w:rsidRPr="005E7672">
              <w:rPr>
                <w:lang w:eastAsia="en-GB"/>
              </w:rPr>
              <w:t>Female aged 65 at bal</w:t>
            </w:r>
            <w:r>
              <w:rPr>
                <w:lang w:eastAsia="en-GB"/>
              </w:rPr>
              <w:t>a</w:t>
            </w:r>
            <w:r w:rsidRPr="005E7672">
              <w:rPr>
                <w:lang w:eastAsia="en-GB"/>
              </w:rPr>
              <w:t xml:space="preserve">nce sheet date </w:t>
            </w:r>
          </w:p>
        </w:tc>
        <w:tc>
          <w:tcPr>
            <w:tcW w:w="0" w:type="auto"/>
          </w:tcPr>
          <w:p w:rsidR="005C1E39" w:rsidRPr="005E7672" w:rsidRDefault="005C1E39" w:rsidP="00FB5EA5">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23.6</w:t>
            </w:r>
          </w:p>
        </w:tc>
      </w:tr>
      <w:tr w:rsidR="005C1E39" w:rsidRPr="005E7672" w:rsidTr="001E1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C1E39" w:rsidRPr="005E7672" w:rsidRDefault="005C1E39" w:rsidP="00FB5EA5">
            <w:pPr>
              <w:rPr>
                <w:lang w:eastAsia="en-GB"/>
              </w:rPr>
            </w:pPr>
            <w:r w:rsidRPr="005E7672">
              <w:rPr>
                <w:lang w:eastAsia="en-GB"/>
              </w:rPr>
              <w:t xml:space="preserve">Male aged 65 in 10 years time </w:t>
            </w:r>
          </w:p>
        </w:tc>
        <w:tc>
          <w:tcPr>
            <w:tcW w:w="0" w:type="auto"/>
          </w:tcPr>
          <w:p w:rsidR="005C1E39" w:rsidRPr="005E7672" w:rsidRDefault="005C1E39" w:rsidP="00FB5EA5">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22.3</w:t>
            </w:r>
          </w:p>
        </w:tc>
      </w:tr>
    </w:tbl>
    <w:p w:rsidR="00FB5EA5" w:rsidRDefault="00FB5EA5" w:rsidP="00FB5EA5">
      <w:pPr>
        <w:rPr>
          <w:lang w:eastAsia="en-GB"/>
        </w:rPr>
      </w:pPr>
    </w:p>
    <w:p w:rsidR="00B77371" w:rsidRDefault="00B77371" w:rsidP="00B77371">
      <w:pPr>
        <w:rPr>
          <w:lang w:eastAsia="en-GB"/>
        </w:rPr>
      </w:pPr>
    </w:p>
    <w:p w:rsidR="007761C8" w:rsidRPr="005E7672" w:rsidRDefault="00DC3059" w:rsidP="00D659B8">
      <w:pPr>
        <w:pStyle w:val="Heading3"/>
        <w:rPr>
          <w:lang w:eastAsia="en-GB"/>
        </w:rPr>
      </w:pPr>
      <w:r>
        <w:rPr>
          <w:lang w:eastAsia="en-GB"/>
        </w:rPr>
        <w:t>7</w:t>
      </w:r>
      <w:r w:rsidR="00D659B8">
        <w:rPr>
          <w:lang w:eastAsia="en-GB"/>
        </w:rPr>
        <w:t xml:space="preserve">. </w:t>
      </w:r>
      <w:r w:rsidR="007761C8" w:rsidRPr="005E7672">
        <w:rPr>
          <w:lang w:eastAsia="en-GB"/>
        </w:rPr>
        <w:t>Capital Account</w:t>
      </w:r>
    </w:p>
    <w:tbl>
      <w:tblPr>
        <w:tblStyle w:val="LightShading1"/>
        <w:tblW w:w="0" w:type="auto"/>
        <w:tblLook w:val="04A0" w:firstRow="1" w:lastRow="0" w:firstColumn="1" w:lastColumn="0" w:noHBand="0" w:noVBand="1"/>
      </w:tblPr>
      <w:tblGrid>
        <w:gridCol w:w="5429"/>
        <w:gridCol w:w="1362"/>
        <w:gridCol w:w="1362"/>
      </w:tblGrid>
      <w:tr w:rsidR="00C82DC3" w:rsidRPr="005E7672" w:rsidTr="00FB5EA5">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0" w:type="auto"/>
          </w:tcPr>
          <w:p w:rsidR="00C82DC3" w:rsidRPr="005E7672" w:rsidRDefault="00C82DC3" w:rsidP="00FB5EA5">
            <w:pPr>
              <w:rPr>
                <w:lang w:eastAsia="en-GB"/>
              </w:rPr>
            </w:pPr>
          </w:p>
        </w:tc>
        <w:tc>
          <w:tcPr>
            <w:tcW w:w="0" w:type="auto"/>
          </w:tcPr>
          <w:p w:rsidR="00C82DC3" w:rsidRPr="005E7672" w:rsidRDefault="00C82DC3" w:rsidP="00FB5EA5">
            <w:pPr>
              <w:jc w:val="right"/>
              <w:cnfStyle w:val="100000000000" w:firstRow="1" w:lastRow="0" w:firstColumn="0" w:lastColumn="0" w:oddVBand="0" w:evenVBand="0" w:oddHBand="0" w:evenHBand="0" w:firstRowFirstColumn="0" w:firstRowLastColumn="0" w:lastRowFirstColumn="0" w:lastRowLastColumn="0"/>
              <w:rPr>
                <w:lang w:eastAsia="en-GB"/>
              </w:rPr>
            </w:pPr>
            <w:r w:rsidRPr="005E7672">
              <w:rPr>
                <w:lang w:eastAsia="en-GB"/>
              </w:rPr>
              <w:t>2015</w:t>
            </w:r>
            <w:r w:rsidR="00FB5EA5">
              <w:rPr>
                <w:lang w:eastAsia="en-GB"/>
              </w:rPr>
              <w:br/>
            </w:r>
            <w:r w:rsidRPr="005E7672">
              <w:rPr>
                <w:lang w:eastAsia="en-GB"/>
              </w:rPr>
              <w:t>€</w:t>
            </w:r>
          </w:p>
        </w:tc>
        <w:tc>
          <w:tcPr>
            <w:tcW w:w="0" w:type="auto"/>
          </w:tcPr>
          <w:p w:rsidR="00C82DC3" w:rsidRPr="005E7672" w:rsidRDefault="00C82DC3" w:rsidP="00FB5EA5">
            <w:pPr>
              <w:jc w:val="right"/>
              <w:cnfStyle w:val="100000000000" w:firstRow="1" w:lastRow="0" w:firstColumn="0" w:lastColumn="0" w:oddVBand="0" w:evenVBand="0" w:oddHBand="0" w:evenHBand="0" w:firstRowFirstColumn="0" w:firstRowLastColumn="0" w:lastRowFirstColumn="0" w:lastRowLastColumn="0"/>
              <w:rPr>
                <w:lang w:eastAsia="en-GB"/>
              </w:rPr>
            </w:pPr>
            <w:r w:rsidRPr="005E7672">
              <w:rPr>
                <w:lang w:eastAsia="en-GB"/>
              </w:rPr>
              <w:t>2014</w:t>
            </w:r>
            <w:r w:rsidR="00FB5EA5">
              <w:rPr>
                <w:lang w:eastAsia="en-GB"/>
              </w:rPr>
              <w:br/>
            </w:r>
            <w:r w:rsidRPr="005E7672">
              <w:rPr>
                <w:lang w:eastAsia="en-GB"/>
              </w:rPr>
              <w:t>€</w:t>
            </w:r>
          </w:p>
        </w:tc>
      </w:tr>
      <w:tr w:rsidR="00DC3059" w:rsidRPr="005E7672" w:rsidTr="00DC3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C3059" w:rsidRPr="005E7672" w:rsidRDefault="00DC3059" w:rsidP="00FB5EA5">
            <w:pPr>
              <w:rPr>
                <w:lang w:eastAsia="en-GB"/>
              </w:rPr>
            </w:pPr>
            <w:r w:rsidRPr="005E7672">
              <w:rPr>
                <w:lang w:eastAsia="en-GB"/>
              </w:rPr>
              <w:t>Opening balance</w:t>
            </w:r>
          </w:p>
        </w:tc>
        <w:tc>
          <w:tcPr>
            <w:tcW w:w="0" w:type="auto"/>
          </w:tcPr>
          <w:p w:rsidR="00DC3059" w:rsidRPr="002B6112" w:rsidRDefault="00DC3059" w:rsidP="00DC3059">
            <w:pPr>
              <w:jc w:val="right"/>
              <w:cnfStyle w:val="000000100000" w:firstRow="0" w:lastRow="0" w:firstColumn="0" w:lastColumn="0" w:oddVBand="0" w:evenVBand="0" w:oddHBand="1" w:evenHBand="0" w:firstRowFirstColumn="0" w:firstRowLastColumn="0" w:lastRowFirstColumn="0" w:lastRowLastColumn="0"/>
            </w:pPr>
            <w:r w:rsidRPr="002B6112">
              <w:t>2,807,709</w:t>
            </w:r>
          </w:p>
        </w:tc>
        <w:tc>
          <w:tcPr>
            <w:tcW w:w="0" w:type="auto"/>
          </w:tcPr>
          <w:p w:rsidR="00DC3059" w:rsidRPr="002B6112" w:rsidRDefault="00DC3059" w:rsidP="00DC3059">
            <w:pPr>
              <w:jc w:val="right"/>
              <w:cnfStyle w:val="000000100000" w:firstRow="0" w:lastRow="0" w:firstColumn="0" w:lastColumn="0" w:oddVBand="0" w:evenVBand="0" w:oddHBand="1" w:evenHBand="0" w:firstRowFirstColumn="0" w:firstRowLastColumn="0" w:lastRowFirstColumn="0" w:lastRowLastColumn="0"/>
            </w:pPr>
            <w:r w:rsidRPr="002B6112">
              <w:t>2,869,467</w:t>
            </w:r>
          </w:p>
        </w:tc>
      </w:tr>
      <w:tr w:rsidR="00DC3059" w:rsidRPr="005E7672" w:rsidTr="00DC30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C3059" w:rsidRPr="005E7672" w:rsidRDefault="00DC3059" w:rsidP="006A4B3E">
            <w:pPr>
              <w:rPr>
                <w:lang w:eastAsia="en-GB"/>
              </w:rPr>
            </w:pPr>
            <w:r w:rsidRPr="005E7672">
              <w:rPr>
                <w:lang w:eastAsia="en-GB"/>
              </w:rPr>
              <w:t xml:space="preserve">Income applied to purchase of fixed assets </w:t>
            </w:r>
          </w:p>
        </w:tc>
        <w:tc>
          <w:tcPr>
            <w:tcW w:w="0" w:type="auto"/>
            <w:tcBorders>
              <w:bottom w:val="none" w:sz="0" w:space="0" w:color="auto"/>
            </w:tcBorders>
          </w:tcPr>
          <w:p w:rsidR="00DC3059" w:rsidRPr="002B6112" w:rsidRDefault="00DC3059" w:rsidP="00DC3059">
            <w:pPr>
              <w:jc w:val="right"/>
              <w:cnfStyle w:val="000000010000" w:firstRow="0" w:lastRow="0" w:firstColumn="0" w:lastColumn="0" w:oddVBand="0" w:evenVBand="0" w:oddHBand="0" w:evenHBand="1" w:firstRowFirstColumn="0" w:firstRowLastColumn="0" w:lastRowFirstColumn="0" w:lastRowLastColumn="0"/>
            </w:pPr>
            <w:r w:rsidRPr="002B6112">
              <w:t>-</w:t>
            </w:r>
          </w:p>
        </w:tc>
        <w:tc>
          <w:tcPr>
            <w:tcW w:w="0" w:type="auto"/>
            <w:tcBorders>
              <w:bottom w:val="none" w:sz="0" w:space="0" w:color="auto"/>
            </w:tcBorders>
          </w:tcPr>
          <w:p w:rsidR="00DC3059" w:rsidRPr="002B6112" w:rsidRDefault="00DC3059" w:rsidP="00DC3059">
            <w:pPr>
              <w:jc w:val="right"/>
              <w:cnfStyle w:val="000000010000" w:firstRow="0" w:lastRow="0" w:firstColumn="0" w:lastColumn="0" w:oddVBand="0" w:evenVBand="0" w:oddHBand="0" w:evenHBand="1" w:firstRowFirstColumn="0" w:firstRowLastColumn="0" w:lastRowFirstColumn="0" w:lastRowLastColumn="0"/>
            </w:pPr>
            <w:r w:rsidRPr="002B6112">
              <w:t>5,179</w:t>
            </w:r>
          </w:p>
        </w:tc>
      </w:tr>
      <w:tr w:rsidR="00DC3059" w:rsidRPr="005E7672" w:rsidTr="00DC3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C3059" w:rsidRPr="005E7672" w:rsidRDefault="00DC3059" w:rsidP="006A4B3E">
            <w:pPr>
              <w:rPr>
                <w:lang w:eastAsia="en-GB"/>
              </w:rPr>
            </w:pPr>
            <w:r w:rsidRPr="005E7672">
              <w:rPr>
                <w:lang w:eastAsia="en-GB"/>
              </w:rPr>
              <w:t>Amortised in year in line with asset depreciation</w:t>
            </w:r>
          </w:p>
        </w:tc>
        <w:tc>
          <w:tcPr>
            <w:tcW w:w="0" w:type="auto"/>
            <w:tcBorders>
              <w:bottom w:val="single" w:sz="4" w:space="0" w:color="auto"/>
            </w:tcBorders>
          </w:tcPr>
          <w:p w:rsidR="00DC3059" w:rsidRPr="002B6112" w:rsidRDefault="00DC3059" w:rsidP="00DC3059">
            <w:pPr>
              <w:jc w:val="right"/>
              <w:cnfStyle w:val="000000100000" w:firstRow="0" w:lastRow="0" w:firstColumn="0" w:lastColumn="0" w:oddVBand="0" w:evenVBand="0" w:oddHBand="1" w:evenHBand="0" w:firstRowFirstColumn="0" w:firstRowLastColumn="0" w:lastRowFirstColumn="0" w:lastRowLastColumn="0"/>
            </w:pPr>
            <w:r w:rsidRPr="002B6112">
              <w:t>(78,468)</w:t>
            </w:r>
          </w:p>
        </w:tc>
        <w:tc>
          <w:tcPr>
            <w:tcW w:w="0" w:type="auto"/>
            <w:tcBorders>
              <w:bottom w:val="single" w:sz="4" w:space="0" w:color="auto"/>
            </w:tcBorders>
          </w:tcPr>
          <w:p w:rsidR="00DC3059" w:rsidRPr="002B6112" w:rsidRDefault="00DC3059" w:rsidP="00DC3059">
            <w:pPr>
              <w:jc w:val="right"/>
              <w:cnfStyle w:val="000000100000" w:firstRow="0" w:lastRow="0" w:firstColumn="0" w:lastColumn="0" w:oddVBand="0" w:evenVBand="0" w:oddHBand="1" w:evenHBand="0" w:firstRowFirstColumn="0" w:firstRowLastColumn="0" w:lastRowFirstColumn="0" w:lastRowLastColumn="0"/>
            </w:pPr>
            <w:r w:rsidRPr="002B6112">
              <w:t>(73,963)</w:t>
            </w:r>
          </w:p>
        </w:tc>
      </w:tr>
      <w:tr w:rsidR="00DC3059" w:rsidRPr="008A3296" w:rsidTr="00DC30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C3059" w:rsidRPr="008A3296" w:rsidRDefault="00DC3059" w:rsidP="00FB5EA5">
            <w:pPr>
              <w:rPr>
                <w:b/>
                <w:lang w:eastAsia="en-GB"/>
              </w:rPr>
            </w:pPr>
            <w:r w:rsidRPr="008A3296">
              <w:rPr>
                <w:b/>
                <w:lang w:eastAsia="en-GB"/>
              </w:rPr>
              <w:t xml:space="preserve">Transfers to/from </w:t>
            </w:r>
            <w:r w:rsidR="008E171B" w:rsidRPr="008E171B">
              <w:rPr>
                <w:b/>
                <w:lang w:eastAsia="en-GB"/>
              </w:rPr>
              <w:t>Statement of Income and Expenditure and Retained Revenue Reserves</w:t>
            </w:r>
          </w:p>
        </w:tc>
        <w:tc>
          <w:tcPr>
            <w:tcW w:w="0" w:type="auto"/>
            <w:tcBorders>
              <w:top w:val="single" w:sz="4" w:space="0" w:color="auto"/>
            </w:tcBorders>
          </w:tcPr>
          <w:p w:rsidR="00DC3059" w:rsidRPr="002B6112" w:rsidRDefault="00DC3059" w:rsidP="00DC3059">
            <w:pPr>
              <w:jc w:val="right"/>
              <w:cnfStyle w:val="000000010000" w:firstRow="0" w:lastRow="0" w:firstColumn="0" w:lastColumn="0" w:oddVBand="0" w:evenVBand="0" w:oddHBand="0" w:evenHBand="1" w:firstRowFirstColumn="0" w:firstRowLastColumn="0" w:lastRowFirstColumn="0" w:lastRowLastColumn="0"/>
            </w:pPr>
            <w:r w:rsidRPr="002B6112">
              <w:t>(78,468)</w:t>
            </w:r>
          </w:p>
        </w:tc>
        <w:tc>
          <w:tcPr>
            <w:tcW w:w="0" w:type="auto"/>
            <w:tcBorders>
              <w:top w:val="single" w:sz="4" w:space="0" w:color="auto"/>
            </w:tcBorders>
          </w:tcPr>
          <w:p w:rsidR="00DC3059" w:rsidRPr="002B6112" w:rsidRDefault="00DC3059" w:rsidP="00DC3059">
            <w:pPr>
              <w:jc w:val="right"/>
              <w:cnfStyle w:val="000000010000" w:firstRow="0" w:lastRow="0" w:firstColumn="0" w:lastColumn="0" w:oddVBand="0" w:evenVBand="0" w:oddHBand="0" w:evenHBand="1" w:firstRowFirstColumn="0" w:firstRowLastColumn="0" w:lastRowFirstColumn="0" w:lastRowLastColumn="0"/>
            </w:pPr>
            <w:r w:rsidRPr="002B6112">
              <w:t>(68,784)</w:t>
            </w:r>
          </w:p>
        </w:tc>
      </w:tr>
      <w:tr w:rsidR="00DC3059" w:rsidRPr="005E7672" w:rsidTr="00DC3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C3059" w:rsidRPr="005E7672" w:rsidRDefault="00DC3059" w:rsidP="00FB5EA5">
            <w:pPr>
              <w:rPr>
                <w:lang w:eastAsia="en-GB"/>
              </w:rPr>
            </w:pPr>
            <w:r w:rsidRPr="005E7672">
              <w:rPr>
                <w:lang w:eastAsia="en-GB"/>
              </w:rPr>
              <w:t>Reclassification of Fixed Assets</w:t>
            </w:r>
          </w:p>
        </w:tc>
        <w:tc>
          <w:tcPr>
            <w:tcW w:w="0" w:type="auto"/>
            <w:tcBorders>
              <w:bottom w:val="single" w:sz="4" w:space="0" w:color="auto"/>
            </w:tcBorders>
          </w:tcPr>
          <w:p w:rsidR="00DC3059" w:rsidRPr="002B6112" w:rsidRDefault="00DC3059" w:rsidP="00DC3059">
            <w:pPr>
              <w:jc w:val="right"/>
              <w:cnfStyle w:val="000000100000" w:firstRow="0" w:lastRow="0" w:firstColumn="0" w:lastColumn="0" w:oddVBand="0" w:evenVBand="0" w:oddHBand="1" w:evenHBand="0" w:firstRowFirstColumn="0" w:firstRowLastColumn="0" w:lastRowFirstColumn="0" w:lastRowLastColumn="0"/>
            </w:pPr>
            <w:r w:rsidRPr="002B6112">
              <w:t>-</w:t>
            </w:r>
          </w:p>
        </w:tc>
        <w:tc>
          <w:tcPr>
            <w:tcW w:w="0" w:type="auto"/>
            <w:tcBorders>
              <w:bottom w:val="single" w:sz="4" w:space="0" w:color="auto"/>
            </w:tcBorders>
          </w:tcPr>
          <w:p w:rsidR="00DC3059" w:rsidRPr="002B6112" w:rsidRDefault="00DC3059" w:rsidP="00DC3059">
            <w:pPr>
              <w:jc w:val="right"/>
              <w:cnfStyle w:val="000000100000" w:firstRow="0" w:lastRow="0" w:firstColumn="0" w:lastColumn="0" w:oddVBand="0" w:evenVBand="0" w:oddHBand="1" w:evenHBand="0" w:firstRowFirstColumn="0" w:firstRowLastColumn="0" w:lastRowFirstColumn="0" w:lastRowLastColumn="0"/>
            </w:pPr>
            <w:r w:rsidRPr="002B6112">
              <w:t>7,026</w:t>
            </w:r>
          </w:p>
        </w:tc>
      </w:tr>
      <w:tr w:rsidR="00DC3059" w:rsidRPr="005E7672" w:rsidTr="00DC30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C3059" w:rsidRPr="005E7672" w:rsidRDefault="00DC3059" w:rsidP="00FB5EA5">
            <w:pPr>
              <w:rPr>
                <w:lang w:eastAsia="en-GB"/>
              </w:rPr>
            </w:pPr>
            <w:r>
              <w:rPr>
                <w:lang w:eastAsia="en-GB"/>
              </w:rPr>
              <w:t>Total movement</w:t>
            </w:r>
            <w:r w:rsidRPr="005E7672">
              <w:rPr>
                <w:lang w:eastAsia="en-GB"/>
              </w:rPr>
              <w:t xml:space="preserve"> </w:t>
            </w:r>
          </w:p>
        </w:tc>
        <w:tc>
          <w:tcPr>
            <w:tcW w:w="0" w:type="auto"/>
            <w:tcBorders>
              <w:top w:val="single" w:sz="4" w:space="0" w:color="auto"/>
              <w:bottom w:val="single" w:sz="8" w:space="0" w:color="000000" w:themeColor="text1"/>
            </w:tcBorders>
          </w:tcPr>
          <w:p w:rsidR="00DC3059" w:rsidRPr="002B6112" w:rsidRDefault="00DC3059" w:rsidP="00DC3059">
            <w:pPr>
              <w:jc w:val="right"/>
              <w:cnfStyle w:val="000000010000" w:firstRow="0" w:lastRow="0" w:firstColumn="0" w:lastColumn="0" w:oddVBand="0" w:evenVBand="0" w:oddHBand="0" w:evenHBand="1" w:firstRowFirstColumn="0" w:firstRowLastColumn="0" w:lastRowFirstColumn="0" w:lastRowLastColumn="0"/>
            </w:pPr>
            <w:r w:rsidRPr="002B6112">
              <w:t>(78,468)</w:t>
            </w:r>
          </w:p>
        </w:tc>
        <w:tc>
          <w:tcPr>
            <w:tcW w:w="0" w:type="auto"/>
            <w:tcBorders>
              <w:top w:val="single" w:sz="4" w:space="0" w:color="auto"/>
              <w:bottom w:val="single" w:sz="8" w:space="0" w:color="000000" w:themeColor="text1"/>
            </w:tcBorders>
          </w:tcPr>
          <w:p w:rsidR="00DC3059" w:rsidRPr="00DC3059" w:rsidRDefault="00DC3059" w:rsidP="00DC3059">
            <w:pPr>
              <w:jc w:val="right"/>
              <w:cnfStyle w:val="000000010000" w:firstRow="0" w:lastRow="0" w:firstColumn="0" w:lastColumn="0" w:oddVBand="0" w:evenVBand="0" w:oddHBand="0" w:evenHBand="1" w:firstRowFirstColumn="0" w:firstRowLastColumn="0" w:lastRowFirstColumn="0" w:lastRowLastColumn="0"/>
              <w:rPr>
                <w:b/>
              </w:rPr>
            </w:pPr>
            <w:r w:rsidRPr="00DC3059">
              <w:rPr>
                <w:b/>
              </w:rPr>
              <w:t>(61,758)</w:t>
            </w:r>
          </w:p>
        </w:tc>
      </w:tr>
      <w:tr w:rsidR="00DC3059" w:rsidRPr="008A3296" w:rsidTr="00DC3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C3059" w:rsidRPr="008A3296" w:rsidRDefault="00DC3059" w:rsidP="00FB5EA5">
            <w:pPr>
              <w:rPr>
                <w:b/>
                <w:lang w:eastAsia="en-GB"/>
              </w:rPr>
            </w:pPr>
            <w:r w:rsidRPr="008A3296">
              <w:rPr>
                <w:b/>
                <w:lang w:eastAsia="en-GB"/>
              </w:rPr>
              <w:t>Closing balance</w:t>
            </w:r>
          </w:p>
        </w:tc>
        <w:tc>
          <w:tcPr>
            <w:tcW w:w="0" w:type="auto"/>
            <w:tcBorders>
              <w:top w:val="single" w:sz="8" w:space="0" w:color="000000" w:themeColor="text1"/>
              <w:bottom w:val="single" w:sz="8" w:space="0" w:color="000000" w:themeColor="text1"/>
            </w:tcBorders>
          </w:tcPr>
          <w:p w:rsidR="00DC3059" w:rsidRPr="00DC3059" w:rsidRDefault="00DC3059" w:rsidP="00DC3059">
            <w:pPr>
              <w:jc w:val="right"/>
              <w:cnfStyle w:val="000000100000" w:firstRow="0" w:lastRow="0" w:firstColumn="0" w:lastColumn="0" w:oddVBand="0" w:evenVBand="0" w:oddHBand="1" w:evenHBand="0" w:firstRowFirstColumn="0" w:firstRowLastColumn="0" w:lastRowFirstColumn="0" w:lastRowLastColumn="0"/>
              <w:rPr>
                <w:b/>
              </w:rPr>
            </w:pPr>
            <w:r w:rsidRPr="00DC3059">
              <w:rPr>
                <w:b/>
              </w:rPr>
              <w:t>2,729,241</w:t>
            </w:r>
          </w:p>
        </w:tc>
        <w:tc>
          <w:tcPr>
            <w:tcW w:w="0" w:type="auto"/>
            <w:tcBorders>
              <w:top w:val="single" w:sz="8" w:space="0" w:color="000000" w:themeColor="text1"/>
              <w:bottom w:val="single" w:sz="8" w:space="0" w:color="000000" w:themeColor="text1"/>
            </w:tcBorders>
          </w:tcPr>
          <w:p w:rsidR="00DC3059" w:rsidRPr="00DC3059" w:rsidRDefault="00DC3059" w:rsidP="00DC3059">
            <w:pPr>
              <w:jc w:val="right"/>
              <w:cnfStyle w:val="000000100000" w:firstRow="0" w:lastRow="0" w:firstColumn="0" w:lastColumn="0" w:oddVBand="0" w:evenVBand="0" w:oddHBand="1" w:evenHBand="0" w:firstRowFirstColumn="0" w:firstRowLastColumn="0" w:lastRowFirstColumn="0" w:lastRowLastColumn="0"/>
              <w:rPr>
                <w:b/>
              </w:rPr>
            </w:pPr>
            <w:r w:rsidRPr="00DC3059">
              <w:rPr>
                <w:b/>
              </w:rPr>
              <w:t>2,807,709</w:t>
            </w:r>
          </w:p>
        </w:tc>
      </w:tr>
    </w:tbl>
    <w:p w:rsidR="00D659B8" w:rsidRDefault="00D659B8" w:rsidP="0004305F">
      <w:pPr>
        <w:rPr>
          <w:lang w:eastAsia="en-GB"/>
        </w:rPr>
      </w:pPr>
    </w:p>
    <w:p w:rsidR="00FB5EA5" w:rsidRPr="0059165F" w:rsidRDefault="00FB5EA5">
      <w:pPr>
        <w:spacing w:after="0"/>
      </w:pPr>
      <w:r>
        <w:rPr>
          <w:lang w:eastAsia="en-GB"/>
        </w:rPr>
        <w:br w:type="page"/>
      </w:r>
    </w:p>
    <w:p w:rsidR="007761C8" w:rsidRPr="005E7672" w:rsidRDefault="006A4B3E" w:rsidP="00D659B8">
      <w:pPr>
        <w:pStyle w:val="Heading3"/>
        <w:rPr>
          <w:lang w:eastAsia="en-GB"/>
        </w:rPr>
      </w:pPr>
      <w:r>
        <w:rPr>
          <w:lang w:eastAsia="en-GB"/>
        </w:rPr>
        <w:t>8</w:t>
      </w:r>
      <w:r w:rsidR="00D659B8">
        <w:rPr>
          <w:lang w:eastAsia="en-GB"/>
        </w:rPr>
        <w:t xml:space="preserve">. </w:t>
      </w:r>
      <w:r w:rsidR="007761C8" w:rsidRPr="005E7672">
        <w:rPr>
          <w:lang w:eastAsia="en-GB"/>
        </w:rPr>
        <w:t>Property, Plant &amp; Equipment</w:t>
      </w:r>
    </w:p>
    <w:tbl>
      <w:tblPr>
        <w:tblStyle w:val="LightShading1"/>
        <w:tblW w:w="0" w:type="auto"/>
        <w:tblLook w:val="04A0" w:firstRow="1" w:lastRow="0" w:firstColumn="1" w:lastColumn="0" w:noHBand="0" w:noVBand="1"/>
      </w:tblPr>
      <w:tblGrid>
        <w:gridCol w:w="1753"/>
        <w:gridCol w:w="1772"/>
        <w:gridCol w:w="1792"/>
        <w:gridCol w:w="1474"/>
        <w:gridCol w:w="1362"/>
      </w:tblGrid>
      <w:tr w:rsidR="007761C8" w:rsidRPr="005E7672" w:rsidTr="00FB5EA5">
        <w:trPr>
          <w:cnfStyle w:val="100000000000" w:firstRow="1" w:lastRow="0" w:firstColumn="0" w:lastColumn="0" w:oddVBand="0" w:evenVBand="0" w:oddHBand="0" w:evenHBand="0" w:firstRowFirstColumn="0" w:firstRowLastColumn="0" w:lastRowFirstColumn="0" w:lastRowLastColumn="0"/>
          <w:cantSplit/>
          <w:trHeight w:val="497"/>
        </w:trPr>
        <w:tc>
          <w:tcPr>
            <w:cnfStyle w:val="001000000000" w:firstRow="0" w:lastRow="0" w:firstColumn="1" w:lastColumn="0" w:oddVBand="0" w:evenVBand="0" w:oddHBand="0" w:evenHBand="0" w:firstRowFirstColumn="0" w:firstRowLastColumn="0" w:lastRowFirstColumn="0" w:lastRowLastColumn="0"/>
            <w:tcW w:w="0" w:type="auto"/>
          </w:tcPr>
          <w:p w:rsidR="007761C8" w:rsidRPr="005E7672" w:rsidRDefault="007761C8" w:rsidP="00FB5EA5">
            <w:pPr>
              <w:rPr>
                <w:lang w:eastAsia="en-GB"/>
              </w:rPr>
            </w:pPr>
          </w:p>
        </w:tc>
        <w:tc>
          <w:tcPr>
            <w:tcW w:w="0" w:type="auto"/>
          </w:tcPr>
          <w:p w:rsidR="007761C8" w:rsidRPr="005E7672" w:rsidRDefault="007761C8" w:rsidP="00FB5EA5">
            <w:pPr>
              <w:jc w:val="right"/>
              <w:cnfStyle w:val="100000000000" w:firstRow="1" w:lastRow="0" w:firstColumn="0" w:lastColumn="0" w:oddVBand="0" w:evenVBand="0" w:oddHBand="0" w:evenHBand="0" w:firstRowFirstColumn="0" w:firstRowLastColumn="0" w:lastRowFirstColumn="0" w:lastRowLastColumn="0"/>
              <w:rPr>
                <w:lang w:eastAsia="en-GB"/>
              </w:rPr>
            </w:pPr>
            <w:r w:rsidRPr="005E7672">
              <w:rPr>
                <w:lang w:eastAsia="en-GB"/>
              </w:rPr>
              <w:t>Computer hardware and software</w:t>
            </w:r>
            <w:r w:rsidR="00FB5EA5">
              <w:rPr>
                <w:lang w:eastAsia="en-GB"/>
              </w:rPr>
              <w:br/>
            </w:r>
            <w:r w:rsidRPr="005E7672">
              <w:rPr>
                <w:lang w:eastAsia="en-GB"/>
              </w:rPr>
              <w:t>€</w:t>
            </w:r>
          </w:p>
        </w:tc>
        <w:tc>
          <w:tcPr>
            <w:tcW w:w="0" w:type="auto"/>
          </w:tcPr>
          <w:p w:rsidR="007761C8" w:rsidRPr="005E7672" w:rsidRDefault="007761C8" w:rsidP="00FB5EA5">
            <w:pPr>
              <w:jc w:val="right"/>
              <w:cnfStyle w:val="100000000000" w:firstRow="1" w:lastRow="0" w:firstColumn="0" w:lastColumn="0" w:oddVBand="0" w:evenVBand="0" w:oddHBand="0" w:evenHBand="0" w:firstRowFirstColumn="0" w:firstRowLastColumn="0" w:lastRowFirstColumn="0" w:lastRowLastColumn="0"/>
              <w:rPr>
                <w:lang w:eastAsia="en-GB"/>
              </w:rPr>
            </w:pPr>
            <w:r w:rsidRPr="005E7672">
              <w:rPr>
                <w:lang w:eastAsia="en-GB"/>
              </w:rPr>
              <w:t>Fixtures &amp; Fittings, Equipment</w:t>
            </w:r>
            <w:r w:rsidR="00FB5EA5">
              <w:rPr>
                <w:lang w:eastAsia="en-GB"/>
              </w:rPr>
              <w:br/>
            </w:r>
            <w:r w:rsidRPr="005E7672">
              <w:rPr>
                <w:lang w:eastAsia="en-GB"/>
              </w:rPr>
              <w:t>€</w:t>
            </w:r>
          </w:p>
        </w:tc>
        <w:tc>
          <w:tcPr>
            <w:tcW w:w="0" w:type="auto"/>
          </w:tcPr>
          <w:p w:rsidR="007761C8" w:rsidRPr="005E7672" w:rsidRDefault="007761C8" w:rsidP="00FB5EA5">
            <w:pPr>
              <w:jc w:val="right"/>
              <w:cnfStyle w:val="100000000000" w:firstRow="1" w:lastRow="0" w:firstColumn="0" w:lastColumn="0" w:oddVBand="0" w:evenVBand="0" w:oddHBand="0" w:evenHBand="0" w:firstRowFirstColumn="0" w:firstRowLastColumn="0" w:lastRowFirstColumn="0" w:lastRowLastColumn="0"/>
              <w:rPr>
                <w:lang w:eastAsia="en-GB"/>
              </w:rPr>
            </w:pPr>
            <w:r w:rsidRPr="005E7672">
              <w:rPr>
                <w:lang w:eastAsia="en-GB"/>
              </w:rPr>
              <w:t>Freehold Premises</w:t>
            </w:r>
            <w:r w:rsidR="00FB5EA5">
              <w:rPr>
                <w:lang w:eastAsia="en-GB"/>
              </w:rPr>
              <w:br/>
            </w:r>
            <w:r w:rsidRPr="005E7672">
              <w:rPr>
                <w:lang w:eastAsia="en-GB"/>
              </w:rPr>
              <w:t>€</w:t>
            </w:r>
          </w:p>
        </w:tc>
        <w:tc>
          <w:tcPr>
            <w:tcW w:w="0" w:type="auto"/>
          </w:tcPr>
          <w:p w:rsidR="007761C8" w:rsidRPr="008A3296" w:rsidRDefault="007761C8" w:rsidP="00FB5EA5">
            <w:pPr>
              <w:jc w:val="right"/>
              <w:cnfStyle w:val="100000000000" w:firstRow="1" w:lastRow="0" w:firstColumn="0" w:lastColumn="0" w:oddVBand="0" w:evenVBand="0" w:oddHBand="0" w:evenHBand="0" w:firstRowFirstColumn="0" w:firstRowLastColumn="0" w:lastRowFirstColumn="0" w:lastRowLastColumn="0"/>
              <w:rPr>
                <w:lang w:eastAsia="en-GB"/>
              </w:rPr>
            </w:pPr>
            <w:r w:rsidRPr="008A3296">
              <w:rPr>
                <w:lang w:eastAsia="en-GB"/>
              </w:rPr>
              <w:t>Total</w:t>
            </w:r>
            <w:r w:rsidR="00FB5EA5" w:rsidRPr="008A3296">
              <w:rPr>
                <w:lang w:eastAsia="en-GB"/>
              </w:rPr>
              <w:br/>
            </w:r>
            <w:r w:rsidRPr="008A3296">
              <w:rPr>
                <w:lang w:eastAsia="en-GB"/>
              </w:rPr>
              <w:t>€</w:t>
            </w:r>
          </w:p>
        </w:tc>
      </w:tr>
      <w:tr w:rsidR="00630FB9" w:rsidRPr="008A3296" w:rsidTr="00BC7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630FB9" w:rsidRPr="008A3296" w:rsidRDefault="00630FB9" w:rsidP="00BC7411">
            <w:pPr>
              <w:rPr>
                <w:b/>
                <w:lang w:eastAsia="en-GB"/>
              </w:rPr>
            </w:pPr>
            <w:r w:rsidRPr="008A3296">
              <w:rPr>
                <w:b/>
                <w:lang w:eastAsia="en-GB"/>
              </w:rPr>
              <w:t>Cost at 1 January</w:t>
            </w:r>
          </w:p>
        </w:tc>
        <w:tc>
          <w:tcPr>
            <w:tcW w:w="0" w:type="auto"/>
            <w:vAlign w:val="center"/>
          </w:tcPr>
          <w:p w:rsidR="00630FB9" w:rsidRPr="00630FB9" w:rsidRDefault="00630FB9" w:rsidP="007E2DF6">
            <w:pPr>
              <w:jc w:val="right"/>
              <w:cnfStyle w:val="000000100000" w:firstRow="0" w:lastRow="0" w:firstColumn="0" w:lastColumn="0" w:oddVBand="0" w:evenVBand="0" w:oddHBand="1" w:evenHBand="0" w:firstRowFirstColumn="0" w:firstRowLastColumn="0" w:lastRowFirstColumn="0" w:lastRowLastColumn="0"/>
              <w:rPr>
                <w:b/>
              </w:rPr>
            </w:pPr>
            <w:r w:rsidRPr="00630FB9">
              <w:rPr>
                <w:b/>
              </w:rPr>
              <w:t>182,072</w:t>
            </w:r>
          </w:p>
        </w:tc>
        <w:tc>
          <w:tcPr>
            <w:tcW w:w="0" w:type="auto"/>
            <w:vAlign w:val="center"/>
          </w:tcPr>
          <w:p w:rsidR="00630FB9" w:rsidRPr="00630FB9" w:rsidRDefault="00630FB9" w:rsidP="007E2DF6">
            <w:pPr>
              <w:jc w:val="right"/>
              <w:cnfStyle w:val="000000100000" w:firstRow="0" w:lastRow="0" w:firstColumn="0" w:lastColumn="0" w:oddVBand="0" w:evenVBand="0" w:oddHBand="1" w:evenHBand="0" w:firstRowFirstColumn="0" w:firstRowLastColumn="0" w:lastRowFirstColumn="0" w:lastRowLastColumn="0"/>
              <w:rPr>
                <w:b/>
              </w:rPr>
            </w:pPr>
            <w:r w:rsidRPr="00630FB9">
              <w:rPr>
                <w:b/>
              </w:rPr>
              <w:t>117,143</w:t>
            </w:r>
          </w:p>
        </w:tc>
        <w:tc>
          <w:tcPr>
            <w:tcW w:w="0" w:type="auto"/>
            <w:vAlign w:val="center"/>
          </w:tcPr>
          <w:p w:rsidR="00630FB9" w:rsidRPr="00630FB9" w:rsidRDefault="00630FB9" w:rsidP="007E2DF6">
            <w:pPr>
              <w:jc w:val="right"/>
              <w:cnfStyle w:val="000000100000" w:firstRow="0" w:lastRow="0" w:firstColumn="0" w:lastColumn="0" w:oddVBand="0" w:evenVBand="0" w:oddHBand="1" w:evenHBand="0" w:firstRowFirstColumn="0" w:firstRowLastColumn="0" w:lastRowFirstColumn="0" w:lastRowLastColumn="0"/>
              <w:rPr>
                <w:b/>
              </w:rPr>
            </w:pPr>
            <w:r w:rsidRPr="00630FB9">
              <w:rPr>
                <w:b/>
              </w:rPr>
              <w:t>3,988,604</w:t>
            </w:r>
          </w:p>
        </w:tc>
        <w:tc>
          <w:tcPr>
            <w:tcW w:w="0" w:type="auto"/>
            <w:vAlign w:val="center"/>
          </w:tcPr>
          <w:p w:rsidR="00630FB9" w:rsidRPr="00630FB9" w:rsidRDefault="00630FB9" w:rsidP="007E2DF6">
            <w:pPr>
              <w:jc w:val="right"/>
              <w:cnfStyle w:val="000000100000" w:firstRow="0" w:lastRow="0" w:firstColumn="0" w:lastColumn="0" w:oddVBand="0" w:evenVBand="0" w:oddHBand="1" w:evenHBand="0" w:firstRowFirstColumn="0" w:firstRowLastColumn="0" w:lastRowFirstColumn="0" w:lastRowLastColumn="0"/>
              <w:rPr>
                <w:b/>
              </w:rPr>
            </w:pPr>
            <w:r w:rsidRPr="00630FB9">
              <w:rPr>
                <w:b/>
              </w:rPr>
              <w:t>4,287,819</w:t>
            </w:r>
          </w:p>
        </w:tc>
      </w:tr>
      <w:tr w:rsidR="00630FB9" w:rsidRPr="005E7672" w:rsidTr="00BC74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630FB9" w:rsidRPr="005E7672" w:rsidRDefault="00630FB9" w:rsidP="00BC7411">
            <w:pPr>
              <w:rPr>
                <w:lang w:eastAsia="en-GB"/>
              </w:rPr>
            </w:pPr>
            <w:r w:rsidRPr="005E7672">
              <w:rPr>
                <w:lang w:eastAsia="en-GB"/>
              </w:rPr>
              <w:t>Additions</w:t>
            </w:r>
          </w:p>
        </w:tc>
        <w:tc>
          <w:tcPr>
            <w:tcW w:w="0" w:type="auto"/>
            <w:vAlign w:val="center"/>
          </w:tcPr>
          <w:p w:rsidR="00630FB9" w:rsidRPr="00BC7165" w:rsidRDefault="00630FB9" w:rsidP="007E2DF6">
            <w:pPr>
              <w:jc w:val="right"/>
              <w:cnfStyle w:val="000000010000" w:firstRow="0" w:lastRow="0" w:firstColumn="0" w:lastColumn="0" w:oddVBand="0" w:evenVBand="0" w:oddHBand="0" w:evenHBand="1" w:firstRowFirstColumn="0" w:firstRowLastColumn="0" w:lastRowFirstColumn="0" w:lastRowLastColumn="0"/>
            </w:pPr>
            <w:r w:rsidRPr="00BC7165">
              <w:t>-</w:t>
            </w:r>
          </w:p>
        </w:tc>
        <w:tc>
          <w:tcPr>
            <w:tcW w:w="0" w:type="auto"/>
            <w:vAlign w:val="center"/>
          </w:tcPr>
          <w:p w:rsidR="00630FB9" w:rsidRPr="00BC7165" w:rsidRDefault="00630FB9" w:rsidP="007E2DF6">
            <w:pPr>
              <w:jc w:val="right"/>
              <w:cnfStyle w:val="000000010000" w:firstRow="0" w:lastRow="0" w:firstColumn="0" w:lastColumn="0" w:oddVBand="0" w:evenVBand="0" w:oddHBand="0" w:evenHBand="1" w:firstRowFirstColumn="0" w:firstRowLastColumn="0" w:lastRowFirstColumn="0" w:lastRowLastColumn="0"/>
            </w:pPr>
            <w:r w:rsidRPr="00BC7165">
              <w:t>-</w:t>
            </w:r>
          </w:p>
        </w:tc>
        <w:tc>
          <w:tcPr>
            <w:tcW w:w="0" w:type="auto"/>
            <w:vAlign w:val="center"/>
          </w:tcPr>
          <w:p w:rsidR="00630FB9" w:rsidRPr="00BC7165" w:rsidRDefault="00630FB9" w:rsidP="007E2DF6">
            <w:pPr>
              <w:jc w:val="right"/>
              <w:cnfStyle w:val="000000010000" w:firstRow="0" w:lastRow="0" w:firstColumn="0" w:lastColumn="0" w:oddVBand="0" w:evenVBand="0" w:oddHBand="0" w:evenHBand="1" w:firstRowFirstColumn="0" w:firstRowLastColumn="0" w:lastRowFirstColumn="0" w:lastRowLastColumn="0"/>
            </w:pPr>
            <w:r w:rsidRPr="00BC7165">
              <w:t>-</w:t>
            </w:r>
          </w:p>
        </w:tc>
        <w:tc>
          <w:tcPr>
            <w:tcW w:w="0" w:type="auto"/>
            <w:vAlign w:val="center"/>
          </w:tcPr>
          <w:p w:rsidR="00630FB9" w:rsidRPr="00BC7165" w:rsidRDefault="00630FB9" w:rsidP="007E2DF6">
            <w:pPr>
              <w:jc w:val="right"/>
              <w:cnfStyle w:val="000000010000" w:firstRow="0" w:lastRow="0" w:firstColumn="0" w:lastColumn="0" w:oddVBand="0" w:evenVBand="0" w:oddHBand="0" w:evenHBand="1" w:firstRowFirstColumn="0" w:firstRowLastColumn="0" w:lastRowFirstColumn="0" w:lastRowLastColumn="0"/>
            </w:pPr>
            <w:r w:rsidRPr="00BC7165">
              <w:t>-</w:t>
            </w:r>
          </w:p>
        </w:tc>
      </w:tr>
      <w:tr w:rsidR="00630FB9" w:rsidRPr="005E7672" w:rsidTr="00BC7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630FB9" w:rsidRPr="005E7672" w:rsidRDefault="00630FB9" w:rsidP="00BC7411">
            <w:pPr>
              <w:rPr>
                <w:lang w:eastAsia="en-GB"/>
              </w:rPr>
            </w:pPr>
            <w:r w:rsidRPr="005E7672">
              <w:rPr>
                <w:lang w:eastAsia="en-GB"/>
              </w:rPr>
              <w:t>Disposals</w:t>
            </w:r>
          </w:p>
        </w:tc>
        <w:tc>
          <w:tcPr>
            <w:tcW w:w="0" w:type="auto"/>
            <w:tcBorders>
              <w:bottom w:val="single" w:sz="4" w:space="0" w:color="auto"/>
            </w:tcBorders>
            <w:vAlign w:val="center"/>
          </w:tcPr>
          <w:p w:rsidR="00630FB9" w:rsidRPr="00BC7165" w:rsidRDefault="00630FB9" w:rsidP="007E2DF6">
            <w:pPr>
              <w:jc w:val="right"/>
              <w:cnfStyle w:val="000000100000" w:firstRow="0" w:lastRow="0" w:firstColumn="0" w:lastColumn="0" w:oddVBand="0" w:evenVBand="0" w:oddHBand="1" w:evenHBand="0" w:firstRowFirstColumn="0" w:firstRowLastColumn="0" w:lastRowFirstColumn="0" w:lastRowLastColumn="0"/>
            </w:pPr>
            <w:r w:rsidRPr="00BC7165">
              <w:t>(13,161)</w:t>
            </w:r>
          </w:p>
        </w:tc>
        <w:tc>
          <w:tcPr>
            <w:tcW w:w="0" w:type="auto"/>
            <w:tcBorders>
              <w:bottom w:val="single" w:sz="4" w:space="0" w:color="auto"/>
            </w:tcBorders>
            <w:vAlign w:val="center"/>
          </w:tcPr>
          <w:p w:rsidR="00630FB9" w:rsidRPr="00BC7165" w:rsidRDefault="00630FB9" w:rsidP="007E2DF6">
            <w:pPr>
              <w:jc w:val="right"/>
              <w:cnfStyle w:val="000000100000" w:firstRow="0" w:lastRow="0" w:firstColumn="0" w:lastColumn="0" w:oddVBand="0" w:evenVBand="0" w:oddHBand="1" w:evenHBand="0" w:firstRowFirstColumn="0" w:firstRowLastColumn="0" w:lastRowFirstColumn="0" w:lastRowLastColumn="0"/>
            </w:pPr>
            <w:r w:rsidRPr="00BC7165">
              <w:t>-</w:t>
            </w:r>
          </w:p>
        </w:tc>
        <w:tc>
          <w:tcPr>
            <w:tcW w:w="0" w:type="auto"/>
            <w:tcBorders>
              <w:bottom w:val="single" w:sz="4" w:space="0" w:color="auto"/>
            </w:tcBorders>
            <w:vAlign w:val="center"/>
          </w:tcPr>
          <w:p w:rsidR="00630FB9" w:rsidRPr="00BC7165" w:rsidRDefault="00630FB9" w:rsidP="007E2DF6">
            <w:pPr>
              <w:jc w:val="right"/>
              <w:cnfStyle w:val="000000100000" w:firstRow="0" w:lastRow="0" w:firstColumn="0" w:lastColumn="0" w:oddVBand="0" w:evenVBand="0" w:oddHBand="1" w:evenHBand="0" w:firstRowFirstColumn="0" w:firstRowLastColumn="0" w:lastRowFirstColumn="0" w:lastRowLastColumn="0"/>
            </w:pPr>
            <w:r w:rsidRPr="00BC7165">
              <w:t>-</w:t>
            </w:r>
          </w:p>
        </w:tc>
        <w:tc>
          <w:tcPr>
            <w:tcW w:w="0" w:type="auto"/>
            <w:tcBorders>
              <w:bottom w:val="single" w:sz="4" w:space="0" w:color="auto"/>
            </w:tcBorders>
            <w:vAlign w:val="center"/>
          </w:tcPr>
          <w:p w:rsidR="00630FB9" w:rsidRPr="007E2DF6" w:rsidRDefault="00630FB9" w:rsidP="007E2DF6">
            <w:pPr>
              <w:jc w:val="right"/>
              <w:cnfStyle w:val="000000100000" w:firstRow="0" w:lastRow="0" w:firstColumn="0" w:lastColumn="0" w:oddVBand="0" w:evenVBand="0" w:oddHBand="1" w:evenHBand="0" w:firstRowFirstColumn="0" w:firstRowLastColumn="0" w:lastRowFirstColumn="0" w:lastRowLastColumn="0"/>
              <w:rPr>
                <w:b/>
              </w:rPr>
            </w:pPr>
            <w:r w:rsidRPr="007E2DF6">
              <w:rPr>
                <w:b/>
              </w:rPr>
              <w:t>(13,161)</w:t>
            </w:r>
          </w:p>
        </w:tc>
      </w:tr>
      <w:tr w:rsidR="00630FB9" w:rsidRPr="005E7672" w:rsidTr="00BC74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vAlign w:val="center"/>
          </w:tcPr>
          <w:p w:rsidR="00630FB9" w:rsidRPr="008A3296" w:rsidRDefault="00630FB9" w:rsidP="00BC7411">
            <w:pPr>
              <w:rPr>
                <w:b/>
                <w:lang w:eastAsia="en-GB"/>
              </w:rPr>
            </w:pPr>
            <w:r w:rsidRPr="008A3296">
              <w:rPr>
                <w:b/>
                <w:lang w:eastAsia="en-GB"/>
              </w:rPr>
              <w:t>At 31 December</w:t>
            </w:r>
          </w:p>
        </w:tc>
        <w:tc>
          <w:tcPr>
            <w:tcW w:w="0" w:type="auto"/>
            <w:tcBorders>
              <w:top w:val="single" w:sz="4" w:space="0" w:color="auto"/>
              <w:bottom w:val="double" w:sz="4" w:space="0" w:color="auto"/>
            </w:tcBorders>
            <w:vAlign w:val="center"/>
          </w:tcPr>
          <w:p w:rsidR="00630FB9" w:rsidRPr="007E2DF6" w:rsidRDefault="00630FB9" w:rsidP="007E2DF6">
            <w:pPr>
              <w:jc w:val="right"/>
              <w:cnfStyle w:val="000000010000" w:firstRow="0" w:lastRow="0" w:firstColumn="0" w:lastColumn="0" w:oddVBand="0" w:evenVBand="0" w:oddHBand="0" w:evenHBand="1" w:firstRowFirstColumn="0" w:firstRowLastColumn="0" w:lastRowFirstColumn="0" w:lastRowLastColumn="0"/>
              <w:rPr>
                <w:b/>
              </w:rPr>
            </w:pPr>
            <w:r w:rsidRPr="007E2DF6">
              <w:rPr>
                <w:b/>
              </w:rPr>
              <w:t>168,911</w:t>
            </w:r>
          </w:p>
        </w:tc>
        <w:tc>
          <w:tcPr>
            <w:tcW w:w="0" w:type="auto"/>
            <w:tcBorders>
              <w:top w:val="single" w:sz="4" w:space="0" w:color="auto"/>
              <w:bottom w:val="double" w:sz="4" w:space="0" w:color="auto"/>
            </w:tcBorders>
            <w:vAlign w:val="center"/>
          </w:tcPr>
          <w:p w:rsidR="00630FB9" w:rsidRPr="007E2DF6" w:rsidRDefault="00630FB9" w:rsidP="007E2DF6">
            <w:pPr>
              <w:jc w:val="right"/>
              <w:cnfStyle w:val="000000010000" w:firstRow="0" w:lastRow="0" w:firstColumn="0" w:lastColumn="0" w:oddVBand="0" w:evenVBand="0" w:oddHBand="0" w:evenHBand="1" w:firstRowFirstColumn="0" w:firstRowLastColumn="0" w:lastRowFirstColumn="0" w:lastRowLastColumn="0"/>
              <w:rPr>
                <w:b/>
              </w:rPr>
            </w:pPr>
            <w:r w:rsidRPr="007E2DF6">
              <w:rPr>
                <w:b/>
              </w:rPr>
              <w:t>117,143</w:t>
            </w:r>
          </w:p>
        </w:tc>
        <w:tc>
          <w:tcPr>
            <w:tcW w:w="0" w:type="auto"/>
            <w:tcBorders>
              <w:top w:val="single" w:sz="4" w:space="0" w:color="auto"/>
              <w:bottom w:val="double" w:sz="4" w:space="0" w:color="auto"/>
            </w:tcBorders>
            <w:vAlign w:val="center"/>
          </w:tcPr>
          <w:p w:rsidR="00630FB9" w:rsidRPr="007E2DF6" w:rsidRDefault="00630FB9" w:rsidP="007E2DF6">
            <w:pPr>
              <w:jc w:val="right"/>
              <w:cnfStyle w:val="000000010000" w:firstRow="0" w:lastRow="0" w:firstColumn="0" w:lastColumn="0" w:oddVBand="0" w:evenVBand="0" w:oddHBand="0" w:evenHBand="1" w:firstRowFirstColumn="0" w:firstRowLastColumn="0" w:lastRowFirstColumn="0" w:lastRowLastColumn="0"/>
              <w:rPr>
                <w:b/>
              </w:rPr>
            </w:pPr>
            <w:r w:rsidRPr="007E2DF6">
              <w:rPr>
                <w:b/>
              </w:rPr>
              <w:t>3,988,604</w:t>
            </w:r>
          </w:p>
        </w:tc>
        <w:tc>
          <w:tcPr>
            <w:tcW w:w="0" w:type="auto"/>
            <w:tcBorders>
              <w:top w:val="single" w:sz="4" w:space="0" w:color="auto"/>
              <w:bottom w:val="double" w:sz="4" w:space="0" w:color="auto"/>
            </w:tcBorders>
            <w:vAlign w:val="center"/>
          </w:tcPr>
          <w:p w:rsidR="00630FB9" w:rsidRPr="007E2DF6" w:rsidRDefault="00630FB9" w:rsidP="007E2DF6">
            <w:pPr>
              <w:jc w:val="right"/>
              <w:cnfStyle w:val="000000010000" w:firstRow="0" w:lastRow="0" w:firstColumn="0" w:lastColumn="0" w:oddVBand="0" w:evenVBand="0" w:oddHBand="0" w:evenHBand="1" w:firstRowFirstColumn="0" w:firstRowLastColumn="0" w:lastRowFirstColumn="0" w:lastRowLastColumn="0"/>
              <w:rPr>
                <w:b/>
              </w:rPr>
            </w:pPr>
            <w:r w:rsidRPr="007E2DF6">
              <w:rPr>
                <w:b/>
              </w:rPr>
              <w:t>4,274,658</w:t>
            </w:r>
          </w:p>
        </w:tc>
      </w:tr>
      <w:tr w:rsidR="00630FB9" w:rsidRPr="008A3296" w:rsidTr="00BC7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vAlign w:val="center"/>
          </w:tcPr>
          <w:p w:rsidR="00630FB9" w:rsidRPr="008A3296" w:rsidRDefault="00630FB9" w:rsidP="00BC7411">
            <w:pPr>
              <w:rPr>
                <w:b/>
                <w:lang w:eastAsia="en-GB"/>
              </w:rPr>
            </w:pPr>
          </w:p>
        </w:tc>
        <w:tc>
          <w:tcPr>
            <w:tcW w:w="0" w:type="auto"/>
            <w:tcBorders>
              <w:top w:val="double" w:sz="4" w:space="0" w:color="auto"/>
              <w:bottom w:val="none" w:sz="0" w:space="0" w:color="auto"/>
            </w:tcBorders>
            <w:vAlign w:val="center"/>
          </w:tcPr>
          <w:p w:rsidR="00630FB9" w:rsidRPr="00BC7165" w:rsidRDefault="00630FB9" w:rsidP="007E2DF6">
            <w:pPr>
              <w:jc w:val="right"/>
              <w:cnfStyle w:val="000000100000" w:firstRow="0" w:lastRow="0" w:firstColumn="0" w:lastColumn="0" w:oddVBand="0" w:evenVBand="0" w:oddHBand="1" w:evenHBand="0" w:firstRowFirstColumn="0" w:firstRowLastColumn="0" w:lastRowFirstColumn="0" w:lastRowLastColumn="0"/>
            </w:pPr>
          </w:p>
        </w:tc>
        <w:tc>
          <w:tcPr>
            <w:tcW w:w="0" w:type="auto"/>
            <w:tcBorders>
              <w:top w:val="double" w:sz="4" w:space="0" w:color="auto"/>
              <w:bottom w:val="none" w:sz="0" w:space="0" w:color="auto"/>
            </w:tcBorders>
            <w:vAlign w:val="center"/>
          </w:tcPr>
          <w:p w:rsidR="00630FB9" w:rsidRPr="00BC7165" w:rsidRDefault="00630FB9" w:rsidP="007E2DF6">
            <w:pPr>
              <w:jc w:val="right"/>
              <w:cnfStyle w:val="000000100000" w:firstRow="0" w:lastRow="0" w:firstColumn="0" w:lastColumn="0" w:oddVBand="0" w:evenVBand="0" w:oddHBand="1" w:evenHBand="0" w:firstRowFirstColumn="0" w:firstRowLastColumn="0" w:lastRowFirstColumn="0" w:lastRowLastColumn="0"/>
            </w:pPr>
          </w:p>
        </w:tc>
        <w:tc>
          <w:tcPr>
            <w:tcW w:w="0" w:type="auto"/>
            <w:tcBorders>
              <w:top w:val="double" w:sz="4" w:space="0" w:color="auto"/>
              <w:bottom w:val="none" w:sz="0" w:space="0" w:color="auto"/>
            </w:tcBorders>
            <w:vAlign w:val="center"/>
          </w:tcPr>
          <w:p w:rsidR="00630FB9" w:rsidRPr="00BC7165" w:rsidRDefault="00630FB9" w:rsidP="007E2DF6">
            <w:pPr>
              <w:jc w:val="right"/>
              <w:cnfStyle w:val="000000100000" w:firstRow="0" w:lastRow="0" w:firstColumn="0" w:lastColumn="0" w:oddVBand="0" w:evenVBand="0" w:oddHBand="1" w:evenHBand="0" w:firstRowFirstColumn="0" w:firstRowLastColumn="0" w:lastRowFirstColumn="0" w:lastRowLastColumn="0"/>
            </w:pPr>
          </w:p>
        </w:tc>
        <w:tc>
          <w:tcPr>
            <w:tcW w:w="0" w:type="auto"/>
            <w:tcBorders>
              <w:top w:val="double" w:sz="4" w:space="0" w:color="auto"/>
              <w:bottom w:val="none" w:sz="0" w:space="0" w:color="auto"/>
            </w:tcBorders>
            <w:vAlign w:val="center"/>
          </w:tcPr>
          <w:p w:rsidR="00630FB9" w:rsidRPr="00BC7165" w:rsidRDefault="00630FB9" w:rsidP="007E2DF6">
            <w:pPr>
              <w:jc w:val="right"/>
              <w:cnfStyle w:val="000000100000" w:firstRow="0" w:lastRow="0" w:firstColumn="0" w:lastColumn="0" w:oddVBand="0" w:evenVBand="0" w:oddHBand="1" w:evenHBand="0" w:firstRowFirstColumn="0" w:firstRowLastColumn="0" w:lastRowFirstColumn="0" w:lastRowLastColumn="0"/>
            </w:pPr>
          </w:p>
        </w:tc>
      </w:tr>
      <w:tr w:rsidR="00630FB9" w:rsidRPr="005E7672" w:rsidTr="00BC74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tcBorders>
            <w:vAlign w:val="center"/>
          </w:tcPr>
          <w:p w:rsidR="00630FB9" w:rsidRPr="005E7672" w:rsidRDefault="00630FB9" w:rsidP="00BC7411">
            <w:pPr>
              <w:rPr>
                <w:lang w:eastAsia="en-GB"/>
              </w:rPr>
            </w:pPr>
            <w:r w:rsidRPr="005E7672">
              <w:rPr>
                <w:lang w:eastAsia="en-GB"/>
              </w:rPr>
              <w:t>Depreciation at 1 January</w:t>
            </w:r>
          </w:p>
        </w:tc>
        <w:tc>
          <w:tcPr>
            <w:tcW w:w="0" w:type="auto"/>
            <w:tcBorders>
              <w:top w:val="none" w:sz="0" w:space="0" w:color="auto"/>
            </w:tcBorders>
            <w:vAlign w:val="center"/>
          </w:tcPr>
          <w:p w:rsidR="00630FB9" w:rsidRPr="007E2DF6" w:rsidRDefault="00630FB9" w:rsidP="007E2DF6">
            <w:pPr>
              <w:jc w:val="right"/>
              <w:cnfStyle w:val="000000010000" w:firstRow="0" w:lastRow="0" w:firstColumn="0" w:lastColumn="0" w:oddVBand="0" w:evenVBand="0" w:oddHBand="0" w:evenHBand="1" w:firstRowFirstColumn="0" w:firstRowLastColumn="0" w:lastRowFirstColumn="0" w:lastRowLastColumn="0"/>
              <w:rPr>
                <w:b/>
              </w:rPr>
            </w:pPr>
            <w:r w:rsidRPr="007E2DF6">
              <w:rPr>
                <w:b/>
              </w:rPr>
              <w:t>174,242</w:t>
            </w:r>
          </w:p>
        </w:tc>
        <w:tc>
          <w:tcPr>
            <w:tcW w:w="0" w:type="auto"/>
            <w:tcBorders>
              <w:top w:val="none" w:sz="0" w:space="0" w:color="auto"/>
            </w:tcBorders>
            <w:vAlign w:val="center"/>
          </w:tcPr>
          <w:p w:rsidR="00630FB9" w:rsidRPr="007E2DF6" w:rsidRDefault="00630FB9" w:rsidP="007E2DF6">
            <w:pPr>
              <w:jc w:val="right"/>
              <w:cnfStyle w:val="000000010000" w:firstRow="0" w:lastRow="0" w:firstColumn="0" w:lastColumn="0" w:oddVBand="0" w:evenVBand="0" w:oddHBand="0" w:evenHBand="1" w:firstRowFirstColumn="0" w:firstRowLastColumn="0" w:lastRowFirstColumn="0" w:lastRowLastColumn="0"/>
              <w:rPr>
                <w:b/>
              </w:rPr>
            </w:pPr>
            <w:r w:rsidRPr="007E2DF6">
              <w:rPr>
                <w:b/>
              </w:rPr>
              <w:t>112,155</w:t>
            </w:r>
          </w:p>
        </w:tc>
        <w:tc>
          <w:tcPr>
            <w:tcW w:w="0" w:type="auto"/>
            <w:tcBorders>
              <w:top w:val="none" w:sz="0" w:space="0" w:color="auto"/>
            </w:tcBorders>
            <w:vAlign w:val="center"/>
          </w:tcPr>
          <w:p w:rsidR="00630FB9" w:rsidRPr="007E2DF6" w:rsidRDefault="00630FB9" w:rsidP="007E2DF6">
            <w:pPr>
              <w:jc w:val="right"/>
              <w:cnfStyle w:val="000000010000" w:firstRow="0" w:lastRow="0" w:firstColumn="0" w:lastColumn="0" w:oddVBand="0" w:evenVBand="0" w:oddHBand="0" w:evenHBand="1" w:firstRowFirstColumn="0" w:firstRowLastColumn="0" w:lastRowFirstColumn="0" w:lastRowLastColumn="0"/>
              <w:rPr>
                <w:b/>
              </w:rPr>
            </w:pPr>
            <w:r w:rsidRPr="007E2DF6">
              <w:rPr>
                <w:b/>
              </w:rPr>
              <w:t>1,193,713</w:t>
            </w:r>
          </w:p>
        </w:tc>
        <w:tc>
          <w:tcPr>
            <w:tcW w:w="0" w:type="auto"/>
            <w:tcBorders>
              <w:top w:val="none" w:sz="0" w:space="0" w:color="auto"/>
            </w:tcBorders>
            <w:vAlign w:val="center"/>
          </w:tcPr>
          <w:p w:rsidR="00630FB9" w:rsidRPr="007E2DF6" w:rsidRDefault="00630FB9" w:rsidP="007E2DF6">
            <w:pPr>
              <w:jc w:val="right"/>
              <w:cnfStyle w:val="000000010000" w:firstRow="0" w:lastRow="0" w:firstColumn="0" w:lastColumn="0" w:oddVBand="0" w:evenVBand="0" w:oddHBand="0" w:evenHBand="1" w:firstRowFirstColumn="0" w:firstRowLastColumn="0" w:lastRowFirstColumn="0" w:lastRowLastColumn="0"/>
              <w:rPr>
                <w:b/>
              </w:rPr>
            </w:pPr>
            <w:r w:rsidRPr="007E2DF6">
              <w:rPr>
                <w:b/>
              </w:rPr>
              <w:t>1,480,110</w:t>
            </w:r>
          </w:p>
        </w:tc>
      </w:tr>
      <w:tr w:rsidR="00630FB9" w:rsidRPr="005E7672" w:rsidTr="00BC7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630FB9" w:rsidRPr="005E7672" w:rsidRDefault="00630FB9" w:rsidP="00BC7411">
            <w:pPr>
              <w:rPr>
                <w:lang w:eastAsia="en-GB"/>
              </w:rPr>
            </w:pPr>
            <w:r w:rsidRPr="005E7672">
              <w:rPr>
                <w:lang w:eastAsia="en-GB"/>
              </w:rPr>
              <w:t>Charge for the year</w:t>
            </w:r>
          </w:p>
        </w:tc>
        <w:tc>
          <w:tcPr>
            <w:tcW w:w="0" w:type="auto"/>
            <w:vAlign w:val="center"/>
          </w:tcPr>
          <w:p w:rsidR="00630FB9" w:rsidRPr="00BC7165" w:rsidRDefault="00630FB9" w:rsidP="007E2DF6">
            <w:pPr>
              <w:jc w:val="right"/>
              <w:cnfStyle w:val="000000100000" w:firstRow="0" w:lastRow="0" w:firstColumn="0" w:lastColumn="0" w:oddVBand="0" w:evenVBand="0" w:oddHBand="1" w:evenHBand="0" w:firstRowFirstColumn="0" w:firstRowLastColumn="0" w:lastRowFirstColumn="0" w:lastRowLastColumn="0"/>
            </w:pPr>
            <w:r w:rsidRPr="00BC7165">
              <w:t>3,728</w:t>
            </w:r>
          </w:p>
        </w:tc>
        <w:tc>
          <w:tcPr>
            <w:tcW w:w="0" w:type="auto"/>
            <w:vAlign w:val="center"/>
          </w:tcPr>
          <w:p w:rsidR="00630FB9" w:rsidRPr="00BC7165" w:rsidRDefault="00630FB9" w:rsidP="007E2DF6">
            <w:pPr>
              <w:jc w:val="right"/>
              <w:cnfStyle w:val="000000100000" w:firstRow="0" w:lastRow="0" w:firstColumn="0" w:lastColumn="0" w:oddVBand="0" w:evenVBand="0" w:oddHBand="1" w:evenHBand="0" w:firstRowFirstColumn="0" w:firstRowLastColumn="0" w:lastRowFirstColumn="0" w:lastRowLastColumn="0"/>
            </w:pPr>
            <w:r w:rsidRPr="00BC7165">
              <w:t>4,868</w:t>
            </w:r>
          </w:p>
        </w:tc>
        <w:tc>
          <w:tcPr>
            <w:tcW w:w="0" w:type="auto"/>
            <w:vAlign w:val="center"/>
          </w:tcPr>
          <w:p w:rsidR="00630FB9" w:rsidRPr="00BC7165" w:rsidRDefault="00630FB9" w:rsidP="007E2DF6">
            <w:pPr>
              <w:jc w:val="right"/>
              <w:cnfStyle w:val="000000100000" w:firstRow="0" w:lastRow="0" w:firstColumn="0" w:lastColumn="0" w:oddVBand="0" w:evenVBand="0" w:oddHBand="1" w:evenHBand="0" w:firstRowFirstColumn="0" w:firstRowLastColumn="0" w:lastRowFirstColumn="0" w:lastRowLastColumn="0"/>
            </w:pPr>
            <w:r w:rsidRPr="00BC7165">
              <w:t>69,872</w:t>
            </w:r>
          </w:p>
        </w:tc>
        <w:tc>
          <w:tcPr>
            <w:tcW w:w="0" w:type="auto"/>
            <w:vAlign w:val="center"/>
          </w:tcPr>
          <w:p w:rsidR="00630FB9" w:rsidRPr="007E2DF6" w:rsidRDefault="00630FB9" w:rsidP="007E2DF6">
            <w:pPr>
              <w:jc w:val="right"/>
              <w:cnfStyle w:val="000000100000" w:firstRow="0" w:lastRow="0" w:firstColumn="0" w:lastColumn="0" w:oddVBand="0" w:evenVBand="0" w:oddHBand="1" w:evenHBand="0" w:firstRowFirstColumn="0" w:firstRowLastColumn="0" w:lastRowFirstColumn="0" w:lastRowLastColumn="0"/>
              <w:rPr>
                <w:b/>
              </w:rPr>
            </w:pPr>
            <w:r w:rsidRPr="007E2DF6">
              <w:rPr>
                <w:b/>
              </w:rPr>
              <w:t>78,468</w:t>
            </w:r>
          </w:p>
        </w:tc>
      </w:tr>
      <w:tr w:rsidR="00630FB9" w:rsidRPr="005E7672" w:rsidTr="00BC74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630FB9" w:rsidRPr="005E7672" w:rsidRDefault="00630FB9" w:rsidP="00BC7411">
            <w:pPr>
              <w:rPr>
                <w:lang w:eastAsia="en-GB"/>
              </w:rPr>
            </w:pPr>
            <w:r w:rsidRPr="005E7672">
              <w:rPr>
                <w:lang w:eastAsia="en-GB"/>
              </w:rPr>
              <w:t>Disposals</w:t>
            </w:r>
          </w:p>
        </w:tc>
        <w:tc>
          <w:tcPr>
            <w:tcW w:w="0" w:type="auto"/>
            <w:tcBorders>
              <w:bottom w:val="single" w:sz="8" w:space="0" w:color="000000" w:themeColor="text1"/>
            </w:tcBorders>
            <w:vAlign w:val="center"/>
          </w:tcPr>
          <w:p w:rsidR="00630FB9" w:rsidRPr="00BC7165" w:rsidRDefault="00630FB9" w:rsidP="007E2DF6">
            <w:pPr>
              <w:jc w:val="right"/>
              <w:cnfStyle w:val="000000010000" w:firstRow="0" w:lastRow="0" w:firstColumn="0" w:lastColumn="0" w:oddVBand="0" w:evenVBand="0" w:oddHBand="0" w:evenHBand="1" w:firstRowFirstColumn="0" w:firstRowLastColumn="0" w:lastRowFirstColumn="0" w:lastRowLastColumn="0"/>
            </w:pPr>
            <w:r w:rsidRPr="00BC7165">
              <w:t>(13,161)</w:t>
            </w:r>
          </w:p>
        </w:tc>
        <w:tc>
          <w:tcPr>
            <w:tcW w:w="0" w:type="auto"/>
            <w:tcBorders>
              <w:bottom w:val="single" w:sz="8" w:space="0" w:color="000000" w:themeColor="text1"/>
            </w:tcBorders>
            <w:vAlign w:val="center"/>
          </w:tcPr>
          <w:p w:rsidR="00630FB9" w:rsidRPr="00BC7165" w:rsidRDefault="00630FB9" w:rsidP="007E2DF6">
            <w:pPr>
              <w:jc w:val="right"/>
              <w:cnfStyle w:val="000000010000" w:firstRow="0" w:lastRow="0" w:firstColumn="0" w:lastColumn="0" w:oddVBand="0" w:evenVBand="0" w:oddHBand="0" w:evenHBand="1" w:firstRowFirstColumn="0" w:firstRowLastColumn="0" w:lastRowFirstColumn="0" w:lastRowLastColumn="0"/>
            </w:pPr>
            <w:r w:rsidRPr="00BC7165">
              <w:t>-</w:t>
            </w:r>
          </w:p>
        </w:tc>
        <w:tc>
          <w:tcPr>
            <w:tcW w:w="0" w:type="auto"/>
            <w:tcBorders>
              <w:bottom w:val="single" w:sz="8" w:space="0" w:color="000000" w:themeColor="text1"/>
            </w:tcBorders>
            <w:vAlign w:val="center"/>
          </w:tcPr>
          <w:p w:rsidR="00630FB9" w:rsidRPr="00BC7165" w:rsidRDefault="00630FB9" w:rsidP="007E2DF6">
            <w:pPr>
              <w:jc w:val="right"/>
              <w:cnfStyle w:val="000000010000" w:firstRow="0" w:lastRow="0" w:firstColumn="0" w:lastColumn="0" w:oddVBand="0" w:evenVBand="0" w:oddHBand="0" w:evenHBand="1" w:firstRowFirstColumn="0" w:firstRowLastColumn="0" w:lastRowFirstColumn="0" w:lastRowLastColumn="0"/>
            </w:pPr>
            <w:r w:rsidRPr="00BC7165">
              <w:t>-</w:t>
            </w:r>
          </w:p>
        </w:tc>
        <w:tc>
          <w:tcPr>
            <w:tcW w:w="0" w:type="auto"/>
            <w:tcBorders>
              <w:bottom w:val="single" w:sz="8" w:space="0" w:color="000000" w:themeColor="text1"/>
            </w:tcBorders>
            <w:vAlign w:val="center"/>
          </w:tcPr>
          <w:p w:rsidR="00630FB9" w:rsidRPr="007E2DF6" w:rsidRDefault="00630FB9" w:rsidP="007E2DF6">
            <w:pPr>
              <w:jc w:val="right"/>
              <w:cnfStyle w:val="000000010000" w:firstRow="0" w:lastRow="0" w:firstColumn="0" w:lastColumn="0" w:oddVBand="0" w:evenVBand="0" w:oddHBand="0" w:evenHBand="1" w:firstRowFirstColumn="0" w:firstRowLastColumn="0" w:lastRowFirstColumn="0" w:lastRowLastColumn="0"/>
              <w:rPr>
                <w:b/>
              </w:rPr>
            </w:pPr>
            <w:r w:rsidRPr="007E2DF6">
              <w:rPr>
                <w:b/>
              </w:rPr>
              <w:t>(13,161)</w:t>
            </w:r>
          </w:p>
        </w:tc>
      </w:tr>
      <w:tr w:rsidR="00630FB9" w:rsidRPr="007E2DF6" w:rsidTr="00BC7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630FB9" w:rsidRPr="007E2DF6" w:rsidRDefault="00630FB9" w:rsidP="00BC7411">
            <w:pPr>
              <w:rPr>
                <w:b/>
                <w:lang w:eastAsia="en-GB"/>
              </w:rPr>
            </w:pPr>
            <w:r w:rsidRPr="007E2DF6">
              <w:rPr>
                <w:b/>
                <w:lang w:eastAsia="en-GB"/>
              </w:rPr>
              <w:t>At 31 December</w:t>
            </w:r>
          </w:p>
        </w:tc>
        <w:tc>
          <w:tcPr>
            <w:tcW w:w="0" w:type="auto"/>
            <w:tcBorders>
              <w:top w:val="single" w:sz="8" w:space="0" w:color="000000" w:themeColor="text1"/>
              <w:bottom w:val="double" w:sz="4" w:space="0" w:color="auto"/>
            </w:tcBorders>
            <w:vAlign w:val="center"/>
          </w:tcPr>
          <w:p w:rsidR="00630FB9" w:rsidRPr="007E2DF6" w:rsidRDefault="00630FB9" w:rsidP="007E2DF6">
            <w:pPr>
              <w:jc w:val="right"/>
              <w:cnfStyle w:val="000000100000" w:firstRow="0" w:lastRow="0" w:firstColumn="0" w:lastColumn="0" w:oddVBand="0" w:evenVBand="0" w:oddHBand="1" w:evenHBand="0" w:firstRowFirstColumn="0" w:firstRowLastColumn="0" w:lastRowFirstColumn="0" w:lastRowLastColumn="0"/>
              <w:rPr>
                <w:b/>
              </w:rPr>
            </w:pPr>
            <w:r w:rsidRPr="007E2DF6">
              <w:rPr>
                <w:b/>
              </w:rPr>
              <w:t>164,809</w:t>
            </w:r>
          </w:p>
        </w:tc>
        <w:tc>
          <w:tcPr>
            <w:tcW w:w="0" w:type="auto"/>
            <w:tcBorders>
              <w:top w:val="single" w:sz="8" w:space="0" w:color="000000" w:themeColor="text1"/>
              <w:bottom w:val="double" w:sz="4" w:space="0" w:color="auto"/>
            </w:tcBorders>
            <w:vAlign w:val="center"/>
          </w:tcPr>
          <w:p w:rsidR="00630FB9" w:rsidRPr="007E2DF6" w:rsidRDefault="00630FB9" w:rsidP="007E2DF6">
            <w:pPr>
              <w:jc w:val="right"/>
              <w:cnfStyle w:val="000000100000" w:firstRow="0" w:lastRow="0" w:firstColumn="0" w:lastColumn="0" w:oddVBand="0" w:evenVBand="0" w:oddHBand="1" w:evenHBand="0" w:firstRowFirstColumn="0" w:firstRowLastColumn="0" w:lastRowFirstColumn="0" w:lastRowLastColumn="0"/>
              <w:rPr>
                <w:b/>
              </w:rPr>
            </w:pPr>
            <w:r w:rsidRPr="007E2DF6">
              <w:rPr>
                <w:b/>
              </w:rPr>
              <w:t>117,023</w:t>
            </w:r>
          </w:p>
        </w:tc>
        <w:tc>
          <w:tcPr>
            <w:tcW w:w="0" w:type="auto"/>
            <w:tcBorders>
              <w:top w:val="single" w:sz="8" w:space="0" w:color="000000" w:themeColor="text1"/>
              <w:bottom w:val="double" w:sz="4" w:space="0" w:color="auto"/>
            </w:tcBorders>
            <w:vAlign w:val="center"/>
          </w:tcPr>
          <w:p w:rsidR="00630FB9" w:rsidRPr="007E2DF6" w:rsidRDefault="00630FB9" w:rsidP="007E2DF6">
            <w:pPr>
              <w:jc w:val="right"/>
              <w:cnfStyle w:val="000000100000" w:firstRow="0" w:lastRow="0" w:firstColumn="0" w:lastColumn="0" w:oddVBand="0" w:evenVBand="0" w:oddHBand="1" w:evenHBand="0" w:firstRowFirstColumn="0" w:firstRowLastColumn="0" w:lastRowFirstColumn="0" w:lastRowLastColumn="0"/>
              <w:rPr>
                <w:b/>
              </w:rPr>
            </w:pPr>
            <w:r w:rsidRPr="007E2DF6">
              <w:rPr>
                <w:b/>
              </w:rPr>
              <w:t>1,263,585</w:t>
            </w:r>
          </w:p>
        </w:tc>
        <w:tc>
          <w:tcPr>
            <w:tcW w:w="0" w:type="auto"/>
            <w:tcBorders>
              <w:top w:val="single" w:sz="8" w:space="0" w:color="000000" w:themeColor="text1"/>
              <w:bottom w:val="double" w:sz="4" w:space="0" w:color="auto"/>
            </w:tcBorders>
            <w:vAlign w:val="center"/>
          </w:tcPr>
          <w:p w:rsidR="00630FB9" w:rsidRPr="007E2DF6" w:rsidRDefault="00630FB9" w:rsidP="007E2DF6">
            <w:pPr>
              <w:jc w:val="right"/>
              <w:cnfStyle w:val="000000100000" w:firstRow="0" w:lastRow="0" w:firstColumn="0" w:lastColumn="0" w:oddVBand="0" w:evenVBand="0" w:oddHBand="1" w:evenHBand="0" w:firstRowFirstColumn="0" w:firstRowLastColumn="0" w:lastRowFirstColumn="0" w:lastRowLastColumn="0"/>
              <w:rPr>
                <w:b/>
              </w:rPr>
            </w:pPr>
            <w:r w:rsidRPr="007E2DF6">
              <w:rPr>
                <w:b/>
              </w:rPr>
              <w:t>1,545,417</w:t>
            </w:r>
          </w:p>
        </w:tc>
      </w:tr>
      <w:tr w:rsidR="007E2DF6" w:rsidRPr="005E7672" w:rsidTr="00BC74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7E2DF6" w:rsidRPr="005E7672" w:rsidRDefault="007E2DF6" w:rsidP="00BC7411">
            <w:pPr>
              <w:rPr>
                <w:lang w:eastAsia="en-GB"/>
              </w:rPr>
            </w:pPr>
          </w:p>
        </w:tc>
        <w:tc>
          <w:tcPr>
            <w:tcW w:w="0" w:type="auto"/>
            <w:tcBorders>
              <w:top w:val="double" w:sz="4" w:space="0" w:color="auto"/>
              <w:bottom w:val="none" w:sz="0" w:space="0" w:color="auto"/>
            </w:tcBorders>
            <w:vAlign w:val="center"/>
          </w:tcPr>
          <w:p w:rsidR="007E2DF6" w:rsidRPr="007E2DF6" w:rsidRDefault="007E2DF6" w:rsidP="007E2DF6">
            <w:pPr>
              <w:jc w:val="right"/>
              <w:cnfStyle w:val="000000010000" w:firstRow="0" w:lastRow="0" w:firstColumn="0" w:lastColumn="0" w:oddVBand="0" w:evenVBand="0" w:oddHBand="0" w:evenHBand="1" w:firstRowFirstColumn="0" w:firstRowLastColumn="0" w:lastRowFirstColumn="0" w:lastRowLastColumn="0"/>
              <w:rPr>
                <w:b/>
              </w:rPr>
            </w:pPr>
          </w:p>
        </w:tc>
        <w:tc>
          <w:tcPr>
            <w:tcW w:w="0" w:type="auto"/>
            <w:tcBorders>
              <w:top w:val="double" w:sz="4" w:space="0" w:color="auto"/>
              <w:bottom w:val="none" w:sz="0" w:space="0" w:color="auto"/>
            </w:tcBorders>
            <w:vAlign w:val="center"/>
          </w:tcPr>
          <w:p w:rsidR="007E2DF6" w:rsidRPr="007E2DF6" w:rsidRDefault="007E2DF6" w:rsidP="007E2DF6">
            <w:pPr>
              <w:jc w:val="right"/>
              <w:cnfStyle w:val="000000010000" w:firstRow="0" w:lastRow="0" w:firstColumn="0" w:lastColumn="0" w:oddVBand="0" w:evenVBand="0" w:oddHBand="0" w:evenHBand="1" w:firstRowFirstColumn="0" w:firstRowLastColumn="0" w:lastRowFirstColumn="0" w:lastRowLastColumn="0"/>
              <w:rPr>
                <w:b/>
              </w:rPr>
            </w:pPr>
          </w:p>
        </w:tc>
        <w:tc>
          <w:tcPr>
            <w:tcW w:w="0" w:type="auto"/>
            <w:tcBorders>
              <w:top w:val="double" w:sz="4" w:space="0" w:color="auto"/>
              <w:bottom w:val="none" w:sz="0" w:space="0" w:color="auto"/>
            </w:tcBorders>
            <w:vAlign w:val="center"/>
          </w:tcPr>
          <w:p w:rsidR="007E2DF6" w:rsidRPr="007E2DF6" w:rsidRDefault="007E2DF6" w:rsidP="007E2DF6">
            <w:pPr>
              <w:jc w:val="right"/>
              <w:cnfStyle w:val="000000010000" w:firstRow="0" w:lastRow="0" w:firstColumn="0" w:lastColumn="0" w:oddVBand="0" w:evenVBand="0" w:oddHBand="0" w:evenHBand="1" w:firstRowFirstColumn="0" w:firstRowLastColumn="0" w:lastRowFirstColumn="0" w:lastRowLastColumn="0"/>
              <w:rPr>
                <w:b/>
              </w:rPr>
            </w:pPr>
          </w:p>
        </w:tc>
        <w:tc>
          <w:tcPr>
            <w:tcW w:w="0" w:type="auto"/>
            <w:tcBorders>
              <w:top w:val="double" w:sz="4" w:space="0" w:color="auto"/>
              <w:bottom w:val="none" w:sz="0" w:space="0" w:color="auto"/>
            </w:tcBorders>
            <w:vAlign w:val="center"/>
          </w:tcPr>
          <w:p w:rsidR="007E2DF6" w:rsidRPr="007E2DF6" w:rsidRDefault="007E2DF6" w:rsidP="007E2DF6">
            <w:pPr>
              <w:jc w:val="right"/>
              <w:cnfStyle w:val="000000010000" w:firstRow="0" w:lastRow="0" w:firstColumn="0" w:lastColumn="0" w:oddVBand="0" w:evenVBand="0" w:oddHBand="0" w:evenHBand="1" w:firstRowFirstColumn="0" w:firstRowLastColumn="0" w:lastRowFirstColumn="0" w:lastRowLastColumn="0"/>
              <w:rPr>
                <w:b/>
              </w:rPr>
            </w:pPr>
          </w:p>
        </w:tc>
      </w:tr>
      <w:tr w:rsidR="007E2DF6" w:rsidRPr="005E7672" w:rsidTr="00BC7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7E2DF6" w:rsidRPr="005E7672" w:rsidRDefault="007E2DF6" w:rsidP="00BC7411">
            <w:pPr>
              <w:rPr>
                <w:lang w:eastAsia="en-GB"/>
              </w:rPr>
            </w:pPr>
            <w:r w:rsidRPr="005E7672">
              <w:rPr>
                <w:lang w:eastAsia="en-GB"/>
              </w:rPr>
              <w:t>Net Book Value at 1 January</w:t>
            </w:r>
          </w:p>
        </w:tc>
        <w:tc>
          <w:tcPr>
            <w:tcW w:w="0" w:type="auto"/>
            <w:tcBorders>
              <w:top w:val="none" w:sz="0" w:space="0" w:color="auto"/>
            </w:tcBorders>
            <w:vAlign w:val="center"/>
          </w:tcPr>
          <w:p w:rsidR="007E2DF6" w:rsidRPr="007E2DF6" w:rsidRDefault="007E2DF6" w:rsidP="007E2DF6">
            <w:pPr>
              <w:jc w:val="right"/>
              <w:cnfStyle w:val="000000100000" w:firstRow="0" w:lastRow="0" w:firstColumn="0" w:lastColumn="0" w:oddVBand="0" w:evenVBand="0" w:oddHBand="1" w:evenHBand="0" w:firstRowFirstColumn="0" w:firstRowLastColumn="0" w:lastRowFirstColumn="0" w:lastRowLastColumn="0"/>
              <w:rPr>
                <w:b/>
              </w:rPr>
            </w:pPr>
            <w:r w:rsidRPr="007E2DF6">
              <w:rPr>
                <w:b/>
              </w:rPr>
              <w:t>7,830</w:t>
            </w:r>
          </w:p>
        </w:tc>
        <w:tc>
          <w:tcPr>
            <w:tcW w:w="0" w:type="auto"/>
            <w:tcBorders>
              <w:top w:val="none" w:sz="0" w:space="0" w:color="auto"/>
            </w:tcBorders>
            <w:vAlign w:val="center"/>
          </w:tcPr>
          <w:p w:rsidR="007E2DF6" w:rsidRPr="007E2DF6" w:rsidRDefault="007E2DF6" w:rsidP="007E2DF6">
            <w:pPr>
              <w:jc w:val="right"/>
              <w:cnfStyle w:val="000000100000" w:firstRow="0" w:lastRow="0" w:firstColumn="0" w:lastColumn="0" w:oddVBand="0" w:evenVBand="0" w:oddHBand="1" w:evenHBand="0" w:firstRowFirstColumn="0" w:firstRowLastColumn="0" w:lastRowFirstColumn="0" w:lastRowLastColumn="0"/>
              <w:rPr>
                <w:b/>
              </w:rPr>
            </w:pPr>
            <w:r w:rsidRPr="007E2DF6">
              <w:rPr>
                <w:b/>
              </w:rPr>
              <w:t>4,988</w:t>
            </w:r>
          </w:p>
        </w:tc>
        <w:tc>
          <w:tcPr>
            <w:tcW w:w="0" w:type="auto"/>
            <w:tcBorders>
              <w:top w:val="none" w:sz="0" w:space="0" w:color="auto"/>
            </w:tcBorders>
            <w:vAlign w:val="center"/>
          </w:tcPr>
          <w:p w:rsidR="007E2DF6" w:rsidRPr="007E2DF6" w:rsidRDefault="007E2DF6" w:rsidP="007E2DF6">
            <w:pPr>
              <w:jc w:val="right"/>
              <w:cnfStyle w:val="000000100000" w:firstRow="0" w:lastRow="0" w:firstColumn="0" w:lastColumn="0" w:oddVBand="0" w:evenVBand="0" w:oddHBand="1" w:evenHBand="0" w:firstRowFirstColumn="0" w:firstRowLastColumn="0" w:lastRowFirstColumn="0" w:lastRowLastColumn="0"/>
              <w:rPr>
                <w:b/>
              </w:rPr>
            </w:pPr>
            <w:r w:rsidRPr="007E2DF6">
              <w:rPr>
                <w:b/>
              </w:rPr>
              <w:t>2,794,891</w:t>
            </w:r>
          </w:p>
        </w:tc>
        <w:tc>
          <w:tcPr>
            <w:tcW w:w="0" w:type="auto"/>
            <w:tcBorders>
              <w:top w:val="none" w:sz="0" w:space="0" w:color="auto"/>
            </w:tcBorders>
            <w:vAlign w:val="center"/>
          </w:tcPr>
          <w:p w:rsidR="007E2DF6" w:rsidRPr="007E2DF6" w:rsidRDefault="007E2DF6" w:rsidP="007E2DF6">
            <w:pPr>
              <w:jc w:val="right"/>
              <w:cnfStyle w:val="000000100000" w:firstRow="0" w:lastRow="0" w:firstColumn="0" w:lastColumn="0" w:oddVBand="0" w:evenVBand="0" w:oddHBand="1" w:evenHBand="0" w:firstRowFirstColumn="0" w:firstRowLastColumn="0" w:lastRowFirstColumn="0" w:lastRowLastColumn="0"/>
              <w:rPr>
                <w:b/>
              </w:rPr>
            </w:pPr>
            <w:r w:rsidRPr="007E2DF6">
              <w:rPr>
                <w:b/>
              </w:rPr>
              <w:t>2,807,709</w:t>
            </w:r>
          </w:p>
        </w:tc>
      </w:tr>
      <w:tr w:rsidR="007E2DF6" w:rsidRPr="005E7672" w:rsidTr="00BC74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7E2DF6" w:rsidRPr="005E7672" w:rsidRDefault="007E2DF6" w:rsidP="00BC7411">
            <w:pPr>
              <w:rPr>
                <w:lang w:eastAsia="en-GB"/>
              </w:rPr>
            </w:pPr>
            <w:r w:rsidRPr="005E7672">
              <w:rPr>
                <w:lang w:eastAsia="en-GB"/>
              </w:rPr>
              <w:t>Net movement for the year</w:t>
            </w:r>
          </w:p>
        </w:tc>
        <w:tc>
          <w:tcPr>
            <w:tcW w:w="0" w:type="auto"/>
            <w:tcBorders>
              <w:bottom w:val="single" w:sz="8" w:space="0" w:color="000000" w:themeColor="text1"/>
            </w:tcBorders>
            <w:vAlign w:val="center"/>
          </w:tcPr>
          <w:p w:rsidR="007E2DF6" w:rsidRPr="00BC7165" w:rsidRDefault="007E2DF6" w:rsidP="007E2DF6">
            <w:pPr>
              <w:jc w:val="right"/>
              <w:cnfStyle w:val="000000010000" w:firstRow="0" w:lastRow="0" w:firstColumn="0" w:lastColumn="0" w:oddVBand="0" w:evenVBand="0" w:oddHBand="0" w:evenHBand="1" w:firstRowFirstColumn="0" w:firstRowLastColumn="0" w:lastRowFirstColumn="0" w:lastRowLastColumn="0"/>
            </w:pPr>
            <w:r w:rsidRPr="00BC7165">
              <w:t>(3,728)</w:t>
            </w:r>
          </w:p>
        </w:tc>
        <w:tc>
          <w:tcPr>
            <w:tcW w:w="0" w:type="auto"/>
            <w:tcBorders>
              <w:bottom w:val="single" w:sz="8" w:space="0" w:color="000000" w:themeColor="text1"/>
            </w:tcBorders>
            <w:vAlign w:val="center"/>
          </w:tcPr>
          <w:p w:rsidR="007E2DF6" w:rsidRPr="00BC7165" w:rsidRDefault="007E2DF6" w:rsidP="007E2DF6">
            <w:pPr>
              <w:jc w:val="right"/>
              <w:cnfStyle w:val="000000010000" w:firstRow="0" w:lastRow="0" w:firstColumn="0" w:lastColumn="0" w:oddVBand="0" w:evenVBand="0" w:oddHBand="0" w:evenHBand="1" w:firstRowFirstColumn="0" w:firstRowLastColumn="0" w:lastRowFirstColumn="0" w:lastRowLastColumn="0"/>
            </w:pPr>
            <w:r w:rsidRPr="00BC7165">
              <w:t>(4,868)</w:t>
            </w:r>
          </w:p>
        </w:tc>
        <w:tc>
          <w:tcPr>
            <w:tcW w:w="0" w:type="auto"/>
            <w:tcBorders>
              <w:bottom w:val="single" w:sz="8" w:space="0" w:color="000000" w:themeColor="text1"/>
            </w:tcBorders>
            <w:vAlign w:val="center"/>
          </w:tcPr>
          <w:p w:rsidR="007E2DF6" w:rsidRPr="00BC7165" w:rsidRDefault="007E2DF6" w:rsidP="007E2DF6">
            <w:pPr>
              <w:jc w:val="right"/>
              <w:cnfStyle w:val="000000010000" w:firstRow="0" w:lastRow="0" w:firstColumn="0" w:lastColumn="0" w:oddVBand="0" w:evenVBand="0" w:oddHBand="0" w:evenHBand="1" w:firstRowFirstColumn="0" w:firstRowLastColumn="0" w:lastRowFirstColumn="0" w:lastRowLastColumn="0"/>
            </w:pPr>
            <w:r w:rsidRPr="00BC7165">
              <w:t>(69,872)</w:t>
            </w:r>
          </w:p>
        </w:tc>
        <w:tc>
          <w:tcPr>
            <w:tcW w:w="0" w:type="auto"/>
            <w:tcBorders>
              <w:bottom w:val="single" w:sz="8" w:space="0" w:color="000000" w:themeColor="text1"/>
            </w:tcBorders>
            <w:vAlign w:val="center"/>
          </w:tcPr>
          <w:p w:rsidR="007E2DF6" w:rsidRPr="007E2DF6" w:rsidRDefault="007E2DF6" w:rsidP="007E2DF6">
            <w:pPr>
              <w:jc w:val="right"/>
              <w:cnfStyle w:val="000000010000" w:firstRow="0" w:lastRow="0" w:firstColumn="0" w:lastColumn="0" w:oddVBand="0" w:evenVBand="0" w:oddHBand="0" w:evenHBand="1" w:firstRowFirstColumn="0" w:firstRowLastColumn="0" w:lastRowFirstColumn="0" w:lastRowLastColumn="0"/>
              <w:rPr>
                <w:b/>
              </w:rPr>
            </w:pPr>
            <w:r w:rsidRPr="007E2DF6">
              <w:rPr>
                <w:b/>
              </w:rPr>
              <w:t>(78,468)</w:t>
            </w:r>
          </w:p>
        </w:tc>
      </w:tr>
      <w:tr w:rsidR="007E2DF6" w:rsidRPr="008A3296" w:rsidTr="00BC7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7E2DF6" w:rsidRPr="008A3296" w:rsidRDefault="007E2DF6" w:rsidP="00BC7411">
            <w:pPr>
              <w:rPr>
                <w:b/>
                <w:lang w:eastAsia="en-GB"/>
              </w:rPr>
            </w:pPr>
            <w:r w:rsidRPr="008A3296">
              <w:rPr>
                <w:b/>
                <w:lang w:eastAsia="en-GB"/>
              </w:rPr>
              <w:t>At 31 December</w:t>
            </w:r>
          </w:p>
        </w:tc>
        <w:tc>
          <w:tcPr>
            <w:tcW w:w="0" w:type="auto"/>
            <w:tcBorders>
              <w:top w:val="single" w:sz="8" w:space="0" w:color="000000" w:themeColor="text1"/>
              <w:bottom w:val="double" w:sz="4" w:space="0" w:color="auto"/>
            </w:tcBorders>
            <w:vAlign w:val="center"/>
          </w:tcPr>
          <w:p w:rsidR="007E2DF6" w:rsidRPr="007E2DF6" w:rsidRDefault="007E2DF6" w:rsidP="007E2DF6">
            <w:pPr>
              <w:jc w:val="right"/>
              <w:cnfStyle w:val="000000100000" w:firstRow="0" w:lastRow="0" w:firstColumn="0" w:lastColumn="0" w:oddVBand="0" w:evenVBand="0" w:oddHBand="1" w:evenHBand="0" w:firstRowFirstColumn="0" w:firstRowLastColumn="0" w:lastRowFirstColumn="0" w:lastRowLastColumn="0"/>
              <w:rPr>
                <w:b/>
              </w:rPr>
            </w:pPr>
            <w:r w:rsidRPr="007E2DF6">
              <w:rPr>
                <w:b/>
              </w:rPr>
              <w:t>4,102</w:t>
            </w:r>
          </w:p>
        </w:tc>
        <w:tc>
          <w:tcPr>
            <w:tcW w:w="0" w:type="auto"/>
            <w:tcBorders>
              <w:top w:val="single" w:sz="8" w:space="0" w:color="000000" w:themeColor="text1"/>
              <w:bottom w:val="double" w:sz="4" w:space="0" w:color="auto"/>
            </w:tcBorders>
            <w:vAlign w:val="center"/>
          </w:tcPr>
          <w:p w:rsidR="007E2DF6" w:rsidRPr="007E2DF6" w:rsidRDefault="007E2DF6" w:rsidP="007E2DF6">
            <w:pPr>
              <w:jc w:val="right"/>
              <w:cnfStyle w:val="000000100000" w:firstRow="0" w:lastRow="0" w:firstColumn="0" w:lastColumn="0" w:oddVBand="0" w:evenVBand="0" w:oddHBand="1" w:evenHBand="0" w:firstRowFirstColumn="0" w:firstRowLastColumn="0" w:lastRowFirstColumn="0" w:lastRowLastColumn="0"/>
              <w:rPr>
                <w:b/>
              </w:rPr>
            </w:pPr>
            <w:r w:rsidRPr="007E2DF6">
              <w:rPr>
                <w:b/>
              </w:rPr>
              <w:t>120</w:t>
            </w:r>
          </w:p>
        </w:tc>
        <w:tc>
          <w:tcPr>
            <w:tcW w:w="0" w:type="auto"/>
            <w:tcBorders>
              <w:top w:val="single" w:sz="8" w:space="0" w:color="000000" w:themeColor="text1"/>
              <w:bottom w:val="double" w:sz="4" w:space="0" w:color="auto"/>
            </w:tcBorders>
            <w:vAlign w:val="center"/>
          </w:tcPr>
          <w:p w:rsidR="007E2DF6" w:rsidRPr="007E2DF6" w:rsidRDefault="007E2DF6" w:rsidP="007E2DF6">
            <w:pPr>
              <w:jc w:val="right"/>
              <w:cnfStyle w:val="000000100000" w:firstRow="0" w:lastRow="0" w:firstColumn="0" w:lastColumn="0" w:oddVBand="0" w:evenVBand="0" w:oddHBand="1" w:evenHBand="0" w:firstRowFirstColumn="0" w:firstRowLastColumn="0" w:lastRowFirstColumn="0" w:lastRowLastColumn="0"/>
              <w:rPr>
                <w:b/>
              </w:rPr>
            </w:pPr>
            <w:r w:rsidRPr="007E2DF6">
              <w:rPr>
                <w:b/>
              </w:rPr>
              <w:t>2,725,019</w:t>
            </w:r>
          </w:p>
        </w:tc>
        <w:tc>
          <w:tcPr>
            <w:tcW w:w="0" w:type="auto"/>
            <w:tcBorders>
              <w:top w:val="single" w:sz="8" w:space="0" w:color="000000" w:themeColor="text1"/>
              <w:bottom w:val="double" w:sz="4" w:space="0" w:color="auto"/>
            </w:tcBorders>
            <w:vAlign w:val="center"/>
          </w:tcPr>
          <w:p w:rsidR="007E2DF6" w:rsidRPr="007E2DF6" w:rsidRDefault="007E2DF6" w:rsidP="007E2DF6">
            <w:pPr>
              <w:jc w:val="right"/>
              <w:cnfStyle w:val="000000100000" w:firstRow="0" w:lastRow="0" w:firstColumn="0" w:lastColumn="0" w:oddVBand="0" w:evenVBand="0" w:oddHBand="1" w:evenHBand="0" w:firstRowFirstColumn="0" w:firstRowLastColumn="0" w:lastRowFirstColumn="0" w:lastRowLastColumn="0"/>
              <w:rPr>
                <w:b/>
              </w:rPr>
            </w:pPr>
            <w:r w:rsidRPr="007E2DF6">
              <w:rPr>
                <w:b/>
              </w:rPr>
              <w:t>2,729,241</w:t>
            </w:r>
          </w:p>
        </w:tc>
      </w:tr>
    </w:tbl>
    <w:p w:rsidR="007761C8" w:rsidRPr="005E7672" w:rsidRDefault="007761C8" w:rsidP="007761C8">
      <w:pPr>
        <w:rPr>
          <w:lang w:eastAsia="en-GB"/>
        </w:rPr>
      </w:pPr>
    </w:p>
    <w:p w:rsidR="007761C8" w:rsidRPr="005E7672" w:rsidRDefault="00BC7411" w:rsidP="00D659B8">
      <w:pPr>
        <w:rPr>
          <w:lang w:eastAsia="en-GB"/>
        </w:rPr>
      </w:pPr>
      <w:r w:rsidRPr="00BC7411">
        <w:rPr>
          <w:lang w:eastAsia="en-GB"/>
        </w:rPr>
        <w:t>The Authority operates its business from premises at 25 Clyde Road, Ballsbridge, Dublin 4, which it owns. The Authority does not own or lease any other property.</w:t>
      </w:r>
    </w:p>
    <w:p w:rsidR="007761C8" w:rsidRPr="005E7672" w:rsidRDefault="00DF241B" w:rsidP="00D659B8">
      <w:pPr>
        <w:pStyle w:val="Heading3"/>
        <w:rPr>
          <w:lang w:eastAsia="en-GB"/>
        </w:rPr>
      </w:pPr>
      <w:r>
        <w:rPr>
          <w:lang w:eastAsia="en-GB"/>
        </w:rPr>
        <w:t>9</w:t>
      </w:r>
      <w:r w:rsidR="00D659B8">
        <w:rPr>
          <w:lang w:eastAsia="en-GB"/>
        </w:rPr>
        <w:t xml:space="preserve">. </w:t>
      </w:r>
      <w:r w:rsidR="007761C8" w:rsidRPr="005E7672">
        <w:rPr>
          <w:lang w:eastAsia="en-GB"/>
        </w:rPr>
        <w:t>Receivables</w:t>
      </w:r>
    </w:p>
    <w:tbl>
      <w:tblPr>
        <w:tblStyle w:val="LightShading1"/>
        <w:tblW w:w="0" w:type="auto"/>
        <w:tblLook w:val="04A0" w:firstRow="1" w:lastRow="0" w:firstColumn="1" w:lastColumn="0" w:noHBand="0" w:noVBand="1"/>
      </w:tblPr>
      <w:tblGrid>
        <w:gridCol w:w="3871"/>
        <w:gridCol w:w="1148"/>
        <w:gridCol w:w="1148"/>
      </w:tblGrid>
      <w:tr w:rsidR="000A15CC" w:rsidRPr="005E7672" w:rsidTr="00FB5EA5">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0" w:type="auto"/>
          </w:tcPr>
          <w:p w:rsidR="000A15CC" w:rsidRPr="005E7672" w:rsidRDefault="000A15CC" w:rsidP="00FB5EA5">
            <w:pPr>
              <w:rPr>
                <w:lang w:eastAsia="en-GB"/>
              </w:rPr>
            </w:pPr>
          </w:p>
        </w:tc>
        <w:tc>
          <w:tcPr>
            <w:tcW w:w="0" w:type="auto"/>
          </w:tcPr>
          <w:p w:rsidR="000A15CC" w:rsidRPr="005E7672" w:rsidRDefault="000A15CC" w:rsidP="00FB5EA5">
            <w:pPr>
              <w:jc w:val="right"/>
              <w:cnfStyle w:val="100000000000" w:firstRow="1" w:lastRow="0" w:firstColumn="0" w:lastColumn="0" w:oddVBand="0" w:evenVBand="0" w:oddHBand="0" w:evenHBand="0" w:firstRowFirstColumn="0" w:firstRowLastColumn="0" w:lastRowFirstColumn="0" w:lastRowLastColumn="0"/>
              <w:rPr>
                <w:lang w:eastAsia="en-GB"/>
              </w:rPr>
            </w:pPr>
            <w:r w:rsidRPr="005E7672">
              <w:rPr>
                <w:lang w:eastAsia="en-GB"/>
              </w:rPr>
              <w:t>2015</w:t>
            </w:r>
            <w:r w:rsidR="00FB5EA5">
              <w:rPr>
                <w:lang w:eastAsia="en-GB"/>
              </w:rPr>
              <w:br/>
            </w:r>
            <w:r w:rsidRPr="005E7672">
              <w:rPr>
                <w:lang w:eastAsia="en-GB"/>
              </w:rPr>
              <w:t>€</w:t>
            </w:r>
          </w:p>
        </w:tc>
        <w:tc>
          <w:tcPr>
            <w:tcW w:w="0" w:type="auto"/>
          </w:tcPr>
          <w:p w:rsidR="000A15CC" w:rsidRPr="005E7672" w:rsidRDefault="000A15CC" w:rsidP="00FB5EA5">
            <w:pPr>
              <w:jc w:val="right"/>
              <w:cnfStyle w:val="100000000000" w:firstRow="1" w:lastRow="0" w:firstColumn="0" w:lastColumn="0" w:oddVBand="0" w:evenVBand="0" w:oddHBand="0" w:evenHBand="0" w:firstRowFirstColumn="0" w:firstRowLastColumn="0" w:lastRowFirstColumn="0" w:lastRowLastColumn="0"/>
              <w:rPr>
                <w:lang w:eastAsia="en-GB"/>
              </w:rPr>
            </w:pPr>
            <w:r w:rsidRPr="005E7672">
              <w:rPr>
                <w:lang w:eastAsia="en-GB"/>
              </w:rPr>
              <w:t>2014</w:t>
            </w:r>
            <w:r w:rsidR="00FB5EA5">
              <w:rPr>
                <w:lang w:eastAsia="en-GB"/>
              </w:rPr>
              <w:br/>
            </w:r>
            <w:r w:rsidRPr="005E7672">
              <w:rPr>
                <w:lang w:eastAsia="en-GB"/>
              </w:rPr>
              <w:t>€</w:t>
            </w:r>
          </w:p>
        </w:tc>
      </w:tr>
      <w:tr w:rsidR="000A15CC" w:rsidRPr="005E7672" w:rsidTr="00FB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A15CC" w:rsidRPr="005E7672" w:rsidRDefault="000A15CC" w:rsidP="00FB5EA5">
            <w:pPr>
              <w:rPr>
                <w:lang w:eastAsia="en-GB"/>
              </w:rPr>
            </w:pPr>
            <w:r w:rsidRPr="005E7672">
              <w:rPr>
                <w:lang w:eastAsia="en-GB"/>
              </w:rPr>
              <w:t>Department of Justice and Equality</w:t>
            </w:r>
          </w:p>
        </w:tc>
        <w:tc>
          <w:tcPr>
            <w:tcW w:w="0" w:type="auto"/>
          </w:tcPr>
          <w:p w:rsidR="000A15CC" w:rsidRPr="005E7672" w:rsidRDefault="000A15CC" w:rsidP="00FB5EA5">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331,798</w:t>
            </w:r>
          </w:p>
        </w:tc>
        <w:tc>
          <w:tcPr>
            <w:tcW w:w="0" w:type="auto"/>
          </w:tcPr>
          <w:p w:rsidR="000A15CC" w:rsidRPr="005E7672" w:rsidRDefault="000A15CC" w:rsidP="00FB5EA5">
            <w:pPr>
              <w:jc w:val="right"/>
              <w:cnfStyle w:val="000000100000" w:firstRow="0" w:lastRow="0" w:firstColumn="0" w:lastColumn="0" w:oddVBand="0" w:evenVBand="0" w:oddHBand="1" w:evenHBand="0" w:firstRowFirstColumn="0" w:firstRowLastColumn="0" w:lastRowFirstColumn="0" w:lastRowLastColumn="0"/>
              <w:rPr>
                <w:lang w:eastAsia="en-GB"/>
              </w:rPr>
            </w:pPr>
            <w:r w:rsidRPr="005E7672">
              <w:rPr>
                <w:lang w:eastAsia="en-GB"/>
              </w:rPr>
              <w:t>294,092</w:t>
            </w:r>
          </w:p>
        </w:tc>
      </w:tr>
      <w:tr w:rsidR="000A15CC" w:rsidRPr="005E7672" w:rsidTr="00FB5E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A15CC" w:rsidRPr="005E7672" w:rsidRDefault="000A15CC" w:rsidP="00FB5EA5">
            <w:pPr>
              <w:rPr>
                <w:lang w:eastAsia="en-GB"/>
              </w:rPr>
            </w:pPr>
            <w:r w:rsidRPr="005E7672">
              <w:rPr>
                <w:lang w:eastAsia="en-GB"/>
              </w:rPr>
              <w:t xml:space="preserve">Prepayments </w:t>
            </w:r>
          </w:p>
        </w:tc>
        <w:tc>
          <w:tcPr>
            <w:tcW w:w="0" w:type="auto"/>
          </w:tcPr>
          <w:p w:rsidR="000A15CC" w:rsidRPr="005E7672" w:rsidRDefault="000A15CC" w:rsidP="00FB5EA5">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112,626</w:t>
            </w:r>
          </w:p>
        </w:tc>
        <w:tc>
          <w:tcPr>
            <w:tcW w:w="0" w:type="auto"/>
          </w:tcPr>
          <w:p w:rsidR="000A15CC" w:rsidRPr="005E7672" w:rsidRDefault="000A15CC" w:rsidP="00FB5EA5">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10,993</w:t>
            </w:r>
          </w:p>
        </w:tc>
      </w:tr>
      <w:tr w:rsidR="00DF241B" w:rsidRPr="005E7672" w:rsidTr="00FB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F241B" w:rsidRPr="005E7672" w:rsidRDefault="00DF241B" w:rsidP="00FB5EA5">
            <w:pPr>
              <w:rPr>
                <w:lang w:eastAsia="en-GB"/>
              </w:rPr>
            </w:pPr>
            <w:r>
              <w:rPr>
                <w:lang w:eastAsia="en-GB"/>
              </w:rPr>
              <w:t>Rental Income</w:t>
            </w:r>
          </w:p>
        </w:tc>
        <w:tc>
          <w:tcPr>
            <w:tcW w:w="0" w:type="auto"/>
          </w:tcPr>
          <w:p w:rsidR="00DF241B" w:rsidRPr="005E7672" w:rsidRDefault="00DF241B" w:rsidP="00FB5EA5">
            <w:pPr>
              <w:jc w:val="right"/>
              <w:cnfStyle w:val="000000100000" w:firstRow="0" w:lastRow="0" w:firstColumn="0" w:lastColumn="0" w:oddVBand="0" w:evenVBand="0" w:oddHBand="1" w:evenHBand="0" w:firstRowFirstColumn="0" w:firstRowLastColumn="0" w:lastRowFirstColumn="0" w:lastRowLastColumn="0"/>
              <w:rPr>
                <w:lang w:eastAsia="en-GB"/>
              </w:rPr>
            </w:pPr>
            <w:r w:rsidRPr="00DF241B">
              <w:rPr>
                <w:lang w:eastAsia="en-GB"/>
              </w:rPr>
              <w:t>29,322</w:t>
            </w:r>
          </w:p>
        </w:tc>
        <w:tc>
          <w:tcPr>
            <w:tcW w:w="0" w:type="auto"/>
          </w:tcPr>
          <w:p w:rsidR="00DF241B" w:rsidRPr="005E7672" w:rsidRDefault="00DF241B" w:rsidP="00FB5EA5">
            <w:pPr>
              <w:jc w:val="right"/>
              <w:cnfStyle w:val="000000100000" w:firstRow="0" w:lastRow="0" w:firstColumn="0" w:lastColumn="0" w:oddVBand="0" w:evenVBand="0" w:oddHBand="1" w:evenHBand="0" w:firstRowFirstColumn="0" w:firstRowLastColumn="0" w:lastRowFirstColumn="0" w:lastRowLastColumn="0"/>
              <w:rPr>
                <w:lang w:eastAsia="en-GB"/>
              </w:rPr>
            </w:pPr>
            <w:r>
              <w:rPr>
                <w:lang w:eastAsia="en-GB"/>
              </w:rPr>
              <w:t>-</w:t>
            </w:r>
          </w:p>
        </w:tc>
      </w:tr>
      <w:tr w:rsidR="000A15CC" w:rsidRPr="005E7672" w:rsidTr="00582A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A15CC" w:rsidRPr="005E7672" w:rsidRDefault="000A15CC" w:rsidP="00FB5EA5">
            <w:pPr>
              <w:rPr>
                <w:lang w:eastAsia="en-GB"/>
              </w:rPr>
            </w:pPr>
            <w:r w:rsidRPr="005E7672">
              <w:rPr>
                <w:lang w:eastAsia="en-GB"/>
              </w:rPr>
              <w:t>Other Debtors NDA</w:t>
            </w:r>
          </w:p>
        </w:tc>
        <w:tc>
          <w:tcPr>
            <w:tcW w:w="0" w:type="auto"/>
            <w:tcBorders>
              <w:bottom w:val="single" w:sz="8" w:space="0" w:color="000000" w:themeColor="text1"/>
            </w:tcBorders>
          </w:tcPr>
          <w:p w:rsidR="000A15CC" w:rsidRPr="005E7672" w:rsidRDefault="000A15CC" w:rsidP="00FB5EA5">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314</w:t>
            </w:r>
          </w:p>
        </w:tc>
        <w:tc>
          <w:tcPr>
            <w:tcW w:w="0" w:type="auto"/>
            <w:tcBorders>
              <w:bottom w:val="single" w:sz="8" w:space="0" w:color="000000" w:themeColor="text1"/>
            </w:tcBorders>
          </w:tcPr>
          <w:p w:rsidR="000A15CC" w:rsidRPr="005E7672" w:rsidRDefault="000A15CC" w:rsidP="00FB5EA5">
            <w:pPr>
              <w:jc w:val="right"/>
              <w:cnfStyle w:val="000000010000" w:firstRow="0" w:lastRow="0" w:firstColumn="0" w:lastColumn="0" w:oddVBand="0" w:evenVBand="0" w:oddHBand="0" w:evenHBand="1" w:firstRowFirstColumn="0" w:firstRowLastColumn="0" w:lastRowFirstColumn="0" w:lastRowLastColumn="0"/>
              <w:rPr>
                <w:lang w:eastAsia="en-GB"/>
              </w:rPr>
            </w:pPr>
            <w:r w:rsidRPr="005E7672">
              <w:rPr>
                <w:lang w:eastAsia="en-GB"/>
              </w:rPr>
              <w:t>314</w:t>
            </w:r>
          </w:p>
        </w:tc>
      </w:tr>
      <w:tr w:rsidR="00DF241B" w:rsidRPr="005E7672" w:rsidTr="00582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F241B" w:rsidRPr="005E7672" w:rsidRDefault="00DF241B" w:rsidP="00FB5EA5">
            <w:pPr>
              <w:rPr>
                <w:lang w:eastAsia="en-GB"/>
              </w:rPr>
            </w:pPr>
          </w:p>
        </w:tc>
        <w:tc>
          <w:tcPr>
            <w:tcW w:w="0" w:type="auto"/>
            <w:tcBorders>
              <w:top w:val="single" w:sz="8" w:space="0" w:color="000000" w:themeColor="text1"/>
              <w:bottom w:val="double" w:sz="4" w:space="0" w:color="auto"/>
            </w:tcBorders>
          </w:tcPr>
          <w:p w:rsidR="00DF241B" w:rsidRPr="00DF241B" w:rsidRDefault="00DF241B" w:rsidP="00F54255">
            <w:pPr>
              <w:cnfStyle w:val="000000100000" w:firstRow="0" w:lastRow="0" w:firstColumn="0" w:lastColumn="0" w:oddVBand="0" w:evenVBand="0" w:oddHBand="1" w:evenHBand="0" w:firstRowFirstColumn="0" w:firstRowLastColumn="0" w:lastRowFirstColumn="0" w:lastRowLastColumn="0"/>
              <w:rPr>
                <w:b/>
              </w:rPr>
            </w:pPr>
            <w:r w:rsidRPr="00DF241B">
              <w:rPr>
                <w:b/>
              </w:rPr>
              <w:t>474,060</w:t>
            </w:r>
          </w:p>
        </w:tc>
        <w:tc>
          <w:tcPr>
            <w:tcW w:w="0" w:type="auto"/>
            <w:tcBorders>
              <w:top w:val="single" w:sz="8" w:space="0" w:color="000000" w:themeColor="text1"/>
              <w:bottom w:val="double" w:sz="4" w:space="0" w:color="auto"/>
            </w:tcBorders>
          </w:tcPr>
          <w:p w:rsidR="00DF241B" w:rsidRPr="00DF241B" w:rsidRDefault="00DF241B" w:rsidP="00F54255">
            <w:pPr>
              <w:cnfStyle w:val="000000100000" w:firstRow="0" w:lastRow="0" w:firstColumn="0" w:lastColumn="0" w:oddVBand="0" w:evenVBand="0" w:oddHBand="1" w:evenHBand="0" w:firstRowFirstColumn="0" w:firstRowLastColumn="0" w:lastRowFirstColumn="0" w:lastRowLastColumn="0"/>
              <w:rPr>
                <w:b/>
              </w:rPr>
            </w:pPr>
            <w:r w:rsidRPr="00DF241B">
              <w:rPr>
                <w:b/>
              </w:rPr>
              <w:t>305,399</w:t>
            </w:r>
          </w:p>
        </w:tc>
      </w:tr>
    </w:tbl>
    <w:p w:rsidR="00754ACA" w:rsidRDefault="00754ACA" w:rsidP="007761C8">
      <w:pPr>
        <w:rPr>
          <w:lang w:eastAsia="en-GB"/>
        </w:rPr>
      </w:pPr>
    </w:p>
    <w:p w:rsidR="007761C8" w:rsidRPr="005E7672" w:rsidRDefault="00754ACA" w:rsidP="007761C8">
      <w:pPr>
        <w:rPr>
          <w:lang w:eastAsia="en-GB"/>
        </w:rPr>
      </w:pPr>
      <w:r w:rsidRPr="00754ACA">
        <w:rPr>
          <w:lang w:eastAsia="en-GB"/>
        </w:rPr>
        <w:t>The Authority remits all pension contributions deducted from staff to the Department. The Department provides funding to the Authority to fund pension payments on a pay as you go basis. This balance represents the net amount due from the Department in relation to pensions</w:t>
      </w:r>
      <w:r w:rsidR="007761C8" w:rsidRPr="005E7672">
        <w:rPr>
          <w:lang w:eastAsia="en-GB"/>
        </w:rPr>
        <w:t>.</w:t>
      </w:r>
    </w:p>
    <w:p w:rsidR="007761C8" w:rsidRPr="005E7672" w:rsidRDefault="00D659B8" w:rsidP="00D659B8">
      <w:pPr>
        <w:pStyle w:val="Heading3"/>
        <w:rPr>
          <w:lang w:eastAsia="en-GB"/>
        </w:rPr>
      </w:pPr>
      <w:r>
        <w:rPr>
          <w:lang w:eastAsia="en-GB"/>
        </w:rPr>
        <w:t>1</w:t>
      </w:r>
      <w:r w:rsidR="00F54255">
        <w:rPr>
          <w:lang w:eastAsia="en-GB"/>
        </w:rPr>
        <w:t>0</w:t>
      </w:r>
      <w:r>
        <w:rPr>
          <w:lang w:eastAsia="en-GB"/>
        </w:rPr>
        <w:t xml:space="preserve">. </w:t>
      </w:r>
      <w:r w:rsidR="007761C8" w:rsidRPr="005E7672">
        <w:rPr>
          <w:lang w:eastAsia="en-GB"/>
        </w:rPr>
        <w:t>Payables</w:t>
      </w:r>
    </w:p>
    <w:p w:rsidR="007761C8" w:rsidRPr="005E7672" w:rsidRDefault="007761C8" w:rsidP="00D659B8">
      <w:pPr>
        <w:pStyle w:val="Heading4"/>
        <w:rPr>
          <w:lang w:eastAsia="en-GB"/>
        </w:rPr>
      </w:pPr>
      <w:r w:rsidRPr="005E7672">
        <w:rPr>
          <w:lang w:eastAsia="en-GB"/>
        </w:rPr>
        <w:t>Amounts falling due within one year</w:t>
      </w:r>
    </w:p>
    <w:tbl>
      <w:tblPr>
        <w:tblStyle w:val="LightShading1"/>
        <w:tblW w:w="0" w:type="auto"/>
        <w:tblLook w:val="04A0" w:firstRow="1" w:lastRow="0" w:firstColumn="1" w:lastColumn="0" w:noHBand="0" w:noVBand="1"/>
      </w:tblPr>
      <w:tblGrid>
        <w:gridCol w:w="2260"/>
        <w:gridCol w:w="1004"/>
        <w:gridCol w:w="1004"/>
      </w:tblGrid>
      <w:tr w:rsidR="00033FB3" w:rsidRPr="005E7672" w:rsidTr="00033F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33FB3" w:rsidRPr="005E7672" w:rsidRDefault="00033FB3" w:rsidP="00FB5EA5">
            <w:pPr>
              <w:rPr>
                <w:lang w:eastAsia="en-GB"/>
              </w:rPr>
            </w:pPr>
          </w:p>
        </w:tc>
        <w:tc>
          <w:tcPr>
            <w:tcW w:w="0" w:type="auto"/>
          </w:tcPr>
          <w:p w:rsidR="00033FB3" w:rsidRPr="005E7672" w:rsidRDefault="00033FB3" w:rsidP="00FB5EA5">
            <w:pPr>
              <w:jc w:val="right"/>
              <w:cnfStyle w:val="100000000000" w:firstRow="1" w:lastRow="0" w:firstColumn="0" w:lastColumn="0" w:oddVBand="0" w:evenVBand="0" w:oddHBand="0" w:evenHBand="0" w:firstRowFirstColumn="0" w:firstRowLastColumn="0" w:lastRowFirstColumn="0" w:lastRowLastColumn="0"/>
              <w:rPr>
                <w:lang w:eastAsia="en-GB"/>
              </w:rPr>
            </w:pPr>
            <w:r w:rsidRPr="005E7672">
              <w:rPr>
                <w:lang w:eastAsia="en-GB"/>
              </w:rPr>
              <w:t>2015</w:t>
            </w:r>
            <w:r>
              <w:rPr>
                <w:lang w:eastAsia="en-GB"/>
              </w:rPr>
              <w:br/>
            </w:r>
            <w:r w:rsidRPr="005E7672">
              <w:rPr>
                <w:lang w:eastAsia="en-GB"/>
              </w:rPr>
              <w:t>€</w:t>
            </w:r>
          </w:p>
        </w:tc>
        <w:tc>
          <w:tcPr>
            <w:tcW w:w="0" w:type="auto"/>
          </w:tcPr>
          <w:p w:rsidR="00033FB3" w:rsidRPr="005E7672" w:rsidRDefault="00033FB3" w:rsidP="00FB5EA5">
            <w:pPr>
              <w:jc w:val="right"/>
              <w:cnfStyle w:val="100000000000" w:firstRow="1" w:lastRow="0" w:firstColumn="0" w:lastColumn="0" w:oddVBand="0" w:evenVBand="0" w:oddHBand="0" w:evenHBand="0" w:firstRowFirstColumn="0" w:firstRowLastColumn="0" w:lastRowFirstColumn="0" w:lastRowLastColumn="0"/>
              <w:rPr>
                <w:lang w:eastAsia="en-GB"/>
              </w:rPr>
            </w:pPr>
            <w:r w:rsidRPr="005E7672">
              <w:rPr>
                <w:lang w:eastAsia="en-GB"/>
              </w:rPr>
              <w:t>2014</w:t>
            </w:r>
            <w:r>
              <w:rPr>
                <w:lang w:eastAsia="en-GB"/>
              </w:rPr>
              <w:br/>
            </w:r>
            <w:r w:rsidRPr="005E7672">
              <w:rPr>
                <w:lang w:eastAsia="en-GB"/>
              </w:rPr>
              <w:t>€</w:t>
            </w:r>
          </w:p>
        </w:tc>
      </w:tr>
      <w:tr w:rsidR="00033FB3" w:rsidRPr="005E7672" w:rsidTr="00033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33FB3" w:rsidRPr="00590896" w:rsidRDefault="00033FB3" w:rsidP="009473BD">
            <w:r w:rsidRPr="00590896">
              <w:t>Other accruals</w:t>
            </w:r>
          </w:p>
        </w:tc>
        <w:tc>
          <w:tcPr>
            <w:tcW w:w="0" w:type="auto"/>
          </w:tcPr>
          <w:p w:rsidR="00033FB3" w:rsidRPr="003278F5" w:rsidRDefault="00033FB3" w:rsidP="00033FB3">
            <w:pPr>
              <w:jc w:val="right"/>
              <w:cnfStyle w:val="000000100000" w:firstRow="0" w:lastRow="0" w:firstColumn="0" w:lastColumn="0" w:oddVBand="0" w:evenVBand="0" w:oddHBand="1" w:evenHBand="0" w:firstRowFirstColumn="0" w:firstRowLastColumn="0" w:lastRowFirstColumn="0" w:lastRowLastColumn="0"/>
            </w:pPr>
            <w:r w:rsidRPr="003278F5">
              <w:t>28,245</w:t>
            </w:r>
          </w:p>
        </w:tc>
        <w:tc>
          <w:tcPr>
            <w:tcW w:w="0" w:type="auto"/>
          </w:tcPr>
          <w:p w:rsidR="00033FB3" w:rsidRPr="003278F5" w:rsidRDefault="00033FB3" w:rsidP="00033FB3">
            <w:pPr>
              <w:jc w:val="right"/>
              <w:cnfStyle w:val="000000100000" w:firstRow="0" w:lastRow="0" w:firstColumn="0" w:lastColumn="0" w:oddVBand="0" w:evenVBand="0" w:oddHBand="1" w:evenHBand="0" w:firstRowFirstColumn="0" w:firstRowLastColumn="0" w:lastRowFirstColumn="0" w:lastRowLastColumn="0"/>
            </w:pPr>
            <w:r w:rsidRPr="003278F5">
              <w:t>38,537</w:t>
            </w:r>
          </w:p>
        </w:tc>
      </w:tr>
      <w:tr w:rsidR="00033FB3" w:rsidRPr="005E7672" w:rsidTr="00033F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33FB3" w:rsidRDefault="00033FB3" w:rsidP="009473BD">
            <w:r w:rsidRPr="00590896">
              <w:t xml:space="preserve">Holiday pay accrual </w:t>
            </w:r>
          </w:p>
        </w:tc>
        <w:tc>
          <w:tcPr>
            <w:tcW w:w="0" w:type="auto"/>
            <w:tcBorders>
              <w:bottom w:val="single" w:sz="8" w:space="0" w:color="000000" w:themeColor="text1"/>
            </w:tcBorders>
          </w:tcPr>
          <w:p w:rsidR="00033FB3" w:rsidRPr="003278F5" w:rsidRDefault="00033FB3" w:rsidP="00033FB3">
            <w:pPr>
              <w:jc w:val="right"/>
              <w:cnfStyle w:val="000000010000" w:firstRow="0" w:lastRow="0" w:firstColumn="0" w:lastColumn="0" w:oddVBand="0" w:evenVBand="0" w:oddHBand="0" w:evenHBand="1" w:firstRowFirstColumn="0" w:firstRowLastColumn="0" w:lastRowFirstColumn="0" w:lastRowLastColumn="0"/>
            </w:pPr>
            <w:r w:rsidRPr="003278F5">
              <w:t>32,324</w:t>
            </w:r>
          </w:p>
        </w:tc>
        <w:tc>
          <w:tcPr>
            <w:tcW w:w="0" w:type="auto"/>
            <w:tcBorders>
              <w:bottom w:val="single" w:sz="8" w:space="0" w:color="000000" w:themeColor="text1"/>
            </w:tcBorders>
          </w:tcPr>
          <w:p w:rsidR="00033FB3" w:rsidRPr="003278F5" w:rsidRDefault="00033FB3" w:rsidP="00033FB3">
            <w:pPr>
              <w:jc w:val="right"/>
              <w:cnfStyle w:val="000000010000" w:firstRow="0" w:lastRow="0" w:firstColumn="0" w:lastColumn="0" w:oddVBand="0" w:evenVBand="0" w:oddHBand="0" w:evenHBand="1" w:firstRowFirstColumn="0" w:firstRowLastColumn="0" w:lastRowFirstColumn="0" w:lastRowLastColumn="0"/>
            </w:pPr>
            <w:r>
              <w:t>-</w:t>
            </w:r>
          </w:p>
        </w:tc>
      </w:tr>
      <w:tr w:rsidR="00033FB3" w:rsidRPr="005E7672" w:rsidTr="00033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33FB3" w:rsidRPr="005E7672" w:rsidRDefault="00033FB3" w:rsidP="00FB5EA5">
            <w:pPr>
              <w:rPr>
                <w:lang w:eastAsia="en-GB"/>
              </w:rPr>
            </w:pPr>
          </w:p>
        </w:tc>
        <w:tc>
          <w:tcPr>
            <w:tcW w:w="0" w:type="auto"/>
            <w:tcBorders>
              <w:top w:val="single" w:sz="8" w:space="0" w:color="000000" w:themeColor="text1"/>
              <w:bottom w:val="double" w:sz="4" w:space="0" w:color="auto"/>
            </w:tcBorders>
          </w:tcPr>
          <w:p w:rsidR="00033FB3" w:rsidRPr="00033FB3" w:rsidRDefault="00033FB3" w:rsidP="00033FB3">
            <w:pPr>
              <w:jc w:val="right"/>
              <w:cnfStyle w:val="000000100000" w:firstRow="0" w:lastRow="0" w:firstColumn="0" w:lastColumn="0" w:oddVBand="0" w:evenVBand="0" w:oddHBand="1" w:evenHBand="0" w:firstRowFirstColumn="0" w:firstRowLastColumn="0" w:lastRowFirstColumn="0" w:lastRowLastColumn="0"/>
              <w:rPr>
                <w:b/>
              </w:rPr>
            </w:pPr>
            <w:r w:rsidRPr="00033FB3">
              <w:rPr>
                <w:b/>
              </w:rPr>
              <w:t>60,569</w:t>
            </w:r>
          </w:p>
        </w:tc>
        <w:tc>
          <w:tcPr>
            <w:tcW w:w="0" w:type="auto"/>
            <w:tcBorders>
              <w:top w:val="single" w:sz="8" w:space="0" w:color="000000" w:themeColor="text1"/>
              <w:bottom w:val="double" w:sz="4" w:space="0" w:color="auto"/>
            </w:tcBorders>
          </w:tcPr>
          <w:p w:rsidR="00033FB3" w:rsidRPr="00033FB3" w:rsidRDefault="00033FB3" w:rsidP="00033FB3">
            <w:pPr>
              <w:jc w:val="right"/>
              <w:cnfStyle w:val="000000100000" w:firstRow="0" w:lastRow="0" w:firstColumn="0" w:lastColumn="0" w:oddVBand="0" w:evenVBand="0" w:oddHBand="1" w:evenHBand="0" w:firstRowFirstColumn="0" w:firstRowLastColumn="0" w:lastRowFirstColumn="0" w:lastRowLastColumn="0"/>
              <w:rPr>
                <w:b/>
              </w:rPr>
            </w:pPr>
            <w:r w:rsidRPr="00033FB3">
              <w:rPr>
                <w:b/>
              </w:rPr>
              <w:t>38,537</w:t>
            </w:r>
          </w:p>
        </w:tc>
      </w:tr>
    </w:tbl>
    <w:p w:rsidR="00033FB3" w:rsidRDefault="00033FB3" w:rsidP="00FE0819">
      <w:pPr>
        <w:rPr>
          <w:lang w:eastAsia="en-GB"/>
        </w:rPr>
      </w:pPr>
    </w:p>
    <w:p w:rsidR="007761C8" w:rsidRPr="005E7672" w:rsidRDefault="00D659B8" w:rsidP="00D659B8">
      <w:pPr>
        <w:pStyle w:val="Heading3"/>
        <w:rPr>
          <w:lang w:eastAsia="en-GB"/>
        </w:rPr>
      </w:pPr>
      <w:r>
        <w:rPr>
          <w:lang w:eastAsia="en-GB"/>
        </w:rPr>
        <w:t>1</w:t>
      </w:r>
      <w:r w:rsidR="00CE076E">
        <w:rPr>
          <w:lang w:eastAsia="en-GB"/>
        </w:rPr>
        <w:t>1</w:t>
      </w:r>
      <w:r>
        <w:rPr>
          <w:lang w:eastAsia="en-GB"/>
        </w:rPr>
        <w:t xml:space="preserve">. </w:t>
      </w:r>
      <w:r w:rsidR="007761C8" w:rsidRPr="005E7672">
        <w:rPr>
          <w:lang w:eastAsia="en-GB"/>
        </w:rPr>
        <w:t>Related Party Disclosures</w:t>
      </w:r>
    </w:p>
    <w:p w:rsidR="003E2C0E" w:rsidRDefault="003E2C0E" w:rsidP="007761C8">
      <w:pPr>
        <w:rPr>
          <w:lang w:eastAsia="en-GB"/>
        </w:rPr>
      </w:pPr>
      <w:r w:rsidRPr="003E2C0E">
        <w:rPr>
          <w:lang w:eastAsia="en-GB"/>
        </w:rPr>
        <w:t>Key management personnel comprises the Director and Senior Managers. Total remuneration paid to key management personnel, and Board member</w:t>
      </w:r>
      <w:r>
        <w:rPr>
          <w:lang w:eastAsia="en-GB"/>
        </w:rPr>
        <w:t>’</w:t>
      </w:r>
      <w:r w:rsidRPr="003E2C0E">
        <w:rPr>
          <w:lang w:eastAsia="en-GB"/>
        </w:rPr>
        <w:t>s fees and expenses, amounted to €169,387 (2014: €131,009). Please refer to Note 5 for a breakdown of the remuneration and benefits paid to key management and payments to Board members.</w:t>
      </w:r>
    </w:p>
    <w:p w:rsidR="007761C8" w:rsidRPr="005E7672" w:rsidRDefault="007761C8" w:rsidP="007761C8">
      <w:pPr>
        <w:rPr>
          <w:lang w:eastAsia="en-GB"/>
        </w:rPr>
      </w:pPr>
      <w:r w:rsidRPr="005E7672">
        <w:rPr>
          <w:lang w:eastAsia="en-GB"/>
        </w:rPr>
        <w:t xml:space="preserve">The National Disability Authority adopts procedures in accordance with the guidelines issued by the Department of Public Expenditure and Reform covering the personal interests of Authority members. In the normal course of business, </w:t>
      </w:r>
      <w:r w:rsidRPr="005D596A">
        <w:t>NDA may</w:t>
      </w:r>
      <w:r w:rsidRPr="005E7672">
        <w:rPr>
          <w:lang w:eastAsia="en-GB"/>
        </w:rPr>
        <w:t xml:space="preserve"> approve grants or enter into other contractual arrangements with entities in which NDA Board members are employed or are otherwise interested. In cases of potential conflict of interest, Authority members do not receive Board documentation or otherwise participate in or attend discussions regarding these transactions. A register is maintained and available on request of all such instances.</w:t>
      </w:r>
    </w:p>
    <w:p w:rsidR="007761C8" w:rsidRPr="005E7672" w:rsidRDefault="007761C8" w:rsidP="007761C8">
      <w:pPr>
        <w:rPr>
          <w:lang w:eastAsia="en-GB"/>
        </w:rPr>
      </w:pPr>
      <w:r w:rsidRPr="005E7672">
        <w:rPr>
          <w:lang w:eastAsia="en-GB"/>
        </w:rPr>
        <w:t>There were no transactions in the year in relation to the Authority’s activities in which Authority members had any beneficial interest.</w:t>
      </w:r>
    </w:p>
    <w:p w:rsidR="007761C8" w:rsidRPr="005E7672" w:rsidRDefault="00D659B8" w:rsidP="00D659B8">
      <w:pPr>
        <w:pStyle w:val="Heading3"/>
        <w:rPr>
          <w:lang w:eastAsia="en-GB"/>
        </w:rPr>
      </w:pPr>
      <w:r>
        <w:rPr>
          <w:lang w:eastAsia="en-GB"/>
        </w:rPr>
        <w:t>1</w:t>
      </w:r>
      <w:r w:rsidR="00FE0819">
        <w:rPr>
          <w:lang w:eastAsia="en-GB"/>
        </w:rPr>
        <w:t>2</w:t>
      </w:r>
      <w:r>
        <w:rPr>
          <w:lang w:eastAsia="en-GB"/>
        </w:rPr>
        <w:t xml:space="preserve">. </w:t>
      </w:r>
      <w:r w:rsidR="007761C8" w:rsidRPr="005E7672">
        <w:rPr>
          <w:lang w:eastAsia="en-GB"/>
        </w:rPr>
        <w:t>Approval of the financial statements</w:t>
      </w:r>
    </w:p>
    <w:p w:rsidR="00E54C88" w:rsidRPr="00026F8E" w:rsidRDefault="007761C8" w:rsidP="007166FD">
      <w:pPr>
        <w:rPr>
          <w:lang w:val="en-GB" w:eastAsia="en-GB"/>
        </w:rPr>
      </w:pPr>
      <w:r w:rsidRPr="005E7672">
        <w:rPr>
          <w:lang w:eastAsia="en-GB"/>
        </w:rPr>
        <w:t xml:space="preserve">The financial statements were approved by the Board of National Disability Authority on </w:t>
      </w:r>
      <w:r w:rsidR="009D4BCD" w:rsidRPr="009D4BCD">
        <w:rPr>
          <w:lang w:eastAsia="en-GB"/>
        </w:rPr>
        <w:t>21st June 2016</w:t>
      </w:r>
      <w:r w:rsidRPr="005E7672">
        <w:rPr>
          <w:lang w:eastAsia="en-GB"/>
        </w:rPr>
        <w:t>.</w:t>
      </w:r>
    </w:p>
    <w:p w:rsidR="00DE3BBD" w:rsidRDefault="00DE3BBD">
      <w:pPr>
        <w:spacing w:after="0"/>
        <w:rPr>
          <w:rFonts w:ascii="Rockwell" w:hAnsi="Rockwell" w:cs="Arial"/>
          <w:bCs/>
          <w:color w:val="BF2296"/>
          <w:kern w:val="32"/>
          <w:sz w:val="56"/>
          <w:szCs w:val="32"/>
        </w:rPr>
      </w:pPr>
      <w:r>
        <w:rPr>
          <w:b/>
        </w:rPr>
        <w:br w:type="page"/>
      </w:r>
    </w:p>
    <w:p w:rsidR="004B6544" w:rsidRDefault="004B6544" w:rsidP="00804BF1">
      <w:pPr>
        <w:pStyle w:val="Heading1"/>
        <w:rPr>
          <w:b w:val="0"/>
        </w:rPr>
        <w:sectPr w:rsidR="004B6544" w:rsidSect="00DA2DEF">
          <w:type w:val="evenPage"/>
          <w:pgSz w:w="11907" w:h="16840" w:code="9"/>
          <w:pgMar w:top="1985" w:right="1985" w:bottom="1985" w:left="1985" w:header="709" w:footer="709" w:gutter="0"/>
          <w:pgNumType w:chapStyle="1" w:chapSep="emDash"/>
          <w:cols w:space="708"/>
          <w:rtlGutter/>
          <w:docGrid w:linePitch="360"/>
        </w:sectPr>
      </w:pPr>
    </w:p>
    <w:p w:rsidR="00E54C88" w:rsidRDefault="00E54C88" w:rsidP="00804BF1">
      <w:pPr>
        <w:pStyle w:val="Heading1"/>
      </w:pPr>
      <w:bookmarkStart w:id="24" w:name="_Toc455486401"/>
      <w:r w:rsidRPr="00985F06">
        <w:rPr>
          <w:b w:val="0"/>
        </w:rPr>
        <w:t xml:space="preserve">Appendix 1: </w:t>
      </w:r>
      <w:r w:rsidR="00985F06">
        <w:br/>
      </w:r>
      <w:r w:rsidRPr="007166FD">
        <w:t xml:space="preserve">Authority and other committees in </w:t>
      </w:r>
      <w:r w:rsidR="00192C94">
        <w:t>201</w:t>
      </w:r>
      <w:r w:rsidR="006C6A70">
        <w:t>5</w:t>
      </w:r>
      <w:bookmarkEnd w:id="24"/>
    </w:p>
    <w:p w:rsidR="00335F22" w:rsidRDefault="00335F22" w:rsidP="00335F22">
      <w:pPr>
        <w:pStyle w:val="ListBullet"/>
      </w:pPr>
      <w:r>
        <w:t>Ms. Helen Guinan (Chairperson)</w:t>
      </w:r>
    </w:p>
    <w:p w:rsidR="00335F22" w:rsidRDefault="00335F22" w:rsidP="00335F22">
      <w:pPr>
        <w:pStyle w:val="ListBullet"/>
      </w:pPr>
      <w:r>
        <w:t>Ms. Orla Barry</w:t>
      </w:r>
    </w:p>
    <w:p w:rsidR="00335F22" w:rsidRDefault="00335F22" w:rsidP="00335F22">
      <w:pPr>
        <w:pStyle w:val="ListBullet"/>
      </w:pPr>
      <w:r>
        <w:t>Mr. Frank Cunneen</w:t>
      </w:r>
    </w:p>
    <w:p w:rsidR="00335F22" w:rsidRDefault="00335F22" w:rsidP="00335F22">
      <w:pPr>
        <w:pStyle w:val="ListBullet"/>
      </w:pPr>
      <w:r>
        <w:t>Mr. Des Kenny</w:t>
      </w:r>
    </w:p>
    <w:p w:rsidR="00335F22" w:rsidRDefault="00335F22" w:rsidP="00335F22">
      <w:pPr>
        <w:pStyle w:val="ListBullet"/>
      </w:pPr>
      <w:r>
        <w:t>Ms. Ruthann La Malfa</w:t>
      </w:r>
    </w:p>
    <w:p w:rsidR="00335F22" w:rsidRDefault="00335F22" w:rsidP="00335F22">
      <w:pPr>
        <w:pStyle w:val="ListBullet"/>
      </w:pPr>
      <w:r>
        <w:t>Ms. Mary Lavelle</w:t>
      </w:r>
    </w:p>
    <w:p w:rsidR="00335F22" w:rsidRDefault="00335F22" w:rsidP="00335F22">
      <w:pPr>
        <w:pStyle w:val="ListBullet"/>
      </w:pPr>
      <w:r>
        <w:t>Ms. Teresa McDonnell</w:t>
      </w:r>
    </w:p>
    <w:p w:rsidR="00335F22" w:rsidRDefault="00335F22" w:rsidP="00335F22">
      <w:pPr>
        <w:pStyle w:val="ListBullet"/>
      </w:pPr>
      <w:r>
        <w:t>Mr. Deagl</w:t>
      </w:r>
      <w:r w:rsidR="00962DFA">
        <w:t>á</w:t>
      </w:r>
      <w:r>
        <w:t>n O</w:t>
      </w:r>
      <w:r w:rsidR="00962DFA">
        <w:t>’</w:t>
      </w:r>
      <w:r>
        <w:t>Briain</w:t>
      </w:r>
    </w:p>
    <w:p w:rsidR="00335F22" w:rsidRDefault="00335F22" w:rsidP="00335F22">
      <w:pPr>
        <w:pStyle w:val="ListBullet"/>
      </w:pPr>
      <w:r>
        <w:t>Ms. Deirdre O</w:t>
      </w:r>
      <w:r w:rsidR="00962DFA">
        <w:t>’</w:t>
      </w:r>
      <w:r>
        <w:t>Connor</w:t>
      </w:r>
    </w:p>
    <w:p w:rsidR="00335F22" w:rsidRDefault="00335F22" w:rsidP="00335F22">
      <w:pPr>
        <w:pStyle w:val="ListBullet"/>
      </w:pPr>
      <w:r>
        <w:t>Mr. James O</w:t>
      </w:r>
      <w:r w:rsidR="00962DFA">
        <w:t>’</w:t>
      </w:r>
      <w:r>
        <w:t>Grady</w:t>
      </w:r>
    </w:p>
    <w:p w:rsidR="00335F22" w:rsidRDefault="00335F22" w:rsidP="00335F22">
      <w:pPr>
        <w:pStyle w:val="ListBullet"/>
      </w:pPr>
      <w:r>
        <w:t>Mr. Donie O</w:t>
      </w:r>
      <w:r w:rsidR="00962DFA">
        <w:t>’</w:t>
      </w:r>
      <w:r>
        <w:t>Leary</w:t>
      </w:r>
    </w:p>
    <w:p w:rsidR="00335F22" w:rsidRDefault="00335F22" w:rsidP="00335F22">
      <w:pPr>
        <w:pStyle w:val="ListBullet"/>
      </w:pPr>
      <w:r>
        <w:t>Mr</w:t>
      </w:r>
      <w:r w:rsidR="00962DFA">
        <w:t>.</w:t>
      </w:r>
      <w:r>
        <w:t xml:space="preserve"> Dónal Rice</w:t>
      </w:r>
    </w:p>
    <w:p w:rsidR="00E54C88" w:rsidRDefault="00335F22" w:rsidP="00335F22">
      <w:pPr>
        <w:pStyle w:val="ListBullet"/>
      </w:pPr>
      <w:r>
        <w:t>Ms. Alison Ryan</w:t>
      </w:r>
    </w:p>
    <w:p w:rsidR="00335F22" w:rsidRDefault="00335F22" w:rsidP="00335F22">
      <w:pPr>
        <w:pStyle w:val="Heading2"/>
      </w:pPr>
      <w:r>
        <w:t>Finance Committee</w:t>
      </w:r>
    </w:p>
    <w:p w:rsidR="00335F22" w:rsidRDefault="00335F22" w:rsidP="00335F22">
      <w:pPr>
        <w:pStyle w:val="ListBullet"/>
      </w:pPr>
      <w:r>
        <w:t>Frank Cunneen (Chairperson)</w:t>
      </w:r>
    </w:p>
    <w:p w:rsidR="00335F22" w:rsidRDefault="00335F22" w:rsidP="00335F22">
      <w:pPr>
        <w:pStyle w:val="ListBullet"/>
      </w:pPr>
      <w:r>
        <w:t>Des Kenny</w:t>
      </w:r>
    </w:p>
    <w:p w:rsidR="00335F22" w:rsidRDefault="00335F22" w:rsidP="00335F22">
      <w:pPr>
        <w:pStyle w:val="ListBullet"/>
      </w:pPr>
      <w:r>
        <w:t>Ruthann La Malfa</w:t>
      </w:r>
    </w:p>
    <w:p w:rsidR="00335F22" w:rsidRDefault="00335F22" w:rsidP="00335F22">
      <w:pPr>
        <w:pStyle w:val="ListBullet"/>
      </w:pPr>
      <w:r>
        <w:t>Teresa McDonnell</w:t>
      </w:r>
    </w:p>
    <w:p w:rsidR="00335F22" w:rsidRDefault="00335F22" w:rsidP="00335F22">
      <w:pPr>
        <w:pStyle w:val="ListBullet"/>
      </w:pPr>
      <w:r>
        <w:t>David Scott</w:t>
      </w:r>
    </w:p>
    <w:p w:rsidR="00335F22" w:rsidRDefault="00335F22" w:rsidP="00335F22">
      <w:pPr>
        <w:pStyle w:val="ListBullet"/>
      </w:pPr>
      <w:r>
        <w:t>Pat Fitzsimons</w:t>
      </w:r>
    </w:p>
    <w:p w:rsidR="00335F22" w:rsidRDefault="00335F22" w:rsidP="00335F22">
      <w:pPr>
        <w:pStyle w:val="Heading2"/>
      </w:pPr>
      <w:r>
        <w:t>Audit Committee</w:t>
      </w:r>
    </w:p>
    <w:p w:rsidR="00335F22" w:rsidRDefault="00335F22" w:rsidP="00335F22">
      <w:pPr>
        <w:pStyle w:val="ListBullet"/>
      </w:pPr>
      <w:r>
        <w:t>Donal Lawlor (Chairperson)</w:t>
      </w:r>
    </w:p>
    <w:p w:rsidR="00335F22" w:rsidRDefault="00335F22" w:rsidP="00335F22">
      <w:pPr>
        <w:pStyle w:val="ListBullet"/>
      </w:pPr>
      <w:r>
        <w:t>Frank Cunneen</w:t>
      </w:r>
    </w:p>
    <w:p w:rsidR="00335F22" w:rsidRDefault="00335F22" w:rsidP="00335F22">
      <w:pPr>
        <w:pStyle w:val="ListBullet"/>
      </w:pPr>
      <w:r>
        <w:t>Des Kenny</w:t>
      </w:r>
    </w:p>
    <w:p w:rsidR="00335F22" w:rsidRDefault="00335F22" w:rsidP="00335F22">
      <w:pPr>
        <w:pStyle w:val="ListBullet"/>
      </w:pPr>
      <w:r>
        <w:t>Alison Ryan</w:t>
      </w:r>
    </w:p>
    <w:p w:rsidR="00335F22" w:rsidRDefault="00335F22" w:rsidP="00335F22">
      <w:pPr>
        <w:pStyle w:val="ListBullet"/>
      </w:pPr>
      <w:r>
        <w:t>Robert Cashell</w:t>
      </w:r>
    </w:p>
    <w:p w:rsidR="00335F22" w:rsidRDefault="00335F22" w:rsidP="00335F22">
      <w:pPr>
        <w:pStyle w:val="ListBullet"/>
      </w:pPr>
      <w:r>
        <w:t>Lawrence Byrne</w:t>
      </w:r>
    </w:p>
    <w:p w:rsidR="00335F22" w:rsidRDefault="00335F22" w:rsidP="00335F22">
      <w:pPr>
        <w:pStyle w:val="Heading2"/>
      </w:pPr>
      <w:r>
        <w:t>Risk Management Committee</w:t>
      </w:r>
    </w:p>
    <w:p w:rsidR="005F4E53" w:rsidRDefault="005F4E53" w:rsidP="005F4E53">
      <w:pPr>
        <w:pStyle w:val="ListBullet"/>
      </w:pPr>
      <w:r>
        <w:t>Robert Cashell (Chairperson) (NDA Audit Committee)</w:t>
      </w:r>
    </w:p>
    <w:p w:rsidR="005F4E53" w:rsidRDefault="005F4E53" w:rsidP="005F4E53">
      <w:pPr>
        <w:pStyle w:val="ListBullet"/>
      </w:pPr>
      <w:r>
        <w:t>Pat Fitzsimons (NDA Finance Committee)</w:t>
      </w:r>
    </w:p>
    <w:p w:rsidR="00335F22" w:rsidRPr="00335F22" w:rsidRDefault="005F4E53" w:rsidP="005F4E53">
      <w:pPr>
        <w:pStyle w:val="ListBullet"/>
      </w:pPr>
      <w:r>
        <w:t>NDA Senior Management Group</w:t>
      </w:r>
    </w:p>
    <w:p w:rsidR="00E54C88" w:rsidRDefault="00E54C88" w:rsidP="00D10C52">
      <w:pPr>
        <w:pStyle w:val="Heading1"/>
      </w:pPr>
      <w:bookmarkStart w:id="25" w:name="_Toc455486402"/>
      <w:r w:rsidRPr="00985F06">
        <w:rPr>
          <w:b w:val="0"/>
        </w:rPr>
        <w:t xml:space="preserve">Appendix 2: </w:t>
      </w:r>
      <w:r w:rsidR="00985F06">
        <w:br/>
      </w:r>
      <w:r w:rsidRPr="00B20CE8">
        <w:t>Representation on external bodies in</w:t>
      </w:r>
      <w:r>
        <w:t> </w:t>
      </w:r>
      <w:r w:rsidR="00192C94">
        <w:t>201</w:t>
      </w:r>
      <w:r w:rsidR="006C6A70">
        <w:t>5</w:t>
      </w:r>
      <w:bookmarkEnd w:id="25"/>
    </w:p>
    <w:p w:rsidR="00CA7941" w:rsidRDefault="00CA7941" w:rsidP="00CA7941">
      <w:r>
        <w:t>The NDA’s r</w:t>
      </w:r>
      <w:r w:rsidRPr="00B20CE8">
        <w:t>epresentation on external bodies in</w:t>
      </w:r>
      <w:r>
        <w:t> 2015 included:</w:t>
      </w:r>
    </w:p>
    <w:p w:rsidR="004A7524" w:rsidRPr="00CA7941" w:rsidRDefault="004A7524" w:rsidP="004A7524">
      <w:pPr>
        <w:pStyle w:val="Heading2"/>
      </w:pPr>
      <w:r>
        <w:t>Government Departments</w:t>
      </w:r>
    </w:p>
    <w:p w:rsidR="0006588E" w:rsidRDefault="00D10C52" w:rsidP="004A7524">
      <w:pPr>
        <w:pStyle w:val="Heading3"/>
      </w:pPr>
      <w:r w:rsidRPr="00AB37BB">
        <w:t>Children and Youth Affairs</w:t>
      </w:r>
    </w:p>
    <w:p w:rsidR="00D10C52" w:rsidRDefault="00D10C52" w:rsidP="00D10C52">
      <w:pPr>
        <w:pStyle w:val="ListBullet"/>
      </w:pPr>
      <w:bookmarkStart w:id="26" w:name="_Toc335836421"/>
      <w:r>
        <w:t>Disability Advisory Committee</w:t>
      </w:r>
    </w:p>
    <w:p w:rsidR="00D10C52" w:rsidRDefault="00D10C52" w:rsidP="00D10C52">
      <w:pPr>
        <w:pStyle w:val="ListBullet"/>
      </w:pPr>
      <w:r>
        <w:t>Interdepartmental working group on addressing the requirements of children with special needs in mainstream preschools</w:t>
      </w:r>
    </w:p>
    <w:p w:rsidR="00D10C52" w:rsidRPr="007166FD" w:rsidRDefault="006D06B9" w:rsidP="00D10C52">
      <w:pPr>
        <w:pStyle w:val="ListBullet"/>
      </w:pPr>
      <w:r>
        <w:t>Cross-</w:t>
      </w:r>
      <w:r w:rsidR="00D10C52">
        <w:t>sectoral implementation group and the project team group for supporting access to early childhood care and education programme for children with a disability</w:t>
      </w:r>
    </w:p>
    <w:p w:rsidR="006D06B9" w:rsidRDefault="00417F6C" w:rsidP="004A7524">
      <w:pPr>
        <w:pStyle w:val="Heading4"/>
        <w:rPr>
          <w:rFonts w:eastAsia="SimSun"/>
          <w:lang w:eastAsia="en-IE"/>
        </w:rPr>
      </w:pPr>
      <w:r>
        <w:rPr>
          <w:rFonts w:eastAsia="SimSun"/>
          <w:lang w:eastAsia="en-IE"/>
        </w:rPr>
        <w:t>Tusla</w:t>
      </w:r>
      <w:r w:rsidR="006D06B9">
        <w:rPr>
          <w:rFonts w:eastAsia="SimSun"/>
          <w:lang w:eastAsia="en-IE"/>
        </w:rPr>
        <w:t xml:space="preserve"> </w:t>
      </w:r>
      <w:r w:rsidR="004A7524">
        <w:rPr>
          <w:rFonts w:eastAsia="SimSun"/>
          <w:lang w:eastAsia="en-IE"/>
        </w:rPr>
        <w:t>—</w:t>
      </w:r>
      <w:r w:rsidR="006D06B9">
        <w:rPr>
          <w:rFonts w:eastAsia="SimSun"/>
          <w:lang w:eastAsia="en-IE"/>
        </w:rPr>
        <w:t xml:space="preserve"> </w:t>
      </w:r>
      <w:r w:rsidR="006D06B9" w:rsidRPr="00433A6C">
        <w:rPr>
          <w:rFonts w:eastAsia="SimSun"/>
          <w:lang w:eastAsia="en-IE"/>
        </w:rPr>
        <w:t>Child and Family Agency</w:t>
      </w:r>
    </w:p>
    <w:p w:rsidR="006D06B9" w:rsidRPr="004A39ED" w:rsidRDefault="006D06B9" w:rsidP="006D06B9">
      <w:pPr>
        <w:pStyle w:val="ListBullet"/>
      </w:pPr>
      <w:r w:rsidRPr="00433A6C">
        <w:rPr>
          <w:rFonts w:eastAsia="SimSun"/>
          <w:lang w:eastAsia="en-IE"/>
        </w:rPr>
        <w:t>Early Years Inspectorate Consultative Forum</w:t>
      </w:r>
    </w:p>
    <w:p w:rsidR="0006588E" w:rsidRDefault="00D10C52" w:rsidP="004A7524">
      <w:pPr>
        <w:pStyle w:val="Heading3"/>
      </w:pPr>
      <w:r w:rsidRPr="00BB36D6">
        <w:t>Communications, Energy and Natural</w:t>
      </w:r>
      <w:r>
        <w:t> </w:t>
      </w:r>
      <w:r w:rsidRPr="00BB36D6">
        <w:t>Resources</w:t>
      </w:r>
      <w:bookmarkEnd w:id="26"/>
    </w:p>
    <w:p w:rsidR="00D10C52" w:rsidRDefault="00D10C52" w:rsidP="00D10C52">
      <w:pPr>
        <w:pStyle w:val="ListBullet"/>
      </w:pPr>
      <w:r w:rsidRPr="00BB36D6">
        <w:t>Sectoral Plan and Part 5 Monitoring Committee</w:t>
      </w:r>
    </w:p>
    <w:p w:rsidR="006D06B9" w:rsidRPr="00BB36D6" w:rsidRDefault="006D06B9" w:rsidP="004A7524">
      <w:pPr>
        <w:pStyle w:val="Heading4"/>
      </w:pPr>
      <w:r w:rsidRPr="00BB36D6">
        <w:t>Commission for Communications</w:t>
      </w:r>
      <w:r>
        <w:t xml:space="preserve"> </w:t>
      </w:r>
      <w:r w:rsidRPr="00BB36D6">
        <w:t xml:space="preserve">Regulation </w:t>
      </w:r>
    </w:p>
    <w:p w:rsidR="006D06B9" w:rsidRPr="00BB36D6" w:rsidRDefault="006D06B9" w:rsidP="006D06B9">
      <w:pPr>
        <w:pStyle w:val="ListBullet"/>
      </w:pPr>
      <w:r w:rsidRPr="00BB36D6">
        <w:t>Consumer Advisory Panel</w:t>
      </w:r>
    </w:p>
    <w:p w:rsidR="006D06B9" w:rsidRDefault="006D06B9" w:rsidP="006D06B9">
      <w:pPr>
        <w:pStyle w:val="ListBullet"/>
      </w:pPr>
      <w:r w:rsidRPr="00BB36D6">
        <w:t xml:space="preserve">Industry Forum on </w:t>
      </w:r>
      <w:r>
        <w:t xml:space="preserve">Electronic Communications </w:t>
      </w:r>
      <w:r w:rsidRPr="00BB36D6">
        <w:t>Services for People with Disabilities</w:t>
      </w:r>
    </w:p>
    <w:p w:rsidR="006D06B9" w:rsidRPr="00BB36D6" w:rsidRDefault="006D06B9" w:rsidP="004A7524">
      <w:pPr>
        <w:pStyle w:val="Heading4"/>
      </w:pPr>
      <w:r w:rsidRPr="00BB36D6">
        <w:t xml:space="preserve">Commission for </w:t>
      </w:r>
      <w:r>
        <w:t xml:space="preserve">Energy </w:t>
      </w:r>
      <w:r w:rsidRPr="00BB36D6">
        <w:t xml:space="preserve">Regulation </w:t>
      </w:r>
    </w:p>
    <w:p w:rsidR="006D06B9" w:rsidRDefault="006D06B9" w:rsidP="006D06B9">
      <w:pPr>
        <w:pStyle w:val="ListBullet"/>
      </w:pPr>
      <w:r>
        <w:t>Consumer Advisory Forum</w:t>
      </w:r>
    </w:p>
    <w:p w:rsidR="0006588E" w:rsidRDefault="00D10C52" w:rsidP="004A7524">
      <w:pPr>
        <w:pStyle w:val="Heading3"/>
      </w:pPr>
      <w:r>
        <w:t>Education and Skills</w:t>
      </w:r>
    </w:p>
    <w:p w:rsidR="00D10C52" w:rsidRDefault="00D10C52" w:rsidP="00D10C52">
      <w:pPr>
        <w:pStyle w:val="ListBullet"/>
      </w:pPr>
      <w:r>
        <w:t>Disability Advisory Committee</w:t>
      </w:r>
    </w:p>
    <w:p w:rsidR="00D10C52" w:rsidRDefault="00D10C52" w:rsidP="00D10C52">
      <w:pPr>
        <w:pStyle w:val="ListBullet"/>
      </w:pPr>
      <w:r>
        <w:t xml:space="preserve">National Council for Special Education </w:t>
      </w:r>
    </w:p>
    <w:p w:rsidR="00D10C52" w:rsidRDefault="00D10C52" w:rsidP="00D10C52">
      <w:pPr>
        <w:pStyle w:val="ListBullet"/>
      </w:pPr>
      <w:r>
        <w:t>National Council for Special Education statutory Consultative Forum</w:t>
      </w:r>
    </w:p>
    <w:p w:rsidR="006D06B9" w:rsidRDefault="006D06B9" w:rsidP="004A7524">
      <w:pPr>
        <w:pStyle w:val="Heading4"/>
      </w:pPr>
      <w:r>
        <w:t>Quality and Qualifications Ireland</w:t>
      </w:r>
    </w:p>
    <w:p w:rsidR="006D06B9" w:rsidRDefault="006D06B9" w:rsidP="006D06B9">
      <w:pPr>
        <w:pStyle w:val="ListBullet"/>
      </w:pPr>
      <w:r>
        <w:t>Consultative Forum</w:t>
      </w:r>
    </w:p>
    <w:p w:rsidR="0006588E" w:rsidRDefault="00D10C52" w:rsidP="004A7524">
      <w:pPr>
        <w:pStyle w:val="Heading3"/>
      </w:pPr>
      <w:r>
        <w:t>Environment, Community and Local Government</w:t>
      </w:r>
    </w:p>
    <w:p w:rsidR="00D10C52" w:rsidRDefault="00D10C52" w:rsidP="00D10C52">
      <w:pPr>
        <w:pStyle w:val="ListBullet"/>
      </w:pPr>
      <w:r w:rsidRPr="00C259CB">
        <w:t>National Housing Strategy</w:t>
      </w:r>
      <w:r>
        <w:t xml:space="preserve"> for People with a Disability </w:t>
      </w:r>
      <w:r w:rsidRPr="00C259CB">
        <w:t>Implementation Monitoring Group</w:t>
      </w:r>
    </w:p>
    <w:p w:rsidR="006D06B9" w:rsidRDefault="006D06B9" w:rsidP="004A7524">
      <w:pPr>
        <w:pStyle w:val="Heading4"/>
      </w:pPr>
      <w:r>
        <w:t>Housing Agency</w:t>
      </w:r>
    </w:p>
    <w:p w:rsidR="006D06B9" w:rsidRDefault="006D06B9" w:rsidP="006D06B9">
      <w:pPr>
        <w:pStyle w:val="ListBullet"/>
      </w:pPr>
      <w:r w:rsidRPr="00C259CB">
        <w:t>National Housing Strategy for P</w:t>
      </w:r>
      <w:r>
        <w:t>eople with a Disability</w:t>
      </w:r>
      <w:r w:rsidRPr="00C259CB">
        <w:t xml:space="preserve"> Housing Subgroup</w:t>
      </w:r>
    </w:p>
    <w:p w:rsidR="006D06B9" w:rsidRDefault="006D06B9" w:rsidP="006D06B9">
      <w:pPr>
        <w:pStyle w:val="ListBullet"/>
      </w:pPr>
      <w:r w:rsidRPr="00C259CB">
        <w:t>National Housing Strategy for P</w:t>
      </w:r>
      <w:r>
        <w:t>eople with a Disability</w:t>
      </w:r>
      <w:r w:rsidRPr="00C259CB">
        <w:t xml:space="preserve"> </w:t>
      </w:r>
      <w:r>
        <w:t>Community Living Task Group</w:t>
      </w:r>
    </w:p>
    <w:p w:rsidR="006D06B9" w:rsidRPr="00BB36D6" w:rsidRDefault="006D06B9" w:rsidP="004A7524">
      <w:pPr>
        <w:pStyle w:val="Heading4"/>
      </w:pPr>
      <w:r>
        <w:t>Irish Water</w:t>
      </w:r>
    </w:p>
    <w:p w:rsidR="006D06B9" w:rsidRDefault="006D06B9" w:rsidP="006D06B9">
      <w:pPr>
        <w:pStyle w:val="ListBullet"/>
      </w:pPr>
      <w:r>
        <w:t>Stakeholder Forum</w:t>
      </w:r>
    </w:p>
    <w:p w:rsidR="006D06B9" w:rsidRPr="00BB36D6" w:rsidRDefault="006D06B9" w:rsidP="006D06B9">
      <w:pPr>
        <w:pStyle w:val="ListBullet"/>
      </w:pPr>
      <w:r w:rsidRPr="00A41DBA">
        <w:t>Water Meter Data Accessibility Group</w:t>
      </w:r>
    </w:p>
    <w:p w:rsidR="0006588E" w:rsidRDefault="00D10C52" w:rsidP="004A7524">
      <w:pPr>
        <w:pStyle w:val="Heading3"/>
      </w:pPr>
      <w:r>
        <w:t>Health</w:t>
      </w:r>
    </w:p>
    <w:p w:rsidR="00D10C52" w:rsidRDefault="00D10C52" w:rsidP="00D10C52">
      <w:pPr>
        <w:pStyle w:val="ListBullet"/>
      </w:pPr>
      <w:r>
        <w:t>Implementation Steering Group of Transforming Lives (implementing Value for Money and Policy Review of Disability Services)</w:t>
      </w:r>
    </w:p>
    <w:p w:rsidR="00D10C52" w:rsidRDefault="006D06B9" w:rsidP="00D10C52">
      <w:pPr>
        <w:pStyle w:val="ListBullet"/>
      </w:pPr>
      <w:r>
        <w:t xml:space="preserve">HSE </w:t>
      </w:r>
      <w:r w:rsidRPr="006D06B9">
        <w:t xml:space="preserve">Transforming Lives </w:t>
      </w:r>
      <w:r w:rsidR="00D10C52">
        <w:t>Working Groups 1, 2, 4</w:t>
      </w:r>
      <w:r>
        <w:t>,</w:t>
      </w:r>
      <w:r w:rsidR="00D10C52">
        <w:t xml:space="preserve"> and 5</w:t>
      </w:r>
    </w:p>
    <w:p w:rsidR="00D10C52" w:rsidRDefault="00D10C52" w:rsidP="00D10C52">
      <w:pPr>
        <w:pStyle w:val="ListBullet"/>
      </w:pPr>
      <w:r>
        <w:t>Disability Advisory Committee</w:t>
      </w:r>
    </w:p>
    <w:p w:rsidR="00D10C52" w:rsidRDefault="00D10C52" w:rsidP="00D10C52">
      <w:pPr>
        <w:pStyle w:val="ListBullet"/>
      </w:pPr>
      <w:r>
        <w:t>National Intellectual and Physical and Sensory database steering committee</w:t>
      </w:r>
    </w:p>
    <w:p w:rsidR="00D10C52" w:rsidRDefault="00D10C52" w:rsidP="00D10C52">
      <w:pPr>
        <w:pStyle w:val="ListBullet"/>
      </w:pPr>
      <w:r>
        <w:t>National Consultative Forum</w:t>
      </w:r>
    </w:p>
    <w:p w:rsidR="006D06B9" w:rsidRDefault="006D06B9" w:rsidP="004A7524">
      <w:pPr>
        <w:pStyle w:val="Heading4"/>
        <w:rPr>
          <w:rFonts w:eastAsia="SimSun"/>
          <w:lang w:eastAsia="en-IE"/>
        </w:rPr>
      </w:pPr>
      <w:r>
        <w:rPr>
          <w:rFonts w:eastAsia="SimSun"/>
          <w:lang w:eastAsia="en-IE"/>
        </w:rPr>
        <w:t>Health Research Board</w:t>
      </w:r>
    </w:p>
    <w:p w:rsidR="006D06B9" w:rsidRPr="00433A6C" w:rsidRDefault="006D06B9" w:rsidP="006D06B9">
      <w:pPr>
        <w:pStyle w:val="ListBullet"/>
        <w:rPr>
          <w:rFonts w:eastAsia="SimSun"/>
          <w:lang w:eastAsia="en-IE"/>
        </w:rPr>
      </w:pPr>
      <w:r w:rsidRPr="00433A6C">
        <w:rPr>
          <w:rFonts w:eastAsia="SimSun"/>
          <w:lang w:eastAsia="en-IE"/>
        </w:rPr>
        <w:t>Joint National Intellectual Disability Database / National Physical and Sensory Disability Database Committee</w:t>
      </w:r>
    </w:p>
    <w:p w:rsidR="00417F6C" w:rsidRDefault="00417F6C" w:rsidP="004A7524">
      <w:pPr>
        <w:pStyle w:val="Heading4"/>
      </w:pPr>
      <w:r>
        <w:t>Health Service Executive</w:t>
      </w:r>
    </w:p>
    <w:p w:rsidR="00417F6C" w:rsidRDefault="00417F6C" w:rsidP="00417F6C">
      <w:pPr>
        <w:pStyle w:val="ListBullet"/>
      </w:pPr>
      <w:r>
        <w:t>Disability residential services task force</w:t>
      </w:r>
    </w:p>
    <w:p w:rsidR="00417F6C" w:rsidRDefault="00417F6C" w:rsidP="00417F6C">
      <w:pPr>
        <w:pStyle w:val="ListBullet"/>
      </w:pPr>
      <w:r>
        <w:t>Universal Access Committee</w:t>
      </w:r>
    </w:p>
    <w:p w:rsidR="00417F6C" w:rsidRDefault="00417F6C" w:rsidP="00417F6C">
      <w:pPr>
        <w:pStyle w:val="ListBullet"/>
      </w:pPr>
      <w:r>
        <w:t>Working Group on Advocacy services in disability residential settings</w:t>
      </w:r>
    </w:p>
    <w:p w:rsidR="0006588E" w:rsidRDefault="00417F6C" w:rsidP="004A7524">
      <w:pPr>
        <w:pStyle w:val="Heading3"/>
      </w:pPr>
      <w:r w:rsidRPr="004F28C0">
        <w:t>Jobs, Enterprise and Innovation</w:t>
      </w:r>
    </w:p>
    <w:p w:rsidR="00D8736B" w:rsidRDefault="00D8736B" w:rsidP="004A7524">
      <w:pPr>
        <w:pStyle w:val="Heading4"/>
      </w:pPr>
      <w:r>
        <w:t>National Standards Authority of Ireland</w:t>
      </w:r>
    </w:p>
    <w:p w:rsidR="00D8736B" w:rsidRDefault="00D8736B" w:rsidP="00D8736B">
      <w:pPr>
        <w:pStyle w:val="ListBullet"/>
      </w:pPr>
      <w:r w:rsidRPr="002B6E6E">
        <w:t>Innovation Management Standards Consultative Committee</w:t>
      </w:r>
    </w:p>
    <w:p w:rsidR="00466387" w:rsidRPr="002B6E6E" w:rsidRDefault="00466387" w:rsidP="00D8736B">
      <w:pPr>
        <w:pStyle w:val="ListBullet"/>
      </w:pPr>
      <w:r w:rsidRPr="00466387">
        <w:t>Universal Design Standards Consultative Committee</w:t>
      </w:r>
    </w:p>
    <w:p w:rsidR="0006588E" w:rsidRDefault="00D10C52" w:rsidP="004A7524">
      <w:pPr>
        <w:pStyle w:val="Heading3"/>
      </w:pPr>
      <w:r w:rsidRPr="00BB36D6">
        <w:t>Justice and</w:t>
      </w:r>
      <w:r>
        <w:t xml:space="preserve"> </w:t>
      </w:r>
      <w:r w:rsidRPr="00BB36D6">
        <w:t>Equality</w:t>
      </w:r>
    </w:p>
    <w:p w:rsidR="00D10C52" w:rsidRDefault="00D10C52" w:rsidP="00D10C52">
      <w:pPr>
        <w:pStyle w:val="ListBullet"/>
      </w:pPr>
      <w:r>
        <w:t>National Steering Committee on Violence against Women</w:t>
      </w:r>
      <w:r w:rsidR="00417F6C">
        <w:t>–C</w:t>
      </w:r>
      <w:r w:rsidR="00D21B03">
        <w:t>osc</w:t>
      </w:r>
    </w:p>
    <w:p w:rsidR="00D10C52" w:rsidRPr="00331B39" w:rsidRDefault="00D10C52" w:rsidP="00D10C52">
      <w:pPr>
        <w:pStyle w:val="ListBullet"/>
      </w:pPr>
      <w:r>
        <w:t>Part 5 Monitoring Committee</w:t>
      </w:r>
    </w:p>
    <w:p w:rsidR="00D10C52" w:rsidRDefault="00D10C52" w:rsidP="004A7524">
      <w:pPr>
        <w:pStyle w:val="Heading3"/>
      </w:pPr>
      <w:r w:rsidRPr="00572766">
        <w:t>Social Protection</w:t>
      </w:r>
    </w:p>
    <w:p w:rsidR="00D10C52" w:rsidRDefault="00D10C52" w:rsidP="00D10C52">
      <w:pPr>
        <w:pStyle w:val="ListBullet"/>
      </w:pPr>
      <w:r>
        <w:t>Disability Consultative Committee</w:t>
      </w:r>
    </w:p>
    <w:p w:rsidR="00D10C52" w:rsidRDefault="00D10C52" w:rsidP="00D10C52">
      <w:pPr>
        <w:pStyle w:val="ListBullet"/>
      </w:pPr>
      <w:r>
        <w:t xml:space="preserve">Cross Departmental Group regarding </w:t>
      </w:r>
      <w:r w:rsidR="00D8736B" w:rsidRPr="00D8736B">
        <w:t>Disability Activation Project (D</w:t>
      </w:r>
      <w:r w:rsidR="00F4058F">
        <w:t>act</w:t>
      </w:r>
      <w:r w:rsidR="00D8736B" w:rsidRPr="00D8736B">
        <w:t>)</w:t>
      </w:r>
    </w:p>
    <w:p w:rsidR="00D10C52" w:rsidRPr="009135B0" w:rsidRDefault="00D10C52" w:rsidP="00D10C52">
      <w:pPr>
        <w:pStyle w:val="ListBullet"/>
      </w:pPr>
      <w:r>
        <w:t>National Advocacy Service for People with Disabilities</w:t>
      </w:r>
    </w:p>
    <w:p w:rsidR="0006588E" w:rsidRDefault="00D10C52" w:rsidP="004A7524">
      <w:pPr>
        <w:pStyle w:val="Heading3"/>
      </w:pPr>
      <w:r w:rsidRPr="00BB36D6">
        <w:t>Transport, Tourism and Sport</w:t>
      </w:r>
    </w:p>
    <w:p w:rsidR="00D10C52" w:rsidRDefault="00D10C52" w:rsidP="00D10C52">
      <w:pPr>
        <w:pStyle w:val="ListBullet"/>
      </w:pPr>
      <w:bookmarkStart w:id="27" w:name="_Toc335836428"/>
      <w:r>
        <w:t>Accessibility Consultative</w:t>
      </w:r>
      <w:r w:rsidRPr="00BB36D6">
        <w:t xml:space="preserve"> Committee</w:t>
      </w:r>
    </w:p>
    <w:p w:rsidR="00D8736B" w:rsidRPr="00BB36D6" w:rsidRDefault="00D8736B" w:rsidP="004A7524">
      <w:pPr>
        <w:pStyle w:val="Heading4"/>
      </w:pPr>
      <w:bookmarkStart w:id="28" w:name="_Toc335836419"/>
      <w:bookmarkEnd w:id="27"/>
      <w:r w:rsidRPr="00BB36D6">
        <w:t xml:space="preserve">National Transport Authority </w:t>
      </w:r>
    </w:p>
    <w:p w:rsidR="00D8736B" w:rsidRDefault="00D8736B" w:rsidP="00D8736B">
      <w:pPr>
        <w:pStyle w:val="ListBullet"/>
      </w:pPr>
      <w:r w:rsidRPr="00CB7197">
        <w:t xml:space="preserve">Taxi Advisory </w:t>
      </w:r>
      <w:r>
        <w:t>Committee</w:t>
      </w:r>
    </w:p>
    <w:p w:rsidR="004A7524" w:rsidRDefault="004A7524" w:rsidP="004A7524">
      <w:pPr>
        <w:pStyle w:val="Heading2"/>
      </w:pPr>
      <w:r>
        <w:t>Professional Bodies</w:t>
      </w:r>
    </w:p>
    <w:p w:rsidR="000A7E39" w:rsidRPr="00A41DBA" w:rsidRDefault="000A7E39" w:rsidP="000A7E39">
      <w:pPr>
        <w:pStyle w:val="ListBullet"/>
      </w:pPr>
      <w:r>
        <w:t>Association for the Advancement of Assistive Technology in Europe</w:t>
      </w:r>
      <w:r w:rsidRPr="000A7E39">
        <w:rPr>
          <w:rFonts w:ascii="Gill Sans MT" w:hAnsi="Gill Sans MT"/>
        </w:rPr>
        <w:t> </w:t>
      </w:r>
      <w:r>
        <w:t>(AAATE)</w:t>
      </w:r>
    </w:p>
    <w:p w:rsidR="000A7E39" w:rsidRDefault="000A7E39" w:rsidP="000A7E39">
      <w:pPr>
        <w:pStyle w:val="ListBullet"/>
      </w:pPr>
      <w:r>
        <w:t>Irish Computer Society</w:t>
      </w:r>
      <w:r w:rsidR="006220A7">
        <w:t xml:space="preserve"> (ICS)</w:t>
      </w:r>
    </w:p>
    <w:p w:rsidR="000A7E39" w:rsidRDefault="000A7E39" w:rsidP="000A7E39">
      <w:pPr>
        <w:pStyle w:val="ListBullet"/>
      </w:pPr>
      <w:r>
        <w:t xml:space="preserve">Institute of Designers in Ireland (IDI) </w:t>
      </w:r>
    </w:p>
    <w:p w:rsidR="00466387" w:rsidRDefault="00C273C2" w:rsidP="00466387">
      <w:pPr>
        <w:pStyle w:val="Heading3"/>
      </w:pPr>
      <w:r w:rsidRPr="00C273C2">
        <w:t>RIAI (Royal Institute of Architects of Ireland)</w:t>
      </w:r>
    </w:p>
    <w:p w:rsidR="004A7524" w:rsidRDefault="00C273C2" w:rsidP="00C273C2">
      <w:pPr>
        <w:pStyle w:val="ListBullet"/>
      </w:pPr>
      <w:r w:rsidRPr="00C273C2">
        <w:t>Universal Design Task</w:t>
      </w:r>
      <w:r>
        <w:rPr>
          <w:rFonts w:ascii="Gill Sans MT" w:hAnsi="Gill Sans MT"/>
        </w:rPr>
        <w:t> </w:t>
      </w:r>
      <w:r w:rsidRPr="00C273C2">
        <w:t>Force</w:t>
      </w:r>
    </w:p>
    <w:p w:rsidR="00E54C88" w:rsidRDefault="00E54C88" w:rsidP="00804BF1">
      <w:pPr>
        <w:pStyle w:val="Heading1"/>
      </w:pPr>
      <w:bookmarkStart w:id="29" w:name="_Toc455486403"/>
      <w:bookmarkEnd w:id="28"/>
      <w:r w:rsidRPr="00985F06">
        <w:rPr>
          <w:b w:val="0"/>
        </w:rPr>
        <w:t xml:space="preserve">Appendix 3: </w:t>
      </w:r>
      <w:r w:rsidR="00985F06">
        <w:br/>
      </w:r>
      <w:r w:rsidRPr="00B20CE8">
        <w:t>Publications in</w:t>
      </w:r>
      <w:r>
        <w:t> </w:t>
      </w:r>
      <w:r w:rsidR="00192C94">
        <w:t>201</w:t>
      </w:r>
      <w:r w:rsidR="006C6A70">
        <w:t>5</w:t>
      </w:r>
      <w:bookmarkEnd w:id="29"/>
    </w:p>
    <w:p w:rsidR="00663A67" w:rsidRDefault="00663A67" w:rsidP="0083125C">
      <w:pPr>
        <w:pStyle w:val="ListBullet"/>
      </w:pPr>
      <w:r w:rsidRPr="00663A67">
        <w:t>2014 Report on Compliance with Part 5 of the Disability Act</w:t>
      </w:r>
    </w:p>
    <w:p w:rsidR="00663A67" w:rsidRDefault="00663A67" w:rsidP="00663A67">
      <w:pPr>
        <w:pStyle w:val="ListBullet"/>
      </w:pPr>
      <w:r>
        <w:t>Annual Report 2014</w:t>
      </w:r>
    </w:p>
    <w:p w:rsidR="00663A67" w:rsidRDefault="00663A67" w:rsidP="00663A67">
      <w:pPr>
        <w:pStyle w:val="ListBullet"/>
      </w:pPr>
      <w:r>
        <w:t>Case Studies: Better Tourism though Universal Design</w:t>
      </w:r>
    </w:p>
    <w:p w:rsidR="00663A67" w:rsidRDefault="00663A67" w:rsidP="00663A67">
      <w:pPr>
        <w:pStyle w:val="ListBullet"/>
      </w:pPr>
      <w:r>
        <w:t>Children’s Disability Services in Ireland</w:t>
      </w:r>
    </w:p>
    <w:p w:rsidR="0083125C" w:rsidRDefault="0083125C" w:rsidP="0083125C">
      <w:pPr>
        <w:pStyle w:val="ListBullet"/>
      </w:pPr>
      <w:r>
        <w:t>Commissioning disability services – a discussion paper</w:t>
      </w:r>
    </w:p>
    <w:p w:rsidR="005159FF" w:rsidRDefault="005159FF" w:rsidP="005159FF">
      <w:pPr>
        <w:pStyle w:val="ListBullet"/>
      </w:pPr>
      <w:r>
        <w:t>Educational and Employment Experiences of People with a Disability in Ireland: An Analysis of the National Disability Survey</w:t>
      </w:r>
    </w:p>
    <w:p w:rsidR="005159FF" w:rsidRDefault="005159FF" w:rsidP="005159FF">
      <w:pPr>
        <w:pStyle w:val="ListBullet"/>
      </w:pPr>
      <w:r>
        <w:t>Exploring the factors related to return to work after stroke</w:t>
      </w:r>
    </w:p>
    <w:p w:rsidR="005159FF" w:rsidRDefault="005159FF" w:rsidP="005159FF">
      <w:pPr>
        <w:pStyle w:val="ListBullet"/>
      </w:pPr>
      <w:r w:rsidRPr="00865DB0">
        <w:t>Exploring the Impact of Fatigue on Work Ability of People with Rheumatic Disease</w:t>
      </w:r>
      <w:r>
        <w:t>s</w:t>
      </w:r>
    </w:p>
    <w:p w:rsidR="005159FF" w:rsidRDefault="005159FF" w:rsidP="005159FF">
      <w:pPr>
        <w:pStyle w:val="ListBullet"/>
      </w:pPr>
      <w:r>
        <w:t>How Walkable is Your Town?</w:t>
      </w:r>
    </w:p>
    <w:p w:rsidR="005159FF" w:rsidRDefault="005159FF" w:rsidP="005159FF">
      <w:pPr>
        <w:pStyle w:val="ListBullet"/>
      </w:pPr>
      <w:r>
        <w:t>Insights into the Lives of Children with Disabilities: Findings from the 2006 National Disability Survey</w:t>
      </w:r>
    </w:p>
    <w:p w:rsidR="005159FF" w:rsidRDefault="005159FF" w:rsidP="005159FF">
      <w:pPr>
        <w:pStyle w:val="ListBullet"/>
      </w:pPr>
      <w:r w:rsidRPr="00EC46F2">
        <w:t>Local Area Coordination</w:t>
      </w:r>
      <w:r>
        <w:t xml:space="preserve">: Briefing paper </w:t>
      </w:r>
    </w:p>
    <w:p w:rsidR="0083125C" w:rsidRDefault="0083125C" w:rsidP="0083125C">
      <w:pPr>
        <w:pStyle w:val="ListBullet"/>
      </w:pPr>
      <w:r>
        <w:t>National Guidelines on Accessible Health and Social Care Services</w:t>
      </w:r>
    </w:p>
    <w:p w:rsidR="0083125C" w:rsidRDefault="0083125C" w:rsidP="0083125C">
      <w:pPr>
        <w:pStyle w:val="ListBullet"/>
      </w:pPr>
      <w:r>
        <w:t>Preventing school bullying of children with special needs or disability</w:t>
      </w:r>
    </w:p>
    <w:p w:rsidR="005159FF" w:rsidRDefault="005159FF" w:rsidP="0083125C">
      <w:pPr>
        <w:pStyle w:val="ListBullet"/>
      </w:pPr>
      <w:r w:rsidRPr="005159FF">
        <w:t>Report on public consultation on the draft Interim Standards for New Directions, Services and Supports for Adults with Disabilities</w:t>
      </w:r>
    </w:p>
    <w:p w:rsidR="005159FF" w:rsidRDefault="005159FF" w:rsidP="0083125C">
      <w:pPr>
        <w:pStyle w:val="ListBullet"/>
      </w:pPr>
      <w:r w:rsidRPr="005159FF">
        <w:t>Report on Voting Trials</w:t>
      </w:r>
    </w:p>
    <w:p w:rsidR="005159FF" w:rsidRDefault="005159FF" w:rsidP="005159FF">
      <w:pPr>
        <w:pStyle w:val="ListBullet"/>
      </w:pPr>
      <w:r>
        <w:t>Research and Recommendations on Universal Design of Dementia Friendly Dwellings for People with Dementia, their Families, and Carers</w:t>
      </w:r>
    </w:p>
    <w:p w:rsidR="0083125C" w:rsidRDefault="0083125C" w:rsidP="0083125C">
      <w:pPr>
        <w:pStyle w:val="ListBullet"/>
      </w:pPr>
      <w:r>
        <w:t>Retaining employees who acquire a disability: A guide for employers</w:t>
      </w:r>
    </w:p>
    <w:p w:rsidR="0083125C" w:rsidRDefault="0083125C" w:rsidP="0083125C">
      <w:pPr>
        <w:pStyle w:val="ListBullet"/>
      </w:pPr>
      <w:r>
        <w:t>Strategic Plan 2016</w:t>
      </w:r>
      <w:r w:rsidR="00871A62">
        <w:t>–</w:t>
      </w:r>
      <w:r>
        <w:t>2018</w:t>
      </w:r>
    </w:p>
    <w:p w:rsidR="00962B96" w:rsidRDefault="00962B96" w:rsidP="00962B96">
      <w:pPr>
        <w:pStyle w:val="ListBullet"/>
      </w:pPr>
      <w:r>
        <w:t>Universal Design Guidelines for Homes in Ireland</w:t>
      </w:r>
    </w:p>
    <w:p w:rsidR="00E54C88" w:rsidRPr="00FE57CD" w:rsidRDefault="00962B96" w:rsidP="00804BF1">
      <w:pPr>
        <w:pStyle w:val="ListBullet"/>
      </w:pPr>
      <w:r>
        <w:t>Universal Design Guidelines, Dementia Friendly Dwellings for People with Dementia, their Families, and Carers</w:t>
      </w:r>
    </w:p>
    <w:p w:rsidR="00E54C88" w:rsidRDefault="00E54C88" w:rsidP="00804BF1">
      <w:pPr>
        <w:pStyle w:val="Heading1"/>
      </w:pPr>
      <w:bookmarkStart w:id="30" w:name="_Toc455486404"/>
      <w:r w:rsidRPr="00985F06">
        <w:rPr>
          <w:b w:val="0"/>
        </w:rPr>
        <w:t xml:space="preserve">Appendix 4: </w:t>
      </w:r>
      <w:r w:rsidR="00985F06">
        <w:br/>
      </w:r>
      <w:r w:rsidRPr="00B20CE8">
        <w:t>Policy advice papers in</w:t>
      </w:r>
      <w:r>
        <w:t> </w:t>
      </w:r>
      <w:r w:rsidR="00192C94">
        <w:t>201</w:t>
      </w:r>
      <w:r w:rsidR="006C6A70">
        <w:t>5</w:t>
      </w:r>
      <w:bookmarkEnd w:id="30"/>
    </w:p>
    <w:p w:rsidR="00962B96" w:rsidRPr="00962B96" w:rsidRDefault="00962B96" w:rsidP="00962B96">
      <w:r w:rsidRPr="00962B96">
        <w:t>Policy advice papers in 2015</w:t>
      </w:r>
      <w:r>
        <w:t xml:space="preserve"> included:</w:t>
      </w:r>
    </w:p>
    <w:p w:rsidR="0083125C" w:rsidRDefault="0083125C" w:rsidP="0083125C">
      <w:pPr>
        <w:pStyle w:val="ListBullet"/>
      </w:pPr>
      <w:r>
        <w:t>Commission for Communications Regulation: Submission on Measures for disabled end-users Accessibility Statement</w:t>
      </w:r>
    </w:p>
    <w:p w:rsidR="0083125C" w:rsidRDefault="0083125C" w:rsidP="0083125C">
      <w:pPr>
        <w:pStyle w:val="ListBullet"/>
      </w:pPr>
      <w:r>
        <w:t>Commission for Communications Regulation: Terms and conditions of the universal postal service: Single Piece and Bulk Mail</w:t>
      </w:r>
    </w:p>
    <w:p w:rsidR="0083125C" w:rsidRDefault="0083125C" w:rsidP="0083125C">
      <w:pPr>
        <w:pStyle w:val="ListBullet"/>
      </w:pPr>
      <w:r>
        <w:t>Commission for Communications Regulation: Proposal for a Directive of the European Parliament and of the Council on the accessibility of public sector bodies</w:t>
      </w:r>
      <w:r w:rsidR="001C14DA">
        <w:t>’</w:t>
      </w:r>
      <w:r>
        <w:t xml:space="preserve"> websites</w:t>
      </w:r>
    </w:p>
    <w:p w:rsidR="0083125C" w:rsidRDefault="0083125C" w:rsidP="0083125C">
      <w:pPr>
        <w:pStyle w:val="ListBullet"/>
      </w:pPr>
      <w:r>
        <w:t>Department of Children and Youth Affairs: Addressing the requirements of children with special needs in mainstream preschools</w:t>
      </w:r>
    </w:p>
    <w:p w:rsidR="0083125C" w:rsidRDefault="0083125C" w:rsidP="0083125C">
      <w:pPr>
        <w:pStyle w:val="ListBullet"/>
      </w:pPr>
      <w:r>
        <w:t>Department of Education and Skills: On NCSE and NEPS future working</w:t>
      </w:r>
    </w:p>
    <w:p w:rsidR="0083125C" w:rsidRDefault="0083125C" w:rsidP="0083125C">
      <w:pPr>
        <w:pStyle w:val="ListBullet"/>
      </w:pPr>
      <w:r>
        <w:t>Department of Health: On the development of a national maternity strategy</w:t>
      </w:r>
    </w:p>
    <w:p w:rsidR="0083125C" w:rsidRDefault="0083125C" w:rsidP="0083125C">
      <w:pPr>
        <w:pStyle w:val="ListBullet"/>
      </w:pPr>
      <w:r>
        <w:t>Department of Health: On the development of a policy on a trauma network for Ireland</w:t>
      </w:r>
    </w:p>
    <w:p w:rsidR="0083125C" w:rsidRDefault="0083125C" w:rsidP="0083125C">
      <w:pPr>
        <w:pStyle w:val="ListBullet"/>
      </w:pPr>
      <w:r>
        <w:t>Department of Health: Report on the review of the implementation of regulations and inspections in residential services for adults and children with disabilities</w:t>
      </w:r>
    </w:p>
    <w:p w:rsidR="0083125C" w:rsidRDefault="0083125C" w:rsidP="0083125C">
      <w:pPr>
        <w:pStyle w:val="ListBullet"/>
      </w:pPr>
      <w:r>
        <w:t>Health Service Executive: The use of CCTV in residential services for people with disabilities</w:t>
      </w:r>
    </w:p>
    <w:p w:rsidR="0083125C" w:rsidRDefault="0083125C" w:rsidP="0083125C">
      <w:pPr>
        <w:pStyle w:val="ListBullet"/>
      </w:pPr>
      <w:r>
        <w:t>Quality and Qualifications Ireland: Submission on Strategy Statement 2016–2018</w:t>
      </w:r>
    </w:p>
    <w:p w:rsidR="00E54C88" w:rsidRPr="00C37FF7" w:rsidRDefault="0083125C" w:rsidP="0083125C">
      <w:pPr>
        <w:pStyle w:val="ListBullet"/>
      </w:pPr>
      <w:r>
        <w:t xml:space="preserve">Oireachtas Joint Committee on Education and Social Protection: The role of special needs assistants </w:t>
      </w:r>
      <w:r w:rsidR="00E54C88">
        <w:br w:type="column"/>
      </w:r>
      <w:r w:rsidR="00E54C88" w:rsidRPr="006D69E5">
        <w:rPr>
          <w:b/>
        </w:rPr>
        <w:t>National Disability Authority</w:t>
      </w:r>
      <w:r w:rsidR="00E54C88">
        <w:br/>
      </w:r>
      <w:r w:rsidR="00E54C88" w:rsidRPr="00AD4605">
        <w:t>25 Clyde Road, Dublin 4</w:t>
      </w:r>
      <w:r w:rsidR="00E54C88" w:rsidRPr="00AD4605">
        <w:br/>
      </w:r>
      <w:r w:rsidR="00E54C88" w:rsidRPr="006D69E5">
        <w:rPr>
          <w:b/>
        </w:rPr>
        <w:t>Telephone</w:t>
      </w:r>
      <w:r w:rsidR="00E54C88">
        <w:t>:</w:t>
      </w:r>
      <w:r w:rsidR="00E54C88" w:rsidRPr="00AD4605">
        <w:t xml:space="preserve"> (01) 608 0400</w:t>
      </w:r>
      <w:r w:rsidR="00E54C88" w:rsidRPr="00AD4605">
        <w:br/>
      </w:r>
      <w:r w:rsidR="00E54C88" w:rsidRPr="006D69E5">
        <w:rPr>
          <w:b/>
        </w:rPr>
        <w:t>Fax</w:t>
      </w:r>
      <w:r w:rsidR="00E54C88">
        <w:t>:</w:t>
      </w:r>
      <w:r w:rsidR="00E54C88" w:rsidRPr="00AD4605">
        <w:t xml:space="preserve"> (01) 660 9935</w:t>
      </w:r>
      <w:r w:rsidR="00E54C88" w:rsidRPr="00AD4605">
        <w:br/>
      </w:r>
      <w:r w:rsidR="00E54C88" w:rsidRPr="006D69E5">
        <w:rPr>
          <w:b/>
        </w:rPr>
        <w:t>www.nda.ie</w:t>
      </w:r>
    </w:p>
    <w:p w:rsidR="00E54C88" w:rsidRPr="004918E0" w:rsidRDefault="00076D0B" w:rsidP="00CA29D0">
      <w:pPr>
        <w:pStyle w:val="Blurb"/>
        <w:rPr>
          <w:lang w:val="ga-IE"/>
        </w:rPr>
      </w:pPr>
      <w:r>
        <w:rPr>
          <w:noProof/>
          <w:lang w:eastAsia="en-IE"/>
        </w:rPr>
        <w:drawing>
          <wp:anchor distT="0" distB="0" distL="114300" distR="114300" simplePos="0" relativeHeight="251654656" behindDoc="0" locked="0" layoutInCell="1" allowOverlap="1">
            <wp:simplePos x="0" y="0"/>
            <wp:positionH relativeFrom="column">
              <wp:posOffset>-1074420</wp:posOffset>
            </wp:positionH>
            <wp:positionV relativeFrom="paragraph">
              <wp:posOffset>-1871980</wp:posOffset>
            </wp:positionV>
            <wp:extent cx="845820" cy="356235"/>
            <wp:effectExtent l="19050" t="0" r="0" b="0"/>
            <wp:wrapNone/>
            <wp:docPr id="4" name="Picture 2" descr="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A logo"/>
                    <pic:cNvPicPr>
                      <a:picLocks noChangeAspect="1" noChangeArrowheads="1"/>
                    </pic:cNvPicPr>
                  </pic:nvPicPr>
                  <pic:blipFill>
                    <a:blip r:embed="rId23"/>
                    <a:srcRect/>
                    <a:stretch>
                      <a:fillRect/>
                    </a:stretch>
                  </pic:blipFill>
                  <pic:spPr bwMode="auto">
                    <a:xfrm>
                      <a:off x="0" y="0"/>
                      <a:ext cx="845820" cy="356235"/>
                    </a:xfrm>
                    <a:prstGeom prst="rect">
                      <a:avLst/>
                    </a:prstGeom>
                    <a:noFill/>
                  </pic:spPr>
                </pic:pic>
              </a:graphicData>
            </a:graphic>
          </wp:anchor>
        </w:drawing>
      </w:r>
      <w:r w:rsidR="00E54C88">
        <w:t>National Disability Authority is the independent state body providing expert advice on disability policy and practice to the Minister, and promoting Universal Design in Ireland.</w:t>
      </w:r>
    </w:p>
    <w:sectPr w:rsidR="00E54C88" w:rsidRPr="004918E0" w:rsidSect="004B6544">
      <w:type w:val="oddPage"/>
      <w:pgSz w:w="11907" w:h="16840" w:code="9"/>
      <w:pgMar w:top="1985" w:right="1985" w:bottom="1985" w:left="1985" w:header="709" w:footer="709" w:gutter="0"/>
      <w:pgNumType w:chapStyle="1" w:chapSep="emDash"/>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E34" w:rsidRDefault="00A80E34">
      <w:r>
        <w:separator/>
      </w:r>
    </w:p>
  </w:endnote>
  <w:endnote w:type="continuationSeparator" w:id="0">
    <w:p w:rsidR="00A80E34" w:rsidRDefault="00A8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Aboriginal Serif">
    <w:altName w:val="Arial Unicode MS"/>
    <w:charset w:val="80"/>
    <w:family w:val="auto"/>
    <w:pitch w:val="default"/>
  </w:font>
  <w:font w:name="BiauKai">
    <w:altName w:val="Arial Unicode MS"/>
    <w:charset w:val="80"/>
    <w:family w:val="auto"/>
    <w:pitch w:val="variable"/>
  </w:font>
  <w:font w:name="TimesNewRoman">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E34" w:rsidRPr="00EF6697" w:rsidRDefault="00A80E34" w:rsidP="00EF6697">
    <w:pPr>
      <w:pStyle w:val="Footer"/>
      <w:rPr>
        <w:szCs w:val="26"/>
      </w:rPr>
    </w:pPr>
    <w:r w:rsidRPr="00EF6697">
      <w:rPr>
        <w:szCs w:val="26"/>
      </w:rPr>
      <w:tab/>
      <w:t xml:space="preserve">- </w:t>
    </w:r>
    <w:r w:rsidR="005A5EE6" w:rsidRPr="00EF6697">
      <w:rPr>
        <w:szCs w:val="26"/>
      </w:rPr>
      <w:fldChar w:fldCharType="begin"/>
    </w:r>
    <w:r w:rsidRPr="00EF6697">
      <w:rPr>
        <w:szCs w:val="26"/>
      </w:rPr>
      <w:instrText xml:space="preserve"> PAGE </w:instrText>
    </w:r>
    <w:r w:rsidR="005A5EE6" w:rsidRPr="00EF6697">
      <w:rPr>
        <w:szCs w:val="26"/>
      </w:rPr>
      <w:fldChar w:fldCharType="separate"/>
    </w:r>
    <w:r w:rsidR="00CD5258">
      <w:rPr>
        <w:noProof/>
        <w:szCs w:val="26"/>
      </w:rPr>
      <w:t>2</w:t>
    </w:r>
    <w:r w:rsidR="005A5EE6" w:rsidRPr="00EF6697">
      <w:rPr>
        <w:szCs w:val="26"/>
      </w:rPr>
      <w:fldChar w:fldCharType="end"/>
    </w:r>
    <w:r w:rsidRPr="00EF6697">
      <w:rPr>
        <w:szCs w:val="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E34" w:rsidRPr="00EF6697" w:rsidRDefault="00A80E34" w:rsidP="00EF6697">
    <w:pPr>
      <w:pStyle w:val="Footer"/>
      <w:rPr>
        <w:szCs w:val="26"/>
      </w:rPr>
    </w:pPr>
    <w:r w:rsidRPr="00EF6697">
      <w:rPr>
        <w:szCs w:val="26"/>
      </w:rPr>
      <w:tab/>
      <w:t xml:space="preserve">- </w:t>
    </w:r>
    <w:r w:rsidR="005A5EE6" w:rsidRPr="00EF6697">
      <w:rPr>
        <w:szCs w:val="26"/>
      </w:rPr>
      <w:fldChar w:fldCharType="begin"/>
    </w:r>
    <w:r w:rsidRPr="00EF6697">
      <w:rPr>
        <w:szCs w:val="26"/>
      </w:rPr>
      <w:instrText xml:space="preserve"> PAGE </w:instrText>
    </w:r>
    <w:r w:rsidR="005A5EE6" w:rsidRPr="00EF6697">
      <w:rPr>
        <w:szCs w:val="26"/>
      </w:rPr>
      <w:fldChar w:fldCharType="separate"/>
    </w:r>
    <w:r w:rsidR="00CD5258">
      <w:rPr>
        <w:noProof/>
        <w:szCs w:val="26"/>
      </w:rPr>
      <w:t>42</w:t>
    </w:r>
    <w:r w:rsidR="005A5EE6" w:rsidRPr="00EF6697">
      <w:rPr>
        <w:szCs w:val="26"/>
      </w:rPr>
      <w:fldChar w:fldCharType="end"/>
    </w:r>
    <w:r w:rsidRPr="00EF6697">
      <w:rPr>
        <w:szCs w:val="2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E34" w:rsidRPr="00EF6697" w:rsidRDefault="00A80E34" w:rsidP="00EF6697">
    <w:pPr>
      <w:pStyle w:val="Footer"/>
      <w:rPr>
        <w:szCs w:val="26"/>
      </w:rPr>
    </w:pPr>
    <w:r w:rsidRPr="00EF6697">
      <w:rPr>
        <w:szCs w:val="26"/>
      </w:rPr>
      <w:tab/>
      <w:t xml:space="preserve">- </w:t>
    </w:r>
    <w:r w:rsidR="005A5EE6" w:rsidRPr="00EF6697">
      <w:rPr>
        <w:szCs w:val="26"/>
      </w:rPr>
      <w:fldChar w:fldCharType="begin"/>
    </w:r>
    <w:r w:rsidRPr="00EF6697">
      <w:rPr>
        <w:szCs w:val="26"/>
      </w:rPr>
      <w:instrText xml:space="preserve"> PAGE </w:instrText>
    </w:r>
    <w:r w:rsidR="005A5EE6" w:rsidRPr="00EF6697">
      <w:rPr>
        <w:szCs w:val="26"/>
      </w:rPr>
      <w:fldChar w:fldCharType="separate"/>
    </w:r>
    <w:r w:rsidR="00CD5258">
      <w:rPr>
        <w:noProof/>
        <w:szCs w:val="26"/>
      </w:rPr>
      <w:t>43</w:t>
    </w:r>
    <w:r w:rsidR="005A5EE6" w:rsidRPr="00EF6697">
      <w:rPr>
        <w:szCs w:val="26"/>
      </w:rPr>
      <w:fldChar w:fldCharType="end"/>
    </w:r>
    <w:r w:rsidRPr="00EF6697">
      <w:rPr>
        <w:szCs w:val="2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E34" w:rsidRPr="00EF6697" w:rsidRDefault="00A80E34" w:rsidP="00EF6697">
    <w:pPr>
      <w:pStyle w:val="Footer"/>
      <w:rPr>
        <w:szCs w:val="26"/>
      </w:rPr>
    </w:pPr>
    <w:r w:rsidRPr="00EF6697">
      <w:rPr>
        <w:szCs w:val="26"/>
      </w:rPr>
      <w:tab/>
      <w:t xml:space="preserve">- </w:t>
    </w:r>
    <w:r w:rsidR="005A5EE6" w:rsidRPr="00EF6697">
      <w:rPr>
        <w:szCs w:val="26"/>
      </w:rPr>
      <w:fldChar w:fldCharType="begin"/>
    </w:r>
    <w:r w:rsidRPr="00EF6697">
      <w:rPr>
        <w:szCs w:val="26"/>
      </w:rPr>
      <w:instrText xml:space="preserve"> PAGE </w:instrText>
    </w:r>
    <w:r w:rsidR="005A5EE6" w:rsidRPr="00EF6697">
      <w:rPr>
        <w:szCs w:val="26"/>
      </w:rPr>
      <w:fldChar w:fldCharType="separate"/>
    </w:r>
    <w:r w:rsidR="00CD5258">
      <w:rPr>
        <w:noProof/>
        <w:szCs w:val="26"/>
      </w:rPr>
      <w:t>45</w:t>
    </w:r>
    <w:r w:rsidR="005A5EE6" w:rsidRPr="00EF6697">
      <w:rPr>
        <w:szCs w:val="26"/>
      </w:rPr>
      <w:fldChar w:fldCharType="end"/>
    </w:r>
    <w:r w:rsidRPr="00EF6697">
      <w:rPr>
        <w:szCs w:val="2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E34" w:rsidRPr="00EF6697" w:rsidRDefault="00A80E34" w:rsidP="00EF6697">
    <w:pPr>
      <w:pStyle w:val="Footer"/>
      <w:rPr>
        <w:szCs w:val="26"/>
      </w:rPr>
    </w:pPr>
    <w:r w:rsidRPr="00EF6697">
      <w:rPr>
        <w:szCs w:val="26"/>
      </w:rPr>
      <w:tab/>
      <w:t xml:space="preserve">- </w:t>
    </w:r>
    <w:r w:rsidR="005A5EE6" w:rsidRPr="00EF6697">
      <w:rPr>
        <w:szCs w:val="26"/>
      </w:rPr>
      <w:fldChar w:fldCharType="begin"/>
    </w:r>
    <w:r w:rsidRPr="00EF6697">
      <w:rPr>
        <w:szCs w:val="26"/>
      </w:rPr>
      <w:instrText xml:space="preserve"> PAGE </w:instrText>
    </w:r>
    <w:r w:rsidR="005A5EE6" w:rsidRPr="00EF6697">
      <w:rPr>
        <w:szCs w:val="26"/>
      </w:rPr>
      <w:fldChar w:fldCharType="separate"/>
    </w:r>
    <w:r w:rsidR="00CD5258">
      <w:rPr>
        <w:noProof/>
        <w:szCs w:val="26"/>
      </w:rPr>
      <w:t>74</w:t>
    </w:r>
    <w:r w:rsidR="005A5EE6" w:rsidRPr="00EF6697">
      <w:rPr>
        <w:szCs w:val="26"/>
      </w:rPr>
      <w:fldChar w:fldCharType="end"/>
    </w:r>
    <w:r w:rsidRPr="00EF6697">
      <w:rPr>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E34" w:rsidRDefault="00A80E34">
      <w:r>
        <w:separator/>
      </w:r>
    </w:p>
  </w:footnote>
  <w:footnote w:type="continuationSeparator" w:id="0">
    <w:p w:rsidR="00A80E34" w:rsidRDefault="00A80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E34" w:rsidRDefault="00A80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E34" w:rsidRDefault="00A80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E34" w:rsidRDefault="00A80E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E34" w:rsidRDefault="00A80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210A988"/>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04F0A6BC"/>
    <w:lvl w:ilvl="0">
      <w:start w:val="1"/>
      <w:numFmt w:val="bullet"/>
      <w:pStyle w:val="ListBullet"/>
      <w:lvlText w:val=""/>
      <w:lvlJc w:val="left"/>
      <w:pPr>
        <w:tabs>
          <w:tab w:val="num" w:pos="360"/>
        </w:tabs>
        <w:ind w:left="360" w:hanging="360"/>
      </w:pPr>
      <w:rPr>
        <w:rFonts w:ascii="Symbol" w:hAnsi="Symbol" w:hint="default"/>
        <w:sz w:val="20"/>
      </w:rPr>
    </w:lvl>
  </w:abstractNum>
  <w:abstractNum w:abstractNumId="2" w15:restartNumberingAfterBreak="0">
    <w:nsid w:val="1FC03213"/>
    <w:multiLevelType w:val="multilevel"/>
    <w:tmpl w:val="730870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B504E39"/>
    <w:multiLevelType w:val="hybridMultilevel"/>
    <w:tmpl w:val="0FFEC66E"/>
    <w:lvl w:ilvl="0" w:tplc="2050F28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43C1014"/>
    <w:multiLevelType w:val="hybridMultilevel"/>
    <w:tmpl w:val="FF90DC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6C601C6"/>
    <w:multiLevelType w:val="hybridMultilevel"/>
    <w:tmpl w:val="0FFEC66E"/>
    <w:lvl w:ilvl="0" w:tplc="2050F282">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1"/>
  </w:num>
  <w:num w:numId="9">
    <w:abstractNumId w:val="1"/>
  </w:num>
  <w:num w:numId="10">
    <w:abstractNumId w:val="4"/>
  </w:num>
  <w:num w:numId="11">
    <w:abstractNumId w:val="1"/>
  </w:num>
  <w:num w:numId="12">
    <w:abstractNumId w:val="1"/>
  </w:num>
  <w:num w:numId="13">
    <w:abstractNumId w:val="1"/>
  </w:num>
  <w:num w:numId="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0"/>
  <w:defaultTabStop w:val="720"/>
  <w:drawingGridHorizontalSpacing w:val="13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29"/>
    <w:rsid w:val="000018B8"/>
    <w:rsid w:val="000024ED"/>
    <w:rsid w:val="00004EE3"/>
    <w:rsid w:val="0001026F"/>
    <w:rsid w:val="00021DED"/>
    <w:rsid w:val="0002361F"/>
    <w:rsid w:val="0002424B"/>
    <w:rsid w:val="0002481D"/>
    <w:rsid w:val="00026F8E"/>
    <w:rsid w:val="00027496"/>
    <w:rsid w:val="00033FB3"/>
    <w:rsid w:val="0003533B"/>
    <w:rsid w:val="0004305F"/>
    <w:rsid w:val="0004317C"/>
    <w:rsid w:val="00043813"/>
    <w:rsid w:val="00044AE5"/>
    <w:rsid w:val="0004718C"/>
    <w:rsid w:val="000614F3"/>
    <w:rsid w:val="000622DF"/>
    <w:rsid w:val="000626A3"/>
    <w:rsid w:val="0006588E"/>
    <w:rsid w:val="00070093"/>
    <w:rsid w:val="000703FF"/>
    <w:rsid w:val="00071E0A"/>
    <w:rsid w:val="00073703"/>
    <w:rsid w:val="00075281"/>
    <w:rsid w:val="00076CBB"/>
    <w:rsid w:val="00076D0B"/>
    <w:rsid w:val="00077885"/>
    <w:rsid w:val="00080C2B"/>
    <w:rsid w:val="000817F0"/>
    <w:rsid w:val="00081AA4"/>
    <w:rsid w:val="00082556"/>
    <w:rsid w:val="000857FD"/>
    <w:rsid w:val="00092A32"/>
    <w:rsid w:val="000958C1"/>
    <w:rsid w:val="000976F6"/>
    <w:rsid w:val="000A15CC"/>
    <w:rsid w:val="000A3758"/>
    <w:rsid w:val="000A7E39"/>
    <w:rsid w:val="000B1A79"/>
    <w:rsid w:val="000B5AEA"/>
    <w:rsid w:val="000B64B5"/>
    <w:rsid w:val="000B6CA6"/>
    <w:rsid w:val="000B7191"/>
    <w:rsid w:val="000C07B2"/>
    <w:rsid w:val="000C14BB"/>
    <w:rsid w:val="000C3F24"/>
    <w:rsid w:val="000C580A"/>
    <w:rsid w:val="000C6562"/>
    <w:rsid w:val="000C6890"/>
    <w:rsid w:val="000C75C2"/>
    <w:rsid w:val="000D2A4E"/>
    <w:rsid w:val="000D2FEA"/>
    <w:rsid w:val="000D632D"/>
    <w:rsid w:val="000D6D65"/>
    <w:rsid w:val="000E2845"/>
    <w:rsid w:val="000E2B34"/>
    <w:rsid w:val="000E3EC9"/>
    <w:rsid w:val="000E4C14"/>
    <w:rsid w:val="000F126B"/>
    <w:rsid w:val="000F2F8C"/>
    <w:rsid w:val="000F4724"/>
    <w:rsid w:val="000F4EB3"/>
    <w:rsid w:val="000F560B"/>
    <w:rsid w:val="000F56EB"/>
    <w:rsid w:val="00101691"/>
    <w:rsid w:val="0010200E"/>
    <w:rsid w:val="00104B2C"/>
    <w:rsid w:val="0010624A"/>
    <w:rsid w:val="00115141"/>
    <w:rsid w:val="00115DC4"/>
    <w:rsid w:val="00120FF5"/>
    <w:rsid w:val="0013007A"/>
    <w:rsid w:val="00136AA9"/>
    <w:rsid w:val="00137FA7"/>
    <w:rsid w:val="00143543"/>
    <w:rsid w:val="0015170C"/>
    <w:rsid w:val="001541F0"/>
    <w:rsid w:val="001548CE"/>
    <w:rsid w:val="001549BC"/>
    <w:rsid w:val="00156F78"/>
    <w:rsid w:val="00157504"/>
    <w:rsid w:val="0015792C"/>
    <w:rsid w:val="0016103B"/>
    <w:rsid w:val="0016254C"/>
    <w:rsid w:val="00163E7A"/>
    <w:rsid w:val="00166B48"/>
    <w:rsid w:val="00166FC3"/>
    <w:rsid w:val="001673B0"/>
    <w:rsid w:val="001734DB"/>
    <w:rsid w:val="00181C21"/>
    <w:rsid w:val="00183CD3"/>
    <w:rsid w:val="00185A95"/>
    <w:rsid w:val="001864BA"/>
    <w:rsid w:val="00186BE6"/>
    <w:rsid w:val="00192C94"/>
    <w:rsid w:val="001931FF"/>
    <w:rsid w:val="001942D3"/>
    <w:rsid w:val="00194394"/>
    <w:rsid w:val="00194648"/>
    <w:rsid w:val="00195A2E"/>
    <w:rsid w:val="00195AFB"/>
    <w:rsid w:val="00197BC1"/>
    <w:rsid w:val="001A0682"/>
    <w:rsid w:val="001A06AC"/>
    <w:rsid w:val="001A259E"/>
    <w:rsid w:val="001A4C63"/>
    <w:rsid w:val="001A58FE"/>
    <w:rsid w:val="001B00EF"/>
    <w:rsid w:val="001C14DA"/>
    <w:rsid w:val="001C2266"/>
    <w:rsid w:val="001C2985"/>
    <w:rsid w:val="001C3B07"/>
    <w:rsid w:val="001C6C1C"/>
    <w:rsid w:val="001E13D6"/>
    <w:rsid w:val="001E1D09"/>
    <w:rsid w:val="001E3B83"/>
    <w:rsid w:val="001E67FA"/>
    <w:rsid w:val="001F0E68"/>
    <w:rsid w:val="001F201F"/>
    <w:rsid w:val="001F30C2"/>
    <w:rsid w:val="001F49F1"/>
    <w:rsid w:val="001F688F"/>
    <w:rsid w:val="001F7123"/>
    <w:rsid w:val="00205BC3"/>
    <w:rsid w:val="0020686C"/>
    <w:rsid w:val="00213441"/>
    <w:rsid w:val="002145CE"/>
    <w:rsid w:val="00224721"/>
    <w:rsid w:val="00230E49"/>
    <w:rsid w:val="00231950"/>
    <w:rsid w:val="002322C1"/>
    <w:rsid w:val="00240A16"/>
    <w:rsid w:val="002415A4"/>
    <w:rsid w:val="002416C4"/>
    <w:rsid w:val="0024314E"/>
    <w:rsid w:val="00246162"/>
    <w:rsid w:val="00247E60"/>
    <w:rsid w:val="00256FA4"/>
    <w:rsid w:val="002629C0"/>
    <w:rsid w:val="00263437"/>
    <w:rsid w:val="002635EB"/>
    <w:rsid w:val="00264737"/>
    <w:rsid w:val="00264853"/>
    <w:rsid w:val="0027413C"/>
    <w:rsid w:val="00276ACF"/>
    <w:rsid w:val="00277432"/>
    <w:rsid w:val="00277E87"/>
    <w:rsid w:val="00284BE4"/>
    <w:rsid w:val="002850E0"/>
    <w:rsid w:val="0028602C"/>
    <w:rsid w:val="00286A92"/>
    <w:rsid w:val="00294305"/>
    <w:rsid w:val="00296B9E"/>
    <w:rsid w:val="002A4FBF"/>
    <w:rsid w:val="002A5015"/>
    <w:rsid w:val="002A6B56"/>
    <w:rsid w:val="002B1893"/>
    <w:rsid w:val="002B3FEF"/>
    <w:rsid w:val="002B41E5"/>
    <w:rsid w:val="002B656A"/>
    <w:rsid w:val="002C3CFC"/>
    <w:rsid w:val="002C404A"/>
    <w:rsid w:val="002C53B0"/>
    <w:rsid w:val="002D2A56"/>
    <w:rsid w:val="002D458F"/>
    <w:rsid w:val="002D5D14"/>
    <w:rsid w:val="002E1334"/>
    <w:rsid w:val="002E20E8"/>
    <w:rsid w:val="002E229D"/>
    <w:rsid w:val="002E230E"/>
    <w:rsid w:val="002E4795"/>
    <w:rsid w:val="002E4C10"/>
    <w:rsid w:val="002F2760"/>
    <w:rsid w:val="002F3DE3"/>
    <w:rsid w:val="002F6996"/>
    <w:rsid w:val="002F69F2"/>
    <w:rsid w:val="00300E3E"/>
    <w:rsid w:val="003033C8"/>
    <w:rsid w:val="00310E3B"/>
    <w:rsid w:val="00313141"/>
    <w:rsid w:val="003177E8"/>
    <w:rsid w:val="00317AF2"/>
    <w:rsid w:val="00317EC8"/>
    <w:rsid w:val="003215B1"/>
    <w:rsid w:val="0032510F"/>
    <w:rsid w:val="003263C6"/>
    <w:rsid w:val="00326457"/>
    <w:rsid w:val="00333049"/>
    <w:rsid w:val="003340BE"/>
    <w:rsid w:val="00335F22"/>
    <w:rsid w:val="0034216D"/>
    <w:rsid w:val="00342BFC"/>
    <w:rsid w:val="00345E4B"/>
    <w:rsid w:val="0034707E"/>
    <w:rsid w:val="00347127"/>
    <w:rsid w:val="00355148"/>
    <w:rsid w:val="00355451"/>
    <w:rsid w:val="003579CC"/>
    <w:rsid w:val="00360012"/>
    <w:rsid w:val="0036089F"/>
    <w:rsid w:val="00365AFD"/>
    <w:rsid w:val="003716E2"/>
    <w:rsid w:val="00371D4D"/>
    <w:rsid w:val="00374EE1"/>
    <w:rsid w:val="0038150B"/>
    <w:rsid w:val="003836AF"/>
    <w:rsid w:val="00390653"/>
    <w:rsid w:val="003927C2"/>
    <w:rsid w:val="003942BD"/>
    <w:rsid w:val="0039617A"/>
    <w:rsid w:val="003966FB"/>
    <w:rsid w:val="003971A2"/>
    <w:rsid w:val="003A082D"/>
    <w:rsid w:val="003A15E1"/>
    <w:rsid w:val="003A5D0E"/>
    <w:rsid w:val="003A6ACE"/>
    <w:rsid w:val="003A6CE1"/>
    <w:rsid w:val="003A7462"/>
    <w:rsid w:val="003B178C"/>
    <w:rsid w:val="003B37E6"/>
    <w:rsid w:val="003C04D3"/>
    <w:rsid w:val="003C3619"/>
    <w:rsid w:val="003C46C4"/>
    <w:rsid w:val="003C62D1"/>
    <w:rsid w:val="003C6499"/>
    <w:rsid w:val="003D445D"/>
    <w:rsid w:val="003D4702"/>
    <w:rsid w:val="003E08A9"/>
    <w:rsid w:val="003E0A0B"/>
    <w:rsid w:val="003E2C0E"/>
    <w:rsid w:val="003E6776"/>
    <w:rsid w:val="003E6DA3"/>
    <w:rsid w:val="003E739F"/>
    <w:rsid w:val="003E7708"/>
    <w:rsid w:val="003E7B99"/>
    <w:rsid w:val="003F06BD"/>
    <w:rsid w:val="003F4546"/>
    <w:rsid w:val="003F49E4"/>
    <w:rsid w:val="003F5876"/>
    <w:rsid w:val="003F5C9D"/>
    <w:rsid w:val="003F6889"/>
    <w:rsid w:val="003F6957"/>
    <w:rsid w:val="00401049"/>
    <w:rsid w:val="004013E7"/>
    <w:rsid w:val="0040456A"/>
    <w:rsid w:val="0041089E"/>
    <w:rsid w:val="004112D0"/>
    <w:rsid w:val="004114D4"/>
    <w:rsid w:val="00417005"/>
    <w:rsid w:val="00417F6C"/>
    <w:rsid w:val="00422DFF"/>
    <w:rsid w:val="00423DD2"/>
    <w:rsid w:val="004249CC"/>
    <w:rsid w:val="00425AB1"/>
    <w:rsid w:val="00431600"/>
    <w:rsid w:val="0043227E"/>
    <w:rsid w:val="00434D16"/>
    <w:rsid w:val="00435E35"/>
    <w:rsid w:val="004404A8"/>
    <w:rsid w:val="00440A8B"/>
    <w:rsid w:val="0044187B"/>
    <w:rsid w:val="004422A9"/>
    <w:rsid w:val="004509EF"/>
    <w:rsid w:val="00451D34"/>
    <w:rsid w:val="00456BDE"/>
    <w:rsid w:val="0045766B"/>
    <w:rsid w:val="00457965"/>
    <w:rsid w:val="00460835"/>
    <w:rsid w:val="00460DC9"/>
    <w:rsid w:val="0046125B"/>
    <w:rsid w:val="004627BA"/>
    <w:rsid w:val="00462CFD"/>
    <w:rsid w:val="00466387"/>
    <w:rsid w:val="004679EE"/>
    <w:rsid w:val="00470060"/>
    <w:rsid w:val="00477BE1"/>
    <w:rsid w:val="004807BB"/>
    <w:rsid w:val="004837D0"/>
    <w:rsid w:val="0048437B"/>
    <w:rsid w:val="00485105"/>
    <w:rsid w:val="004867A6"/>
    <w:rsid w:val="00486FDD"/>
    <w:rsid w:val="00490730"/>
    <w:rsid w:val="004907C8"/>
    <w:rsid w:val="004918E0"/>
    <w:rsid w:val="0049464A"/>
    <w:rsid w:val="00494800"/>
    <w:rsid w:val="00495E27"/>
    <w:rsid w:val="004961A0"/>
    <w:rsid w:val="004970B4"/>
    <w:rsid w:val="004976B4"/>
    <w:rsid w:val="004A1C89"/>
    <w:rsid w:val="004A4E18"/>
    <w:rsid w:val="004A62CC"/>
    <w:rsid w:val="004A6651"/>
    <w:rsid w:val="004A6896"/>
    <w:rsid w:val="004A7524"/>
    <w:rsid w:val="004B3BF6"/>
    <w:rsid w:val="004B3D27"/>
    <w:rsid w:val="004B5DB7"/>
    <w:rsid w:val="004B6544"/>
    <w:rsid w:val="004B7CEB"/>
    <w:rsid w:val="004C0394"/>
    <w:rsid w:val="004C2463"/>
    <w:rsid w:val="004C272E"/>
    <w:rsid w:val="004C36B2"/>
    <w:rsid w:val="004D0DB3"/>
    <w:rsid w:val="004D225B"/>
    <w:rsid w:val="004D6DCD"/>
    <w:rsid w:val="004D764F"/>
    <w:rsid w:val="004E2A2D"/>
    <w:rsid w:val="004E5AD3"/>
    <w:rsid w:val="004F2BFF"/>
    <w:rsid w:val="00501638"/>
    <w:rsid w:val="00503B43"/>
    <w:rsid w:val="00503FEA"/>
    <w:rsid w:val="0050485E"/>
    <w:rsid w:val="005114F5"/>
    <w:rsid w:val="005159FF"/>
    <w:rsid w:val="00521E37"/>
    <w:rsid w:val="00523FA7"/>
    <w:rsid w:val="00525BB3"/>
    <w:rsid w:val="00530BFB"/>
    <w:rsid w:val="00532283"/>
    <w:rsid w:val="0053246B"/>
    <w:rsid w:val="00535D7D"/>
    <w:rsid w:val="0053638B"/>
    <w:rsid w:val="00536BFA"/>
    <w:rsid w:val="005402A0"/>
    <w:rsid w:val="00541066"/>
    <w:rsid w:val="005432A6"/>
    <w:rsid w:val="00544FB5"/>
    <w:rsid w:val="0055051C"/>
    <w:rsid w:val="005506AF"/>
    <w:rsid w:val="005525DD"/>
    <w:rsid w:val="00552718"/>
    <w:rsid w:val="00553589"/>
    <w:rsid w:val="00554A4A"/>
    <w:rsid w:val="00557D5B"/>
    <w:rsid w:val="005617E3"/>
    <w:rsid w:val="0056386D"/>
    <w:rsid w:val="00563D8C"/>
    <w:rsid w:val="0056592C"/>
    <w:rsid w:val="00565BC2"/>
    <w:rsid w:val="00565E92"/>
    <w:rsid w:val="00567CF6"/>
    <w:rsid w:val="00570491"/>
    <w:rsid w:val="0057081D"/>
    <w:rsid w:val="00572766"/>
    <w:rsid w:val="00573636"/>
    <w:rsid w:val="00575E9C"/>
    <w:rsid w:val="005770F7"/>
    <w:rsid w:val="00580D5D"/>
    <w:rsid w:val="0058102A"/>
    <w:rsid w:val="0058207E"/>
    <w:rsid w:val="0058243F"/>
    <w:rsid w:val="00582A43"/>
    <w:rsid w:val="00582FAD"/>
    <w:rsid w:val="0058340C"/>
    <w:rsid w:val="00584620"/>
    <w:rsid w:val="00584C5B"/>
    <w:rsid w:val="00586153"/>
    <w:rsid w:val="0059165F"/>
    <w:rsid w:val="00593FBC"/>
    <w:rsid w:val="005942FE"/>
    <w:rsid w:val="00594883"/>
    <w:rsid w:val="005A17CC"/>
    <w:rsid w:val="005A24BB"/>
    <w:rsid w:val="005A5EE6"/>
    <w:rsid w:val="005A7383"/>
    <w:rsid w:val="005B315D"/>
    <w:rsid w:val="005B5635"/>
    <w:rsid w:val="005B6117"/>
    <w:rsid w:val="005B6AFF"/>
    <w:rsid w:val="005B7491"/>
    <w:rsid w:val="005C1E39"/>
    <w:rsid w:val="005C52A3"/>
    <w:rsid w:val="005C6CF2"/>
    <w:rsid w:val="005C758C"/>
    <w:rsid w:val="005D4571"/>
    <w:rsid w:val="005D56F6"/>
    <w:rsid w:val="005D596A"/>
    <w:rsid w:val="005E03F3"/>
    <w:rsid w:val="005E62C6"/>
    <w:rsid w:val="005E7672"/>
    <w:rsid w:val="005E7F9F"/>
    <w:rsid w:val="005F4E53"/>
    <w:rsid w:val="005F59B0"/>
    <w:rsid w:val="005F7AB2"/>
    <w:rsid w:val="00600D0E"/>
    <w:rsid w:val="0060245A"/>
    <w:rsid w:val="0060245F"/>
    <w:rsid w:val="00606426"/>
    <w:rsid w:val="006113B8"/>
    <w:rsid w:val="006117E8"/>
    <w:rsid w:val="00617089"/>
    <w:rsid w:val="00617096"/>
    <w:rsid w:val="00620EC8"/>
    <w:rsid w:val="006220A7"/>
    <w:rsid w:val="0062389E"/>
    <w:rsid w:val="006309CB"/>
    <w:rsid w:val="00630FB9"/>
    <w:rsid w:val="00631B50"/>
    <w:rsid w:val="00636AD8"/>
    <w:rsid w:val="0063792D"/>
    <w:rsid w:val="00637BDA"/>
    <w:rsid w:val="00637E0C"/>
    <w:rsid w:val="00637E1A"/>
    <w:rsid w:val="00643B4D"/>
    <w:rsid w:val="00644E38"/>
    <w:rsid w:val="00653D8B"/>
    <w:rsid w:val="00654BCC"/>
    <w:rsid w:val="00656D15"/>
    <w:rsid w:val="00662472"/>
    <w:rsid w:val="00662DC0"/>
    <w:rsid w:val="00663A67"/>
    <w:rsid w:val="00681B3A"/>
    <w:rsid w:val="00682A71"/>
    <w:rsid w:val="00684A06"/>
    <w:rsid w:val="00690E83"/>
    <w:rsid w:val="00692895"/>
    <w:rsid w:val="00696BDF"/>
    <w:rsid w:val="0069716D"/>
    <w:rsid w:val="006A0A12"/>
    <w:rsid w:val="006A0E16"/>
    <w:rsid w:val="006A1C9B"/>
    <w:rsid w:val="006A4B3E"/>
    <w:rsid w:val="006A4DAA"/>
    <w:rsid w:val="006B750E"/>
    <w:rsid w:val="006B78BA"/>
    <w:rsid w:val="006C3C62"/>
    <w:rsid w:val="006C4552"/>
    <w:rsid w:val="006C6A70"/>
    <w:rsid w:val="006D06B9"/>
    <w:rsid w:val="006D116F"/>
    <w:rsid w:val="006D516B"/>
    <w:rsid w:val="006D595B"/>
    <w:rsid w:val="006D69E5"/>
    <w:rsid w:val="006E42DD"/>
    <w:rsid w:val="006E57D3"/>
    <w:rsid w:val="006F012B"/>
    <w:rsid w:val="006F1289"/>
    <w:rsid w:val="00700DAF"/>
    <w:rsid w:val="00702916"/>
    <w:rsid w:val="00703062"/>
    <w:rsid w:val="007064BD"/>
    <w:rsid w:val="007166FD"/>
    <w:rsid w:val="00720A48"/>
    <w:rsid w:val="00720E2B"/>
    <w:rsid w:val="007212C8"/>
    <w:rsid w:val="00722EE6"/>
    <w:rsid w:val="00730F66"/>
    <w:rsid w:val="007329EA"/>
    <w:rsid w:val="00734858"/>
    <w:rsid w:val="007359AD"/>
    <w:rsid w:val="00737725"/>
    <w:rsid w:val="007451F5"/>
    <w:rsid w:val="00745DD4"/>
    <w:rsid w:val="00754792"/>
    <w:rsid w:val="00754ACA"/>
    <w:rsid w:val="00754F2B"/>
    <w:rsid w:val="00755B9C"/>
    <w:rsid w:val="00760718"/>
    <w:rsid w:val="007623E1"/>
    <w:rsid w:val="00762EFC"/>
    <w:rsid w:val="00763D95"/>
    <w:rsid w:val="00764AB1"/>
    <w:rsid w:val="007651F3"/>
    <w:rsid w:val="00771090"/>
    <w:rsid w:val="0077452C"/>
    <w:rsid w:val="007761C8"/>
    <w:rsid w:val="007843A9"/>
    <w:rsid w:val="00784790"/>
    <w:rsid w:val="007876C8"/>
    <w:rsid w:val="00790853"/>
    <w:rsid w:val="007A3550"/>
    <w:rsid w:val="007A3B86"/>
    <w:rsid w:val="007A3C93"/>
    <w:rsid w:val="007A75A8"/>
    <w:rsid w:val="007B07D5"/>
    <w:rsid w:val="007B50B3"/>
    <w:rsid w:val="007B6576"/>
    <w:rsid w:val="007B6906"/>
    <w:rsid w:val="007B76BB"/>
    <w:rsid w:val="007C0848"/>
    <w:rsid w:val="007C09D2"/>
    <w:rsid w:val="007C5DD6"/>
    <w:rsid w:val="007C5EFF"/>
    <w:rsid w:val="007C75A4"/>
    <w:rsid w:val="007D0AF0"/>
    <w:rsid w:val="007D6157"/>
    <w:rsid w:val="007D63EC"/>
    <w:rsid w:val="007E2DF6"/>
    <w:rsid w:val="007E4A0C"/>
    <w:rsid w:val="007E72AA"/>
    <w:rsid w:val="007F2710"/>
    <w:rsid w:val="007F2AF8"/>
    <w:rsid w:val="007F5D87"/>
    <w:rsid w:val="007F755C"/>
    <w:rsid w:val="00800059"/>
    <w:rsid w:val="008047A3"/>
    <w:rsid w:val="00804BF1"/>
    <w:rsid w:val="0080534E"/>
    <w:rsid w:val="0080580A"/>
    <w:rsid w:val="008065DE"/>
    <w:rsid w:val="00806908"/>
    <w:rsid w:val="008127E8"/>
    <w:rsid w:val="00812C24"/>
    <w:rsid w:val="00813E8D"/>
    <w:rsid w:val="00814E41"/>
    <w:rsid w:val="00815DA5"/>
    <w:rsid w:val="00821780"/>
    <w:rsid w:val="00822AF1"/>
    <w:rsid w:val="00824712"/>
    <w:rsid w:val="00826690"/>
    <w:rsid w:val="00827D2B"/>
    <w:rsid w:val="00830CB3"/>
    <w:rsid w:val="0083125C"/>
    <w:rsid w:val="008312B5"/>
    <w:rsid w:val="008358AD"/>
    <w:rsid w:val="00837698"/>
    <w:rsid w:val="00840B4F"/>
    <w:rsid w:val="00841E1D"/>
    <w:rsid w:val="008442EC"/>
    <w:rsid w:val="0084505D"/>
    <w:rsid w:val="00846397"/>
    <w:rsid w:val="008475AA"/>
    <w:rsid w:val="0085005D"/>
    <w:rsid w:val="008606DD"/>
    <w:rsid w:val="00860880"/>
    <w:rsid w:val="00860D98"/>
    <w:rsid w:val="00864B9D"/>
    <w:rsid w:val="00865A19"/>
    <w:rsid w:val="00865DB0"/>
    <w:rsid w:val="00865DB4"/>
    <w:rsid w:val="00866EA8"/>
    <w:rsid w:val="00867A2F"/>
    <w:rsid w:val="0087110C"/>
    <w:rsid w:val="00871A62"/>
    <w:rsid w:val="00872908"/>
    <w:rsid w:val="00875C32"/>
    <w:rsid w:val="0088135C"/>
    <w:rsid w:val="00884D16"/>
    <w:rsid w:val="0088594A"/>
    <w:rsid w:val="00885A89"/>
    <w:rsid w:val="008870E4"/>
    <w:rsid w:val="0089080E"/>
    <w:rsid w:val="00890969"/>
    <w:rsid w:val="0089105A"/>
    <w:rsid w:val="00894A24"/>
    <w:rsid w:val="008A102D"/>
    <w:rsid w:val="008A1A44"/>
    <w:rsid w:val="008A3296"/>
    <w:rsid w:val="008A7831"/>
    <w:rsid w:val="008B0D08"/>
    <w:rsid w:val="008B2354"/>
    <w:rsid w:val="008B2D82"/>
    <w:rsid w:val="008C2A08"/>
    <w:rsid w:val="008C451D"/>
    <w:rsid w:val="008D1D76"/>
    <w:rsid w:val="008D445E"/>
    <w:rsid w:val="008D6D1C"/>
    <w:rsid w:val="008E14CD"/>
    <w:rsid w:val="008E15ED"/>
    <w:rsid w:val="008E171B"/>
    <w:rsid w:val="008F28C7"/>
    <w:rsid w:val="008F793D"/>
    <w:rsid w:val="00900829"/>
    <w:rsid w:val="00901A87"/>
    <w:rsid w:val="00902955"/>
    <w:rsid w:val="009079DB"/>
    <w:rsid w:val="0091260E"/>
    <w:rsid w:val="009135B0"/>
    <w:rsid w:val="00917D5E"/>
    <w:rsid w:val="00920A07"/>
    <w:rsid w:val="00922F60"/>
    <w:rsid w:val="009264FC"/>
    <w:rsid w:val="00930C74"/>
    <w:rsid w:val="00932805"/>
    <w:rsid w:val="00933472"/>
    <w:rsid w:val="00936BCD"/>
    <w:rsid w:val="009409F5"/>
    <w:rsid w:val="009433CF"/>
    <w:rsid w:val="00943EF6"/>
    <w:rsid w:val="009452B1"/>
    <w:rsid w:val="009473BD"/>
    <w:rsid w:val="00950073"/>
    <w:rsid w:val="00951096"/>
    <w:rsid w:val="0095216A"/>
    <w:rsid w:val="00954595"/>
    <w:rsid w:val="009563AF"/>
    <w:rsid w:val="00957ECB"/>
    <w:rsid w:val="00962B96"/>
    <w:rsid w:val="00962DFA"/>
    <w:rsid w:val="009652DB"/>
    <w:rsid w:val="00971080"/>
    <w:rsid w:val="009722E0"/>
    <w:rsid w:val="00972C96"/>
    <w:rsid w:val="00973CCA"/>
    <w:rsid w:val="0097419B"/>
    <w:rsid w:val="009805D4"/>
    <w:rsid w:val="00985F06"/>
    <w:rsid w:val="00986DC2"/>
    <w:rsid w:val="00987AF0"/>
    <w:rsid w:val="00994305"/>
    <w:rsid w:val="00994B9D"/>
    <w:rsid w:val="009A0453"/>
    <w:rsid w:val="009A1AF7"/>
    <w:rsid w:val="009A3168"/>
    <w:rsid w:val="009A3198"/>
    <w:rsid w:val="009B319C"/>
    <w:rsid w:val="009B5477"/>
    <w:rsid w:val="009B7368"/>
    <w:rsid w:val="009B7577"/>
    <w:rsid w:val="009C0B80"/>
    <w:rsid w:val="009C1FA8"/>
    <w:rsid w:val="009C4755"/>
    <w:rsid w:val="009C64F2"/>
    <w:rsid w:val="009D1286"/>
    <w:rsid w:val="009D28FE"/>
    <w:rsid w:val="009D3F2F"/>
    <w:rsid w:val="009D4BCD"/>
    <w:rsid w:val="009E0544"/>
    <w:rsid w:val="009E12F9"/>
    <w:rsid w:val="009E428C"/>
    <w:rsid w:val="009F1FB4"/>
    <w:rsid w:val="009F2C3A"/>
    <w:rsid w:val="009F30B2"/>
    <w:rsid w:val="009F52C5"/>
    <w:rsid w:val="009F786B"/>
    <w:rsid w:val="009F7884"/>
    <w:rsid w:val="00A065E5"/>
    <w:rsid w:val="00A076E5"/>
    <w:rsid w:val="00A12836"/>
    <w:rsid w:val="00A26FD1"/>
    <w:rsid w:val="00A27893"/>
    <w:rsid w:val="00A30312"/>
    <w:rsid w:val="00A308FA"/>
    <w:rsid w:val="00A31EA6"/>
    <w:rsid w:val="00A330CC"/>
    <w:rsid w:val="00A3591B"/>
    <w:rsid w:val="00A409FA"/>
    <w:rsid w:val="00A479A4"/>
    <w:rsid w:val="00A5458A"/>
    <w:rsid w:val="00A57200"/>
    <w:rsid w:val="00A60485"/>
    <w:rsid w:val="00A61BBF"/>
    <w:rsid w:val="00A65545"/>
    <w:rsid w:val="00A666F5"/>
    <w:rsid w:val="00A7103D"/>
    <w:rsid w:val="00A723FC"/>
    <w:rsid w:val="00A73569"/>
    <w:rsid w:val="00A74A21"/>
    <w:rsid w:val="00A75007"/>
    <w:rsid w:val="00A7591A"/>
    <w:rsid w:val="00A76FBC"/>
    <w:rsid w:val="00A80E34"/>
    <w:rsid w:val="00A83506"/>
    <w:rsid w:val="00A8372F"/>
    <w:rsid w:val="00A85014"/>
    <w:rsid w:val="00A85CC0"/>
    <w:rsid w:val="00A85ECA"/>
    <w:rsid w:val="00A879D0"/>
    <w:rsid w:val="00A90817"/>
    <w:rsid w:val="00AA0249"/>
    <w:rsid w:val="00AA09A5"/>
    <w:rsid w:val="00AA3DCB"/>
    <w:rsid w:val="00AB07AB"/>
    <w:rsid w:val="00AB2FA8"/>
    <w:rsid w:val="00AB37BB"/>
    <w:rsid w:val="00AB4393"/>
    <w:rsid w:val="00AC3331"/>
    <w:rsid w:val="00AC62E5"/>
    <w:rsid w:val="00AC70DA"/>
    <w:rsid w:val="00AD4605"/>
    <w:rsid w:val="00AD5835"/>
    <w:rsid w:val="00AD615F"/>
    <w:rsid w:val="00AE0ED5"/>
    <w:rsid w:val="00AE0F61"/>
    <w:rsid w:val="00AE12E3"/>
    <w:rsid w:val="00AE5A73"/>
    <w:rsid w:val="00AE7713"/>
    <w:rsid w:val="00AF114C"/>
    <w:rsid w:val="00AF1861"/>
    <w:rsid w:val="00B01B9A"/>
    <w:rsid w:val="00B024E1"/>
    <w:rsid w:val="00B04EA3"/>
    <w:rsid w:val="00B050FD"/>
    <w:rsid w:val="00B109BF"/>
    <w:rsid w:val="00B10AA7"/>
    <w:rsid w:val="00B12735"/>
    <w:rsid w:val="00B175ED"/>
    <w:rsid w:val="00B20703"/>
    <w:rsid w:val="00B20CE8"/>
    <w:rsid w:val="00B22053"/>
    <w:rsid w:val="00B22912"/>
    <w:rsid w:val="00B25DD9"/>
    <w:rsid w:val="00B26C1A"/>
    <w:rsid w:val="00B2730D"/>
    <w:rsid w:val="00B2744D"/>
    <w:rsid w:val="00B3025E"/>
    <w:rsid w:val="00B3541D"/>
    <w:rsid w:val="00B37253"/>
    <w:rsid w:val="00B37D96"/>
    <w:rsid w:val="00B40603"/>
    <w:rsid w:val="00B40AA1"/>
    <w:rsid w:val="00B40EE9"/>
    <w:rsid w:val="00B42D0B"/>
    <w:rsid w:val="00B47D87"/>
    <w:rsid w:val="00B50322"/>
    <w:rsid w:val="00B523E7"/>
    <w:rsid w:val="00B5673E"/>
    <w:rsid w:val="00B576A5"/>
    <w:rsid w:val="00B62B8B"/>
    <w:rsid w:val="00B62FDA"/>
    <w:rsid w:val="00B63D5C"/>
    <w:rsid w:val="00B66067"/>
    <w:rsid w:val="00B76E94"/>
    <w:rsid w:val="00B77371"/>
    <w:rsid w:val="00B82195"/>
    <w:rsid w:val="00B83781"/>
    <w:rsid w:val="00B83F64"/>
    <w:rsid w:val="00B842C8"/>
    <w:rsid w:val="00B861FA"/>
    <w:rsid w:val="00B87408"/>
    <w:rsid w:val="00B87444"/>
    <w:rsid w:val="00B9259E"/>
    <w:rsid w:val="00B97E34"/>
    <w:rsid w:val="00BA3CDD"/>
    <w:rsid w:val="00BA7765"/>
    <w:rsid w:val="00BB02AB"/>
    <w:rsid w:val="00BB06BC"/>
    <w:rsid w:val="00BB1433"/>
    <w:rsid w:val="00BB2378"/>
    <w:rsid w:val="00BB36D6"/>
    <w:rsid w:val="00BB3E74"/>
    <w:rsid w:val="00BB6452"/>
    <w:rsid w:val="00BC02A5"/>
    <w:rsid w:val="00BC4DDD"/>
    <w:rsid w:val="00BC7411"/>
    <w:rsid w:val="00BE7314"/>
    <w:rsid w:val="00BF497E"/>
    <w:rsid w:val="00BF6354"/>
    <w:rsid w:val="00C02418"/>
    <w:rsid w:val="00C10065"/>
    <w:rsid w:val="00C1563F"/>
    <w:rsid w:val="00C168D1"/>
    <w:rsid w:val="00C16FC7"/>
    <w:rsid w:val="00C2329B"/>
    <w:rsid w:val="00C23737"/>
    <w:rsid w:val="00C24A49"/>
    <w:rsid w:val="00C25767"/>
    <w:rsid w:val="00C273C2"/>
    <w:rsid w:val="00C276F9"/>
    <w:rsid w:val="00C31B12"/>
    <w:rsid w:val="00C34EED"/>
    <w:rsid w:val="00C35B68"/>
    <w:rsid w:val="00C37D91"/>
    <w:rsid w:val="00C37FF7"/>
    <w:rsid w:val="00C40852"/>
    <w:rsid w:val="00C40CE1"/>
    <w:rsid w:val="00C44EE8"/>
    <w:rsid w:val="00C463FE"/>
    <w:rsid w:val="00C465CA"/>
    <w:rsid w:val="00C46D91"/>
    <w:rsid w:val="00C54354"/>
    <w:rsid w:val="00C54D8C"/>
    <w:rsid w:val="00C56FB4"/>
    <w:rsid w:val="00C5738B"/>
    <w:rsid w:val="00C632E0"/>
    <w:rsid w:val="00C641D8"/>
    <w:rsid w:val="00C664AF"/>
    <w:rsid w:val="00C730C6"/>
    <w:rsid w:val="00C7324C"/>
    <w:rsid w:val="00C7493E"/>
    <w:rsid w:val="00C75742"/>
    <w:rsid w:val="00C76552"/>
    <w:rsid w:val="00C80C5F"/>
    <w:rsid w:val="00C827E0"/>
    <w:rsid w:val="00C82DC3"/>
    <w:rsid w:val="00C83107"/>
    <w:rsid w:val="00C86D8A"/>
    <w:rsid w:val="00C9220E"/>
    <w:rsid w:val="00C92E99"/>
    <w:rsid w:val="00CA29D0"/>
    <w:rsid w:val="00CA37E7"/>
    <w:rsid w:val="00CA7941"/>
    <w:rsid w:val="00CB3C45"/>
    <w:rsid w:val="00CB3F88"/>
    <w:rsid w:val="00CB5BAD"/>
    <w:rsid w:val="00CB6E6B"/>
    <w:rsid w:val="00CB7197"/>
    <w:rsid w:val="00CB7B7A"/>
    <w:rsid w:val="00CC12F7"/>
    <w:rsid w:val="00CC36B2"/>
    <w:rsid w:val="00CC4868"/>
    <w:rsid w:val="00CC65A1"/>
    <w:rsid w:val="00CD11F4"/>
    <w:rsid w:val="00CD3571"/>
    <w:rsid w:val="00CD5258"/>
    <w:rsid w:val="00CD6452"/>
    <w:rsid w:val="00CD7510"/>
    <w:rsid w:val="00CE076E"/>
    <w:rsid w:val="00CE170D"/>
    <w:rsid w:val="00CE1D67"/>
    <w:rsid w:val="00CE25CB"/>
    <w:rsid w:val="00CE3055"/>
    <w:rsid w:val="00CE324A"/>
    <w:rsid w:val="00CE3F93"/>
    <w:rsid w:val="00CE46E2"/>
    <w:rsid w:val="00CE49E7"/>
    <w:rsid w:val="00CE54C7"/>
    <w:rsid w:val="00CF4CA9"/>
    <w:rsid w:val="00D03468"/>
    <w:rsid w:val="00D0366B"/>
    <w:rsid w:val="00D05812"/>
    <w:rsid w:val="00D05DC4"/>
    <w:rsid w:val="00D05FD0"/>
    <w:rsid w:val="00D06254"/>
    <w:rsid w:val="00D066D3"/>
    <w:rsid w:val="00D10C52"/>
    <w:rsid w:val="00D1187E"/>
    <w:rsid w:val="00D12562"/>
    <w:rsid w:val="00D21B03"/>
    <w:rsid w:val="00D246E9"/>
    <w:rsid w:val="00D26148"/>
    <w:rsid w:val="00D32BC3"/>
    <w:rsid w:val="00D33DA2"/>
    <w:rsid w:val="00D359FA"/>
    <w:rsid w:val="00D362B5"/>
    <w:rsid w:val="00D436C6"/>
    <w:rsid w:val="00D436D7"/>
    <w:rsid w:val="00D4400D"/>
    <w:rsid w:val="00D46982"/>
    <w:rsid w:val="00D57A99"/>
    <w:rsid w:val="00D63988"/>
    <w:rsid w:val="00D63B5A"/>
    <w:rsid w:val="00D659B8"/>
    <w:rsid w:val="00D65E3D"/>
    <w:rsid w:val="00D71A67"/>
    <w:rsid w:val="00D7208E"/>
    <w:rsid w:val="00D73A58"/>
    <w:rsid w:val="00D7615B"/>
    <w:rsid w:val="00D7768C"/>
    <w:rsid w:val="00D77FF2"/>
    <w:rsid w:val="00D8736B"/>
    <w:rsid w:val="00D875F3"/>
    <w:rsid w:val="00D9377D"/>
    <w:rsid w:val="00D963FB"/>
    <w:rsid w:val="00DA2DEF"/>
    <w:rsid w:val="00DA5E8B"/>
    <w:rsid w:val="00DA764C"/>
    <w:rsid w:val="00DA789B"/>
    <w:rsid w:val="00DB32EF"/>
    <w:rsid w:val="00DB3580"/>
    <w:rsid w:val="00DC0EEE"/>
    <w:rsid w:val="00DC2354"/>
    <w:rsid w:val="00DC3059"/>
    <w:rsid w:val="00DC3E1B"/>
    <w:rsid w:val="00DC5356"/>
    <w:rsid w:val="00DC621A"/>
    <w:rsid w:val="00DD1D6C"/>
    <w:rsid w:val="00DD4843"/>
    <w:rsid w:val="00DD7803"/>
    <w:rsid w:val="00DE0186"/>
    <w:rsid w:val="00DE245E"/>
    <w:rsid w:val="00DE3BBD"/>
    <w:rsid w:val="00DE4595"/>
    <w:rsid w:val="00DE79E2"/>
    <w:rsid w:val="00DF0994"/>
    <w:rsid w:val="00DF241B"/>
    <w:rsid w:val="00DF245D"/>
    <w:rsid w:val="00DF4482"/>
    <w:rsid w:val="00E00EE7"/>
    <w:rsid w:val="00E017B0"/>
    <w:rsid w:val="00E06BCD"/>
    <w:rsid w:val="00E10B6D"/>
    <w:rsid w:val="00E11FDD"/>
    <w:rsid w:val="00E232C4"/>
    <w:rsid w:val="00E24031"/>
    <w:rsid w:val="00E245FA"/>
    <w:rsid w:val="00E31B99"/>
    <w:rsid w:val="00E32999"/>
    <w:rsid w:val="00E32BD7"/>
    <w:rsid w:val="00E34A61"/>
    <w:rsid w:val="00E35A90"/>
    <w:rsid w:val="00E37CAF"/>
    <w:rsid w:val="00E41BEB"/>
    <w:rsid w:val="00E44490"/>
    <w:rsid w:val="00E45A9C"/>
    <w:rsid w:val="00E47796"/>
    <w:rsid w:val="00E5058F"/>
    <w:rsid w:val="00E53955"/>
    <w:rsid w:val="00E546E0"/>
    <w:rsid w:val="00E54A0E"/>
    <w:rsid w:val="00E54C88"/>
    <w:rsid w:val="00E629D4"/>
    <w:rsid w:val="00E6334A"/>
    <w:rsid w:val="00E63D89"/>
    <w:rsid w:val="00E6516E"/>
    <w:rsid w:val="00E66FB1"/>
    <w:rsid w:val="00E67E09"/>
    <w:rsid w:val="00E7414A"/>
    <w:rsid w:val="00E774A1"/>
    <w:rsid w:val="00E8089D"/>
    <w:rsid w:val="00E8422D"/>
    <w:rsid w:val="00E851DB"/>
    <w:rsid w:val="00EA165C"/>
    <w:rsid w:val="00EA1A58"/>
    <w:rsid w:val="00EA4721"/>
    <w:rsid w:val="00EA47A6"/>
    <w:rsid w:val="00EA75B7"/>
    <w:rsid w:val="00EA7C05"/>
    <w:rsid w:val="00EA7ECD"/>
    <w:rsid w:val="00EB1F93"/>
    <w:rsid w:val="00EB3B0C"/>
    <w:rsid w:val="00EB5111"/>
    <w:rsid w:val="00EC0455"/>
    <w:rsid w:val="00EC15D8"/>
    <w:rsid w:val="00EC1FC5"/>
    <w:rsid w:val="00EC2EAE"/>
    <w:rsid w:val="00EC475E"/>
    <w:rsid w:val="00ED066E"/>
    <w:rsid w:val="00ED077E"/>
    <w:rsid w:val="00ED08C9"/>
    <w:rsid w:val="00ED23CB"/>
    <w:rsid w:val="00EE0A40"/>
    <w:rsid w:val="00EE14F4"/>
    <w:rsid w:val="00EE2843"/>
    <w:rsid w:val="00EF0A8F"/>
    <w:rsid w:val="00EF1852"/>
    <w:rsid w:val="00EF4232"/>
    <w:rsid w:val="00EF5952"/>
    <w:rsid w:val="00EF6697"/>
    <w:rsid w:val="00EF7794"/>
    <w:rsid w:val="00F01397"/>
    <w:rsid w:val="00F04891"/>
    <w:rsid w:val="00F0502B"/>
    <w:rsid w:val="00F0688B"/>
    <w:rsid w:val="00F07DD9"/>
    <w:rsid w:val="00F10412"/>
    <w:rsid w:val="00F14351"/>
    <w:rsid w:val="00F14533"/>
    <w:rsid w:val="00F154FD"/>
    <w:rsid w:val="00F20E82"/>
    <w:rsid w:val="00F2115C"/>
    <w:rsid w:val="00F21D92"/>
    <w:rsid w:val="00F22309"/>
    <w:rsid w:val="00F2366C"/>
    <w:rsid w:val="00F2467C"/>
    <w:rsid w:val="00F24AF4"/>
    <w:rsid w:val="00F273E7"/>
    <w:rsid w:val="00F3277E"/>
    <w:rsid w:val="00F37605"/>
    <w:rsid w:val="00F4058F"/>
    <w:rsid w:val="00F4219C"/>
    <w:rsid w:val="00F43A5D"/>
    <w:rsid w:val="00F47372"/>
    <w:rsid w:val="00F54255"/>
    <w:rsid w:val="00F5688F"/>
    <w:rsid w:val="00F64F8C"/>
    <w:rsid w:val="00F7078D"/>
    <w:rsid w:val="00F71DCF"/>
    <w:rsid w:val="00F7313B"/>
    <w:rsid w:val="00F75719"/>
    <w:rsid w:val="00F75B1A"/>
    <w:rsid w:val="00F76A5E"/>
    <w:rsid w:val="00F81536"/>
    <w:rsid w:val="00F829A2"/>
    <w:rsid w:val="00F86C8E"/>
    <w:rsid w:val="00F87AC0"/>
    <w:rsid w:val="00F91C60"/>
    <w:rsid w:val="00F951C3"/>
    <w:rsid w:val="00F95E16"/>
    <w:rsid w:val="00FA0436"/>
    <w:rsid w:val="00FA1606"/>
    <w:rsid w:val="00FA21D0"/>
    <w:rsid w:val="00FA447E"/>
    <w:rsid w:val="00FA51DD"/>
    <w:rsid w:val="00FA7FD1"/>
    <w:rsid w:val="00FB2FF2"/>
    <w:rsid w:val="00FB58F6"/>
    <w:rsid w:val="00FB5EA5"/>
    <w:rsid w:val="00FB6FAF"/>
    <w:rsid w:val="00FD07D6"/>
    <w:rsid w:val="00FD4446"/>
    <w:rsid w:val="00FD45AE"/>
    <w:rsid w:val="00FD46CB"/>
    <w:rsid w:val="00FE0819"/>
    <w:rsid w:val="00FE4EB9"/>
    <w:rsid w:val="00FE57CD"/>
    <w:rsid w:val="00FF1C96"/>
    <w:rsid w:val="00FF5148"/>
    <w:rsid w:val="00FF55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B1B8CACD-6676-442C-BDA4-1476037B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iPriority="0"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524"/>
    <w:pPr>
      <w:spacing w:after="240"/>
    </w:pPr>
    <w:rPr>
      <w:rFonts w:ascii="Gill Sans" w:hAnsi="Gill Sans"/>
      <w:sz w:val="26"/>
      <w:szCs w:val="24"/>
      <w:lang w:eastAsia="en-US"/>
    </w:rPr>
  </w:style>
  <w:style w:type="paragraph" w:styleId="Heading1">
    <w:name w:val="heading 1"/>
    <w:basedOn w:val="Normal"/>
    <w:next w:val="Normal"/>
    <w:link w:val="Heading1Char"/>
    <w:qFormat/>
    <w:rsid w:val="00973CCA"/>
    <w:pPr>
      <w:keepNext/>
      <w:pageBreakBefore/>
      <w:spacing w:after="120"/>
      <w:outlineLvl w:val="0"/>
    </w:pPr>
    <w:rPr>
      <w:rFonts w:ascii="Rockwell" w:hAnsi="Rockwell" w:cs="Arial"/>
      <w:b/>
      <w:bCs/>
      <w:color w:val="BF2296"/>
      <w:kern w:val="32"/>
      <w:sz w:val="56"/>
      <w:szCs w:val="32"/>
    </w:rPr>
  </w:style>
  <w:style w:type="paragraph" w:styleId="Heading2">
    <w:name w:val="heading 2"/>
    <w:basedOn w:val="Normal"/>
    <w:next w:val="Normal"/>
    <w:link w:val="Heading2Char"/>
    <w:uiPriority w:val="99"/>
    <w:qFormat/>
    <w:rsid w:val="00E00EE7"/>
    <w:pPr>
      <w:keepNext/>
      <w:spacing w:before="40" w:after="120"/>
      <w:outlineLvl w:val="1"/>
    </w:pPr>
    <w:rPr>
      <w:rFonts w:ascii="Rockwell" w:hAnsi="Rockwell" w:cs="Arial Bold"/>
      <w:b/>
      <w:bCs/>
      <w:iCs/>
      <w:color w:val="BF2296"/>
      <w:sz w:val="32"/>
      <w:szCs w:val="28"/>
    </w:rPr>
  </w:style>
  <w:style w:type="paragraph" w:styleId="Heading3">
    <w:name w:val="heading 3"/>
    <w:basedOn w:val="Normal"/>
    <w:next w:val="Normal"/>
    <w:link w:val="Heading3Char"/>
    <w:uiPriority w:val="99"/>
    <w:qFormat/>
    <w:rsid w:val="00703062"/>
    <w:pPr>
      <w:keepNext/>
      <w:keepLines/>
      <w:spacing w:before="20" w:after="40"/>
      <w:outlineLvl w:val="2"/>
    </w:pPr>
    <w:rPr>
      <w:rFonts w:ascii="Rockwell" w:hAnsi="Rockwell" w:cs="Arial Bold"/>
      <w:b/>
      <w:bCs/>
      <w:color w:val="BF2296"/>
    </w:rPr>
  </w:style>
  <w:style w:type="paragraph" w:styleId="Heading4">
    <w:name w:val="heading 4"/>
    <w:basedOn w:val="Heading3"/>
    <w:next w:val="Normal"/>
    <w:link w:val="Heading4Char"/>
    <w:qFormat/>
    <w:rsid w:val="004A1C89"/>
    <w:pPr>
      <w:spacing w:line="310" w:lineRule="atLeast"/>
      <w:outlineLvl w:val="3"/>
    </w:pPr>
    <w:rPr>
      <w:bCs w:val="0"/>
      <w:color w:val="000000"/>
    </w:rPr>
  </w:style>
  <w:style w:type="paragraph" w:styleId="Heading5">
    <w:name w:val="heading 5"/>
    <w:basedOn w:val="Normal"/>
    <w:next w:val="Normal"/>
    <w:link w:val="Heading5Char"/>
    <w:qFormat/>
    <w:rsid w:val="005114F5"/>
    <w:pPr>
      <w:keepNext/>
      <w:keepLines/>
      <w:spacing w:after="0"/>
      <w:outlineLvl w:val="4"/>
    </w:pPr>
    <w:rPr>
      <w:b/>
      <w:bCs/>
      <w:iCs/>
      <w:szCs w:val="26"/>
    </w:rPr>
  </w:style>
  <w:style w:type="paragraph" w:styleId="Heading6">
    <w:name w:val="heading 6"/>
    <w:basedOn w:val="Normal"/>
    <w:next w:val="Normal"/>
    <w:link w:val="Heading6Char"/>
    <w:qFormat/>
    <w:rsid w:val="00247E60"/>
    <w:pPr>
      <w:spacing w:after="0"/>
      <w:outlineLvl w:val="5"/>
    </w:pPr>
    <w:rPr>
      <w:b/>
      <w:bCs/>
      <w:sz w:val="22"/>
      <w:szCs w:val="22"/>
    </w:rPr>
  </w:style>
  <w:style w:type="paragraph" w:styleId="Heading7">
    <w:name w:val="heading 7"/>
    <w:basedOn w:val="Normal"/>
    <w:next w:val="Normal"/>
    <w:link w:val="Heading7Char"/>
    <w:qFormat/>
    <w:rsid w:val="00900829"/>
    <w:pPr>
      <w:keepNext/>
      <w:spacing w:after="0"/>
      <w:jc w:val="center"/>
      <w:outlineLvl w:val="6"/>
    </w:pPr>
    <w:rPr>
      <w:rFonts w:cs="Arial"/>
      <w:b/>
      <w:sz w:val="22"/>
      <w:szCs w:val="40"/>
    </w:rPr>
  </w:style>
  <w:style w:type="paragraph" w:styleId="Heading8">
    <w:name w:val="heading 8"/>
    <w:basedOn w:val="Normal"/>
    <w:next w:val="Normal"/>
    <w:link w:val="Heading8Char"/>
    <w:qFormat/>
    <w:rsid w:val="00247E60"/>
    <w:pPr>
      <w:keepNext/>
      <w:spacing w:after="0"/>
      <w:outlineLvl w:val="7"/>
    </w:pPr>
    <w:rPr>
      <w:b/>
      <w:sz w:val="22"/>
    </w:rPr>
  </w:style>
  <w:style w:type="paragraph" w:styleId="Heading9">
    <w:name w:val="heading 9"/>
    <w:basedOn w:val="Normal"/>
    <w:next w:val="Normal"/>
    <w:link w:val="Heading9Char"/>
    <w:qFormat/>
    <w:rsid w:val="00247E60"/>
    <w:pPr>
      <w:keepNext/>
      <w:spacing w:after="0"/>
      <w:outlineLvl w:val="8"/>
    </w:pPr>
    <w:rPr>
      <w:rFonts w:cs="Arial"/>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87444"/>
    <w:rPr>
      <w:rFonts w:ascii="Rockwell" w:hAnsi="Rockwell" w:cs="Times New Roman"/>
      <w:b/>
      <w:color w:val="BF2296"/>
      <w:kern w:val="32"/>
      <w:sz w:val="32"/>
      <w:lang w:val="en-IE" w:eastAsia="en-US"/>
    </w:rPr>
  </w:style>
  <w:style w:type="character" w:customStyle="1" w:styleId="Heading2Char">
    <w:name w:val="Heading 2 Char"/>
    <w:basedOn w:val="DefaultParagraphFont"/>
    <w:link w:val="Heading2"/>
    <w:uiPriority w:val="99"/>
    <w:locked/>
    <w:rsid w:val="00E00EE7"/>
    <w:rPr>
      <w:rFonts w:ascii="Rockwell" w:hAnsi="Rockwell" w:cs="Arial Bold"/>
      <w:b/>
      <w:bCs/>
      <w:iCs/>
      <w:color w:val="BF2296"/>
      <w:sz w:val="28"/>
      <w:szCs w:val="28"/>
      <w:lang w:val="en-IE" w:eastAsia="en-US" w:bidi="ar-SA"/>
    </w:rPr>
  </w:style>
  <w:style w:type="character" w:customStyle="1" w:styleId="Heading3Char">
    <w:name w:val="Heading 3 Char"/>
    <w:basedOn w:val="DefaultParagraphFont"/>
    <w:link w:val="Heading3"/>
    <w:uiPriority w:val="99"/>
    <w:locked/>
    <w:rsid w:val="009B7368"/>
    <w:rPr>
      <w:rFonts w:ascii="Rockwell" w:hAnsi="Rockwell" w:cs="Arial Bold"/>
      <w:b/>
      <w:bCs/>
      <w:color w:val="BF2296"/>
      <w:sz w:val="24"/>
      <w:szCs w:val="24"/>
      <w:lang w:eastAsia="en-US"/>
    </w:rPr>
  </w:style>
  <w:style w:type="character" w:customStyle="1" w:styleId="Heading4Char">
    <w:name w:val="Heading 4 Char"/>
    <w:basedOn w:val="DefaultParagraphFont"/>
    <w:link w:val="Heading4"/>
    <w:locked/>
    <w:rsid w:val="004A1C89"/>
    <w:rPr>
      <w:rFonts w:ascii="Rockwell" w:hAnsi="Rockwell" w:cs="Arial Bold"/>
      <w:b/>
      <w:color w:val="000000"/>
      <w:sz w:val="26"/>
      <w:szCs w:val="24"/>
      <w:lang w:eastAsia="en-US"/>
    </w:rPr>
  </w:style>
  <w:style w:type="character" w:customStyle="1" w:styleId="Heading5Char">
    <w:name w:val="Heading 5 Char"/>
    <w:basedOn w:val="DefaultParagraphFont"/>
    <w:link w:val="Heading5"/>
    <w:locked/>
    <w:rsid w:val="005114F5"/>
    <w:rPr>
      <w:rFonts w:ascii="Gill Sans" w:hAnsi="Gill Sans"/>
      <w:b/>
      <w:bCs/>
      <w:iCs/>
      <w:sz w:val="26"/>
      <w:szCs w:val="26"/>
      <w:lang w:eastAsia="en-US"/>
    </w:rPr>
  </w:style>
  <w:style w:type="character" w:customStyle="1" w:styleId="Heading6Char">
    <w:name w:val="Heading 6 Char"/>
    <w:basedOn w:val="DefaultParagraphFont"/>
    <w:link w:val="Heading6"/>
    <w:uiPriority w:val="99"/>
    <w:locked/>
    <w:rsid w:val="009B7368"/>
    <w:rPr>
      <w:rFonts w:ascii="Gill Sans" w:hAnsi="Gill Sans" w:cs="Times New Roman"/>
      <w:b/>
      <w:bCs/>
      <w:sz w:val="22"/>
      <w:szCs w:val="22"/>
      <w:lang w:eastAsia="en-US"/>
    </w:rPr>
  </w:style>
  <w:style w:type="character" w:customStyle="1" w:styleId="Heading7Char">
    <w:name w:val="Heading 7 Char"/>
    <w:basedOn w:val="DefaultParagraphFont"/>
    <w:link w:val="Heading7"/>
    <w:uiPriority w:val="99"/>
    <w:locked/>
    <w:rsid w:val="009B7368"/>
    <w:rPr>
      <w:rFonts w:ascii="Gill Sans" w:hAnsi="Gill Sans" w:cs="Arial"/>
      <w:b/>
      <w:sz w:val="40"/>
      <w:szCs w:val="40"/>
      <w:lang w:eastAsia="en-US"/>
    </w:rPr>
  </w:style>
  <w:style w:type="character" w:customStyle="1" w:styleId="Heading8Char">
    <w:name w:val="Heading 8 Char"/>
    <w:basedOn w:val="DefaultParagraphFont"/>
    <w:link w:val="Heading8"/>
    <w:uiPriority w:val="99"/>
    <w:locked/>
    <w:rsid w:val="009B7368"/>
    <w:rPr>
      <w:rFonts w:ascii="Gill Sans" w:hAnsi="Gill Sans" w:cs="Times New Roman"/>
      <w:b/>
      <w:sz w:val="24"/>
      <w:szCs w:val="24"/>
      <w:lang w:eastAsia="en-US"/>
    </w:rPr>
  </w:style>
  <w:style w:type="character" w:customStyle="1" w:styleId="Heading9Char">
    <w:name w:val="Heading 9 Char"/>
    <w:basedOn w:val="DefaultParagraphFont"/>
    <w:link w:val="Heading9"/>
    <w:uiPriority w:val="99"/>
    <w:locked/>
    <w:rsid w:val="009B7368"/>
    <w:rPr>
      <w:rFonts w:ascii="Gill Sans" w:hAnsi="Gill Sans" w:cs="Arial"/>
      <w:sz w:val="32"/>
      <w:szCs w:val="32"/>
      <w:lang w:eastAsia="en-US"/>
    </w:rPr>
  </w:style>
  <w:style w:type="character" w:styleId="Hyperlink">
    <w:name w:val="Hyperlink"/>
    <w:basedOn w:val="DefaultParagraphFont"/>
    <w:uiPriority w:val="99"/>
    <w:rsid w:val="00900829"/>
    <w:rPr>
      <w:rFonts w:cs="Times New Roman"/>
      <w:color w:val="0000FF"/>
      <w:u w:val="single"/>
    </w:rPr>
  </w:style>
  <w:style w:type="character" w:styleId="FollowedHyperlink">
    <w:name w:val="FollowedHyperlink"/>
    <w:basedOn w:val="DefaultParagraphFont"/>
    <w:rsid w:val="00900829"/>
    <w:rPr>
      <w:rFonts w:cs="Times New Roman"/>
      <w:color w:val="800080"/>
      <w:u w:val="single"/>
    </w:rPr>
  </w:style>
  <w:style w:type="paragraph" w:styleId="TOC1">
    <w:name w:val="toc 1"/>
    <w:basedOn w:val="Normal"/>
    <w:next w:val="Normal"/>
    <w:autoRedefine/>
    <w:uiPriority w:val="39"/>
    <w:rsid w:val="00900829"/>
    <w:pPr>
      <w:keepNext/>
      <w:keepLines/>
      <w:tabs>
        <w:tab w:val="right" w:leader="dot" w:pos="8630"/>
      </w:tabs>
      <w:spacing w:before="240" w:after="60"/>
    </w:pPr>
    <w:rPr>
      <w:b/>
    </w:rPr>
  </w:style>
  <w:style w:type="paragraph" w:styleId="TOC2">
    <w:name w:val="toc 2"/>
    <w:basedOn w:val="Normal"/>
    <w:next w:val="Normal"/>
    <w:autoRedefine/>
    <w:uiPriority w:val="39"/>
    <w:rsid w:val="00900829"/>
    <w:pPr>
      <w:keepLines/>
      <w:spacing w:after="60"/>
      <w:ind w:left="261"/>
    </w:pPr>
  </w:style>
  <w:style w:type="paragraph" w:styleId="TOC3">
    <w:name w:val="toc 3"/>
    <w:basedOn w:val="Normal"/>
    <w:next w:val="Normal"/>
    <w:autoRedefine/>
    <w:uiPriority w:val="39"/>
    <w:rsid w:val="00900829"/>
    <w:pPr>
      <w:ind w:left="480"/>
    </w:pPr>
  </w:style>
  <w:style w:type="paragraph" w:styleId="TOC4">
    <w:name w:val="toc 4"/>
    <w:basedOn w:val="Normal"/>
    <w:next w:val="Normal"/>
    <w:autoRedefine/>
    <w:uiPriority w:val="39"/>
    <w:rsid w:val="00900829"/>
    <w:pPr>
      <w:ind w:left="720"/>
    </w:pPr>
  </w:style>
  <w:style w:type="paragraph" w:styleId="TOC5">
    <w:name w:val="toc 5"/>
    <w:basedOn w:val="Normal"/>
    <w:next w:val="Normal"/>
    <w:autoRedefine/>
    <w:uiPriority w:val="39"/>
    <w:rsid w:val="00900829"/>
    <w:pPr>
      <w:spacing w:after="0"/>
      <w:ind w:left="960"/>
    </w:pPr>
    <w:rPr>
      <w:rFonts w:ascii="Times New Roman" w:hAnsi="Times New Roman"/>
      <w:lang w:eastAsia="en-IE"/>
    </w:rPr>
  </w:style>
  <w:style w:type="paragraph" w:styleId="TOC6">
    <w:name w:val="toc 6"/>
    <w:basedOn w:val="Normal"/>
    <w:next w:val="Normal"/>
    <w:autoRedefine/>
    <w:uiPriority w:val="39"/>
    <w:rsid w:val="00900829"/>
    <w:pPr>
      <w:spacing w:after="0"/>
      <w:ind w:left="1200"/>
    </w:pPr>
    <w:rPr>
      <w:rFonts w:ascii="Times New Roman" w:hAnsi="Times New Roman"/>
      <w:lang w:eastAsia="en-IE"/>
    </w:rPr>
  </w:style>
  <w:style w:type="paragraph" w:styleId="TOC7">
    <w:name w:val="toc 7"/>
    <w:basedOn w:val="Normal"/>
    <w:next w:val="Normal"/>
    <w:autoRedefine/>
    <w:uiPriority w:val="39"/>
    <w:rsid w:val="00900829"/>
    <w:pPr>
      <w:spacing w:after="0"/>
      <w:ind w:left="1440"/>
    </w:pPr>
    <w:rPr>
      <w:rFonts w:ascii="Times New Roman" w:hAnsi="Times New Roman"/>
      <w:lang w:eastAsia="en-IE"/>
    </w:rPr>
  </w:style>
  <w:style w:type="paragraph" w:styleId="TOC8">
    <w:name w:val="toc 8"/>
    <w:basedOn w:val="Normal"/>
    <w:next w:val="Normal"/>
    <w:autoRedefine/>
    <w:uiPriority w:val="39"/>
    <w:rsid w:val="00900829"/>
    <w:pPr>
      <w:spacing w:after="0"/>
      <w:ind w:left="1680"/>
    </w:pPr>
    <w:rPr>
      <w:rFonts w:ascii="Times New Roman" w:hAnsi="Times New Roman"/>
      <w:lang w:eastAsia="en-IE"/>
    </w:rPr>
  </w:style>
  <w:style w:type="paragraph" w:styleId="TOC9">
    <w:name w:val="toc 9"/>
    <w:basedOn w:val="Normal"/>
    <w:next w:val="Normal"/>
    <w:autoRedefine/>
    <w:uiPriority w:val="39"/>
    <w:rsid w:val="00900829"/>
    <w:pPr>
      <w:spacing w:after="0"/>
      <w:ind w:left="1920"/>
    </w:pPr>
    <w:rPr>
      <w:rFonts w:ascii="Times New Roman" w:hAnsi="Times New Roman"/>
      <w:lang w:eastAsia="en-IE"/>
    </w:rPr>
  </w:style>
  <w:style w:type="paragraph" w:styleId="NormalIndent">
    <w:name w:val="Normal Indent"/>
    <w:basedOn w:val="Normal"/>
    <w:rsid w:val="00900829"/>
    <w:pPr>
      <w:ind w:left="720"/>
    </w:pPr>
  </w:style>
  <w:style w:type="paragraph" w:styleId="FootnoteText">
    <w:name w:val="footnote text"/>
    <w:basedOn w:val="Normal"/>
    <w:link w:val="FootnoteTextChar"/>
    <w:uiPriority w:val="99"/>
    <w:rsid w:val="00900829"/>
    <w:pPr>
      <w:spacing w:after="80"/>
    </w:pPr>
    <w:rPr>
      <w:sz w:val="22"/>
      <w:szCs w:val="20"/>
    </w:rPr>
  </w:style>
  <w:style w:type="character" w:customStyle="1" w:styleId="FootnoteTextChar">
    <w:name w:val="Footnote Text Char"/>
    <w:basedOn w:val="DefaultParagraphFont"/>
    <w:link w:val="FootnoteText"/>
    <w:uiPriority w:val="99"/>
    <w:locked/>
    <w:rsid w:val="009B7368"/>
    <w:rPr>
      <w:rFonts w:ascii="Gill Sans" w:hAnsi="Gill Sans" w:cs="Times New Roman"/>
      <w:sz w:val="22"/>
      <w:lang w:eastAsia="en-US"/>
    </w:rPr>
  </w:style>
  <w:style w:type="character" w:customStyle="1" w:styleId="CommentTextChar2">
    <w:name w:val="Comment Text Char2"/>
    <w:semiHidden/>
    <w:locked/>
    <w:rsid w:val="00900829"/>
    <w:rPr>
      <w:rFonts w:ascii="Arial" w:hAnsi="Arial"/>
      <w:sz w:val="24"/>
      <w:lang w:eastAsia="en-US"/>
    </w:rPr>
  </w:style>
  <w:style w:type="paragraph" w:styleId="CommentText">
    <w:name w:val="annotation text"/>
    <w:basedOn w:val="Normal"/>
    <w:link w:val="CommentTextChar"/>
    <w:rsid w:val="00900829"/>
    <w:rPr>
      <w:rFonts w:ascii="Arial" w:hAnsi="Arial"/>
      <w:sz w:val="24"/>
      <w:szCs w:val="20"/>
    </w:rPr>
  </w:style>
  <w:style w:type="character" w:customStyle="1" w:styleId="CommentTextChar">
    <w:name w:val="Comment Text Char"/>
    <w:basedOn w:val="DefaultParagraphFont"/>
    <w:link w:val="CommentText"/>
    <w:locked/>
    <w:rsid w:val="00B87444"/>
    <w:rPr>
      <w:rFonts w:ascii="Arial" w:hAnsi="Arial" w:cs="Times New Roman"/>
      <w:sz w:val="24"/>
    </w:rPr>
  </w:style>
  <w:style w:type="paragraph" w:styleId="Header">
    <w:name w:val="header"/>
    <w:basedOn w:val="Normal"/>
    <w:link w:val="HeaderChar"/>
    <w:uiPriority w:val="99"/>
    <w:rsid w:val="004D6DCD"/>
    <w:pPr>
      <w:tabs>
        <w:tab w:val="center" w:pos="4320"/>
        <w:tab w:val="right" w:pos="8640"/>
      </w:tabs>
      <w:spacing w:after="0"/>
    </w:pPr>
    <w:rPr>
      <w:rFonts w:ascii="Rockwell" w:hAnsi="Rockwell"/>
      <w:color w:val="BF2296"/>
      <w:szCs w:val="20"/>
    </w:rPr>
  </w:style>
  <w:style w:type="character" w:customStyle="1" w:styleId="HeaderChar">
    <w:name w:val="Header Char"/>
    <w:basedOn w:val="DefaultParagraphFont"/>
    <w:link w:val="Header"/>
    <w:uiPriority w:val="99"/>
    <w:locked/>
    <w:rsid w:val="009B7368"/>
    <w:rPr>
      <w:rFonts w:ascii="Rockwell" w:hAnsi="Rockwell" w:cs="Times New Roman"/>
      <w:color w:val="BF2296"/>
      <w:sz w:val="26"/>
      <w:lang w:eastAsia="en-US"/>
    </w:rPr>
  </w:style>
  <w:style w:type="paragraph" w:styleId="Footer">
    <w:name w:val="footer"/>
    <w:basedOn w:val="Normal"/>
    <w:link w:val="FooterChar"/>
    <w:uiPriority w:val="99"/>
    <w:rsid w:val="0039617A"/>
    <w:pPr>
      <w:tabs>
        <w:tab w:val="center" w:pos="4153"/>
        <w:tab w:val="right" w:pos="8306"/>
      </w:tabs>
      <w:spacing w:after="0"/>
    </w:pPr>
    <w:rPr>
      <w:rFonts w:ascii="Rockwell" w:hAnsi="Rockwell"/>
      <w:color w:val="000000"/>
      <w:szCs w:val="20"/>
    </w:rPr>
  </w:style>
  <w:style w:type="character" w:customStyle="1" w:styleId="FooterChar">
    <w:name w:val="Footer Char"/>
    <w:basedOn w:val="DefaultParagraphFont"/>
    <w:link w:val="Footer"/>
    <w:uiPriority w:val="99"/>
    <w:locked/>
    <w:rsid w:val="009B7368"/>
    <w:rPr>
      <w:rFonts w:ascii="Rockwell" w:hAnsi="Rockwell" w:cs="Times New Roman"/>
      <w:color w:val="000000"/>
      <w:sz w:val="26"/>
      <w:lang w:eastAsia="en-US"/>
    </w:rPr>
  </w:style>
  <w:style w:type="paragraph" w:styleId="Caption">
    <w:name w:val="caption"/>
    <w:basedOn w:val="Normal"/>
    <w:next w:val="Normal"/>
    <w:qFormat/>
    <w:rsid w:val="00900829"/>
    <w:pPr>
      <w:spacing w:after="120"/>
      <w:jc w:val="center"/>
    </w:pPr>
    <w:rPr>
      <w:b/>
      <w:bCs/>
    </w:rPr>
  </w:style>
  <w:style w:type="paragraph" w:styleId="MacroText">
    <w:name w:val="macro"/>
    <w:link w:val="MacroTextChar"/>
    <w:rsid w:val="00900829"/>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9B7368"/>
    <w:rPr>
      <w:rFonts w:ascii="Courier New" w:hAnsi="Courier New" w:cs="Courier New"/>
      <w:lang w:val="en-IE" w:eastAsia="en-US" w:bidi="ar-SA"/>
    </w:rPr>
  </w:style>
  <w:style w:type="paragraph" w:styleId="ListNumber">
    <w:name w:val="List Number"/>
    <w:basedOn w:val="Normal"/>
    <w:rsid w:val="00900829"/>
    <w:pPr>
      <w:tabs>
        <w:tab w:val="num" w:pos="360"/>
      </w:tabs>
      <w:spacing w:after="120"/>
      <w:ind w:left="360" w:hanging="360"/>
    </w:pPr>
  </w:style>
  <w:style w:type="paragraph" w:styleId="ListBullet2">
    <w:name w:val="List Bullet 2"/>
    <w:basedOn w:val="Normal"/>
    <w:rsid w:val="00900829"/>
    <w:pPr>
      <w:tabs>
        <w:tab w:val="left" w:pos="357"/>
        <w:tab w:val="num" w:pos="717"/>
      </w:tabs>
      <w:spacing w:before="60" w:after="60"/>
      <w:ind w:left="641" w:hanging="357"/>
    </w:pPr>
  </w:style>
  <w:style w:type="paragraph" w:styleId="ListBullet3">
    <w:name w:val="List Bullet 3"/>
    <w:basedOn w:val="Normal"/>
    <w:rsid w:val="00900829"/>
    <w:pPr>
      <w:tabs>
        <w:tab w:val="num" w:pos="360"/>
      </w:tabs>
      <w:spacing w:before="60" w:after="60"/>
      <w:ind w:left="925" w:hanging="284"/>
    </w:pPr>
  </w:style>
  <w:style w:type="paragraph" w:styleId="ListNumber2">
    <w:name w:val="List Number 2"/>
    <w:basedOn w:val="Normal"/>
    <w:rsid w:val="00900829"/>
    <w:pPr>
      <w:tabs>
        <w:tab w:val="num" w:pos="643"/>
      </w:tabs>
      <w:spacing w:before="60" w:after="60"/>
      <w:ind w:left="641" w:hanging="357"/>
    </w:pPr>
  </w:style>
  <w:style w:type="paragraph" w:styleId="ListNumber3">
    <w:name w:val="List Number 3"/>
    <w:basedOn w:val="Normal"/>
    <w:rsid w:val="00900829"/>
    <w:pPr>
      <w:tabs>
        <w:tab w:val="num" w:pos="360"/>
        <w:tab w:val="num" w:pos="926"/>
      </w:tabs>
      <w:spacing w:before="60" w:after="60"/>
      <w:ind w:left="924" w:hanging="357"/>
    </w:pPr>
  </w:style>
  <w:style w:type="paragraph" w:styleId="Title">
    <w:name w:val="Title"/>
    <w:basedOn w:val="Normal"/>
    <w:next w:val="Normal"/>
    <w:link w:val="TitleChar"/>
    <w:qFormat/>
    <w:rsid w:val="004D6DCD"/>
    <w:pPr>
      <w:pBdr>
        <w:top w:val="single" w:sz="2" w:space="6" w:color="FFFFFF"/>
        <w:left w:val="single" w:sz="2" w:space="6" w:color="FFFFFF"/>
        <w:bottom w:val="single" w:sz="2" w:space="6" w:color="FFFFFF"/>
        <w:right w:val="single" w:sz="2" w:space="6" w:color="FFFFFF"/>
      </w:pBdr>
      <w:shd w:val="clear" w:color="auto" w:fill="FFFFFF"/>
      <w:spacing w:after="0" w:line="1400" w:lineRule="atLeast"/>
      <w:outlineLvl w:val="0"/>
    </w:pPr>
    <w:rPr>
      <w:rFonts w:ascii="Rockwell" w:hAnsi="Rockwell" w:cs="Arial"/>
      <w:b/>
      <w:bCs/>
      <w:color w:val="BF2296"/>
      <w:kern w:val="28"/>
      <w:sz w:val="120"/>
      <w:szCs w:val="32"/>
    </w:rPr>
  </w:style>
  <w:style w:type="character" w:customStyle="1" w:styleId="TitleChar">
    <w:name w:val="Title Char"/>
    <w:basedOn w:val="DefaultParagraphFont"/>
    <w:link w:val="Title"/>
    <w:uiPriority w:val="99"/>
    <w:locked/>
    <w:rsid w:val="009B7368"/>
    <w:rPr>
      <w:rFonts w:ascii="Rockwell" w:hAnsi="Rockwell" w:cs="Arial"/>
      <w:b/>
      <w:bCs/>
      <w:color w:val="BF2296"/>
      <w:kern w:val="28"/>
      <w:sz w:val="32"/>
      <w:szCs w:val="32"/>
      <w:shd w:val="clear" w:color="auto" w:fill="FFFFFF"/>
      <w:lang w:eastAsia="en-US"/>
    </w:rPr>
  </w:style>
  <w:style w:type="paragraph" w:styleId="BodyText">
    <w:name w:val="Body Text"/>
    <w:basedOn w:val="Normal"/>
    <w:link w:val="BodyTextChar"/>
    <w:rsid w:val="00900829"/>
    <w:pPr>
      <w:spacing w:after="120"/>
    </w:pPr>
  </w:style>
  <w:style w:type="character" w:customStyle="1" w:styleId="BodyTextChar">
    <w:name w:val="Body Text Char"/>
    <w:basedOn w:val="DefaultParagraphFont"/>
    <w:link w:val="BodyText"/>
    <w:uiPriority w:val="99"/>
    <w:locked/>
    <w:rsid w:val="009B7368"/>
    <w:rPr>
      <w:rFonts w:ascii="Gill Sans" w:hAnsi="Gill Sans" w:cs="Times New Roman"/>
      <w:sz w:val="24"/>
      <w:szCs w:val="24"/>
      <w:lang w:eastAsia="en-US"/>
    </w:rPr>
  </w:style>
  <w:style w:type="character" w:customStyle="1" w:styleId="BodyTextIndentChar1">
    <w:name w:val="Body Text Indent Char1"/>
    <w:locked/>
    <w:rsid w:val="00900829"/>
    <w:rPr>
      <w:rFonts w:ascii="Arial" w:hAnsi="Arial"/>
      <w:sz w:val="24"/>
      <w:lang w:eastAsia="en-US"/>
    </w:rPr>
  </w:style>
  <w:style w:type="paragraph" w:styleId="BodyTextIndent">
    <w:name w:val="Body Text Indent"/>
    <w:basedOn w:val="Normal"/>
    <w:link w:val="BodyTextIndentChar"/>
    <w:rsid w:val="00900829"/>
    <w:pPr>
      <w:spacing w:after="120"/>
      <w:ind w:left="283"/>
    </w:pPr>
    <w:rPr>
      <w:rFonts w:ascii="Arial" w:hAnsi="Arial"/>
      <w:sz w:val="24"/>
      <w:szCs w:val="20"/>
    </w:rPr>
  </w:style>
  <w:style w:type="character" w:customStyle="1" w:styleId="BodyTextIndentChar">
    <w:name w:val="Body Text Indent Char"/>
    <w:basedOn w:val="DefaultParagraphFont"/>
    <w:link w:val="BodyTextIndent"/>
    <w:locked/>
    <w:rsid w:val="00B87444"/>
    <w:rPr>
      <w:rFonts w:ascii="Arial" w:hAnsi="Arial" w:cs="Times New Roman"/>
      <w:sz w:val="24"/>
    </w:rPr>
  </w:style>
  <w:style w:type="paragraph" w:styleId="ListContinue">
    <w:name w:val="List Continue"/>
    <w:basedOn w:val="Normal"/>
    <w:rsid w:val="00900829"/>
    <w:pPr>
      <w:spacing w:before="120" w:after="120"/>
      <w:ind w:left="357"/>
    </w:pPr>
  </w:style>
  <w:style w:type="paragraph" w:styleId="ListContinue2">
    <w:name w:val="List Continue 2"/>
    <w:basedOn w:val="Normal"/>
    <w:rsid w:val="00900829"/>
    <w:pPr>
      <w:spacing w:before="60" w:after="60"/>
      <w:ind w:left="641"/>
    </w:pPr>
  </w:style>
  <w:style w:type="paragraph" w:styleId="ListContinue3">
    <w:name w:val="List Continue 3"/>
    <w:basedOn w:val="Normal"/>
    <w:rsid w:val="00900829"/>
    <w:pPr>
      <w:spacing w:before="60" w:after="60"/>
      <w:ind w:left="924"/>
    </w:pPr>
  </w:style>
  <w:style w:type="paragraph" w:styleId="Subtitle">
    <w:name w:val="Subtitle"/>
    <w:basedOn w:val="Normal"/>
    <w:next w:val="Normal"/>
    <w:link w:val="SubtitleChar"/>
    <w:qFormat/>
    <w:rsid w:val="00900829"/>
    <w:pPr>
      <w:jc w:val="center"/>
      <w:outlineLvl w:val="1"/>
    </w:pPr>
    <w:rPr>
      <w:sz w:val="28"/>
    </w:rPr>
  </w:style>
  <w:style w:type="character" w:customStyle="1" w:styleId="SubtitleChar">
    <w:name w:val="Subtitle Char"/>
    <w:basedOn w:val="DefaultParagraphFont"/>
    <w:link w:val="Subtitle"/>
    <w:uiPriority w:val="99"/>
    <w:locked/>
    <w:rsid w:val="009B7368"/>
    <w:rPr>
      <w:rFonts w:ascii="Gill Sans" w:hAnsi="Gill Sans" w:cs="Times New Roman"/>
      <w:sz w:val="24"/>
      <w:szCs w:val="24"/>
      <w:lang w:eastAsia="en-US"/>
    </w:rPr>
  </w:style>
  <w:style w:type="paragraph" w:customStyle="1" w:styleId="NormalBeforeandafterlist">
    <w:name w:val="Normal (Before and after list)"/>
    <w:basedOn w:val="NormalBeforeList"/>
    <w:uiPriority w:val="99"/>
    <w:rsid w:val="008D445E"/>
  </w:style>
  <w:style w:type="paragraph" w:customStyle="1" w:styleId="NormalBeforeList">
    <w:name w:val="Normal (Before List)"/>
    <w:basedOn w:val="Normal"/>
    <w:next w:val="Normal"/>
    <w:uiPriority w:val="99"/>
    <w:rsid w:val="00082556"/>
    <w:pPr>
      <w:spacing w:after="120"/>
    </w:pPr>
  </w:style>
  <w:style w:type="paragraph" w:styleId="BlockText">
    <w:name w:val="Block Text"/>
    <w:basedOn w:val="Normal"/>
    <w:rsid w:val="00900829"/>
    <w:pPr>
      <w:spacing w:after="120"/>
      <w:ind w:left="1440" w:right="1440"/>
    </w:pPr>
  </w:style>
  <w:style w:type="paragraph" w:styleId="DocumentMap">
    <w:name w:val="Document Map"/>
    <w:basedOn w:val="Normal"/>
    <w:link w:val="DocumentMapChar"/>
    <w:rsid w:val="0090082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9B7368"/>
    <w:rPr>
      <w:rFonts w:ascii="Tahoma" w:hAnsi="Tahoma" w:cs="Tahoma"/>
      <w:sz w:val="24"/>
      <w:szCs w:val="24"/>
      <w:shd w:val="clear" w:color="auto" w:fill="000080"/>
      <w:lang w:eastAsia="en-US"/>
    </w:rPr>
  </w:style>
  <w:style w:type="paragraph" w:styleId="BalloonText">
    <w:name w:val="Balloon Text"/>
    <w:basedOn w:val="Normal"/>
    <w:link w:val="BalloonTextChar"/>
    <w:uiPriority w:val="99"/>
    <w:rsid w:val="00900829"/>
    <w:rPr>
      <w:rFonts w:ascii="Tahoma" w:hAnsi="Tahoma" w:cs="Tahoma"/>
      <w:sz w:val="16"/>
      <w:szCs w:val="16"/>
    </w:rPr>
  </w:style>
  <w:style w:type="character" w:customStyle="1" w:styleId="BalloonTextChar">
    <w:name w:val="Balloon Text Char"/>
    <w:basedOn w:val="DefaultParagraphFont"/>
    <w:link w:val="BalloonText"/>
    <w:uiPriority w:val="99"/>
    <w:locked/>
    <w:rsid w:val="009B7368"/>
    <w:rPr>
      <w:rFonts w:ascii="Tahoma" w:hAnsi="Tahoma" w:cs="Tahoma"/>
      <w:sz w:val="16"/>
      <w:szCs w:val="16"/>
      <w:lang w:eastAsia="en-US"/>
    </w:rPr>
  </w:style>
  <w:style w:type="paragraph" w:customStyle="1" w:styleId="BlockQuote">
    <w:name w:val="Block Quote"/>
    <w:basedOn w:val="Normal"/>
    <w:rsid w:val="00900829"/>
    <w:pPr>
      <w:ind w:left="720" w:right="720"/>
    </w:pPr>
  </w:style>
  <w:style w:type="paragraph" w:styleId="NormalWeb">
    <w:name w:val="Normal (Web)"/>
    <w:basedOn w:val="Normal"/>
    <w:uiPriority w:val="99"/>
    <w:rsid w:val="0063792D"/>
    <w:pPr>
      <w:spacing w:before="100" w:beforeAutospacing="1" w:after="100" w:afterAutospacing="1"/>
    </w:pPr>
    <w:rPr>
      <w:rFonts w:ascii="Times New Roman" w:hAnsi="Times New Roman"/>
      <w:sz w:val="24"/>
      <w:lang w:val="en-GB" w:eastAsia="en-GB"/>
    </w:rPr>
  </w:style>
  <w:style w:type="paragraph" w:customStyle="1" w:styleId="DefinitionDescription">
    <w:name w:val="Definition Description"/>
    <w:basedOn w:val="Normal"/>
    <w:next w:val="Normal"/>
    <w:rsid w:val="00900829"/>
    <w:pPr>
      <w:ind w:left="1077"/>
    </w:pPr>
  </w:style>
  <w:style w:type="paragraph" w:customStyle="1" w:styleId="DefinitionTerm">
    <w:name w:val="Definition Term"/>
    <w:basedOn w:val="Normal"/>
    <w:next w:val="DefinitionDescription"/>
    <w:rsid w:val="00900829"/>
    <w:rPr>
      <w:b/>
    </w:rPr>
  </w:style>
  <w:style w:type="paragraph" w:customStyle="1" w:styleId="GraphCaption">
    <w:name w:val="GraphCaption"/>
    <w:basedOn w:val="Normal"/>
    <w:rsid w:val="00900829"/>
    <w:pPr>
      <w:keepNext/>
      <w:keepLines/>
      <w:spacing w:after="120"/>
      <w:jc w:val="center"/>
    </w:pPr>
    <w:rPr>
      <w:rFonts w:ascii="Gill Sans MT" w:hAnsi="Gill Sans MT"/>
      <w:b/>
    </w:rPr>
  </w:style>
  <w:style w:type="paragraph" w:customStyle="1" w:styleId="Note">
    <w:name w:val="Note"/>
    <w:basedOn w:val="Normal"/>
    <w:rsid w:val="00900829"/>
    <w:pPr>
      <w:keepLines/>
      <w:pBdr>
        <w:top w:val="single" w:sz="12" w:space="1" w:color="808080"/>
        <w:bottom w:val="single" w:sz="12" w:space="1" w:color="808080"/>
      </w:pBdr>
      <w:spacing w:before="120"/>
      <w:jc w:val="center"/>
    </w:pPr>
    <w:rPr>
      <w:sz w:val="22"/>
      <w:lang w:val="en-GB"/>
    </w:rPr>
  </w:style>
  <w:style w:type="paragraph" w:customStyle="1" w:styleId="TableCell">
    <w:name w:val="Table Cell"/>
    <w:basedOn w:val="Normal"/>
    <w:rsid w:val="00900829"/>
    <w:pPr>
      <w:spacing w:after="0"/>
      <w:jc w:val="right"/>
    </w:pPr>
  </w:style>
  <w:style w:type="paragraph" w:customStyle="1" w:styleId="TableHead">
    <w:name w:val="Table Head"/>
    <w:basedOn w:val="Normal"/>
    <w:next w:val="Normal"/>
    <w:rsid w:val="00900829"/>
    <w:pPr>
      <w:spacing w:after="0"/>
    </w:pPr>
    <w:rPr>
      <w:b/>
    </w:rPr>
  </w:style>
  <w:style w:type="paragraph" w:customStyle="1" w:styleId="TableNote">
    <w:name w:val="Table Note"/>
    <w:basedOn w:val="Normal"/>
    <w:next w:val="Normal"/>
    <w:rsid w:val="00900829"/>
    <w:pPr>
      <w:spacing w:before="120"/>
      <w:jc w:val="center"/>
    </w:pPr>
    <w:rPr>
      <w:sz w:val="20"/>
      <w:szCs w:val="20"/>
    </w:rPr>
  </w:style>
  <w:style w:type="paragraph" w:customStyle="1" w:styleId="TableRowHead">
    <w:name w:val="Table Row Head"/>
    <w:basedOn w:val="Normal"/>
    <w:rsid w:val="00900829"/>
    <w:pPr>
      <w:keepNext/>
      <w:spacing w:after="0"/>
    </w:pPr>
    <w:rPr>
      <w:rFonts w:ascii="Arial Bold" w:hAnsi="Arial Bold"/>
      <w:b/>
    </w:rPr>
  </w:style>
  <w:style w:type="paragraph" w:customStyle="1" w:styleId="TableSummary">
    <w:name w:val="Table Summary"/>
    <w:basedOn w:val="Normal"/>
    <w:next w:val="TableHead"/>
    <w:rsid w:val="00247E60"/>
    <w:pPr>
      <w:ind w:left="567" w:right="567"/>
      <w:jc w:val="center"/>
    </w:pPr>
  </w:style>
  <w:style w:type="paragraph" w:customStyle="1" w:styleId="TableTitle">
    <w:name w:val="Table Title"/>
    <w:basedOn w:val="Normal"/>
    <w:next w:val="TableSummary"/>
    <w:rsid w:val="00900829"/>
    <w:pPr>
      <w:keepNext/>
      <w:keepLines/>
      <w:spacing w:after="120"/>
      <w:jc w:val="center"/>
    </w:pPr>
    <w:rPr>
      <w:b/>
    </w:rPr>
  </w:style>
  <w:style w:type="paragraph" w:customStyle="1" w:styleId="TaggedText">
    <w:name w:val="Tagged Text"/>
    <w:basedOn w:val="Normal"/>
    <w:rsid w:val="00900829"/>
    <w:pPr>
      <w:suppressAutoHyphens/>
      <w:spacing w:after="0"/>
    </w:pPr>
    <w:rPr>
      <w:rFonts w:ascii="Courier New" w:hAnsi="Courier New"/>
      <w:color w:val="FF0000"/>
    </w:rPr>
  </w:style>
  <w:style w:type="paragraph" w:customStyle="1" w:styleId="TableHeadRight">
    <w:name w:val="Table Head Right"/>
    <w:basedOn w:val="TableHead"/>
    <w:rsid w:val="00900829"/>
    <w:pPr>
      <w:jc w:val="right"/>
    </w:pPr>
  </w:style>
  <w:style w:type="paragraph" w:customStyle="1" w:styleId="TableCellLeft">
    <w:name w:val="Table Cell Left"/>
    <w:basedOn w:val="TableCell"/>
    <w:rsid w:val="00900829"/>
    <w:pPr>
      <w:jc w:val="left"/>
    </w:pPr>
  </w:style>
  <w:style w:type="character" w:customStyle="1" w:styleId="BlockquoteChar">
    <w:name w:val="Blockquote Char"/>
    <w:basedOn w:val="DefaultParagraphFont"/>
    <w:link w:val="Blockquote0"/>
    <w:uiPriority w:val="99"/>
    <w:locked/>
    <w:rsid w:val="00900829"/>
    <w:rPr>
      <w:rFonts w:ascii="Gill Sans" w:hAnsi="Gill Sans" w:cs="Times New Roman"/>
      <w:sz w:val="24"/>
      <w:szCs w:val="24"/>
      <w:lang w:val="en-IE" w:eastAsia="en-US" w:bidi="ar-SA"/>
    </w:rPr>
  </w:style>
  <w:style w:type="paragraph" w:customStyle="1" w:styleId="Blockquote0">
    <w:name w:val="Blockquote"/>
    <w:basedOn w:val="Normal"/>
    <w:link w:val="BlockquoteChar"/>
    <w:uiPriority w:val="99"/>
    <w:rsid w:val="00900829"/>
    <w:pPr>
      <w:shd w:val="clear" w:color="auto" w:fill="E0E0E0"/>
      <w:ind w:left="448" w:right="448"/>
      <w:contextualSpacing/>
    </w:pPr>
  </w:style>
  <w:style w:type="paragraph" w:customStyle="1" w:styleId="StyleBlockquoteRight079cm">
    <w:name w:val="Style Blockquote + Right:  0.79 cm"/>
    <w:basedOn w:val="Blockquote0"/>
    <w:uiPriority w:val="99"/>
    <w:rsid w:val="00900829"/>
    <w:rPr>
      <w:szCs w:val="20"/>
    </w:rPr>
  </w:style>
  <w:style w:type="paragraph" w:customStyle="1" w:styleId="NormalAfterList">
    <w:name w:val="Normal (After List)"/>
    <w:basedOn w:val="Normal"/>
    <w:next w:val="Normal"/>
    <w:rsid w:val="00900829"/>
    <w:pPr>
      <w:spacing w:before="120"/>
    </w:pPr>
  </w:style>
  <w:style w:type="character" w:styleId="FootnoteReference">
    <w:name w:val="footnote reference"/>
    <w:aliases w:val="Footnote symbol,Footnote,Voetnootverwijzing,Times 10 Point,Exposant 3 Point,Footnote reference number,Ref,de nota al pie,note TESI,SUPERS,EN Footnote Reference,Footnote Reference Number,Footnote sign,Foo,E, Exposant 3 Point"/>
    <w:basedOn w:val="DefaultParagraphFont"/>
    <w:uiPriority w:val="99"/>
    <w:rsid w:val="00900829"/>
    <w:rPr>
      <w:rFonts w:ascii="Gill Sans" w:hAnsi="Gill Sans" w:cs="Times New Roman"/>
      <w:sz w:val="26"/>
      <w:vertAlign w:val="superscript"/>
    </w:rPr>
  </w:style>
  <w:style w:type="character" w:customStyle="1" w:styleId="Abbreviation">
    <w:name w:val="Abbreviation"/>
    <w:rsid w:val="00900829"/>
    <w:rPr>
      <w:u w:val="dottedHeavy"/>
    </w:rPr>
  </w:style>
  <w:style w:type="character" w:customStyle="1" w:styleId="Acronym">
    <w:name w:val="Acronym"/>
    <w:rsid w:val="00900829"/>
    <w:rPr>
      <w:u w:val="dotted"/>
    </w:rPr>
  </w:style>
  <w:style w:type="character" w:customStyle="1" w:styleId="attribute-value">
    <w:name w:val="attribute-value"/>
    <w:basedOn w:val="DefaultParagraphFont"/>
    <w:uiPriority w:val="99"/>
    <w:rsid w:val="00900829"/>
    <w:rPr>
      <w:rFonts w:cs="Times New Roman"/>
    </w:rPr>
  </w:style>
  <w:style w:type="paragraph" w:customStyle="1" w:styleId="Blurb">
    <w:name w:val="Blurb"/>
    <w:basedOn w:val="Normal"/>
    <w:uiPriority w:val="99"/>
    <w:rsid w:val="00FF5148"/>
    <w:pPr>
      <w:spacing w:before="8800"/>
      <w:ind w:left="-1418" w:right="3119"/>
    </w:pPr>
    <w:rPr>
      <w:rFonts w:ascii="Rockwell" w:hAnsi="Rockwell"/>
      <w:b/>
      <w:sz w:val="32"/>
    </w:rPr>
  </w:style>
  <w:style w:type="character" w:customStyle="1" w:styleId="CharChar3">
    <w:name w:val="Char Char3"/>
    <w:uiPriority w:val="99"/>
    <w:rsid w:val="00B87444"/>
    <w:rPr>
      <w:rFonts w:ascii="Arial Bold" w:hAnsi="Arial Bold"/>
      <w:b/>
      <w:sz w:val="28"/>
      <w:lang w:val="en-IE" w:eastAsia="en-US"/>
    </w:rPr>
  </w:style>
  <w:style w:type="character" w:styleId="PageNumber">
    <w:name w:val="page number"/>
    <w:basedOn w:val="DefaultParagraphFont"/>
    <w:rsid w:val="00B87444"/>
    <w:rPr>
      <w:rFonts w:cs="Times New Roman"/>
    </w:rPr>
  </w:style>
  <w:style w:type="character" w:customStyle="1" w:styleId="WW8Num4z0">
    <w:name w:val="WW8Num4z0"/>
    <w:rsid w:val="00B87444"/>
    <w:rPr>
      <w:rFonts w:ascii="Symbol" w:hAnsi="Symbol"/>
      <w:sz w:val="20"/>
    </w:rPr>
  </w:style>
  <w:style w:type="character" w:customStyle="1" w:styleId="WW8Num5z0">
    <w:name w:val="WW8Num5z0"/>
    <w:rsid w:val="00B87444"/>
    <w:rPr>
      <w:rFonts w:ascii="Symbol" w:hAnsi="Symbol"/>
    </w:rPr>
  </w:style>
  <w:style w:type="character" w:customStyle="1" w:styleId="WW8Num7z0">
    <w:name w:val="WW8Num7z0"/>
    <w:rsid w:val="00B87444"/>
    <w:rPr>
      <w:rFonts w:ascii="Symbol" w:hAnsi="Symbol"/>
      <w:sz w:val="20"/>
    </w:rPr>
  </w:style>
  <w:style w:type="character" w:customStyle="1" w:styleId="Absatz-Standardschriftart">
    <w:name w:val="Absatz-Standardschriftart"/>
    <w:rsid w:val="00B87444"/>
  </w:style>
  <w:style w:type="character" w:customStyle="1" w:styleId="WW-Absatz-Standardschriftart">
    <w:name w:val="WW-Absatz-Standardschriftart"/>
    <w:rsid w:val="00B87444"/>
  </w:style>
  <w:style w:type="character" w:customStyle="1" w:styleId="WW-Absatz-Standardschriftart1">
    <w:name w:val="WW-Absatz-Standardschriftart1"/>
    <w:rsid w:val="00B87444"/>
  </w:style>
  <w:style w:type="character" w:customStyle="1" w:styleId="WW-Absatz-Standardschriftart11">
    <w:name w:val="WW-Absatz-Standardschriftart11"/>
    <w:rsid w:val="00B87444"/>
  </w:style>
  <w:style w:type="character" w:customStyle="1" w:styleId="WW8Num6z0">
    <w:name w:val="WW8Num6z0"/>
    <w:rsid w:val="00B87444"/>
    <w:rPr>
      <w:rFonts w:ascii="Symbol" w:hAnsi="Symbol"/>
    </w:rPr>
  </w:style>
  <w:style w:type="character" w:customStyle="1" w:styleId="WW8Num8z0">
    <w:name w:val="WW8Num8z0"/>
    <w:rsid w:val="00B87444"/>
    <w:rPr>
      <w:rFonts w:ascii="Symbol" w:hAnsi="Symbol"/>
      <w:sz w:val="20"/>
    </w:rPr>
  </w:style>
  <w:style w:type="character" w:customStyle="1" w:styleId="WW8Num10z0">
    <w:name w:val="WW8Num10z0"/>
    <w:rsid w:val="00B87444"/>
    <w:rPr>
      <w:rFonts w:ascii="Symbol" w:hAnsi="Symbol"/>
      <w:sz w:val="20"/>
    </w:rPr>
  </w:style>
  <w:style w:type="character" w:customStyle="1" w:styleId="WW8Num11z0">
    <w:name w:val="WW8Num11z0"/>
    <w:rsid w:val="00B87444"/>
    <w:rPr>
      <w:rFonts w:ascii="Symbol" w:hAnsi="Symbol"/>
    </w:rPr>
  </w:style>
  <w:style w:type="character" w:customStyle="1" w:styleId="WW8Num11z1">
    <w:name w:val="WW8Num11z1"/>
    <w:rsid w:val="00B87444"/>
    <w:rPr>
      <w:rFonts w:ascii="Courier New" w:hAnsi="Courier New"/>
    </w:rPr>
  </w:style>
  <w:style w:type="character" w:customStyle="1" w:styleId="WW8Num11z2">
    <w:name w:val="WW8Num11z2"/>
    <w:rsid w:val="00B87444"/>
    <w:rPr>
      <w:rFonts w:ascii="Wingdings" w:hAnsi="Wingdings"/>
    </w:rPr>
  </w:style>
  <w:style w:type="character" w:customStyle="1" w:styleId="WW8Num12z0">
    <w:name w:val="WW8Num12z0"/>
    <w:rsid w:val="00B87444"/>
    <w:rPr>
      <w:rFonts w:ascii="Symbol" w:hAnsi="Symbol"/>
      <w:color w:val="auto"/>
    </w:rPr>
  </w:style>
  <w:style w:type="character" w:customStyle="1" w:styleId="WW8Num12z1">
    <w:name w:val="WW8Num12z1"/>
    <w:rsid w:val="00B87444"/>
    <w:rPr>
      <w:rFonts w:ascii="Wingdings" w:hAnsi="Wingdings"/>
      <w:color w:val="auto"/>
    </w:rPr>
  </w:style>
  <w:style w:type="character" w:customStyle="1" w:styleId="WW8Num12z2">
    <w:name w:val="WW8Num12z2"/>
    <w:rsid w:val="00B87444"/>
    <w:rPr>
      <w:rFonts w:ascii="Wingdings" w:hAnsi="Wingdings"/>
    </w:rPr>
  </w:style>
  <w:style w:type="character" w:customStyle="1" w:styleId="WW8Num12z3">
    <w:name w:val="WW8Num12z3"/>
    <w:rsid w:val="00B87444"/>
    <w:rPr>
      <w:rFonts w:ascii="Symbol" w:hAnsi="Symbol"/>
    </w:rPr>
  </w:style>
  <w:style w:type="character" w:customStyle="1" w:styleId="WW8Num12z4">
    <w:name w:val="WW8Num12z4"/>
    <w:rsid w:val="00B87444"/>
    <w:rPr>
      <w:rFonts w:ascii="Courier New" w:hAnsi="Courier New"/>
    </w:rPr>
  </w:style>
  <w:style w:type="character" w:customStyle="1" w:styleId="WW-DefaultParagraphFont">
    <w:name w:val="WW-Default Paragraph Font"/>
    <w:rsid w:val="00B87444"/>
  </w:style>
  <w:style w:type="character" w:styleId="Emphasis">
    <w:name w:val="Emphasis"/>
    <w:basedOn w:val="DefaultParagraphFont"/>
    <w:qFormat/>
    <w:rsid w:val="00B87444"/>
    <w:rPr>
      <w:rFonts w:cs="Times New Roman"/>
      <w:i/>
    </w:rPr>
  </w:style>
  <w:style w:type="character" w:customStyle="1" w:styleId="Quote1">
    <w:name w:val="Quote1"/>
    <w:rsid w:val="00B87444"/>
    <w:rPr>
      <w:i/>
    </w:rPr>
  </w:style>
  <w:style w:type="character" w:customStyle="1" w:styleId="CarachtairFhonta">
    <w:name w:val="Carachtair Fhonóta"/>
    <w:rsid w:val="00B87444"/>
    <w:rPr>
      <w:rFonts w:ascii="Gill Sans" w:hAnsi="Gill Sans"/>
      <w:sz w:val="26"/>
      <w:vertAlign w:val="superscript"/>
    </w:rPr>
  </w:style>
  <w:style w:type="character" w:customStyle="1" w:styleId="CarachtairIarnta">
    <w:name w:val="Carachtair Iarnóta"/>
    <w:rsid w:val="00B87444"/>
    <w:rPr>
      <w:vertAlign w:val="superscript"/>
    </w:rPr>
  </w:style>
  <w:style w:type="character" w:customStyle="1" w:styleId="WW-CarachtairIarnta">
    <w:name w:val="WW-Carachtair Iarnóta"/>
    <w:rsid w:val="00B87444"/>
  </w:style>
  <w:style w:type="character" w:styleId="EndnoteReference">
    <w:name w:val="endnote reference"/>
    <w:basedOn w:val="DefaultParagraphFont"/>
    <w:rsid w:val="00B87444"/>
    <w:rPr>
      <w:rFonts w:cs="Times New Roman"/>
      <w:vertAlign w:val="superscript"/>
    </w:rPr>
  </w:style>
  <w:style w:type="character" w:styleId="CommentReference">
    <w:name w:val="annotation reference"/>
    <w:basedOn w:val="DefaultParagraphFont"/>
    <w:rsid w:val="00B87444"/>
    <w:rPr>
      <w:rFonts w:cs="Times New Roman"/>
      <w:sz w:val="16"/>
    </w:rPr>
  </w:style>
  <w:style w:type="character" w:customStyle="1" w:styleId="CommentTextChar1">
    <w:name w:val="Comment Text Char1"/>
    <w:rsid w:val="00B87444"/>
    <w:rPr>
      <w:rFonts w:ascii="Arial" w:hAnsi="Arial"/>
      <w:sz w:val="24"/>
    </w:rPr>
  </w:style>
  <w:style w:type="character" w:customStyle="1" w:styleId="CommentSubjectChar">
    <w:name w:val="Comment Subject Char"/>
    <w:basedOn w:val="CommentTextChar1"/>
    <w:rsid w:val="00B87444"/>
    <w:rPr>
      <w:rFonts w:ascii="Arial" w:hAnsi="Arial" w:cs="Times New Roman"/>
      <w:sz w:val="24"/>
      <w:szCs w:val="24"/>
    </w:rPr>
  </w:style>
  <w:style w:type="paragraph" w:customStyle="1" w:styleId="Ceannteideal">
    <w:name w:val="Ceannteideal"/>
    <w:basedOn w:val="Normal"/>
    <w:next w:val="BodyText"/>
    <w:rsid w:val="00B87444"/>
    <w:pPr>
      <w:keepNext/>
      <w:suppressAutoHyphens/>
      <w:spacing w:before="240" w:after="120"/>
    </w:pPr>
    <w:rPr>
      <w:rFonts w:ascii="Arial" w:eastAsia="Arial Unicode MS" w:hAnsi="Arial" w:cs="Angsana New"/>
      <w:sz w:val="28"/>
      <w:szCs w:val="28"/>
      <w:lang w:eastAsia="ar-SA"/>
    </w:rPr>
  </w:style>
  <w:style w:type="paragraph" w:styleId="List">
    <w:name w:val="List"/>
    <w:basedOn w:val="BodyText"/>
    <w:rsid w:val="00B87444"/>
    <w:pPr>
      <w:suppressAutoHyphens/>
    </w:pPr>
    <w:rPr>
      <w:rFonts w:ascii="Aboriginal Serif" w:eastAsia="Aboriginal Serif" w:hAnsi="Times New Roman" w:cs="Angsana New"/>
      <w:lang w:eastAsia="ar-SA"/>
    </w:rPr>
  </w:style>
  <w:style w:type="paragraph" w:customStyle="1" w:styleId="Foscrbhinn">
    <w:name w:val="Foscríbhinn"/>
    <w:basedOn w:val="Normal"/>
    <w:rsid w:val="00B87444"/>
    <w:pPr>
      <w:suppressLineNumbers/>
      <w:suppressAutoHyphens/>
      <w:spacing w:before="120" w:after="120"/>
    </w:pPr>
    <w:rPr>
      <w:rFonts w:ascii="Aboriginal Serif" w:eastAsia="Aboriginal Serif" w:hAnsi="Times New Roman" w:cs="Angsana New"/>
      <w:i/>
      <w:iCs/>
      <w:sz w:val="24"/>
      <w:lang w:eastAsia="ar-SA"/>
    </w:rPr>
  </w:style>
  <w:style w:type="paragraph" w:customStyle="1" w:styleId="Innacs">
    <w:name w:val="Innéacs"/>
    <w:basedOn w:val="Normal"/>
    <w:rsid w:val="00B87444"/>
    <w:pPr>
      <w:suppressLineNumbers/>
      <w:suppressAutoHyphens/>
    </w:pPr>
    <w:rPr>
      <w:rFonts w:ascii="Aboriginal Serif" w:eastAsia="Aboriginal Serif" w:hAnsi="Times New Roman" w:cs="Angsana New"/>
      <w:lang w:eastAsia="ar-SA"/>
    </w:rPr>
  </w:style>
  <w:style w:type="paragraph" w:styleId="Date">
    <w:name w:val="Date"/>
    <w:basedOn w:val="Normal"/>
    <w:next w:val="Normal"/>
    <w:link w:val="DateChar"/>
    <w:rsid w:val="00B87444"/>
    <w:pPr>
      <w:suppressAutoHyphens/>
    </w:pPr>
    <w:rPr>
      <w:i/>
      <w:lang w:eastAsia="ar-SA"/>
    </w:rPr>
  </w:style>
  <w:style w:type="character" w:customStyle="1" w:styleId="DateChar">
    <w:name w:val="Date Char"/>
    <w:basedOn w:val="DefaultParagraphFont"/>
    <w:link w:val="Date"/>
    <w:uiPriority w:val="99"/>
    <w:semiHidden/>
    <w:locked/>
    <w:rsid w:val="001E3B83"/>
    <w:rPr>
      <w:rFonts w:ascii="Gill Sans" w:hAnsi="Gill Sans" w:cs="Times New Roman"/>
      <w:sz w:val="24"/>
      <w:szCs w:val="24"/>
      <w:lang w:eastAsia="en-US"/>
    </w:rPr>
  </w:style>
  <w:style w:type="paragraph" w:customStyle="1" w:styleId="TestNormal">
    <w:name w:val="Test Normal"/>
    <w:basedOn w:val="Normal"/>
    <w:rsid w:val="00B87444"/>
    <w:pPr>
      <w:suppressAutoHyphens/>
      <w:spacing w:after="120"/>
    </w:pPr>
    <w:rPr>
      <w:rFonts w:eastAsia="BiauKai" w:cs="TimesNewRoman"/>
      <w:iCs/>
      <w:sz w:val="24"/>
      <w:lang w:eastAsia="ar-SA"/>
    </w:rPr>
  </w:style>
  <w:style w:type="paragraph" w:customStyle="1" w:styleId="bharanTbla">
    <w:name w:val="Ábhar an Tábla"/>
    <w:basedOn w:val="Normal"/>
    <w:rsid w:val="00B87444"/>
    <w:pPr>
      <w:suppressLineNumbers/>
      <w:suppressAutoHyphens/>
    </w:pPr>
    <w:rPr>
      <w:lang w:eastAsia="ar-SA"/>
    </w:rPr>
  </w:style>
  <w:style w:type="paragraph" w:customStyle="1" w:styleId="CeannteidealTbla">
    <w:name w:val="Ceannteideal Tábla"/>
    <w:basedOn w:val="bharanTbla"/>
    <w:rsid w:val="00B87444"/>
    <w:pPr>
      <w:jc w:val="center"/>
    </w:pPr>
    <w:rPr>
      <w:b/>
      <w:bCs/>
    </w:rPr>
  </w:style>
  <w:style w:type="paragraph" w:styleId="CommentSubject">
    <w:name w:val="annotation subject"/>
    <w:basedOn w:val="CommentText"/>
    <w:next w:val="CommentText"/>
    <w:link w:val="CommentSubjectChar1"/>
    <w:rsid w:val="00B87444"/>
    <w:pPr>
      <w:suppressAutoHyphens/>
    </w:pPr>
    <w:rPr>
      <w:rFonts w:ascii="Gill Sans" w:hAnsi="Gill Sans"/>
      <w:b/>
      <w:bCs/>
      <w:lang w:eastAsia="ar-SA"/>
    </w:rPr>
  </w:style>
  <w:style w:type="character" w:customStyle="1" w:styleId="CommentSubjectChar1">
    <w:name w:val="Comment Subject Char1"/>
    <w:basedOn w:val="CommentTextChar2"/>
    <w:link w:val="CommentSubject"/>
    <w:uiPriority w:val="99"/>
    <w:semiHidden/>
    <w:locked/>
    <w:rsid w:val="001E3B83"/>
    <w:rPr>
      <w:rFonts w:ascii="Gill Sans" w:hAnsi="Gill Sans" w:cs="Times New Roman"/>
      <w:b/>
      <w:bCs/>
      <w:sz w:val="20"/>
      <w:szCs w:val="20"/>
      <w:lang w:eastAsia="en-US"/>
    </w:rPr>
  </w:style>
  <w:style w:type="paragraph" w:customStyle="1" w:styleId="bhar10">
    <w:name w:val="Ábhar 10"/>
    <w:basedOn w:val="Innacs"/>
    <w:rsid w:val="00B87444"/>
    <w:pPr>
      <w:tabs>
        <w:tab w:val="right" w:leader="dot" w:pos="7091"/>
      </w:tabs>
      <w:ind w:left="2547"/>
    </w:pPr>
  </w:style>
  <w:style w:type="character" w:customStyle="1" w:styleId="CharChar6">
    <w:name w:val="Char Char6"/>
    <w:rsid w:val="00B87444"/>
    <w:rPr>
      <w:rFonts w:ascii="Gill Sans" w:hAnsi="Gill Sans"/>
      <w:b/>
      <w:kern w:val="1"/>
      <w:sz w:val="32"/>
      <w:lang w:val="en-IE" w:eastAsia="ar-SA" w:bidi="ar-SA"/>
    </w:rPr>
  </w:style>
  <w:style w:type="character" w:customStyle="1" w:styleId="CharChar5">
    <w:name w:val="Char Char5"/>
    <w:rsid w:val="00B87444"/>
    <w:rPr>
      <w:rFonts w:ascii="Gill Sans" w:hAnsi="Gill Sans"/>
      <w:b/>
      <w:sz w:val="28"/>
      <w:lang w:val="en-IE" w:eastAsia="ar-SA" w:bidi="ar-SA"/>
    </w:rPr>
  </w:style>
  <w:style w:type="character" w:customStyle="1" w:styleId="tw4winMark">
    <w:name w:val="tw4winMark"/>
    <w:rsid w:val="00B87444"/>
    <w:rPr>
      <w:rFonts w:ascii="Courier New" w:hAnsi="Courier New"/>
      <w:vanish/>
      <w:color w:val="800080"/>
      <w:vertAlign w:val="subscript"/>
    </w:rPr>
  </w:style>
  <w:style w:type="paragraph" w:styleId="EndnoteText">
    <w:name w:val="endnote text"/>
    <w:basedOn w:val="Normal"/>
    <w:link w:val="EndnoteTextChar"/>
    <w:uiPriority w:val="99"/>
    <w:rsid w:val="009B7368"/>
    <w:rPr>
      <w:sz w:val="20"/>
      <w:szCs w:val="20"/>
    </w:rPr>
  </w:style>
  <w:style w:type="character" w:customStyle="1" w:styleId="EndnoteTextChar">
    <w:name w:val="Endnote Text Char"/>
    <w:basedOn w:val="DefaultParagraphFont"/>
    <w:link w:val="EndnoteText"/>
    <w:uiPriority w:val="99"/>
    <w:locked/>
    <w:rsid w:val="009B7368"/>
    <w:rPr>
      <w:rFonts w:ascii="Gill Sans" w:hAnsi="Gill Sans" w:cs="Times New Roman"/>
      <w:lang w:eastAsia="en-US"/>
    </w:rPr>
  </w:style>
  <w:style w:type="paragraph" w:customStyle="1" w:styleId="StyleListBulletItalic">
    <w:name w:val="Style List Bullet + Italic"/>
    <w:basedOn w:val="Normal"/>
    <w:link w:val="StyleListBulletItalicChar"/>
    <w:uiPriority w:val="99"/>
    <w:rsid w:val="004B7CEB"/>
    <w:pPr>
      <w:tabs>
        <w:tab w:val="num" w:pos="720"/>
      </w:tabs>
      <w:spacing w:after="120"/>
      <w:ind w:left="720" w:hanging="360"/>
    </w:pPr>
    <w:rPr>
      <w:iCs/>
    </w:rPr>
  </w:style>
  <w:style w:type="character" w:customStyle="1" w:styleId="StyleListBulletItalicChar">
    <w:name w:val="Style List Bullet + Italic Char"/>
    <w:basedOn w:val="DefaultParagraphFont"/>
    <w:link w:val="StyleListBulletItalic"/>
    <w:uiPriority w:val="99"/>
    <w:locked/>
    <w:rsid w:val="009B7368"/>
    <w:rPr>
      <w:rFonts w:ascii="Gill Sans" w:hAnsi="Gill Sans" w:cs="Times New Roman"/>
      <w:iCs/>
      <w:sz w:val="24"/>
      <w:szCs w:val="24"/>
      <w:lang w:eastAsia="en-US"/>
    </w:rPr>
  </w:style>
  <w:style w:type="paragraph" w:customStyle="1" w:styleId="StyleBefore288pt">
    <w:name w:val="Style Before:  288pt"/>
    <w:basedOn w:val="Normal"/>
    <w:uiPriority w:val="99"/>
    <w:rsid w:val="00620EC8"/>
    <w:pPr>
      <w:spacing w:before="5760"/>
    </w:pPr>
    <w:rPr>
      <w:szCs w:val="20"/>
    </w:rPr>
  </w:style>
  <w:style w:type="paragraph" w:styleId="ListBullet">
    <w:name w:val="List Bullet"/>
    <w:aliases w:val="List Bullet Char,List Bullet Char Char Char Char Char"/>
    <w:basedOn w:val="Normal"/>
    <w:link w:val="ListBulletChar1"/>
    <w:unhideWhenUsed/>
    <w:locked/>
    <w:rsid w:val="00CE49E7"/>
    <w:pPr>
      <w:numPr>
        <w:numId w:val="1"/>
      </w:numPr>
      <w:spacing w:after="120"/>
    </w:pPr>
  </w:style>
  <w:style w:type="paragraph" w:customStyle="1" w:styleId="Default">
    <w:name w:val="Default"/>
    <w:rsid w:val="00584620"/>
    <w:pPr>
      <w:autoSpaceDE w:val="0"/>
      <w:autoSpaceDN w:val="0"/>
      <w:adjustRightInd w:val="0"/>
    </w:pPr>
    <w:rPr>
      <w:rFonts w:ascii="Rockwell" w:hAnsi="Rockwell" w:cs="Rockwell"/>
      <w:color w:val="000000"/>
      <w:sz w:val="24"/>
      <w:szCs w:val="24"/>
    </w:rPr>
  </w:style>
  <w:style w:type="character" w:customStyle="1" w:styleId="ListBulletChar1">
    <w:name w:val="List Bullet Char1"/>
    <w:aliases w:val="List Bullet Char Char,List Bullet Char Char Char Char Char Char"/>
    <w:link w:val="ListBullet"/>
    <w:rsid w:val="00CE49E7"/>
    <w:rPr>
      <w:rFonts w:ascii="Gill Sans" w:hAnsi="Gill Sans"/>
      <w:sz w:val="26"/>
      <w:szCs w:val="24"/>
      <w:lang w:eastAsia="en-US"/>
    </w:rPr>
  </w:style>
  <w:style w:type="paragraph" w:customStyle="1" w:styleId="CharCharCharChar">
    <w:name w:val="Char Char Char Char"/>
    <w:basedOn w:val="Normal"/>
    <w:rsid w:val="00584620"/>
    <w:pPr>
      <w:spacing w:after="160" w:line="240" w:lineRule="exact"/>
    </w:pPr>
    <w:rPr>
      <w:rFonts w:ascii="Tahoma" w:hAnsi="Tahoma"/>
      <w:sz w:val="20"/>
      <w:szCs w:val="20"/>
      <w:lang w:val="en-GB"/>
    </w:rPr>
  </w:style>
  <w:style w:type="table" w:styleId="TableGrid">
    <w:name w:val="Table Grid"/>
    <w:basedOn w:val="TableNormal"/>
    <w:uiPriority w:val="59"/>
    <w:locked/>
    <w:rsid w:val="00584620"/>
    <w:pPr>
      <w:spacing w:after="300" w:line="294"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584620"/>
    <w:pPr>
      <w:spacing w:after="300" w:line="294" w:lineRule="exact"/>
      <w:ind w:left="720"/>
      <w:contextualSpacing/>
    </w:pPr>
    <w:rPr>
      <w:rFonts w:ascii="Arial" w:hAnsi="Arial"/>
      <w:sz w:val="24"/>
    </w:rPr>
  </w:style>
  <w:style w:type="character" w:customStyle="1" w:styleId="ListParagraphChar">
    <w:name w:val="List Paragraph Char"/>
    <w:basedOn w:val="DefaultParagraphFont"/>
    <w:link w:val="ListParagraph"/>
    <w:locked/>
    <w:rsid w:val="00584620"/>
    <w:rPr>
      <w:rFonts w:ascii="Arial" w:hAnsi="Arial"/>
      <w:sz w:val="24"/>
      <w:szCs w:val="24"/>
      <w:lang w:eastAsia="en-US"/>
    </w:rPr>
  </w:style>
  <w:style w:type="paragraph" w:customStyle="1" w:styleId="StyleTableCellCentered">
    <w:name w:val="Style Table Cell + Centered"/>
    <w:basedOn w:val="TableCell"/>
    <w:rsid w:val="00584620"/>
    <w:pPr>
      <w:jc w:val="left"/>
    </w:pPr>
    <w:rPr>
      <w:szCs w:val="20"/>
    </w:rPr>
  </w:style>
  <w:style w:type="numbering" w:customStyle="1" w:styleId="NoList1">
    <w:name w:val="No List1"/>
    <w:next w:val="NoList"/>
    <w:uiPriority w:val="99"/>
    <w:semiHidden/>
    <w:unhideWhenUsed/>
    <w:rsid w:val="007761C8"/>
  </w:style>
  <w:style w:type="table" w:customStyle="1" w:styleId="TableGrid1">
    <w:name w:val="Table Grid1"/>
    <w:basedOn w:val="TableNormal"/>
    <w:next w:val="TableGrid"/>
    <w:uiPriority w:val="59"/>
    <w:rsid w:val="007761C8"/>
    <w:rPr>
      <w:rFonts w:ascii="Calibri" w:eastAsiaTheme="minorHAns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7761C8"/>
    <w:pPr>
      <w:spacing w:after="0"/>
    </w:pPr>
    <w:rPr>
      <w:rFonts w:asciiTheme="minorHAnsi" w:eastAsiaTheme="minorHAnsi" w:hAnsiTheme="minorHAnsi"/>
      <w:color w:val="000000" w:themeColor="text1"/>
      <w:sz w:val="22"/>
      <w:szCs w:val="20"/>
      <w:lang w:val="en-US" w:eastAsia="ja-JP"/>
    </w:rPr>
  </w:style>
  <w:style w:type="paragraph" w:styleId="Revision">
    <w:name w:val="Revision"/>
    <w:hidden/>
    <w:uiPriority w:val="99"/>
    <w:semiHidden/>
    <w:rsid w:val="007761C8"/>
    <w:rPr>
      <w:rFonts w:ascii="Calibri" w:eastAsiaTheme="minorHAnsi" w:hAnsi="Calibri"/>
      <w:sz w:val="20"/>
      <w:szCs w:val="20"/>
      <w:lang w:eastAsia="en-US"/>
    </w:rPr>
  </w:style>
  <w:style w:type="table" w:customStyle="1" w:styleId="LightShading1">
    <w:name w:val="Light Shading1"/>
    <w:basedOn w:val="TableNormal"/>
    <w:uiPriority w:val="60"/>
    <w:rsid w:val="008A1A44"/>
    <w:rPr>
      <w:color w:val="000000" w:themeColor="text1" w:themeShade="BF"/>
    </w:rPr>
    <w:tblPr>
      <w:tblStyleRowBandSize w:val="1"/>
      <w:tblStyleColBandSize w:val="1"/>
    </w:tblPr>
    <w:tblStylePr w:type="firstRow">
      <w:pPr>
        <w:spacing w:before="0" w:after="0" w:line="240" w:lineRule="auto"/>
      </w:pPr>
      <w:rPr>
        <w:b/>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shd w:val="clear" w:color="auto" w:fill="D9D9D9" w:themeFill="background1" w:themeFillShade="D9"/>
      </w:tcPr>
    </w:tblStylePr>
  </w:style>
  <w:style w:type="table" w:customStyle="1" w:styleId="MediumList11">
    <w:name w:val="Medium List 11"/>
    <w:basedOn w:val="TableNormal"/>
    <w:uiPriority w:val="65"/>
    <w:rsid w:val="00B4060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36532">
      <w:marLeft w:val="0"/>
      <w:marRight w:val="0"/>
      <w:marTop w:val="0"/>
      <w:marBottom w:val="0"/>
      <w:divBdr>
        <w:top w:val="none" w:sz="0" w:space="0" w:color="auto"/>
        <w:left w:val="none" w:sz="0" w:space="0" w:color="auto"/>
        <w:bottom w:val="none" w:sz="0" w:space="0" w:color="auto"/>
        <w:right w:val="none" w:sz="0" w:space="0" w:color="auto"/>
      </w:divBdr>
      <w:divsChild>
        <w:div w:id="1548836630">
          <w:marLeft w:val="0"/>
          <w:marRight w:val="0"/>
          <w:marTop w:val="0"/>
          <w:marBottom w:val="0"/>
          <w:divBdr>
            <w:top w:val="none" w:sz="0" w:space="0" w:color="auto"/>
            <w:left w:val="none" w:sz="0" w:space="0" w:color="auto"/>
            <w:bottom w:val="none" w:sz="0" w:space="0" w:color="auto"/>
            <w:right w:val="none" w:sz="0" w:space="0" w:color="auto"/>
          </w:divBdr>
          <w:divsChild>
            <w:div w:id="1548836701">
              <w:marLeft w:val="0"/>
              <w:marRight w:val="0"/>
              <w:marTop w:val="0"/>
              <w:marBottom w:val="0"/>
              <w:divBdr>
                <w:top w:val="none" w:sz="0" w:space="0" w:color="auto"/>
                <w:left w:val="none" w:sz="0" w:space="0" w:color="auto"/>
                <w:bottom w:val="none" w:sz="0" w:space="0" w:color="auto"/>
                <w:right w:val="none" w:sz="0" w:space="0" w:color="auto"/>
              </w:divBdr>
              <w:divsChild>
                <w:div w:id="1548836583">
                  <w:marLeft w:val="0"/>
                  <w:marRight w:val="0"/>
                  <w:marTop w:val="0"/>
                  <w:marBottom w:val="0"/>
                  <w:divBdr>
                    <w:top w:val="none" w:sz="0" w:space="0" w:color="auto"/>
                    <w:left w:val="none" w:sz="0" w:space="0" w:color="auto"/>
                    <w:bottom w:val="none" w:sz="0" w:space="0" w:color="auto"/>
                    <w:right w:val="none" w:sz="0" w:space="0" w:color="auto"/>
                  </w:divBdr>
                  <w:divsChild>
                    <w:div w:id="1548836536">
                      <w:marLeft w:val="0"/>
                      <w:marRight w:val="0"/>
                      <w:marTop w:val="0"/>
                      <w:marBottom w:val="0"/>
                      <w:divBdr>
                        <w:top w:val="none" w:sz="0" w:space="0" w:color="auto"/>
                        <w:left w:val="none" w:sz="0" w:space="0" w:color="auto"/>
                        <w:bottom w:val="none" w:sz="0" w:space="0" w:color="auto"/>
                        <w:right w:val="none" w:sz="0" w:space="0" w:color="auto"/>
                      </w:divBdr>
                      <w:divsChild>
                        <w:div w:id="15488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44">
      <w:marLeft w:val="0"/>
      <w:marRight w:val="0"/>
      <w:marTop w:val="0"/>
      <w:marBottom w:val="0"/>
      <w:divBdr>
        <w:top w:val="none" w:sz="0" w:space="0" w:color="auto"/>
        <w:left w:val="none" w:sz="0" w:space="0" w:color="auto"/>
        <w:bottom w:val="none" w:sz="0" w:space="0" w:color="auto"/>
        <w:right w:val="none" w:sz="0" w:space="0" w:color="auto"/>
      </w:divBdr>
      <w:divsChild>
        <w:div w:id="1548836657">
          <w:marLeft w:val="0"/>
          <w:marRight w:val="0"/>
          <w:marTop w:val="0"/>
          <w:marBottom w:val="0"/>
          <w:divBdr>
            <w:top w:val="none" w:sz="0" w:space="0" w:color="auto"/>
            <w:left w:val="none" w:sz="0" w:space="0" w:color="auto"/>
            <w:bottom w:val="none" w:sz="0" w:space="0" w:color="auto"/>
            <w:right w:val="none" w:sz="0" w:space="0" w:color="auto"/>
          </w:divBdr>
          <w:divsChild>
            <w:div w:id="1548836588">
              <w:marLeft w:val="0"/>
              <w:marRight w:val="0"/>
              <w:marTop w:val="0"/>
              <w:marBottom w:val="0"/>
              <w:divBdr>
                <w:top w:val="none" w:sz="0" w:space="0" w:color="auto"/>
                <w:left w:val="none" w:sz="0" w:space="0" w:color="auto"/>
                <w:bottom w:val="none" w:sz="0" w:space="0" w:color="auto"/>
                <w:right w:val="none" w:sz="0" w:space="0" w:color="auto"/>
              </w:divBdr>
              <w:divsChild>
                <w:div w:id="1548836581">
                  <w:marLeft w:val="0"/>
                  <w:marRight w:val="0"/>
                  <w:marTop w:val="0"/>
                  <w:marBottom w:val="0"/>
                  <w:divBdr>
                    <w:top w:val="none" w:sz="0" w:space="0" w:color="auto"/>
                    <w:left w:val="none" w:sz="0" w:space="0" w:color="auto"/>
                    <w:bottom w:val="none" w:sz="0" w:space="0" w:color="auto"/>
                    <w:right w:val="none" w:sz="0" w:space="0" w:color="auto"/>
                  </w:divBdr>
                  <w:divsChild>
                    <w:div w:id="1548836602">
                      <w:marLeft w:val="0"/>
                      <w:marRight w:val="0"/>
                      <w:marTop w:val="0"/>
                      <w:marBottom w:val="0"/>
                      <w:divBdr>
                        <w:top w:val="none" w:sz="0" w:space="0" w:color="auto"/>
                        <w:left w:val="none" w:sz="0" w:space="0" w:color="auto"/>
                        <w:bottom w:val="none" w:sz="0" w:space="0" w:color="auto"/>
                        <w:right w:val="none" w:sz="0" w:space="0" w:color="auto"/>
                      </w:divBdr>
                      <w:divsChild>
                        <w:div w:id="1548836692">
                          <w:marLeft w:val="0"/>
                          <w:marRight w:val="0"/>
                          <w:marTop w:val="0"/>
                          <w:marBottom w:val="0"/>
                          <w:divBdr>
                            <w:top w:val="none" w:sz="0" w:space="0" w:color="auto"/>
                            <w:left w:val="none" w:sz="0" w:space="0" w:color="auto"/>
                            <w:bottom w:val="none" w:sz="0" w:space="0" w:color="auto"/>
                            <w:right w:val="none" w:sz="0" w:space="0" w:color="auto"/>
                          </w:divBdr>
                          <w:divsChild>
                            <w:div w:id="15488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45">
      <w:marLeft w:val="0"/>
      <w:marRight w:val="0"/>
      <w:marTop w:val="0"/>
      <w:marBottom w:val="0"/>
      <w:divBdr>
        <w:top w:val="none" w:sz="0" w:space="0" w:color="auto"/>
        <w:left w:val="none" w:sz="0" w:space="0" w:color="auto"/>
        <w:bottom w:val="none" w:sz="0" w:space="0" w:color="auto"/>
        <w:right w:val="none" w:sz="0" w:space="0" w:color="auto"/>
      </w:divBdr>
      <w:divsChild>
        <w:div w:id="1548836550">
          <w:marLeft w:val="0"/>
          <w:marRight w:val="0"/>
          <w:marTop w:val="0"/>
          <w:marBottom w:val="0"/>
          <w:divBdr>
            <w:top w:val="none" w:sz="0" w:space="0" w:color="auto"/>
            <w:left w:val="none" w:sz="0" w:space="0" w:color="auto"/>
            <w:bottom w:val="none" w:sz="0" w:space="0" w:color="auto"/>
            <w:right w:val="none" w:sz="0" w:space="0" w:color="auto"/>
          </w:divBdr>
          <w:divsChild>
            <w:div w:id="1548836634">
              <w:marLeft w:val="0"/>
              <w:marRight w:val="0"/>
              <w:marTop w:val="0"/>
              <w:marBottom w:val="0"/>
              <w:divBdr>
                <w:top w:val="none" w:sz="0" w:space="0" w:color="auto"/>
                <w:left w:val="none" w:sz="0" w:space="0" w:color="auto"/>
                <w:bottom w:val="none" w:sz="0" w:space="0" w:color="auto"/>
                <w:right w:val="none" w:sz="0" w:space="0" w:color="auto"/>
              </w:divBdr>
              <w:divsChild>
                <w:div w:id="1548836589">
                  <w:marLeft w:val="0"/>
                  <w:marRight w:val="0"/>
                  <w:marTop w:val="0"/>
                  <w:marBottom w:val="0"/>
                  <w:divBdr>
                    <w:top w:val="none" w:sz="0" w:space="0" w:color="auto"/>
                    <w:left w:val="none" w:sz="0" w:space="0" w:color="auto"/>
                    <w:bottom w:val="none" w:sz="0" w:space="0" w:color="auto"/>
                    <w:right w:val="none" w:sz="0" w:space="0" w:color="auto"/>
                  </w:divBdr>
                  <w:divsChild>
                    <w:div w:id="1548836660">
                      <w:marLeft w:val="0"/>
                      <w:marRight w:val="0"/>
                      <w:marTop w:val="0"/>
                      <w:marBottom w:val="0"/>
                      <w:divBdr>
                        <w:top w:val="none" w:sz="0" w:space="0" w:color="auto"/>
                        <w:left w:val="none" w:sz="0" w:space="0" w:color="auto"/>
                        <w:bottom w:val="none" w:sz="0" w:space="0" w:color="auto"/>
                        <w:right w:val="none" w:sz="0" w:space="0" w:color="auto"/>
                      </w:divBdr>
                      <w:divsChild>
                        <w:div w:id="1548836730">
                          <w:marLeft w:val="0"/>
                          <w:marRight w:val="0"/>
                          <w:marTop w:val="0"/>
                          <w:marBottom w:val="0"/>
                          <w:divBdr>
                            <w:top w:val="none" w:sz="0" w:space="0" w:color="auto"/>
                            <w:left w:val="none" w:sz="0" w:space="0" w:color="auto"/>
                            <w:bottom w:val="none" w:sz="0" w:space="0" w:color="auto"/>
                            <w:right w:val="none" w:sz="0" w:space="0" w:color="auto"/>
                          </w:divBdr>
                          <w:divsChild>
                            <w:div w:id="15488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48">
      <w:marLeft w:val="0"/>
      <w:marRight w:val="0"/>
      <w:marTop w:val="0"/>
      <w:marBottom w:val="0"/>
      <w:divBdr>
        <w:top w:val="none" w:sz="0" w:space="0" w:color="auto"/>
        <w:left w:val="none" w:sz="0" w:space="0" w:color="auto"/>
        <w:bottom w:val="none" w:sz="0" w:space="0" w:color="auto"/>
        <w:right w:val="none" w:sz="0" w:space="0" w:color="auto"/>
      </w:divBdr>
      <w:divsChild>
        <w:div w:id="1548836676">
          <w:marLeft w:val="0"/>
          <w:marRight w:val="0"/>
          <w:marTop w:val="0"/>
          <w:marBottom w:val="0"/>
          <w:divBdr>
            <w:top w:val="none" w:sz="0" w:space="0" w:color="auto"/>
            <w:left w:val="none" w:sz="0" w:space="0" w:color="auto"/>
            <w:bottom w:val="none" w:sz="0" w:space="0" w:color="auto"/>
            <w:right w:val="none" w:sz="0" w:space="0" w:color="auto"/>
          </w:divBdr>
          <w:divsChild>
            <w:div w:id="1548836628">
              <w:marLeft w:val="0"/>
              <w:marRight w:val="0"/>
              <w:marTop w:val="0"/>
              <w:marBottom w:val="0"/>
              <w:divBdr>
                <w:top w:val="none" w:sz="0" w:space="0" w:color="auto"/>
                <w:left w:val="none" w:sz="0" w:space="0" w:color="auto"/>
                <w:bottom w:val="none" w:sz="0" w:space="0" w:color="auto"/>
                <w:right w:val="none" w:sz="0" w:space="0" w:color="auto"/>
              </w:divBdr>
              <w:divsChild>
                <w:div w:id="1548836609">
                  <w:marLeft w:val="0"/>
                  <w:marRight w:val="0"/>
                  <w:marTop w:val="0"/>
                  <w:marBottom w:val="0"/>
                  <w:divBdr>
                    <w:top w:val="none" w:sz="0" w:space="0" w:color="auto"/>
                    <w:left w:val="none" w:sz="0" w:space="0" w:color="auto"/>
                    <w:bottom w:val="none" w:sz="0" w:space="0" w:color="auto"/>
                    <w:right w:val="none" w:sz="0" w:space="0" w:color="auto"/>
                  </w:divBdr>
                  <w:divsChild>
                    <w:div w:id="1548836725">
                      <w:marLeft w:val="0"/>
                      <w:marRight w:val="0"/>
                      <w:marTop w:val="0"/>
                      <w:marBottom w:val="0"/>
                      <w:divBdr>
                        <w:top w:val="none" w:sz="0" w:space="0" w:color="auto"/>
                        <w:left w:val="none" w:sz="0" w:space="0" w:color="auto"/>
                        <w:bottom w:val="none" w:sz="0" w:space="0" w:color="auto"/>
                        <w:right w:val="none" w:sz="0" w:space="0" w:color="auto"/>
                      </w:divBdr>
                      <w:divsChild>
                        <w:div w:id="15488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69">
      <w:marLeft w:val="0"/>
      <w:marRight w:val="0"/>
      <w:marTop w:val="0"/>
      <w:marBottom w:val="0"/>
      <w:divBdr>
        <w:top w:val="none" w:sz="0" w:space="0" w:color="auto"/>
        <w:left w:val="none" w:sz="0" w:space="0" w:color="auto"/>
        <w:bottom w:val="none" w:sz="0" w:space="0" w:color="auto"/>
        <w:right w:val="none" w:sz="0" w:space="0" w:color="auto"/>
      </w:divBdr>
      <w:divsChild>
        <w:div w:id="1548836636">
          <w:marLeft w:val="0"/>
          <w:marRight w:val="0"/>
          <w:marTop w:val="0"/>
          <w:marBottom w:val="0"/>
          <w:divBdr>
            <w:top w:val="none" w:sz="0" w:space="0" w:color="auto"/>
            <w:left w:val="none" w:sz="0" w:space="0" w:color="auto"/>
            <w:bottom w:val="none" w:sz="0" w:space="0" w:color="auto"/>
            <w:right w:val="none" w:sz="0" w:space="0" w:color="auto"/>
          </w:divBdr>
          <w:divsChild>
            <w:div w:id="1548836635">
              <w:marLeft w:val="0"/>
              <w:marRight w:val="0"/>
              <w:marTop w:val="0"/>
              <w:marBottom w:val="0"/>
              <w:divBdr>
                <w:top w:val="none" w:sz="0" w:space="0" w:color="auto"/>
                <w:left w:val="none" w:sz="0" w:space="0" w:color="auto"/>
                <w:bottom w:val="none" w:sz="0" w:space="0" w:color="auto"/>
                <w:right w:val="none" w:sz="0" w:space="0" w:color="auto"/>
              </w:divBdr>
              <w:divsChild>
                <w:div w:id="1548836726">
                  <w:marLeft w:val="0"/>
                  <w:marRight w:val="0"/>
                  <w:marTop w:val="0"/>
                  <w:marBottom w:val="0"/>
                  <w:divBdr>
                    <w:top w:val="none" w:sz="0" w:space="0" w:color="auto"/>
                    <w:left w:val="none" w:sz="0" w:space="0" w:color="auto"/>
                    <w:bottom w:val="none" w:sz="0" w:space="0" w:color="auto"/>
                    <w:right w:val="none" w:sz="0" w:space="0" w:color="auto"/>
                  </w:divBdr>
                  <w:divsChild>
                    <w:div w:id="1548836566">
                      <w:marLeft w:val="0"/>
                      <w:marRight w:val="0"/>
                      <w:marTop w:val="0"/>
                      <w:marBottom w:val="0"/>
                      <w:divBdr>
                        <w:top w:val="none" w:sz="0" w:space="0" w:color="auto"/>
                        <w:left w:val="none" w:sz="0" w:space="0" w:color="auto"/>
                        <w:bottom w:val="none" w:sz="0" w:space="0" w:color="auto"/>
                        <w:right w:val="none" w:sz="0" w:space="0" w:color="auto"/>
                      </w:divBdr>
                      <w:divsChild>
                        <w:div w:id="15488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72">
      <w:marLeft w:val="0"/>
      <w:marRight w:val="0"/>
      <w:marTop w:val="0"/>
      <w:marBottom w:val="0"/>
      <w:divBdr>
        <w:top w:val="none" w:sz="0" w:space="0" w:color="auto"/>
        <w:left w:val="none" w:sz="0" w:space="0" w:color="auto"/>
        <w:bottom w:val="none" w:sz="0" w:space="0" w:color="auto"/>
        <w:right w:val="none" w:sz="0" w:space="0" w:color="auto"/>
      </w:divBdr>
      <w:divsChild>
        <w:div w:id="1548836724">
          <w:marLeft w:val="0"/>
          <w:marRight w:val="0"/>
          <w:marTop w:val="0"/>
          <w:marBottom w:val="0"/>
          <w:divBdr>
            <w:top w:val="none" w:sz="0" w:space="0" w:color="auto"/>
            <w:left w:val="none" w:sz="0" w:space="0" w:color="auto"/>
            <w:bottom w:val="none" w:sz="0" w:space="0" w:color="auto"/>
            <w:right w:val="none" w:sz="0" w:space="0" w:color="auto"/>
          </w:divBdr>
          <w:divsChild>
            <w:div w:id="1548836669">
              <w:marLeft w:val="0"/>
              <w:marRight w:val="0"/>
              <w:marTop w:val="0"/>
              <w:marBottom w:val="0"/>
              <w:divBdr>
                <w:top w:val="none" w:sz="0" w:space="0" w:color="auto"/>
                <w:left w:val="none" w:sz="0" w:space="0" w:color="auto"/>
                <w:bottom w:val="none" w:sz="0" w:space="0" w:color="auto"/>
                <w:right w:val="none" w:sz="0" w:space="0" w:color="auto"/>
              </w:divBdr>
              <w:divsChild>
                <w:div w:id="1548836601">
                  <w:marLeft w:val="0"/>
                  <w:marRight w:val="0"/>
                  <w:marTop w:val="0"/>
                  <w:marBottom w:val="0"/>
                  <w:divBdr>
                    <w:top w:val="none" w:sz="0" w:space="0" w:color="auto"/>
                    <w:left w:val="none" w:sz="0" w:space="0" w:color="auto"/>
                    <w:bottom w:val="none" w:sz="0" w:space="0" w:color="auto"/>
                    <w:right w:val="none" w:sz="0" w:space="0" w:color="auto"/>
                  </w:divBdr>
                  <w:divsChild>
                    <w:div w:id="1548836591">
                      <w:marLeft w:val="0"/>
                      <w:marRight w:val="0"/>
                      <w:marTop w:val="0"/>
                      <w:marBottom w:val="0"/>
                      <w:divBdr>
                        <w:top w:val="none" w:sz="0" w:space="0" w:color="auto"/>
                        <w:left w:val="none" w:sz="0" w:space="0" w:color="auto"/>
                        <w:bottom w:val="none" w:sz="0" w:space="0" w:color="auto"/>
                        <w:right w:val="none" w:sz="0" w:space="0" w:color="auto"/>
                      </w:divBdr>
                      <w:divsChild>
                        <w:div w:id="15488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74">
      <w:marLeft w:val="0"/>
      <w:marRight w:val="0"/>
      <w:marTop w:val="0"/>
      <w:marBottom w:val="0"/>
      <w:divBdr>
        <w:top w:val="none" w:sz="0" w:space="0" w:color="auto"/>
        <w:left w:val="none" w:sz="0" w:space="0" w:color="auto"/>
        <w:bottom w:val="none" w:sz="0" w:space="0" w:color="auto"/>
        <w:right w:val="none" w:sz="0" w:space="0" w:color="auto"/>
      </w:divBdr>
      <w:divsChild>
        <w:div w:id="1548836573">
          <w:marLeft w:val="0"/>
          <w:marRight w:val="0"/>
          <w:marTop w:val="0"/>
          <w:marBottom w:val="0"/>
          <w:divBdr>
            <w:top w:val="none" w:sz="0" w:space="0" w:color="auto"/>
            <w:left w:val="none" w:sz="0" w:space="0" w:color="auto"/>
            <w:bottom w:val="none" w:sz="0" w:space="0" w:color="auto"/>
            <w:right w:val="none" w:sz="0" w:space="0" w:color="auto"/>
          </w:divBdr>
          <w:divsChild>
            <w:div w:id="1548836672">
              <w:marLeft w:val="0"/>
              <w:marRight w:val="0"/>
              <w:marTop w:val="0"/>
              <w:marBottom w:val="0"/>
              <w:divBdr>
                <w:top w:val="none" w:sz="0" w:space="0" w:color="auto"/>
                <w:left w:val="none" w:sz="0" w:space="0" w:color="auto"/>
                <w:bottom w:val="none" w:sz="0" w:space="0" w:color="auto"/>
                <w:right w:val="none" w:sz="0" w:space="0" w:color="auto"/>
              </w:divBdr>
              <w:divsChild>
                <w:div w:id="1548836576">
                  <w:marLeft w:val="0"/>
                  <w:marRight w:val="0"/>
                  <w:marTop w:val="0"/>
                  <w:marBottom w:val="0"/>
                  <w:divBdr>
                    <w:top w:val="none" w:sz="0" w:space="0" w:color="auto"/>
                    <w:left w:val="none" w:sz="0" w:space="0" w:color="auto"/>
                    <w:bottom w:val="none" w:sz="0" w:space="0" w:color="auto"/>
                    <w:right w:val="none" w:sz="0" w:space="0" w:color="auto"/>
                  </w:divBdr>
                  <w:divsChild>
                    <w:div w:id="1548836600">
                      <w:marLeft w:val="0"/>
                      <w:marRight w:val="0"/>
                      <w:marTop w:val="0"/>
                      <w:marBottom w:val="0"/>
                      <w:divBdr>
                        <w:top w:val="none" w:sz="0" w:space="0" w:color="auto"/>
                        <w:left w:val="none" w:sz="0" w:space="0" w:color="auto"/>
                        <w:bottom w:val="none" w:sz="0" w:space="0" w:color="auto"/>
                        <w:right w:val="none" w:sz="0" w:space="0" w:color="auto"/>
                      </w:divBdr>
                      <w:divsChild>
                        <w:div w:id="1548836568">
                          <w:marLeft w:val="0"/>
                          <w:marRight w:val="0"/>
                          <w:marTop w:val="0"/>
                          <w:marBottom w:val="0"/>
                          <w:divBdr>
                            <w:top w:val="none" w:sz="0" w:space="0" w:color="auto"/>
                            <w:left w:val="none" w:sz="0" w:space="0" w:color="auto"/>
                            <w:bottom w:val="none" w:sz="0" w:space="0" w:color="auto"/>
                            <w:right w:val="none" w:sz="0" w:space="0" w:color="auto"/>
                          </w:divBdr>
                          <w:divsChild>
                            <w:div w:id="15488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77">
      <w:marLeft w:val="0"/>
      <w:marRight w:val="0"/>
      <w:marTop w:val="0"/>
      <w:marBottom w:val="0"/>
      <w:divBdr>
        <w:top w:val="none" w:sz="0" w:space="0" w:color="auto"/>
        <w:left w:val="none" w:sz="0" w:space="0" w:color="auto"/>
        <w:bottom w:val="none" w:sz="0" w:space="0" w:color="auto"/>
        <w:right w:val="none" w:sz="0" w:space="0" w:color="auto"/>
      </w:divBdr>
      <w:divsChild>
        <w:div w:id="1548836538">
          <w:marLeft w:val="0"/>
          <w:marRight w:val="0"/>
          <w:marTop w:val="0"/>
          <w:marBottom w:val="0"/>
          <w:divBdr>
            <w:top w:val="none" w:sz="0" w:space="0" w:color="auto"/>
            <w:left w:val="none" w:sz="0" w:space="0" w:color="auto"/>
            <w:bottom w:val="none" w:sz="0" w:space="0" w:color="auto"/>
            <w:right w:val="none" w:sz="0" w:space="0" w:color="auto"/>
          </w:divBdr>
          <w:divsChild>
            <w:div w:id="1548836542">
              <w:marLeft w:val="0"/>
              <w:marRight w:val="0"/>
              <w:marTop w:val="0"/>
              <w:marBottom w:val="0"/>
              <w:divBdr>
                <w:top w:val="none" w:sz="0" w:space="0" w:color="auto"/>
                <w:left w:val="none" w:sz="0" w:space="0" w:color="auto"/>
                <w:bottom w:val="none" w:sz="0" w:space="0" w:color="auto"/>
                <w:right w:val="none" w:sz="0" w:space="0" w:color="auto"/>
              </w:divBdr>
              <w:divsChild>
                <w:div w:id="1548836632">
                  <w:marLeft w:val="0"/>
                  <w:marRight w:val="0"/>
                  <w:marTop w:val="0"/>
                  <w:marBottom w:val="0"/>
                  <w:divBdr>
                    <w:top w:val="none" w:sz="0" w:space="0" w:color="auto"/>
                    <w:left w:val="none" w:sz="0" w:space="0" w:color="auto"/>
                    <w:bottom w:val="none" w:sz="0" w:space="0" w:color="auto"/>
                    <w:right w:val="none" w:sz="0" w:space="0" w:color="auto"/>
                  </w:divBdr>
                  <w:divsChild>
                    <w:div w:id="1548836614">
                      <w:marLeft w:val="0"/>
                      <w:marRight w:val="0"/>
                      <w:marTop w:val="0"/>
                      <w:marBottom w:val="0"/>
                      <w:divBdr>
                        <w:top w:val="none" w:sz="0" w:space="0" w:color="auto"/>
                        <w:left w:val="none" w:sz="0" w:space="0" w:color="auto"/>
                        <w:bottom w:val="none" w:sz="0" w:space="0" w:color="auto"/>
                        <w:right w:val="none" w:sz="0" w:space="0" w:color="auto"/>
                      </w:divBdr>
                      <w:divsChild>
                        <w:div w:id="15488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85">
      <w:marLeft w:val="0"/>
      <w:marRight w:val="0"/>
      <w:marTop w:val="0"/>
      <w:marBottom w:val="0"/>
      <w:divBdr>
        <w:top w:val="none" w:sz="0" w:space="0" w:color="auto"/>
        <w:left w:val="none" w:sz="0" w:space="0" w:color="auto"/>
        <w:bottom w:val="none" w:sz="0" w:space="0" w:color="auto"/>
        <w:right w:val="none" w:sz="0" w:space="0" w:color="auto"/>
      </w:divBdr>
      <w:divsChild>
        <w:div w:id="1548836673">
          <w:marLeft w:val="0"/>
          <w:marRight w:val="0"/>
          <w:marTop w:val="300"/>
          <w:marBottom w:val="0"/>
          <w:divBdr>
            <w:top w:val="none" w:sz="0" w:space="0" w:color="auto"/>
            <w:left w:val="none" w:sz="0" w:space="0" w:color="auto"/>
            <w:bottom w:val="none" w:sz="0" w:space="0" w:color="auto"/>
            <w:right w:val="none" w:sz="0" w:space="0" w:color="auto"/>
          </w:divBdr>
          <w:divsChild>
            <w:div w:id="1548836653">
              <w:marLeft w:val="0"/>
              <w:marRight w:val="0"/>
              <w:marTop w:val="0"/>
              <w:marBottom w:val="0"/>
              <w:divBdr>
                <w:top w:val="none" w:sz="0" w:space="0" w:color="auto"/>
                <w:left w:val="none" w:sz="0" w:space="0" w:color="auto"/>
                <w:bottom w:val="none" w:sz="0" w:space="0" w:color="auto"/>
                <w:right w:val="none" w:sz="0" w:space="0" w:color="auto"/>
              </w:divBdr>
              <w:divsChild>
                <w:div w:id="1548836675">
                  <w:marLeft w:val="0"/>
                  <w:marRight w:val="-3600"/>
                  <w:marTop w:val="0"/>
                  <w:marBottom w:val="0"/>
                  <w:divBdr>
                    <w:top w:val="none" w:sz="0" w:space="0" w:color="auto"/>
                    <w:left w:val="none" w:sz="0" w:space="0" w:color="auto"/>
                    <w:bottom w:val="none" w:sz="0" w:space="0" w:color="auto"/>
                    <w:right w:val="none" w:sz="0" w:space="0" w:color="auto"/>
                  </w:divBdr>
                  <w:divsChild>
                    <w:div w:id="1548836706">
                      <w:marLeft w:val="300"/>
                      <w:marRight w:val="4200"/>
                      <w:marTop w:val="0"/>
                      <w:marBottom w:val="540"/>
                      <w:divBdr>
                        <w:top w:val="none" w:sz="0" w:space="0" w:color="auto"/>
                        <w:left w:val="none" w:sz="0" w:space="0" w:color="auto"/>
                        <w:bottom w:val="none" w:sz="0" w:space="0" w:color="auto"/>
                        <w:right w:val="none" w:sz="0" w:space="0" w:color="auto"/>
                      </w:divBdr>
                      <w:divsChild>
                        <w:div w:id="1548836543">
                          <w:marLeft w:val="0"/>
                          <w:marRight w:val="0"/>
                          <w:marTop w:val="0"/>
                          <w:marBottom w:val="0"/>
                          <w:divBdr>
                            <w:top w:val="none" w:sz="0" w:space="0" w:color="auto"/>
                            <w:left w:val="none" w:sz="0" w:space="0" w:color="auto"/>
                            <w:bottom w:val="none" w:sz="0" w:space="0" w:color="auto"/>
                            <w:right w:val="none" w:sz="0" w:space="0" w:color="auto"/>
                          </w:divBdr>
                          <w:divsChild>
                            <w:div w:id="15488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96">
      <w:marLeft w:val="0"/>
      <w:marRight w:val="0"/>
      <w:marTop w:val="0"/>
      <w:marBottom w:val="0"/>
      <w:divBdr>
        <w:top w:val="none" w:sz="0" w:space="0" w:color="auto"/>
        <w:left w:val="none" w:sz="0" w:space="0" w:color="auto"/>
        <w:bottom w:val="none" w:sz="0" w:space="0" w:color="auto"/>
        <w:right w:val="none" w:sz="0" w:space="0" w:color="auto"/>
      </w:divBdr>
      <w:divsChild>
        <w:div w:id="1548836646">
          <w:marLeft w:val="0"/>
          <w:marRight w:val="0"/>
          <w:marTop w:val="0"/>
          <w:marBottom w:val="0"/>
          <w:divBdr>
            <w:top w:val="none" w:sz="0" w:space="0" w:color="auto"/>
            <w:left w:val="none" w:sz="0" w:space="0" w:color="auto"/>
            <w:bottom w:val="none" w:sz="0" w:space="0" w:color="auto"/>
            <w:right w:val="none" w:sz="0" w:space="0" w:color="auto"/>
          </w:divBdr>
          <w:divsChild>
            <w:div w:id="1548836570">
              <w:marLeft w:val="0"/>
              <w:marRight w:val="0"/>
              <w:marTop w:val="0"/>
              <w:marBottom w:val="0"/>
              <w:divBdr>
                <w:top w:val="none" w:sz="0" w:space="0" w:color="auto"/>
                <w:left w:val="none" w:sz="0" w:space="0" w:color="auto"/>
                <w:bottom w:val="none" w:sz="0" w:space="0" w:color="auto"/>
                <w:right w:val="none" w:sz="0" w:space="0" w:color="auto"/>
              </w:divBdr>
              <w:divsChild>
                <w:div w:id="1548836699">
                  <w:marLeft w:val="0"/>
                  <w:marRight w:val="0"/>
                  <w:marTop w:val="0"/>
                  <w:marBottom w:val="0"/>
                  <w:divBdr>
                    <w:top w:val="none" w:sz="0" w:space="0" w:color="auto"/>
                    <w:left w:val="none" w:sz="0" w:space="0" w:color="auto"/>
                    <w:bottom w:val="none" w:sz="0" w:space="0" w:color="auto"/>
                    <w:right w:val="none" w:sz="0" w:space="0" w:color="auto"/>
                  </w:divBdr>
                  <w:divsChild>
                    <w:div w:id="1548836710">
                      <w:marLeft w:val="0"/>
                      <w:marRight w:val="0"/>
                      <w:marTop w:val="0"/>
                      <w:marBottom w:val="0"/>
                      <w:divBdr>
                        <w:top w:val="none" w:sz="0" w:space="0" w:color="auto"/>
                        <w:left w:val="none" w:sz="0" w:space="0" w:color="auto"/>
                        <w:bottom w:val="none" w:sz="0" w:space="0" w:color="auto"/>
                        <w:right w:val="none" w:sz="0" w:space="0" w:color="auto"/>
                      </w:divBdr>
                      <w:divsChild>
                        <w:div w:id="1548836592">
                          <w:marLeft w:val="0"/>
                          <w:marRight w:val="0"/>
                          <w:marTop w:val="0"/>
                          <w:marBottom w:val="0"/>
                          <w:divBdr>
                            <w:top w:val="none" w:sz="0" w:space="0" w:color="auto"/>
                            <w:left w:val="none" w:sz="0" w:space="0" w:color="auto"/>
                            <w:bottom w:val="none" w:sz="0" w:space="0" w:color="auto"/>
                            <w:right w:val="none" w:sz="0" w:space="0" w:color="auto"/>
                          </w:divBdr>
                          <w:divsChild>
                            <w:div w:id="15488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98">
      <w:marLeft w:val="0"/>
      <w:marRight w:val="0"/>
      <w:marTop w:val="0"/>
      <w:marBottom w:val="0"/>
      <w:divBdr>
        <w:top w:val="none" w:sz="0" w:space="0" w:color="auto"/>
        <w:left w:val="none" w:sz="0" w:space="0" w:color="auto"/>
        <w:bottom w:val="none" w:sz="0" w:space="0" w:color="auto"/>
        <w:right w:val="none" w:sz="0" w:space="0" w:color="auto"/>
      </w:divBdr>
      <w:divsChild>
        <w:div w:id="1548836721">
          <w:marLeft w:val="0"/>
          <w:marRight w:val="0"/>
          <w:marTop w:val="0"/>
          <w:marBottom w:val="0"/>
          <w:divBdr>
            <w:top w:val="none" w:sz="0" w:space="0" w:color="auto"/>
            <w:left w:val="none" w:sz="0" w:space="0" w:color="auto"/>
            <w:bottom w:val="none" w:sz="0" w:space="0" w:color="auto"/>
            <w:right w:val="none" w:sz="0" w:space="0" w:color="auto"/>
          </w:divBdr>
          <w:divsChild>
            <w:div w:id="1548836679">
              <w:marLeft w:val="0"/>
              <w:marRight w:val="0"/>
              <w:marTop w:val="0"/>
              <w:marBottom w:val="0"/>
              <w:divBdr>
                <w:top w:val="none" w:sz="0" w:space="0" w:color="auto"/>
                <w:left w:val="none" w:sz="0" w:space="0" w:color="auto"/>
                <w:bottom w:val="none" w:sz="0" w:space="0" w:color="auto"/>
                <w:right w:val="none" w:sz="0" w:space="0" w:color="auto"/>
              </w:divBdr>
              <w:divsChild>
                <w:div w:id="1548836729">
                  <w:marLeft w:val="0"/>
                  <w:marRight w:val="0"/>
                  <w:marTop w:val="0"/>
                  <w:marBottom w:val="0"/>
                  <w:divBdr>
                    <w:top w:val="none" w:sz="0" w:space="0" w:color="auto"/>
                    <w:left w:val="none" w:sz="0" w:space="0" w:color="auto"/>
                    <w:bottom w:val="none" w:sz="0" w:space="0" w:color="auto"/>
                    <w:right w:val="none" w:sz="0" w:space="0" w:color="auto"/>
                  </w:divBdr>
                  <w:divsChild>
                    <w:div w:id="1548836608">
                      <w:marLeft w:val="0"/>
                      <w:marRight w:val="0"/>
                      <w:marTop w:val="0"/>
                      <w:marBottom w:val="0"/>
                      <w:divBdr>
                        <w:top w:val="none" w:sz="0" w:space="0" w:color="auto"/>
                        <w:left w:val="none" w:sz="0" w:space="0" w:color="auto"/>
                        <w:bottom w:val="none" w:sz="0" w:space="0" w:color="auto"/>
                        <w:right w:val="none" w:sz="0" w:space="0" w:color="auto"/>
                      </w:divBdr>
                      <w:divsChild>
                        <w:div w:id="1548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99">
      <w:marLeft w:val="0"/>
      <w:marRight w:val="0"/>
      <w:marTop w:val="0"/>
      <w:marBottom w:val="0"/>
      <w:divBdr>
        <w:top w:val="none" w:sz="0" w:space="0" w:color="auto"/>
        <w:left w:val="none" w:sz="0" w:space="0" w:color="auto"/>
        <w:bottom w:val="none" w:sz="0" w:space="0" w:color="auto"/>
        <w:right w:val="none" w:sz="0" w:space="0" w:color="auto"/>
      </w:divBdr>
      <w:divsChild>
        <w:div w:id="1548836693">
          <w:marLeft w:val="0"/>
          <w:marRight w:val="0"/>
          <w:marTop w:val="0"/>
          <w:marBottom w:val="0"/>
          <w:divBdr>
            <w:top w:val="none" w:sz="0" w:space="0" w:color="auto"/>
            <w:left w:val="none" w:sz="0" w:space="0" w:color="auto"/>
            <w:bottom w:val="none" w:sz="0" w:space="0" w:color="auto"/>
            <w:right w:val="none" w:sz="0" w:space="0" w:color="auto"/>
          </w:divBdr>
          <w:divsChild>
            <w:div w:id="1548836649">
              <w:marLeft w:val="0"/>
              <w:marRight w:val="0"/>
              <w:marTop w:val="0"/>
              <w:marBottom w:val="0"/>
              <w:divBdr>
                <w:top w:val="none" w:sz="0" w:space="0" w:color="auto"/>
                <w:left w:val="none" w:sz="0" w:space="0" w:color="auto"/>
                <w:bottom w:val="none" w:sz="0" w:space="0" w:color="auto"/>
                <w:right w:val="none" w:sz="0" w:space="0" w:color="auto"/>
              </w:divBdr>
              <w:divsChild>
                <w:div w:id="1548836723">
                  <w:marLeft w:val="0"/>
                  <w:marRight w:val="0"/>
                  <w:marTop w:val="0"/>
                  <w:marBottom w:val="0"/>
                  <w:divBdr>
                    <w:top w:val="none" w:sz="0" w:space="0" w:color="auto"/>
                    <w:left w:val="none" w:sz="0" w:space="0" w:color="auto"/>
                    <w:bottom w:val="none" w:sz="0" w:space="0" w:color="auto"/>
                    <w:right w:val="none" w:sz="0" w:space="0" w:color="auto"/>
                  </w:divBdr>
                  <w:divsChild>
                    <w:div w:id="1548836618">
                      <w:marLeft w:val="0"/>
                      <w:marRight w:val="0"/>
                      <w:marTop w:val="0"/>
                      <w:marBottom w:val="0"/>
                      <w:divBdr>
                        <w:top w:val="none" w:sz="0" w:space="0" w:color="auto"/>
                        <w:left w:val="none" w:sz="0" w:space="0" w:color="auto"/>
                        <w:bottom w:val="none" w:sz="0" w:space="0" w:color="auto"/>
                        <w:right w:val="none" w:sz="0" w:space="0" w:color="auto"/>
                      </w:divBdr>
                      <w:divsChild>
                        <w:div w:id="15488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03">
      <w:marLeft w:val="0"/>
      <w:marRight w:val="0"/>
      <w:marTop w:val="0"/>
      <w:marBottom w:val="0"/>
      <w:divBdr>
        <w:top w:val="none" w:sz="0" w:space="0" w:color="auto"/>
        <w:left w:val="none" w:sz="0" w:space="0" w:color="auto"/>
        <w:bottom w:val="none" w:sz="0" w:space="0" w:color="auto"/>
        <w:right w:val="none" w:sz="0" w:space="0" w:color="auto"/>
      </w:divBdr>
      <w:divsChild>
        <w:div w:id="1548836578">
          <w:marLeft w:val="0"/>
          <w:marRight w:val="0"/>
          <w:marTop w:val="0"/>
          <w:marBottom w:val="0"/>
          <w:divBdr>
            <w:top w:val="none" w:sz="0" w:space="0" w:color="auto"/>
            <w:left w:val="none" w:sz="0" w:space="0" w:color="auto"/>
            <w:bottom w:val="none" w:sz="0" w:space="0" w:color="auto"/>
            <w:right w:val="none" w:sz="0" w:space="0" w:color="auto"/>
          </w:divBdr>
          <w:divsChild>
            <w:div w:id="1548836593">
              <w:marLeft w:val="0"/>
              <w:marRight w:val="0"/>
              <w:marTop w:val="0"/>
              <w:marBottom w:val="0"/>
              <w:divBdr>
                <w:top w:val="none" w:sz="0" w:space="0" w:color="auto"/>
                <w:left w:val="none" w:sz="0" w:space="0" w:color="auto"/>
                <w:bottom w:val="none" w:sz="0" w:space="0" w:color="auto"/>
                <w:right w:val="none" w:sz="0" w:space="0" w:color="auto"/>
              </w:divBdr>
              <w:divsChild>
                <w:div w:id="1548836684">
                  <w:marLeft w:val="0"/>
                  <w:marRight w:val="0"/>
                  <w:marTop w:val="0"/>
                  <w:marBottom w:val="0"/>
                  <w:divBdr>
                    <w:top w:val="none" w:sz="0" w:space="0" w:color="auto"/>
                    <w:left w:val="none" w:sz="0" w:space="0" w:color="auto"/>
                    <w:bottom w:val="none" w:sz="0" w:space="0" w:color="auto"/>
                    <w:right w:val="none" w:sz="0" w:space="0" w:color="auto"/>
                  </w:divBdr>
                  <w:divsChild>
                    <w:div w:id="1548836571">
                      <w:marLeft w:val="0"/>
                      <w:marRight w:val="0"/>
                      <w:marTop w:val="0"/>
                      <w:marBottom w:val="0"/>
                      <w:divBdr>
                        <w:top w:val="none" w:sz="0" w:space="0" w:color="auto"/>
                        <w:left w:val="none" w:sz="0" w:space="0" w:color="auto"/>
                        <w:bottom w:val="none" w:sz="0" w:space="0" w:color="auto"/>
                        <w:right w:val="none" w:sz="0" w:space="0" w:color="auto"/>
                      </w:divBdr>
                      <w:divsChild>
                        <w:div w:id="1548836652">
                          <w:marLeft w:val="0"/>
                          <w:marRight w:val="0"/>
                          <w:marTop w:val="0"/>
                          <w:marBottom w:val="0"/>
                          <w:divBdr>
                            <w:top w:val="none" w:sz="0" w:space="0" w:color="auto"/>
                            <w:left w:val="none" w:sz="0" w:space="0" w:color="auto"/>
                            <w:bottom w:val="none" w:sz="0" w:space="0" w:color="auto"/>
                            <w:right w:val="none" w:sz="0" w:space="0" w:color="auto"/>
                          </w:divBdr>
                          <w:divsChild>
                            <w:div w:id="15488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610">
      <w:marLeft w:val="0"/>
      <w:marRight w:val="0"/>
      <w:marTop w:val="0"/>
      <w:marBottom w:val="0"/>
      <w:divBdr>
        <w:top w:val="none" w:sz="0" w:space="0" w:color="auto"/>
        <w:left w:val="none" w:sz="0" w:space="0" w:color="auto"/>
        <w:bottom w:val="none" w:sz="0" w:space="0" w:color="auto"/>
        <w:right w:val="none" w:sz="0" w:space="0" w:color="auto"/>
      </w:divBdr>
      <w:divsChild>
        <w:div w:id="1548836678">
          <w:marLeft w:val="0"/>
          <w:marRight w:val="0"/>
          <w:marTop w:val="0"/>
          <w:marBottom w:val="0"/>
          <w:divBdr>
            <w:top w:val="none" w:sz="0" w:space="0" w:color="auto"/>
            <w:left w:val="none" w:sz="0" w:space="0" w:color="auto"/>
            <w:bottom w:val="none" w:sz="0" w:space="0" w:color="auto"/>
            <w:right w:val="none" w:sz="0" w:space="0" w:color="auto"/>
          </w:divBdr>
          <w:divsChild>
            <w:div w:id="1548836686">
              <w:marLeft w:val="0"/>
              <w:marRight w:val="0"/>
              <w:marTop w:val="0"/>
              <w:marBottom w:val="0"/>
              <w:divBdr>
                <w:top w:val="none" w:sz="0" w:space="0" w:color="auto"/>
                <w:left w:val="none" w:sz="0" w:space="0" w:color="auto"/>
                <w:bottom w:val="none" w:sz="0" w:space="0" w:color="auto"/>
                <w:right w:val="none" w:sz="0" w:space="0" w:color="auto"/>
              </w:divBdr>
              <w:divsChild>
                <w:div w:id="1548836563">
                  <w:marLeft w:val="0"/>
                  <w:marRight w:val="0"/>
                  <w:marTop w:val="0"/>
                  <w:marBottom w:val="0"/>
                  <w:divBdr>
                    <w:top w:val="none" w:sz="0" w:space="0" w:color="auto"/>
                    <w:left w:val="none" w:sz="0" w:space="0" w:color="auto"/>
                    <w:bottom w:val="none" w:sz="0" w:space="0" w:color="auto"/>
                    <w:right w:val="none" w:sz="0" w:space="0" w:color="auto"/>
                  </w:divBdr>
                  <w:divsChild>
                    <w:div w:id="1548836546">
                      <w:marLeft w:val="0"/>
                      <w:marRight w:val="0"/>
                      <w:marTop w:val="0"/>
                      <w:marBottom w:val="0"/>
                      <w:divBdr>
                        <w:top w:val="none" w:sz="0" w:space="0" w:color="auto"/>
                        <w:left w:val="none" w:sz="0" w:space="0" w:color="auto"/>
                        <w:bottom w:val="none" w:sz="0" w:space="0" w:color="auto"/>
                        <w:right w:val="none" w:sz="0" w:space="0" w:color="auto"/>
                      </w:divBdr>
                      <w:divsChild>
                        <w:div w:id="15488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21">
      <w:marLeft w:val="0"/>
      <w:marRight w:val="0"/>
      <w:marTop w:val="0"/>
      <w:marBottom w:val="0"/>
      <w:divBdr>
        <w:top w:val="none" w:sz="0" w:space="0" w:color="auto"/>
        <w:left w:val="none" w:sz="0" w:space="0" w:color="auto"/>
        <w:bottom w:val="none" w:sz="0" w:space="0" w:color="auto"/>
        <w:right w:val="none" w:sz="0" w:space="0" w:color="auto"/>
      </w:divBdr>
      <w:divsChild>
        <w:div w:id="1548836694">
          <w:marLeft w:val="0"/>
          <w:marRight w:val="0"/>
          <w:marTop w:val="0"/>
          <w:marBottom w:val="0"/>
          <w:divBdr>
            <w:top w:val="none" w:sz="0" w:space="0" w:color="auto"/>
            <w:left w:val="none" w:sz="0" w:space="0" w:color="auto"/>
            <w:bottom w:val="none" w:sz="0" w:space="0" w:color="auto"/>
            <w:right w:val="none" w:sz="0" w:space="0" w:color="auto"/>
          </w:divBdr>
          <w:divsChild>
            <w:div w:id="1548836663">
              <w:marLeft w:val="0"/>
              <w:marRight w:val="0"/>
              <w:marTop w:val="0"/>
              <w:marBottom w:val="0"/>
              <w:divBdr>
                <w:top w:val="none" w:sz="0" w:space="0" w:color="auto"/>
                <w:left w:val="none" w:sz="0" w:space="0" w:color="auto"/>
                <w:bottom w:val="none" w:sz="0" w:space="0" w:color="auto"/>
                <w:right w:val="none" w:sz="0" w:space="0" w:color="auto"/>
              </w:divBdr>
              <w:divsChild>
                <w:div w:id="1548836665">
                  <w:marLeft w:val="0"/>
                  <w:marRight w:val="0"/>
                  <w:marTop w:val="0"/>
                  <w:marBottom w:val="0"/>
                  <w:divBdr>
                    <w:top w:val="none" w:sz="0" w:space="0" w:color="auto"/>
                    <w:left w:val="none" w:sz="0" w:space="0" w:color="auto"/>
                    <w:bottom w:val="none" w:sz="0" w:space="0" w:color="auto"/>
                    <w:right w:val="none" w:sz="0" w:space="0" w:color="auto"/>
                  </w:divBdr>
                  <w:divsChild>
                    <w:div w:id="1548836668">
                      <w:marLeft w:val="0"/>
                      <w:marRight w:val="0"/>
                      <w:marTop w:val="0"/>
                      <w:marBottom w:val="0"/>
                      <w:divBdr>
                        <w:top w:val="none" w:sz="0" w:space="0" w:color="auto"/>
                        <w:left w:val="none" w:sz="0" w:space="0" w:color="auto"/>
                        <w:bottom w:val="none" w:sz="0" w:space="0" w:color="auto"/>
                        <w:right w:val="none" w:sz="0" w:space="0" w:color="auto"/>
                      </w:divBdr>
                      <w:divsChild>
                        <w:div w:id="1548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27">
      <w:marLeft w:val="0"/>
      <w:marRight w:val="0"/>
      <w:marTop w:val="0"/>
      <w:marBottom w:val="0"/>
      <w:divBdr>
        <w:top w:val="none" w:sz="0" w:space="0" w:color="auto"/>
        <w:left w:val="none" w:sz="0" w:space="0" w:color="auto"/>
        <w:bottom w:val="none" w:sz="0" w:space="0" w:color="auto"/>
        <w:right w:val="none" w:sz="0" w:space="0" w:color="auto"/>
      </w:divBdr>
      <w:divsChild>
        <w:div w:id="1548836561">
          <w:marLeft w:val="0"/>
          <w:marRight w:val="0"/>
          <w:marTop w:val="0"/>
          <w:marBottom w:val="0"/>
          <w:divBdr>
            <w:top w:val="none" w:sz="0" w:space="0" w:color="auto"/>
            <w:left w:val="none" w:sz="0" w:space="0" w:color="auto"/>
            <w:bottom w:val="none" w:sz="0" w:space="0" w:color="auto"/>
            <w:right w:val="none" w:sz="0" w:space="0" w:color="auto"/>
          </w:divBdr>
          <w:divsChild>
            <w:div w:id="1548836564">
              <w:marLeft w:val="0"/>
              <w:marRight w:val="0"/>
              <w:marTop w:val="0"/>
              <w:marBottom w:val="0"/>
              <w:divBdr>
                <w:top w:val="none" w:sz="0" w:space="0" w:color="auto"/>
                <w:left w:val="none" w:sz="0" w:space="0" w:color="auto"/>
                <w:bottom w:val="none" w:sz="0" w:space="0" w:color="auto"/>
                <w:right w:val="none" w:sz="0" w:space="0" w:color="auto"/>
              </w:divBdr>
              <w:divsChild>
                <w:div w:id="1548836547">
                  <w:marLeft w:val="0"/>
                  <w:marRight w:val="0"/>
                  <w:marTop w:val="0"/>
                  <w:marBottom w:val="0"/>
                  <w:divBdr>
                    <w:top w:val="none" w:sz="0" w:space="0" w:color="auto"/>
                    <w:left w:val="none" w:sz="0" w:space="0" w:color="auto"/>
                    <w:bottom w:val="none" w:sz="0" w:space="0" w:color="auto"/>
                    <w:right w:val="none" w:sz="0" w:space="0" w:color="auto"/>
                  </w:divBdr>
                  <w:divsChild>
                    <w:div w:id="1548836733">
                      <w:marLeft w:val="0"/>
                      <w:marRight w:val="0"/>
                      <w:marTop w:val="0"/>
                      <w:marBottom w:val="0"/>
                      <w:divBdr>
                        <w:top w:val="none" w:sz="0" w:space="0" w:color="auto"/>
                        <w:left w:val="none" w:sz="0" w:space="0" w:color="auto"/>
                        <w:bottom w:val="none" w:sz="0" w:space="0" w:color="auto"/>
                        <w:right w:val="none" w:sz="0" w:space="0" w:color="auto"/>
                      </w:divBdr>
                      <w:divsChild>
                        <w:div w:id="1548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31">
      <w:marLeft w:val="0"/>
      <w:marRight w:val="0"/>
      <w:marTop w:val="0"/>
      <w:marBottom w:val="0"/>
      <w:divBdr>
        <w:top w:val="none" w:sz="0" w:space="0" w:color="auto"/>
        <w:left w:val="none" w:sz="0" w:space="0" w:color="auto"/>
        <w:bottom w:val="none" w:sz="0" w:space="0" w:color="auto"/>
        <w:right w:val="none" w:sz="0" w:space="0" w:color="auto"/>
      </w:divBdr>
      <w:divsChild>
        <w:div w:id="1548836619">
          <w:marLeft w:val="0"/>
          <w:marRight w:val="0"/>
          <w:marTop w:val="0"/>
          <w:marBottom w:val="0"/>
          <w:divBdr>
            <w:top w:val="none" w:sz="0" w:space="0" w:color="auto"/>
            <w:left w:val="none" w:sz="0" w:space="0" w:color="auto"/>
            <w:bottom w:val="none" w:sz="0" w:space="0" w:color="auto"/>
            <w:right w:val="none" w:sz="0" w:space="0" w:color="auto"/>
          </w:divBdr>
          <w:divsChild>
            <w:div w:id="1548836696">
              <w:marLeft w:val="0"/>
              <w:marRight w:val="0"/>
              <w:marTop w:val="0"/>
              <w:marBottom w:val="0"/>
              <w:divBdr>
                <w:top w:val="none" w:sz="0" w:space="0" w:color="auto"/>
                <w:left w:val="none" w:sz="0" w:space="0" w:color="auto"/>
                <w:bottom w:val="none" w:sz="0" w:space="0" w:color="auto"/>
                <w:right w:val="none" w:sz="0" w:space="0" w:color="auto"/>
              </w:divBdr>
              <w:divsChild>
                <w:div w:id="1548836655">
                  <w:marLeft w:val="0"/>
                  <w:marRight w:val="0"/>
                  <w:marTop w:val="0"/>
                  <w:marBottom w:val="0"/>
                  <w:divBdr>
                    <w:top w:val="none" w:sz="0" w:space="0" w:color="auto"/>
                    <w:left w:val="none" w:sz="0" w:space="0" w:color="auto"/>
                    <w:bottom w:val="none" w:sz="0" w:space="0" w:color="auto"/>
                    <w:right w:val="none" w:sz="0" w:space="0" w:color="auto"/>
                  </w:divBdr>
                  <w:divsChild>
                    <w:div w:id="1548836549">
                      <w:marLeft w:val="0"/>
                      <w:marRight w:val="0"/>
                      <w:marTop w:val="0"/>
                      <w:marBottom w:val="0"/>
                      <w:divBdr>
                        <w:top w:val="none" w:sz="0" w:space="0" w:color="auto"/>
                        <w:left w:val="none" w:sz="0" w:space="0" w:color="auto"/>
                        <w:bottom w:val="none" w:sz="0" w:space="0" w:color="auto"/>
                        <w:right w:val="none" w:sz="0" w:space="0" w:color="auto"/>
                      </w:divBdr>
                      <w:divsChild>
                        <w:div w:id="15488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33">
      <w:marLeft w:val="0"/>
      <w:marRight w:val="0"/>
      <w:marTop w:val="0"/>
      <w:marBottom w:val="0"/>
      <w:divBdr>
        <w:top w:val="none" w:sz="0" w:space="0" w:color="auto"/>
        <w:left w:val="none" w:sz="0" w:space="0" w:color="auto"/>
        <w:bottom w:val="none" w:sz="0" w:space="0" w:color="auto"/>
        <w:right w:val="none" w:sz="0" w:space="0" w:color="auto"/>
      </w:divBdr>
      <w:divsChild>
        <w:div w:id="1548836736">
          <w:marLeft w:val="0"/>
          <w:marRight w:val="0"/>
          <w:marTop w:val="0"/>
          <w:marBottom w:val="0"/>
          <w:divBdr>
            <w:top w:val="none" w:sz="0" w:space="0" w:color="auto"/>
            <w:left w:val="none" w:sz="0" w:space="0" w:color="auto"/>
            <w:bottom w:val="none" w:sz="0" w:space="0" w:color="auto"/>
            <w:right w:val="none" w:sz="0" w:space="0" w:color="auto"/>
          </w:divBdr>
          <w:divsChild>
            <w:div w:id="1548836720">
              <w:marLeft w:val="0"/>
              <w:marRight w:val="0"/>
              <w:marTop w:val="0"/>
              <w:marBottom w:val="0"/>
              <w:divBdr>
                <w:top w:val="none" w:sz="0" w:space="0" w:color="auto"/>
                <w:left w:val="none" w:sz="0" w:space="0" w:color="auto"/>
                <w:bottom w:val="none" w:sz="0" w:space="0" w:color="auto"/>
                <w:right w:val="none" w:sz="0" w:space="0" w:color="auto"/>
              </w:divBdr>
              <w:divsChild>
                <w:div w:id="1548836666">
                  <w:marLeft w:val="0"/>
                  <w:marRight w:val="0"/>
                  <w:marTop w:val="0"/>
                  <w:marBottom w:val="0"/>
                  <w:divBdr>
                    <w:top w:val="none" w:sz="0" w:space="0" w:color="auto"/>
                    <w:left w:val="none" w:sz="0" w:space="0" w:color="auto"/>
                    <w:bottom w:val="none" w:sz="0" w:space="0" w:color="auto"/>
                    <w:right w:val="none" w:sz="0" w:space="0" w:color="auto"/>
                  </w:divBdr>
                  <w:divsChild>
                    <w:div w:id="1548836541">
                      <w:marLeft w:val="0"/>
                      <w:marRight w:val="0"/>
                      <w:marTop w:val="0"/>
                      <w:marBottom w:val="0"/>
                      <w:divBdr>
                        <w:top w:val="none" w:sz="0" w:space="0" w:color="auto"/>
                        <w:left w:val="none" w:sz="0" w:space="0" w:color="auto"/>
                        <w:bottom w:val="none" w:sz="0" w:space="0" w:color="auto"/>
                        <w:right w:val="none" w:sz="0" w:space="0" w:color="auto"/>
                      </w:divBdr>
                      <w:divsChild>
                        <w:div w:id="15488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41">
      <w:marLeft w:val="0"/>
      <w:marRight w:val="0"/>
      <w:marTop w:val="0"/>
      <w:marBottom w:val="0"/>
      <w:divBdr>
        <w:top w:val="none" w:sz="0" w:space="0" w:color="auto"/>
        <w:left w:val="none" w:sz="0" w:space="0" w:color="auto"/>
        <w:bottom w:val="none" w:sz="0" w:space="0" w:color="auto"/>
        <w:right w:val="none" w:sz="0" w:space="0" w:color="auto"/>
      </w:divBdr>
      <w:divsChild>
        <w:div w:id="1548836617">
          <w:marLeft w:val="0"/>
          <w:marRight w:val="0"/>
          <w:marTop w:val="0"/>
          <w:marBottom w:val="0"/>
          <w:divBdr>
            <w:top w:val="none" w:sz="0" w:space="0" w:color="auto"/>
            <w:left w:val="none" w:sz="0" w:space="0" w:color="auto"/>
            <w:bottom w:val="none" w:sz="0" w:space="0" w:color="auto"/>
            <w:right w:val="none" w:sz="0" w:space="0" w:color="auto"/>
          </w:divBdr>
          <w:divsChild>
            <w:div w:id="1548836582">
              <w:marLeft w:val="0"/>
              <w:marRight w:val="0"/>
              <w:marTop w:val="0"/>
              <w:marBottom w:val="0"/>
              <w:divBdr>
                <w:top w:val="none" w:sz="0" w:space="0" w:color="auto"/>
                <w:left w:val="none" w:sz="0" w:space="0" w:color="auto"/>
                <w:bottom w:val="none" w:sz="0" w:space="0" w:color="auto"/>
                <w:right w:val="none" w:sz="0" w:space="0" w:color="auto"/>
              </w:divBdr>
              <w:divsChild>
                <w:div w:id="1548836688">
                  <w:marLeft w:val="0"/>
                  <w:marRight w:val="0"/>
                  <w:marTop w:val="0"/>
                  <w:marBottom w:val="0"/>
                  <w:divBdr>
                    <w:top w:val="none" w:sz="0" w:space="0" w:color="auto"/>
                    <w:left w:val="none" w:sz="0" w:space="0" w:color="auto"/>
                    <w:bottom w:val="none" w:sz="0" w:space="0" w:color="auto"/>
                    <w:right w:val="none" w:sz="0" w:space="0" w:color="auto"/>
                  </w:divBdr>
                  <w:divsChild>
                    <w:div w:id="1548836615">
                      <w:marLeft w:val="0"/>
                      <w:marRight w:val="0"/>
                      <w:marTop w:val="0"/>
                      <w:marBottom w:val="0"/>
                      <w:divBdr>
                        <w:top w:val="none" w:sz="0" w:space="0" w:color="auto"/>
                        <w:left w:val="none" w:sz="0" w:space="0" w:color="auto"/>
                        <w:bottom w:val="none" w:sz="0" w:space="0" w:color="auto"/>
                        <w:right w:val="none" w:sz="0" w:space="0" w:color="auto"/>
                      </w:divBdr>
                      <w:divsChild>
                        <w:div w:id="15488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47">
      <w:marLeft w:val="0"/>
      <w:marRight w:val="0"/>
      <w:marTop w:val="0"/>
      <w:marBottom w:val="0"/>
      <w:divBdr>
        <w:top w:val="none" w:sz="0" w:space="0" w:color="auto"/>
        <w:left w:val="none" w:sz="0" w:space="0" w:color="auto"/>
        <w:bottom w:val="none" w:sz="0" w:space="0" w:color="auto"/>
        <w:right w:val="none" w:sz="0" w:space="0" w:color="auto"/>
      </w:divBdr>
      <w:divsChild>
        <w:div w:id="1548836584">
          <w:marLeft w:val="0"/>
          <w:marRight w:val="0"/>
          <w:marTop w:val="0"/>
          <w:marBottom w:val="0"/>
          <w:divBdr>
            <w:top w:val="none" w:sz="0" w:space="0" w:color="auto"/>
            <w:left w:val="none" w:sz="0" w:space="0" w:color="auto"/>
            <w:bottom w:val="none" w:sz="0" w:space="0" w:color="auto"/>
            <w:right w:val="none" w:sz="0" w:space="0" w:color="auto"/>
          </w:divBdr>
          <w:divsChild>
            <w:div w:id="1548836623">
              <w:marLeft w:val="0"/>
              <w:marRight w:val="0"/>
              <w:marTop w:val="0"/>
              <w:marBottom w:val="0"/>
              <w:divBdr>
                <w:top w:val="none" w:sz="0" w:space="0" w:color="auto"/>
                <w:left w:val="none" w:sz="0" w:space="0" w:color="auto"/>
                <w:bottom w:val="none" w:sz="0" w:space="0" w:color="auto"/>
                <w:right w:val="none" w:sz="0" w:space="0" w:color="auto"/>
              </w:divBdr>
              <w:divsChild>
                <w:div w:id="1548836661">
                  <w:marLeft w:val="0"/>
                  <w:marRight w:val="0"/>
                  <w:marTop w:val="0"/>
                  <w:marBottom w:val="0"/>
                  <w:divBdr>
                    <w:top w:val="none" w:sz="0" w:space="0" w:color="auto"/>
                    <w:left w:val="none" w:sz="0" w:space="0" w:color="auto"/>
                    <w:bottom w:val="none" w:sz="0" w:space="0" w:color="auto"/>
                    <w:right w:val="none" w:sz="0" w:space="0" w:color="auto"/>
                  </w:divBdr>
                  <w:divsChild>
                    <w:div w:id="1548836689">
                      <w:marLeft w:val="0"/>
                      <w:marRight w:val="0"/>
                      <w:marTop w:val="0"/>
                      <w:marBottom w:val="0"/>
                      <w:divBdr>
                        <w:top w:val="none" w:sz="0" w:space="0" w:color="auto"/>
                        <w:left w:val="none" w:sz="0" w:space="0" w:color="auto"/>
                        <w:bottom w:val="none" w:sz="0" w:space="0" w:color="auto"/>
                        <w:right w:val="none" w:sz="0" w:space="0" w:color="auto"/>
                      </w:divBdr>
                      <w:divsChild>
                        <w:div w:id="15488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51">
      <w:marLeft w:val="0"/>
      <w:marRight w:val="0"/>
      <w:marTop w:val="0"/>
      <w:marBottom w:val="0"/>
      <w:divBdr>
        <w:top w:val="none" w:sz="0" w:space="0" w:color="auto"/>
        <w:left w:val="none" w:sz="0" w:space="0" w:color="auto"/>
        <w:bottom w:val="none" w:sz="0" w:space="0" w:color="auto"/>
        <w:right w:val="none" w:sz="0" w:space="0" w:color="auto"/>
      </w:divBdr>
    </w:div>
    <w:div w:id="1548836677">
      <w:marLeft w:val="0"/>
      <w:marRight w:val="0"/>
      <w:marTop w:val="0"/>
      <w:marBottom w:val="0"/>
      <w:divBdr>
        <w:top w:val="none" w:sz="0" w:space="0" w:color="auto"/>
        <w:left w:val="none" w:sz="0" w:space="0" w:color="auto"/>
        <w:bottom w:val="none" w:sz="0" w:space="0" w:color="auto"/>
        <w:right w:val="none" w:sz="0" w:space="0" w:color="auto"/>
      </w:divBdr>
      <w:divsChild>
        <w:div w:id="1548836664">
          <w:marLeft w:val="0"/>
          <w:marRight w:val="0"/>
          <w:marTop w:val="0"/>
          <w:marBottom w:val="0"/>
          <w:divBdr>
            <w:top w:val="none" w:sz="0" w:space="0" w:color="auto"/>
            <w:left w:val="none" w:sz="0" w:space="0" w:color="auto"/>
            <w:bottom w:val="none" w:sz="0" w:space="0" w:color="auto"/>
            <w:right w:val="none" w:sz="0" w:space="0" w:color="auto"/>
          </w:divBdr>
          <w:divsChild>
            <w:div w:id="1548836607">
              <w:marLeft w:val="0"/>
              <w:marRight w:val="0"/>
              <w:marTop w:val="0"/>
              <w:marBottom w:val="0"/>
              <w:divBdr>
                <w:top w:val="none" w:sz="0" w:space="0" w:color="auto"/>
                <w:left w:val="none" w:sz="0" w:space="0" w:color="auto"/>
                <w:bottom w:val="none" w:sz="0" w:space="0" w:color="auto"/>
                <w:right w:val="none" w:sz="0" w:space="0" w:color="auto"/>
              </w:divBdr>
              <w:divsChild>
                <w:div w:id="1548836586">
                  <w:marLeft w:val="0"/>
                  <w:marRight w:val="0"/>
                  <w:marTop w:val="0"/>
                  <w:marBottom w:val="0"/>
                  <w:divBdr>
                    <w:top w:val="none" w:sz="0" w:space="0" w:color="auto"/>
                    <w:left w:val="none" w:sz="0" w:space="0" w:color="auto"/>
                    <w:bottom w:val="none" w:sz="0" w:space="0" w:color="auto"/>
                    <w:right w:val="none" w:sz="0" w:space="0" w:color="auto"/>
                  </w:divBdr>
                  <w:divsChild>
                    <w:div w:id="1548836611">
                      <w:marLeft w:val="0"/>
                      <w:marRight w:val="0"/>
                      <w:marTop w:val="0"/>
                      <w:marBottom w:val="0"/>
                      <w:divBdr>
                        <w:top w:val="none" w:sz="0" w:space="0" w:color="auto"/>
                        <w:left w:val="none" w:sz="0" w:space="0" w:color="auto"/>
                        <w:bottom w:val="none" w:sz="0" w:space="0" w:color="auto"/>
                        <w:right w:val="none" w:sz="0" w:space="0" w:color="auto"/>
                      </w:divBdr>
                      <w:divsChild>
                        <w:div w:id="1548836552">
                          <w:marLeft w:val="0"/>
                          <w:marRight w:val="0"/>
                          <w:marTop w:val="0"/>
                          <w:marBottom w:val="0"/>
                          <w:divBdr>
                            <w:top w:val="none" w:sz="0" w:space="0" w:color="auto"/>
                            <w:left w:val="none" w:sz="0" w:space="0" w:color="auto"/>
                            <w:bottom w:val="none" w:sz="0" w:space="0" w:color="auto"/>
                            <w:right w:val="none" w:sz="0" w:space="0" w:color="auto"/>
                          </w:divBdr>
                          <w:divsChild>
                            <w:div w:id="15488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680">
      <w:marLeft w:val="0"/>
      <w:marRight w:val="0"/>
      <w:marTop w:val="0"/>
      <w:marBottom w:val="0"/>
      <w:divBdr>
        <w:top w:val="none" w:sz="0" w:space="0" w:color="auto"/>
        <w:left w:val="none" w:sz="0" w:space="0" w:color="auto"/>
        <w:bottom w:val="none" w:sz="0" w:space="0" w:color="auto"/>
        <w:right w:val="none" w:sz="0" w:space="0" w:color="auto"/>
      </w:divBdr>
      <w:divsChild>
        <w:div w:id="1548836705">
          <w:marLeft w:val="0"/>
          <w:marRight w:val="0"/>
          <w:marTop w:val="0"/>
          <w:marBottom w:val="0"/>
          <w:divBdr>
            <w:top w:val="none" w:sz="0" w:space="0" w:color="auto"/>
            <w:left w:val="none" w:sz="0" w:space="0" w:color="auto"/>
            <w:bottom w:val="none" w:sz="0" w:space="0" w:color="auto"/>
            <w:right w:val="none" w:sz="0" w:space="0" w:color="auto"/>
          </w:divBdr>
          <w:divsChild>
            <w:div w:id="1548836712">
              <w:marLeft w:val="0"/>
              <w:marRight w:val="0"/>
              <w:marTop w:val="0"/>
              <w:marBottom w:val="0"/>
              <w:divBdr>
                <w:top w:val="none" w:sz="0" w:space="0" w:color="auto"/>
                <w:left w:val="none" w:sz="0" w:space="0" w:color="auto"/>
                <w:bottom w:val="none" w:sz="0" w:space="0" w:color="auto"/>
                <w:right w:val="none" w:sz="0" w:space="0" w:color="auto"/>
              </w:divBdr>
              <w:divsChild>
                <w:div w:id="1548836718">
                  <w:marLeft w:val="0"/>
                  <w:marRight w:val="0"/>
                  <w:marTop w:val="0"/>
                  <w:marBottom w:val="0"/>
                  <w:divBdr>
                    <w:top w:val="none" w:sz="0" w:space="0" w:color="auto"/>
                    <w:left w:val="none" w:sz="0" w:space="0" w:color="auto"/>
                    <w:bottom w:val="none" w:sz="0" w:space="0" w:color="auto"/>
                    <w:right w:val="none" w:sz="0" w:space="0" w:color="auto"/>
                  </w:divBdr>
                  <w:divsChild>
                    <w:div w:id="1548836613">
                      <w:marLeft w:val="0"/>
                      <w:marRight w:val="0"/>
                      <w:marTop w:val="0"/>
                      <w:marBottom w:val="0"/>
                      <w:divBdr>
                        <w:top w:val="none" w:sz="0" w:space="0" w:color="auto"/>
                        <w:left w:val="none" w:sz="0" w:space="0" w:color="auto"/>
                        <w:bottom w:val="none" w:sz="0" w:space="0" w:color="auto"/>
                        <w:right w:val="none" w:sz="0" w:space="0" w:color="auto"/>
                      </w:divBdr>
                      <w:divsChild>
                        <w:div w:id="15488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81">
      <w:marLeft w:val="0"/>
      <w:marRight w:val="0"/>
      <w:marTop w:val="0"/>
      <w:marBottom w:val="0"/>
      <w:divBdr>
        <w:top w:val="none" w:sz="0" w:space="0" w:color="auto"/>
        <w:left w:val="none" w:sz="0" w:space="0" w:color="auto"/>
        <w:bottom w:val="none" w:sz="0" w:space="0" w:color="auto"/>
        <w:right w:val="none" w:sz="0" w:space="0" w:color="auto"/>
      </w:divBdr>
      <w:divsChild>
        <w:div w:id="1548836565">
          <w:marLeft w:val="0"/>
          <w:marRight w:val="0"/>
          <w:marTop w:val="0"/>
          <w:marBottom w:val="0"/>
          <w:divBdr>
            <w:top w:val="none" w:sz="0" w:space="0" w:color="auto"/>
            <w:left w:val="none" w:sz="0" w:space="0" w:color="auto"/>
            <w:bottom w:val="none" w:sz="0" w:space="0" w:color="auto"/>
            <w:right w:val="none" w:sz="0" w:space="0" w:color="auto"/>
          </w:divBdr>
          <w:divsChild>
            <w:div w:id="1548836656">
              <w:marLeft w:val="0"/>
              <w:marRight w:val="0"/>
              <w:marTop w:val="0"/>
              <w:marBottom w:val="0"/>
              <w:divBdr>
                <w:top w:val="none" w:sz="0" w:space="0" w:color="auto"/>
                <w:left w:val="none" w:sz="0" w:space="0" w:color="auto"/>
                <w:bottom w:val="none" w:sz="0" w:space="0" w:color="auto"/>
                <w:right w:val="none" w:sz="0" w:space="0" w:color="auto"/>
              </w:divBdr>
              <w:divsChild>
                <w:div w:id="1548836708">
                  <w:marLeft w:val="0"/>
                  <w:marRight w:val="0"/>
                  <w:marTop w:val="0"/>
                  <w:marBottom w:val="0"/>
                  <w:divBdr>
                    <w:top w:val="none" w:sz="0" w:space="0" w:color="auto"/>
                    <w:left w:val="none" w:sz="0" w:space="0" w:color="auto"/>
                    <w:bottom w:val="none" w:sz="0" w:space="0" w:color="auto"/>
                    <w:right w:val="none" w:sz="0" w:space="0" w:color="auto"/>
                  </w:divBdr>
                  <w:divsChild>
                    <w:div w:id="1548836644">
                      <w:marLeft w:val="0"/>
                      <w:marRight w:val="0"/>
                      <w:marTop w:val="0"/>
                      <w:marBottom w:val="0"/>
                      <w:divBdr>
                        <w:top w:val="none" w:sz="0" w:space="0" w:color="auto"/>
                        <w:left w:val="none" w:sz="0" w:space="0" w:color="auto"/>
                        <w:bottom w:val="none" w:sz="0" w:space="0" w:color="auto"/>
                        <w:right w:val="none" w:sz="0" w:space="0" w:color="auto"/>
                      </w:divBdr>
                      <w:divsChild>
                        <w:div w:id="15488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00">
      <w:marLeft w:val="0"/>
      <w:marRight w:val="0"/>
      <w:marTop w:val="0"/>
      <w:marBottom w:val="0"/>
      <w:divBdr>
        <w:top w:val="none" w:sz="0" w:space="0" w:color="auto"/>
        <w:left w:val="none" w:sz="0" w:space="0" w:color="auto"/>
        <w:bottom w:val="none" w:sz="0" w:space="0" w:color="auto"/>
        <w:right w:val="none" w:sz="0" w:space="0" w:color="auto"/>
      </w:divBdr>
      <w:divsChild>
        <w:div w:id="1548836662">
          <w:marLeft w:val="0"/>
          <w:marRight w:val="0"/>
          <w:marTop w:val="0"/>
          <w:marBottom w:val="0"/>
          <w:divBdr>
            <w:top w:val="none" w:sz="0" w:space="0" w:color="auto"/>
            <w:left w:val="none" w:sz="0" w:space="0" w:color="auto"/>
            <w:bottom w:val="none" w:sz="0" w:space="0" w:color="auto"/>
            <w:right w:val="none" w:sz="0" w:space="0" w:color="auto"/>
          </w:divBdr>
          <w:divsChild>
            <w:div w:id="1548836659">
              <w:marLeft w:val="0"/>
              <w:marRight w:val="0"/>
              <w:marTop w:val="0"/>
              <w:marBottom w:val="0"/>
              <w:divBdr>
                <w:top w:val="none" w:sz="0" w:space="0" w:color="auto"/>
                <w:left w:val="none" w:sz="0" w:space="0" w:color="auto"/>
                <w:bottom w:val="none" w:sz="0" w:space="0" w:color="auto"/>
                <w:right w:val="none" w:sz="0" w:space="0" w:color="auto"/>
              </w:divBdr>
              <w:divsChild>
                <w:div w:id="1548836625">
                  <w:marLeft w:val="0"/>
                  <w:marRight w:val="0"/>
                  <w:marTop w:val="0"/>
                  <w:marBottom w:val="0"/>
                  <w:divBdr>
                    <w:top w:val="none" w:sz="0" w:space="0" w:color="auto"/>
                    <w:left w:val="none" w:sz="0" w:space="0" w:color="auto"/>
                    <w:bottom w:val="none" w:sz="0" w:space="0" w:color="auto"/>
                    <w:right w:val="none" w:sz="0" w:space="0" w:color="auto"/>
                  </w:divBdr>
                  <w:divsChild>
                    <w:div w:id="1548836645">
                      <w:marLeft w:val="0"/>
                      <w:marRight w:val="0"/>
                      <w:marTop w:val="0"/>
                      <w:marBottom w:val="0"/>
                      <w:divBdr>
                        <w:top w:val="none" w:sz="0" w:space="0" w:color="auto"/>
                        <w:left w:val="none" w:sz="0" w:space="0" w:color="auto"/>
                        <w:bottom w:val="none" w:sz="0" w:space="0" w:color="auto"/>
                        <w:right w:val="none" w:sz="0" w:space="0" w:color="auto"/>
                      </w:divBdr>
                      <w:divsChild>
                        <w:div w:id="15488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03">
      <w:marLeft w:val="0"/>
      <w:marRight w:val="0"/>
      <w:marTop w:val="0"/>
      <w:marBottom w:val="0"/>
      <w:divBdr>
        <w:top w:val="none" w:sz="0" w:space="0" w:color="auto"/>
        <w:left w:val="none" w:sz="0" w:space="0" w:color="auto"/>
        <w:bottom w:val="none" w:sz="0" w:space="0" w:color="auto"/>
        <w:right w:val="none" w:sz="0" w:space="0" w:color="auto"/>
      </w:divBdr>
      <w:divsChild>
        <w:div w:id="1548836704">
          <w:marLeft w:val="0"/>
          <w:marRight w:val="0"/>
          <w:marTop w:val="0"/>
          <w:marBottom w:val="0"/>
          <w:divBdr>
            <w:top w:val="none" w:sz="0" w:space="0" w:color="auto"/>
            <w:left w:val="none" w:sz="0" w:space="0" w:color="auto"/>
            <w:bottom w:val="none" w:sz="0" w:space="0" w:color="auto"/>
            <w:right w:val="none" w:sz="0" w:space="0" w:color="auto"/>
          </w:divBdr>
          <w:divsChild>
            <w:div w:id="1548836670">
              <w:marLeft w:val="0"/>
              <w:marRight w:val="0"/>
              <w:marTop w:val="0"/>
              <w:marBottom w:val="0"/>
              <w:divBdr>
                <w:top w:val="none" w:sz="0" w:space="0" w:color="auto"/>
                <w:left w:val="none" w:sz="0" w:space="0" w:color="auto"/>
                <w:bottom w:val="none" w:sz="0" w:space="0" w:color="auto"/>
                <w:right w:val="none" w:sz="0" w:space="0" w:color="auto"/>
              </w:divBdr>
              <w:divsChild>
                <w:div w:id="1548836697">
                  <w:marLeft w:val="0"/>
                  <w:marRight w:val="0"/>
                  <w:marTop w:val="0"/>
                  <w:marBottom w:val="0"/>
                  <w:divBdr>
                    <w:top w:val="none" w:sz="0" w:space="0" w:color="auto"/>
                    <w:left w:val="none" w:sz="0" w:space="0" w:color="auto"/>
                    <w:bottom w:val="none" w:sz="0" w:space="0" w:color="auto"/>
                    <w:right w:val="none" w:sz="0" w:space="0" w:color="auto"/>
                  </w:divBdr>
                  <w:divsChild>
                    <w:div w:id="1548836727">
                      <w:marLeft w:val="0"/>
                      <w:marRight w:val="0"/>
                      <w:marTop w:val="0"/>
                      <w:marBottom w:val="0"/>
                      <w:divBdr>
                        <w:top w:val="none" w:sz="0" w:space="0" w:color="auto"/>
                        <w:left w:val="none" w:sz="0" w:space="0" w:color="auto"/>
                        <w:bottom w:val="none" w:sz="0" w:space="0" w:color="auto"/>
                        <w:right w:val="none" w:sz="0" w:space="0" w:color="auto"/>
                      </w:divBdr>
                      <w:divsChild>
                        <w:div w:id="15488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13">
      <w:marLeft w:val="0"/>
      <w:marRight w:val="0"/>
      <w:marTop w:val="0"/>
      <w:marBottom w:val="0"/>
      <w:divBdr>
        <w:top w:val="none" w:sz="0" w:space="0" w:color="auto"/>
        <w:left w:val="none" w:sz="0" w:space="0" w:color="auto"/>
        <w:bottom w:val="none" w:sz="0" w:space="0" w:color="auto"/>
        <w:right w:val="none" w:sz="0" w:space="0" w:color="auto"/>
      </w:divBdr>
      <w:divsChild>
        <w:div w:id="1548836587">
          <w:marLeft w:val="0"/>
          <w:marRight w:val="0"/>
          <w:marTop w:val="0"/>
          <w:marBottom w:val="0"/>
          <w:divBdr>
            <w:top w:val="none" w:sz="0" w:space="0" w:color="auto"/>
            <w:left w:val="none" w:sz="0" w:space="0" w:color="auto"/>
            <w:bottom w:val="none" w:sz="0" w:space="0" w:color="auto"/>
            <w:right w:val="none" w:sz="0" w:space="0" w:color="auto"/>
          </w:divBdr>
          <w:divsChild>
            <w:div w:id="1548836639">
              <w:marLeft w:val="0"/>
              <w:marRight w:val="0"/>
              <w:marTop w:val="0"/>
              <w:marBottom w:val="0"/>
              <w:divBdr>
                <w:top w:val="none" w:sz="0" w:space="0" w:color="auto"/>
                <w:left w:val="none" w:sz="0" w:space="0" w:color="auto"/>
                <w:bottom w:val="none" w:sz="0" w:space="0" w:color="auto"/>
                <w:right w:val="none" w:sz="0" w:space="0" w:color="auto"/>
              </w:divBdr>
              <w:divsChild>
                <w:div w:id="1548836642">
                  <w:marLeft w:val="0"/>
                  <w:marRight w:val="0"/>
                  <w:marTop w:val="0"/>
                  <w:marBottom w:val="0"/>
                  <w:divBdr>
                    <w:top w:val="none" w:sz="0" w:space="0" w:color="auto"/>
                    <w:left w:val="none" w:sz="0" w:space="0" w:color="auto"/>
                    <w:bottom w:val="none" w:sz="0" w:space="0" w:color="auto"/>
                    <w:right w:val="none" w:sz="0" w:space="0" w:color="auto"/>
                  </w:divBdr>
                  <w:divsChild>
                    <w:div w:id="1548836604">
                      <w:marLeft w:val="0"/>
                      <w:marRight w:val="0"/>
                      <w:marTop w:val="0"/>
                      <w:marBottom w:val="0"/>
                      <w:divBdr>
                        <w:top w:val="none" w:sz="0" w:space="0" w:color="auto"/>
                        <w:left w:val="none" w:sz="0" w:space="0" w:color="auto"/>
                        <w:bottom w:val="none" w:sz="0" w:space="0" w:color="auto"/>
                        <w:right w:val="none" w:sz="0" w:space="0" w:color="auto"/>
                      </w:divBdr>
                      <w:divsChild>
                        <w:div w:id="1548836616">
                          <w:marLeft w:val="0"/>
                          <w:marRight w:val="0"/>
                          <w:marTop w:val="0"/>
                          <w:marBottom w:val="0"/>
                          <w:divBdr>
                            <w:top w:val="none" w:sz="0" w:space="0" w:color="auto"/>
                            <w:left w:val="none" w:sz="0" w:space="0" w:color="auto"/>
                            <w:bottom w:val="none" w:sz="0" w:space="0" w:color="auto"/>
                            <w:right w:val="none" w:sz="0" w:space="0" w:color="auto"/>
                          </w:divBdr>
                          <w:divsChild>
                            <w:div w:id="15488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714">
      <w:marLeft w:val="0"/>
      <w:marRight w:val="0"/>
      <w:marTop w:val="0"/>
      <w:marBottom w:val="0"/>
      <w:divBdr>
        <w:top w:val="none" w:sz="0" w:space="0" w:color="auto"/>
        <w:left w:val="none" w:sz="0" w:space="0" w:color="auto"/>
        <w:bottom w:val="none" w:sz="0" w:space="0" w:color="auto"/>
        <w:right w:val="none" w:sz="0" w:space="0" w:color="auto"/>
      </w:divBdr>
      <w:divsChild>
        <w:div w:id="1548836734">
          <w:marLeft w:val="0"/>
          <w:marRight w:val="0"/>
          <w:marTop w:val="0"/>
          <w:marBottom w:val="0"/>
          <w:divBdr>
            <w:top w:val="none" w:sz="0" w:space="0" w:color="auto"/>
            <w:left w:val="none" w:sz="0" w:space="0" w:color="auto"/>
            <w:bottom w:val="none" w:sz="0" w:space="0" w:color="auto"/>
            <w:right w:val="none" w:sz="0" w:space="0" w:color="auto"/>
          </w:divBdr>
          <w:divsChild>
            <w:div w:id="1548836643">
              <w:marLeft w:val="0"/>
              <w:marRight w:val="0"/>
              <w:marTop w:val="0"/>
              <w:marBottom w:val="0"/>
              <w:divBdr>
                <w:top w:val="none" w:sz="0" w:space="0" w:color="auto"/>
                <w:left w:val="none" w:sz="0" w:space="0" w:color="auto"/>
                <w:bottom w:val="none" w:sz="0" w:space="0" w:color="auto"/>
                <w:right w:val="none" w:sz="0" w:space="0" w:color="auto"/>
              </w:divBdr>
              <w:divsChild>
                <w:div w:id="1548836658">
                  <w:marLeft w:val="0"/>
                  <w:marRight w:val="0"/>
                  <w:marTop w:val="0"/>
                  <w:marBottom w:val="0"/>
                  <w:divBdr>
                    <w:top w:val="none" w:sz="0" w:space="0" w:color="auto"/>
                    <w:left w:val="none" w:sz="0" w:space="0" w:color="auto"/>
                    <w:bottom w:val="none" w:sz="0" w:space="0" w:color="auto"/>
                    <w:right w:val="none" w:sz="0" w:space="0" w:color="auto"/>
                  </w:divBdr>
                  <w:divsChild>
                    <w:div w:id="1548836537">
                      <w:marLeft w:val="0"/>
                      <w:marRight w:val="0"/>
                      <w:marTop w:val="0"/>
                      <w:marBottom w:val="0"/>
                      <w:divBdr>
                        <w:top w:val="none" w:sz="0" w:space="0" w:color="auto"/>
                        <w:left w:val="none" w:sz="0" w:space="0" w:color="auto"/>
                        <w:bottom w:val="none" w:sz="0" w:space="0" w:color="auto"/>
                        <w:right w:val="none" w:sz="0" w:space="0" w:color="auto"/>
                      </w:divBdr>
                      <w:divsChild>
                        <w:div w:id="15488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16">
      <w:marLeft w:val="0"/>
      <w:marRight w:val="0"/>
      <w:marTop w:val="0"/>
      <w:marBottom w:val="0"/>
      <w:divBdr>
        <w:top w:val="none" w:sz="0" w:space="0" w:color="auto"/>
        <w:left w:val="none" w:sz="0" w:space="0" w:color="auto"/>
        <w:bottom w:val="none" w:sz="0" w:space="0" w:color="auto"/>
        <w:right w:val="none" w:sz="0" w:space="0" w:color="auto"/>
      </w:divBdr>
      <w:divsChild>
        <w:div w:id="1548836731">
          <w:marLeft w:val="0"/>
          <w:marRight w:val="0"/>
          <w:marTop w:val="0"/>
          <w:marBottom w:val="0"/>
          <w:divBdr>
            <w:top w:val="none" w:sz="0" w:space="0" w:color="auto"/>
            <w:left w:val="none" w:sz="0" w:space="0" w:color="auto"/>
            <w:bottom w:val="none" w:sz="0" w:space="0" w:color="auto"/>
            <w:right w:val="none" w:sz="0" w:space="0" w:color="auto"/>
          </w:divBdr>
          <w:divsChild>
            <w:div w:id="1548836674">
              <w:marLeft w:val="0"/>
              <w:marRight w:val="0"/>
              <w:marTop w:val="0"/>
              <w:marBottom w:val="0"/>
              <w:divBdr>
                <w:top w:val="none" w:sz="0" w:space="0" w:color="auto"/>
                <w:left w:val="none" w:sz="0" w:space="0" w:color="auto"/>
                <w:bottom w:val="none" w:sz="0" w:space="0" w:color="auto"/>
                <w:right w:val="none" w:sz="0" w:space="0" w:color="auto"/>
              </w:divBdr>
              <w:divsChild>
                <w:div w:id="1548836629">
                  <w:marLeft w:val="0"/>
                  <w:marRight w:val="0"/>
                  <w:marTop w:val="0"/>
                  <w:marBottom w:val="0"/>
                  <w:divBdr>
                    <w:top w:val="none" w:sz="0" w:space="0" w:color="auto"/>
                    <w:left w:val="none" w:sz="0" w:space="0" w:color="auto"/>
                    <w:bottom w:val="none" w:sz="0" w:space="0" w:color="auto"/>
                    <w:right w:val="none" w:sz="0" w:space="0" w:color="auto"/>
                  </w:divBdr>
                  <w:divsChild>
                    <w:div w:id="1548836533">
                      <w:marLeft w:val="0"/>
                      <w:marRight w:val="0"/>
                      <w:marTop w:val="0"/>
                      <w:marBottom w:val="0"/>
                      <w:divBdr>
                        <w:top w:val="none" w:sz="0" w:space="0" w:color="auto"/>
                        <w:left w:val="none" w:sz="0" w:space="0" w:color="auto"/>
                        <w:bottom w:val="none" w:sz="0" w:space="0" w:color="auto"/>
                        <w:right w:val="none" w:sz="0" w:space="0" w:color="auto"/>
                      </w:divBdr>
                      <w:divsChild>
                        <w:div w:id="1548836594">
                          <w:marLeft w:val="0"/>
                          <w:marRight w:val="0"/>
                          <w:marTop w:val="0"/>
                          <w:marBottom w:val="0"/>
                          <w:divBdr>
                            <w:top w:val="none" w:sz="0" w:space="0" w:color="auto"/>
                            <w:left w:val="none" w:sz="0" w:space="0" w:color="auto"/>
                            <w:bottom w:val="none" w:sz="0" w:space="0" w:color="auto"/>
                            <w:right w:val="none" w:sz="0" w:space="0" w:color="auto"/>
                          </w:divBdr>
                          <w:divsChild>
                            <w:div w:id="1548836555">
                              <w:marLeft w:val="0"/>
                              <w:marRight w:val="0"/>
                              <w:marTop w:val="0"/>
                              <w:marBottom w:val="0"/>
                              <w:divBdr>
                                <w:top w:val="none" w:sz="0" w:space="0" w:color="auto"/>
                                <w:left w:val="none" w:sz="0" w:space="0" w:color="auto"/>
                                <w:bottom w:val="none" w:sz="0" w:space="0" w:color="auto"/>
                                <w:right w:val="none" w:sz="0" w:space="0" w:color="auto"/>
                              </w:divBdr>
                            </w:div>
                            <w:div w:id="15488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717">
      <w:marLeft w:val="0"/>
      <w:marRight w:val="0"/>
      <w:marTop w:val="0"/>
      <w:marBottom w:val="0"/>
      <w:divBdr>
        <w:top w:val="none" w:sz="0" w:space="0" w:color="auto"/>
        <w:left w:val="none" w:sz="0" w:space="0" w:color="auto"/>
        <w:bottom w:val="none" w:sz="0" w:space="0" w:color="auto"/>
        <w:right w:val="none" w:sz="0" w:space="0" w:color="auto"/>
      </w:divBdr>
      <w:divsChild>
        <w:div w:id="1548836691">
          <w:marLeft w:val="0"/>
          <w:marRight w:val="0"/>
          <w:marTop w:val="0"/>
          <w:marBottom w:val="0"/>
          <w:divBdr>
            <w:top w:val="none" w:sz="0" w:space="0" w:color="auto"/>
            <w:left w:val="none" w:sz="0" w:space="0" w:color="auto"/>
            <w:bottom w:val="none" w:sz="0" w:space="0" w:color="auto"/>
            <w:right w:val="none" w:sz="0" w:space="0" w:color="auto"/>
          </w:divBdr>
          <w:divsChild>
            <w:div w:id="1548836715">
              <w:marLeft w:val="0"/>
              <w:marRight w:val="0"/>
              <w:marTop w:val="0"/>
              <w:marBottom w:val="0"/>
              <w:divBdr>
                <w:top w:val="none" w:sz="0" w:space="0" w:color="auto"/>
                <w:left w:val="none" w:sz="0" w:space="0" w:color="auto"/>
                <w:bottom w:val="none" w:sz="0" w:space="0" w:color="auto"/>
                <w:right w:val="none" w:sz="0" w:space="0" w:color="auto"/>
              </w:divBdr>
              <w:divsChild>
                <w:div w:id="1548836624">
                  <w:marLeft w:val="0"/>
                  <w:marRight w:val="0"/>
                  <w:marTop w:val="0"/>
                  <w:marBottom w:val="0"/>
                  <w:divBdr>
                    <w:top w:val="none" w:sz="0" w:space="0" w:color="auto"/>
                    <w:left w:val="none" w:sz="0" w:space="0" w:color="auto"/>
                    <w:bottom w:val="none" w:sz="0" w:space="0" w:color="auto"/>
                    <w:right w:val="none" w:sz="0" w:space="0" w:color="auto"/>
                  </w:divBdr>
                  <w:divsChild>
                    <w:div w:id="1548836728">
                      <w:marLeft w:val="0"/>
                      <w:marRight w:val="0"/>
                      <w:marTop w:val="0"/>
                      <w:marBottom w:val="0"/>
                      <w:divBdr>
                        <w:top w:val="none" w:sz="0" w:space="0" w:color="auto"/>
                        <w:left w:val="none" w:sz="0" w:space="0" w:color="auto"/>
                        <w:bottom w:val="none" w:sz="0" w:space="0" w:color="auto"/>
                        <w:right w:val="none" w:sz="0" w:space="0" w:color="auto"/>
                      </w:divBdr>
                      <w:divsChild>
                        <w:div w:id="1548836556">
                          <w:marLeft w:val="0"/>
                          <w:marRight w:val="0"/>
                          <w:marTop w:val="0"/>
                          <w:marBottom w:val="0"/>
                          <w:divBdr>
                            <w:top w:val="none" w:sz="0" w:space="0" w:color="auto"/>
                            <w:left w:val="none" w:sz="0" w:space="0" w:color="auto"/>
                            <w:bottom w:val="none" w:sz="0" w:space="0" w:color="auto"/>
                            <w:right w:val="none" w:sz="0" w:space="0" w:color="auto"/>
                          </w:divBdr>
                          <w:divsChild>
                            <w:div w:id="1548836553">
                              <w:marLeft w:val="0"/>
                              <w:marRight w:val="0"/>
                              <w:marTop w:val="0"/>
                              <w:marBottom w:val="0"/>
                              <w:divBdr>
                                <w:top w:val="none" w:sz="0" w:space="0" w:color="auto"/>
                                <w:left w:val="none" w:sz="0" w:space="0" w:color="auto"/>
                                <w:bottom w:val="none" w:sz="0" w:space="0" w:color="auto"/>
                                <w:right w:val="none" w:sz="0" w:space="0" w:color="auto"/>
                              </w:divBdr>
                            </w:div>
                            <w:div w:id="15488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719">
      <w:marLeft w:val="0"/>
      <w:marRight w:val="0"/>
      <w:marTop w:val="0"/>
      <w:marBottom w:val="0"/>
      <w:divBdr>
        <w:top w:val="none" w:sz="0" w:space="0" w:color="auto"/>
        <w:left w:val="none" w:sz="0" w:space="0" w:color="auto"/>
        <w:bottom w:val="none" w:sz="0" w:space="0" w:color="auto"/>
        <w:right w:val="none" w:sz="0" w:space="0" w:color="auto"/>
      </w:divBdr>
      <w:divsChild>
        <w:div w:id="1548836558">
          <w:marLeft w:val="0"/>
          <w:marRight w:val="0"/>
          <w:marTop w:val="0"/>
          <w:marBottom w:val="0"/>
          <w:divBdr>
            <w:top w:val="none" w:sz="0" w:space="0" w:color="auto"/>
            <w:left w:val="none" w:sz="0" w:space="0" w:color="auto"/>
            <w:bottom w:val="none" w:sz="0" w:space="0" w:color="auto"/>
            <w:right w:val="none" w:sz="0" w:space="0" w:color="auto"/>
          </w:divBdr>
          <w:divsChild>
            <w:div w:id="1548836612">
              <w:marLeft w:val="0"/>
              <w:marRight w:val="0"/>
              <w:marTop w:val="0"/>
              <w:marBottom w:val="0"/>
              <w:divBdr>
                <w:top w:val="none" w:sz="0" w:space="0" w:color="auto"/>
                <w:left w:val="none" w:sz="0" w:space="0" w:color="auto"/>
                <w:bottom w:val="none" w:sz="0" w:space="0" w:color="auto"/>
                <w:right w:val="none" w:sz="0" w:space="0" w:color="auto"/>
              </w:divBdr>
              <w:divsChild>
                <w:div w:id="1548836535">
                  <w:marLeft w:val="0"/>
                  <w:marRight w:val="0"/>
                  <w:marTop w:val="0"/>
                  <w:marBottom w:val="0"/>
                  <w:divBdr>
                    <w:top w:val="none" w:sz="0" w:space="0" w:color="auto"/>
                    <w:left w:val="none" w:sz="0" w:space="0" w:color="auto"/>
                    <w:bottom w:val="none" w:sz="0" w:space="0" w:color="auto"/>
                    <w:right w:val="none" w:sz="0" w:space="0" w:color="auto"/>
                  </w:divBdr>
                  <w:divsChild>
                    <w:div w:id="1548836620">
                      <w:marLeft w:val="0"/>
                      <w:marRight w:val="0"/>
                      <w:marTop w:val="0"/>
                      <w:marBottom w:val="0"/>
                      <w:divBdr>
                        <w:top w:val="none" w:sz="0" w:space="0" w:color="auto"/>
                        <w:left w:val="none" w:sz="0" w:space="0" w:color="auto"/>
                        <w:bottom w:val="none" w:sz="0" w:space="0" w:color="auto"/>
                        <w:right w:val="none" w:sz="0" w:space="0" w:color="auto"/>
                      </w:divBdr>
                      <w:divsChild>
                        <w:div w:id="15488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32">
      <w:marLeft w:val="0"/>
      <w:marRight w:val="0"/>
      <w:marTop w:val="0"/>
      <w:marBottom w:val="0"/>
      <w:divBdr>
        <w:top w:val="none" w:sz="0" w:space="0" w:color="auto"/>
        <w:left w:val="none" w:sz="0" w:space="0" w:color="auto"/>
        <w:bottom w:val="none" w:sz="0" w:space="0" w:color="auto"/>
        <w:right w:val="none" w:sz="0" w:space="0" w:color="auto"/>
      </w:divBdr>
      <w:divsChild>
        <w:div w:id="1548836638">
          <w:marLeft w:val="0"/>
          <w:marRight w:val="0"/>
          <w:marTop w:val="0"/>
          <w:marBottom w:val="0"/>
          <w:divBdr>
            <w:top w:val="none" w:sz="0" w:space="0" w:color="auto"/>
            <w:left w:val="none" w:sz="0" w:space="0" w:color="auto"/>
            <w:bottom w:val="none" w:sz="0" w:space="0" w:color="auto"/>
            <w:right w:val="none" w:sz="0" w:space="0" w:color="auto"/>
          </w:divBdr>
          <w:divsChild>
            <w:div w:id="1548836709">
              <w:marLeft w:val="0"/>
              <w:marRight w:val="0"/>
              <w:marTop w:val="0"/>
              <w:marBottom w:val="0"/>
              <w:divBdr>
                <w:top w:val="none" w:sz="0" w:space="0" w:color="auto"/>
                <w:left w:val="none" w:sz="0" w:space="0" w:color="auto"/>
                <w:bottom w:val="none" w:sz="0" w:space="0" w:color="auto"/>
                <w:right w:val="none" w:sz="0" w:space="0" w:color="auto"/>
              </w:divBdr>
              <w:divsChild>
                <w:div w:id="1548836683">
                  <w:marLeft w:val="0"/>
                  <w:marRight w:val="0"/>
                  <w:marTop w:val="0"/>
                  <w:marBottom w:val="0"/>
                  <w:divBdr>
                    <w:top w:val="none" w:sz="0" w:space="0" w:color="auto"/>
                    <w:left w:val="none" w:sz="0" w:space="0" w:color="auto"/>
                    <w:bottom w:val="none" w:sz="0" w:space="0" w:color="auto"/>
                    <w:right w:val="none" w:sz="0" w:space="0" w:color="auto"/>
                  </w:divBdr>
                  <w:divsChild>
                    <w:div w:id="1548836702">
                      <w:marLeft w:val="0"/>
                      <w:marRight w:val="0"/>
                      <w:marTop w:val="0"/>
                      <w:marBottom w:val="0"/>
                      <w:divBdr>
                        <w:top w:val="none" w:sz="0" w:space="0" w:color="auto"/>
                        <w:left w:val="none" w:sz="0" w:space="0" w:color="auto"/>
                        <w:bottom w:val="none" w:sz="0" w:space="0" w:color="auto"/>
                        <w:right w:val="none" w:sz="0" w:space="0" w:color="auto"/>
                      </w:divBdr>
                      <w:divsChild>
                        <w:div w:id="15488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35">
      <w:marLeft w:val="0"/>
      <w:marRight w:val="0"/>
      <w:marTop w:val="0"/>
      <w:marBottom w:val="0"/>
      <w:divBdr>
        <w:top w:val="none" w:sz="0" w:space="0" w:color="auto"/>
        <w:left w:val="none" w:sz="0" w:space="0" w:color="auto"/>
        <w:bottom w:val="none" w:sz="0" w:space="0" w:color="auto"/>
        <w:right w:val="none" w:sz="0" w:space="0" w:color="auto"/>
      </w:divBdr>
      <w:divsChild>
        <w:div w:id="1548836667">
          <w:marLeft w:val="0"/>
          <w:marRight w:val="0"/>
          <w:marTop w:val="0"/>
          <w:marBottom w:val="0"/>
          <w:divBdr>
            <w:top w:val="none" w:sz="0" w:space="0" w:color="auto"/>
            <w:left w:val="none" w:sz="0" w:space="0" w:color="auto"/>
            <w:bottom w:val="none" w:sz="0" w:space="0" w:color="auto"/>
            <w:right w:val="none" w:sz="0" w:space="0" w:color="auto"/>
          </w:divBdr>
          <w:divsChild>
            <w:div w:id="1548836579">
              <w:marLeft w:val="0"/>
              <w:marRight w:val="0"/>
              <w:marTop w:val="0"/>
              <w:marBottom w:val="0"/>
              <w:divBdr>
                <w:top w:val="none" w:sz="0" w:space="0" w:color="auto"/>
                <w:left w:val="none" w:sz="0" w:space="0" w:color="auto"/>
                <w:bottom w:val="none" w:sz="0" w:space="0" w:color="auto"/>
                <w:right w:val="none" w:sz="0" w:space="0" w:color="auto"/>
              </w:divBdr>
              <w:divsChild>
                <w:div w:id="1548836695">
                  <w:marLeft w:val="0"/>
                  <w:marRight w:val="0"/>
                  <w:marTop w:val="0"/>
                  <w:marBottom w:val="0"/>
                  <w:divBdr>
                    <w:top w:val="none" w:sz="0" w:space="0" w:color="auto"/>
                    <w:left w:val="none" w:sz="0" w:space="0" w:color="auto"/>
                    <w:bottom w:val="none" w:sz="0" w:space="0" w:color="auto"/>
                    <w:right w:val="none" w:sz="0" w:space="0" w:color="auto"/>
                  </w:divBdr>
                  <w:divsChild>
                    <w:div w:id="1548836698">
                      <w:marLeft w:val="0"/>
                      <w:marRight w:val="0"/>
                      <w:marTop w:val="0"/>
                      <w:marBottom w:val="0"/>
                      <w:divBdr>
                        <w:top w:val="none" w:sz="0" w:space="0" w:color="auto"/>
                        <w:left w:val="none" w:sz="0" w:space="0" w:color="auto"/>
                        <w:bottom w:val="none" w:sz="0" w:space="0" w:color="auto"/>
                        <w:right w:val="none" w:sz="0" w:space="0" w:color="auto"/>
                      </w:divBdr>
                      <w:divsChild>
                        <w:div w:id="15488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ducation.UniversalDesign.ie" TargetMode="Externa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A6110-1E0B-424B-AC76-6214932F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15828</Words>
  <Characters>90223</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Annual Report 2015</vt:lpstr>
    </vt:vector>
  </TitlesOfParts>
  <Company>DOJLR</Company>
  <LinksUpToDate>false</LinksUpToDate>
  <CharactersWithSpaces>105840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2015</dc:title>
  <dc:creator>National Disability Authority</dc:creator>
  <cp:lastModifiedBy>Heather C. O'Leary</cp:lastModifiedBy>
  <cp:revision>2</cp:revision>
  <cp:lastPrinted>2016-06-30T17:42:00Z</cp:lastPrinted>
  <dcterms:created xsi:type="dcterms:W3CDTF">2022-06-27T12:34:00Z</dcterms:created>
  <dcterms:modified xsi:type="dcterms:W3CDTF">2022-06-27T12:34:00Z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wcVerifyStyleSequence">
    <vt:lpwstr>%</vt:lpwstr>
  </property>
  <property fmtid="{D5CDD505-2E9C-101B-9397-08002B2CF9AE}" pid="3" name="DC.Identifier">
    <vt:lpwstr>http://demo.yawconline.com/yawcfree/{auto}</vt:lpwstr>
  </property>
  <property fmtid="{D5CDD505-2E9C-101B-9397-08002B2CF9AE}" pid="4" name="DC.Format">
    <vt:lpwstr>text/html</vt:lpwstr>
  </property>
  <property fmtid="{D5CDD505-2E9C-101B-9397-08002B2CF9AE}" pid="5" name="DC.Language">
    <vt:lpwstr>en</vt:lpwstr>
  </property>
  <property fmtid="{D5CDD505-2E9C-101B-9397-08002B2CF9AE}" pid="6" name="DC.Title">
    <vt:lpwstr>{auto}</vt:lpwstr>
  </property>
  <property fmtid="{D5CDD505-2E9C-101B-9397-08002B2CF9AE}" pid="7" name="DC.Subject">
    <vt:lpwstr/>
  </property>
  <property fmtid="{D5CDD505-2E9C-101B-9397-08002B2CF9AE}" pid="8" name="DC.Date.created">
    <vt:lpwstr>YYYY-MM-DD</vt:lpwstr>
  </property>
  <property fmtid="{D5CDD505-2E9C-101B-9397-08002B2CF9AE}" pid="9" name="DC.Date.modified">
    <vt:lpwstr>{auto}</vt:lpwstr>
  </property>
  <property fmtid="{D5CDD505-2E9C-101B-9397-08002B2CF9AE}" pid="10" name="DC.Description">
    <vt:lpwstr/>
  </property>
  <property fmtid="{D5CDD505-2E9C-101B-9397-08002B2CF9AE}" pid="11" name="DC.Contributor">
    <vt:lpwstr/>
  </property>
  <property fmtid="{D5CDD505-2E9C-101B-9397-08002B2CF9AE}" pid="12" name="DC.Source">
    <vt:lpwstr/>
  </property>
  <property fmtid="{D5CDD505-2E9C-101B-9397-08002B2CF9AE}" pid="13" name="DC.Type">
    <vt:lpwstr/>
  </property>
  <property fmtid="{D5CDD505-2E9C-101B-9397-08002B2CF9AE}" pid="14" name="DC.Creator">
    <vt:lpwstr/>
  </property>
  <property fmtid="{D5CDD505-2E9C-101B-9397-08002B2CF9AE}" pid="15" name="DC.Relation">
    <vt:lpwstr/>
  </property>
  <property fmtid="{D5CDD505-2E9C-101B-9397-08002B2CF9AE}" pid="16" name="yawcToolbarBehaviour">
    <vt:lpwstr>doNothing</vt:lpwstr>
  </property>
  <property fmtid="{D5CDD505-2E9C-101B-9397-08002B2CF9AE}" pid="17" name="DC.Publisher">
    <vt:lpwstr/>
  </property>
  <property fmtid="{D5CDD505-2E9C-101B-9397-08002B2CF9AE}" pid="18" name="DC.Coverage">
    <vt:lpwstr/>
  </property>
  <property fmtid="{D5CDD505-2E9C-101B-9397-08002B2CF9AE}" pid="19" name="DC.Rights">
    <vt:lpwstr/>
  </property>
  <property fmtid="{D5CDD505-2E9C-101B-9397-08002B2CF9AE}" pid="20" name="yawcVerifyForbiddenStyles">
    <vt:lpwstr>wdStyleFooter,wdStyleFootnoteText,wdStyleHeader,wdStyleTableOfAuthorities,wdStyleTableOfFigures</vt:lpwstr>
  </property>
</Properties>
</file>