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8"/>
        <w:rPr>
          <w:rFonts w:ascii="Times New Roman"/>
          <w:sz w:val="120"/>
        </w:rPr>
      </w:pPr>
    </w:p>
    <w:p>
      <w:pPr>
        <w:pStyle w:val="Heading1"/>
      </w:pPr>
      <w:bookmarkStart w:name="_bookmark0" w:id="1"/>
      <w:bookmarkEnd w:id="1"/>
      <w:r>
        <w:rPr>
          <w:b w:val="0"/>
        </w:rPr>
      </w:r>
      <w:r>
        <w:rPr>
          <w:color w:val="BE2195"/>
          <w:spacing w:val="-2"/>
        </w:rPr>
        <w:t>Annual Report </w:t>
      </w:r>
      <w:r>
        <w:rPr>
          <w:color w:val="BE2195"/>
          <w:spacing w:val="-4"/>
        </w:rPr>
        <w:t>2017</w:t>
      </w: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rPr>
          <w:rFonts w:ascii="Rockwell"/>
          <w:b/>
          <w:sz w:val="20"/>
        </w:rPr>
      </w:pPr>
    </w:p>
    <w:p>
      <w:pPr>
        <w:pStyle w:val="BodyText"/>
        <w:spacing w:before="129"/>
        <w:rPr>
          <w:rFonts w:ascii="Rockwell"/>
          <w:b/>
          <w:sz w:val="20"/>
        </w:rPr>
      </w:pPr>
      <w:r>
        <w:rPr>
          <w:rFonts w:ascii="Rockwell"/>
          <w:b/>
          <w:sz w:val="20"/>
        </w:rPr>
        <w:drawing>
          <wp:anchor distT="0" distB="0" distL="0" distR="0" allowOverlap="1" layoutInCell="1" locked="0" behindDoc="1" simplePos="0" relativeHeight="487587840">
            <wp:simplePos x="0" y="0"/>
            <wp:positionH relativeFrom="page">
              <wp:posOffset>1333720</wp:posOffset>
            </wp:positionH>
            <wp:positionV relativeFrom="paragraph">
              <wp:posOffset>246310</wp:posOffset>
            </wp:positionV>
            <wp:extent cx="2196160" cy="1353312"/>
            <wp:effectExtent l="0" t="0" r="0" b="0"/>
            <wp:wrapTopAndBottom/>
            <wp:docPr id="1" name="Image 1" descr="National Disability Authority logo"/>
            <wp:cNvGraphicFramePr>
              <a:graphicFrameLocks/>
            </wp:cNvGraphicFramePr>
            <a:graphic>
              <a:graphicData uri="http://schemas.openxmlformats.org/drawingml/2006/picture">
                <pic:pic>
                  <pic:nvPicPr>
                    <pic:cNvPr id="1" name="Image 1" descr="National Disability Authority logo"/>
                    <pic:cNvPicPr/>
                  </pic:nvPicPr>
                  <pic:blipFill>
                    <a:blip r:embed="rId5" cstate="print"/>
                    <a:stretch>
                      <a:fillRect/>
                    </a:stretch>
                  </pic:blipFill>
                  <pic:spPr>
                    <a:xfrm>
                      <a:off x="0" y="0"/>
                      <a:ext cx="2196160" cy="1353312"/>
                    </a:xfrm>
                    <a:prstGeom prst="rect">
                      <a:avLst/>
                    </a:prstGeom>
                  </pic:spPr>
                </pic:pic>
              </a:graphicData>
            </a:graphic>
          </wp:anchor>
        </w:drawing>
      </w:r>
    </w:p>
    <w:p>
      <w:pPr>
        <w:pStyle w:val="BodyText"/>
        <w:spacing w:after="0"/>
        <w:rPr>
          <w:rFonts w:ascii="Rockwell"/>
          <w:b/>
          <w:sz w:val="20"/>
        </w:rPr>
        <w:sectPr>
          <w:type w:val="continuous"/>
          <w:pgSz w:w="11910" w:h="16850"/>
          <w:pgMar w:top="1940" w:bottom="280" w:left="283" w:right="992"/>
        </w:sectPr>
      </w:pPr>
    </w:p>
    <w:sdt>
      <w:sdtPr>
        <w:docPartObj>
          <w:docPartGallery w:val="Table of Contents"/>
          <w:docPartUnique/>
        </w:docPartObj>
      </w:sdtPr>
      <w:sdtEndPr/>
      <w:sdtContent>
        <w:p>
          <w:pPr>
            <w:pStyle w:val="TOC1"/>
            <w:tabs>
              <w:tab w:pos="9496" w:val="left" w:leader="dot"/>
            </w:tabs>
            <w:spacing w:before="79"/>
          </w:pPr>
          <w:hyperlink w:history="true" w:anchor="_bookmark0">
            <w:r>
              <w:rPr/>
              <w:t>Annual</w:t>
            </w:r>
            <w:r>
              <w:rPr>
                <w:spacing w:val="-11"/>
              </w:rPr>
              <w:t> </w:t>
            </w:r>
            <w:r>
              <w:rPr/>
              <w:t>Report</w:t>
            </w:r>
            <w:r>
              <w:rPr>
                <w:spacing w:val="-11"/>
              </w:rPr>
              <w:t> </w:t>
            </w:r>
            <w:r>
              <w:rPr>
                <w:spacing w:val="-4"/>
              </w:rPr>
              <w:t>2017</w:t>
            </w:r>
            <w:r>
              <w:rPr/>
              <w:tab/>
            </w:r>
            <w:r>
              <w:rPr>
                <w:spacing w:val="-10"/>
              </w:rPr>
              <w:t>1</w:t>
            </w:r>
          </w:hyperlink>
        </w:p>
        <w:p>
          <w:pPr>
            <w:pStyle w:val="TOC1"/>
            <w:tabs>
              <w:tab w:pos="9496" w:val="left" w:leader="dot"/>
            </w:tabs>
            <w:spacing w:before="240"/>
          </w:pPr>
          <w:hyperlink w:history="true" w:anchor="_bookmark1">
            <w:r>
              <w:rPr>
                <w:spacing w:val="-2"/>
              </w:rPr>
              <w:t>Chairperson’s</w:t>
            </w:r>
            <w:r>
              <w:rPr>
                <w:spacing w:val="6"/>
              </w:rPr>
              <w:t> </w:t>
            </w:r>
            <w:r>
              <w:rPr>
                <w:spacing w:val="-2"/>
              </w:rPr>
              <w:t>statement</w:t>
            </w:r>
            <w:r>
              <w:rPr>
                <w:rFonts w:ascii="Times New Roman" w:hAnsi="Times New Roman"/>
                <w:b w:val="0"/>
              </w:rPr>
              <w:tab/>
            </w:r>
            <w:r>
              <w:rPr>
                <w:spacing w:val="-10"/>
              </w:rPr>
              <w:t>3</w:t>
            </w:r>
          </w:hyperlink>
        </w:p>
        <w:p>
          <w:pPr>
            <w:pStyle w:val="TOC1"/>
            <w:tabs>
              <w:tab w:pos="9352" w:val="left" w:leader="dot"/>
            </w:tabs>
            <w:spacing w:before="239"/>
            <w:ind w:right="988"/>
          </w:pPr>
          <w:hyperlink w:history="true" w:anchor="_bookmark2">
            <w:r>
              <w:rPr/>
              <w:t>Strategic Priority 1:</w:t>
            </w:r>
            <w:r>
              <w:rPr>
                <w:spacing w:val="40"/>
              </w:rPr>
              <w:t> </w:t>
            </w:r>
            <w:r>
              <w:rPr/>
              <w:t>United Nations Convention on the Rights of</w:t>
            </w:r>
          </w:hyperlink>
          <w:r>
            <w:rPr/>
            <w:t> </w:t>
          </w:r>
          <w:hyperlink w:history="true" w:anchor="_bookmark2">
            <w:r>
              <w:rPr/>
              <w:t>Persons</w:t>
            </w:r>
            <w:r>
              <w:rPr>
                <w:spacing w:val="-8"/>
              </w:rPr>
              <w:t> </w:t>
            </w:r>
            <w:r>
              <w:rPr/>
              <w:t>with</w:t>
            </w:r>
            <w:r>
              <w:rPr>
                <w:spacing w:val="-8"/>
              </w:rPr>
              <w:t> </w:t>
            </w:r>
            <w:r>
              <w:rPr>
                <w:spacing w:val="-2"/>
              </w:rPr>
              <w:t>Disabilities</w:t>
            </w:r>
            <w:r>
              <w:rPr/>
              <w:tab/>
            </w:r>
            <w:r>
              <w:rPr>
                <w:spacing w:val="-5"/>
              </w:rPr>
              <w:t>12</w:t>
            </w:r>
          </w:hyperlink>
        </w:p>
        <w:p>
          <w:pPr>
            <w:pStyle w:val="TOC1"/>
            <w:tabs>
              <w:tab w:pos="9352" w:val="left" w:leader="dot"/>
            </w:tabs>
            <w:spacing w:before="242"/>
          </w:pPr>
          <w:hyperlink w:history="true" w:anchor="_bookmark3">
            <w:r>
              <w:rPr/>
              <w:t>Strategic</w:t>
            </w:r>
            <w:r>
              <w:rPr>
                <w:spacing w:val="-8"/>
              </w:rPr>
              <w:t> </w:t>
            </w:r>
            <w:r>
              <w:rPr/>
              <w:t>Priority</w:t>
            </w:r>
            <w:r>
              <w:rPr>
                <w:spacing w:val="-9"/>
              </w:rPr>
              <w:t> </w:t>
            </w:r>
            <w:r>
              <w:rPr/>
              <w:t>2:</w:t>
            </w:r>
            <w:r>
              <w:rPr>
                <w:spacing w:val="57"/>
              </w:rPr>
              <w:t> </w:t>
            </w:r>
            <w:r>
              <w:rPr/>
              <w:t>Excellence</w:t>
            </w:r>
            <w:r>
              <w:rPr>
                <w:spacing w:val="-8"/>
              </w:rPr>
              <w:t> </w:t>
            </w:r>
            <w:r>
              <w:rPr/>
              <w:t>in</w:t>
            </w:r>
            <w:r>
              <w:rPr>
                <w:spacing w:val="-9"/>
              </w:rPr>
              <w:t> </w:t>
            </w:r>
            <w:r>
              <w:rPr/>
              <w:t>Universal</w:t>
            </w:r>
            <w:r>
              <w:rPr>
                <w:spacing w:val="-8"/>
              </w:rPr>
              <w:t> </w:t>
            </w:r>
            <w:r>
              <w:rPr>
                <w:spacing w:val="-2"/>
              </w:rPr>
              <w:t>Design</w:t>
            </w:r>
            <w:r>
              <w:rPr/>
              <w:tab/>
            </w:r>
            <w:r>
              <w:rPr>
                <w:spacing w:val="-5"/>
              </w:rPr>
              <w:t>37</w:t>
            </w:r>
          </w:hyperlink>
        </w:p>
        <w:p>
          <w:pPr>
            <w:pStyle w:val="TOC1"/>
            <w:tabs>
              <w:tab w:pos="9352" w:val="left" w:leader="dot"/>
            </w:tabs>
            <w:spacing w:before="239"/>
          </w:pPr>
          <w:hyperlink w:history="true" w:anchor="_bookmark4">
            <w:r>
              <w:rPr/>
              <w:t>Strategic</w:t>
            </w:r>
            <w:r>
              <w:rPr>
                <w:spacing w:val="-7"/>
              </w:rPr>
              <w:t> </w:t>
            </w:r>
            <w:r>
              <w:rPr/>
              <w:t>Priority</w:t>
            </w:r>
            <w:r>
              <w:rPr>
                <w:spacing w:val="-8"/>
              </w:rPr>
              <w:t> </w:t>
            </w:r>
            <w:r>
              <w:rPr/>
              <w:t>3:</w:t>
            </w:r>
            <w:r>
              <w:rPr>
                <w:spacing w:val="58"/>
              </w:rPr>
              <w:t> </w:t>
            </w:r>
            <w:r>
              <w:rPr/>
              <w:t>An</w:t>
            </w:r>
            <w:r>
              <w:rPr>
                <w:spacing w:val="-9"/>
              </w:rPr>
              <w:t> </w:t>
            </w:r>
            <w:r>
              <w:rPr/>
              <w:t>effective</w:t>
            </w:r>
            <w:r>
              <w:rPr>
                <w:spacing w:val="-8"/>
              </w:rPr>
              <w:t> </w:t>
            </w:r>
            <w:r>
              <w:rPr/>
              <w:t>and</w:t>
            </w:r>
            <w:r>
              <w:rPr>
                <w:spacing w:val="-7"/>
              </w:rPr>
              <w:t> </w:t>
            </w:r>
            <w:r>
              <w:rPr/>
              <w:t>efficient</w:t>
            </w:r>
            <w:r>
              <w:rPr>
                <w:spacing w:val="-8"/>
              </w:rPr>
              <w:t> </w:t>
            </w:r>
            <w:r>
              <w:rPr>
                <w:spacing w:val="-2"/>
              </w:rPr>
              <w:t>organisation</w:t>
            </w:r>
            <w:r>
              <w:rPr/>
              <w:tab/>
            </w:r>
            <w:r>
              <w:rPr>
                <w:spacing w:val="-5"/>
              </w:rPr>
              <w:t>46</w:t>
            </w:r>
          </w:hyperlink>
        </w:p>
        <w:p>
          <w:pPr>
            <w:pStyle w:val="TOC1"/>
            <w:tabs>
              <w:tab w:pos="9352" w:val="left" w:leader="dot"/>
            </w:tabs>
          </w:pPr>
          <w:hyperlink w:history="true" w:anchor="_bookmark5">
            <w:r>
              <w:rPr/>
              <w:t>Financial</w:t>
            </w:r>
            <w:r>
              <w:rPr>
                <w:spacing w:val="-12"/>
              </w:rPr>
              <w:t> </w:t>
            </w:r>
            <w:r>
              <w:rPr/>
              <w:t>Statements</w:t>
            </w:r>
            <w:r>
              <w:rPr>
                <w:spacing w:val="-13"/>
              </w:rPr>
              <w:t> </w:t>
            </w:r>
            <w:r>
              <w:rPr>
                <w:spacing w:val="-4"/>
              </w:rPr>
              <w:t>2017</w:t>
            </w:r>
            <w:r>
              <w:rPr/>
              <w:tab/>
            </w:r>
            <w:r>
              <w:rPr>
                <w:spacing w:val="-5"/>
              </w:rPr>
              <w:t>52</w:t>
            </w:r>
          </w:hyperlink>
        </w:p>
        <w:p>
          <w:pPr>
            <w:pStyle w:val="TOC1"/>
            <w:tabs>
              <w:tab w:pos="9352" w:val="left" w:leader="dot"/>
            </w:tabs>
            <w:spacing w:before="238"/>
          </w:pPr>
          <w:hyperlink w:history="true" w:anchor="_bookmark6">
            <w:r>
              <w:rPr/>
              <w:t>Financial</w:t>
            </w:r>
            <w:r>
              <w:rPr>
                <w:spacing w:val="-8"/>
              </w:rPr>
              <w:t> </w:t>
            </w:r>
            <w:r>
              <w:rPr/>
              <w:t>Statements</w:t>
            </w:r>
            <w:r>
              <w:rPr>
                <w:spacing w:val="-9"/>
              </w:rPr>
              <w:t> </w:t>
            </w:r>
            <w:r>
              <w:rPr/>
              <w:t>for</w:t>
            </w:r>
            <w:r>
              <w:rPr>
                <w:spacing w:val="-9"/>
              </w:rPr>
              <w:t> </w:t>
            </w:r>
            <w:r>
              <w:rPr/>
              <w:t>Year</w:t>
            </w:r>
            <w:r>
              <w:rPr>
                <w:spacing w:val="-11"/>
              </w:rPr>
              <w:t> </w:t>
            </w:r>
            <w:r>
              <w:rPr/>
              <w:t>ended</w:t>
            </w:r>
            <w:r>
              <w:rPr>
                <w:spacing w:val="-10"/>
              </w:rPr>
              <w:t> </w:t>
            </w:r>
            <w:r>
              <w:rPr/>
              <w:t>31</w:t>
            </w:r>
            <w:r>
              <w:rPr>
                <w:spacing w:val="-7"/>
              </w:rPr>
              <w:t> </w:t>
            </w:r>
            <w:r>
              <w:rPr/>
              <w:t>December</w:t>
            </w:r>
            <w:r>
              <w:rPr>
                <w:spacing w:val="-11"/>
              </w:rPr>
              <w:t> </w:t>
            </w:r>
            <w:r>
              <w:rPr>
                <w:spacing w:val="-4"/>
              </w:rPr>
              <w:t>2017</w:t>
            </w:r>
            <w:r>
              <w:rPr/>
              <w:tab/>
            </w:r>
            <w:r>
              <w:rPr>
                <w:spacing w:val="-5"/>
              </w:rPr>
              <w:t>53</w:t>
            </w:r>
          </w:hyperlink>
        </w:p>
        <w:p>
          <w:pPr>
            <w:pStyle w:val="TOC1"/>
            <w:tabs>
              <w:tab w:pos="9352" w:val="left" w:leader="dot"/>
            </w:tabs>
          </w:pPr>
          <w:hyperlink w:history="true" w:anchor="_bookmark7">
            <w:r>
              <w:rPr/>
              <w:t>General</w:t>
            </w:r>
            <w:r>
              <w:rPr>
                <w:spacing w:val="-14"/>
              </w:rPr>
              <w:t> </w:t>
            </w:r>
            <w:r>
              <w:rPr>
                <w:spacing w:val="-2"/>
              </w:rPr>
              <w:t>Information</w:t>
            </w:r>
            <w:r>
              <w:rPr/>
              <w:tab/>
            </w:r>
            <w:r>
              <w:rPr>
                <w:spacing w:val="-5"/>
              </w:rPr>
              <w:t>91</w:t>
            </w:r>
          </w:hyperlink>
        </w:p>
        <w:p>
          <w:pPr>
            <w:pStyle w:val="TOC1"/>
            <w:tabs>
              <w:tab w:pos="9352" w:val="left" w:leader="dot"/>
            </w:tabs>
            <w:spacing w:before="239"/>
          </w:pPr>
          <w:hyperlink w:history="true" w:anchor="_bookmark8">
            <w:r>
              <w:rPr>
                <w:rFonts w:ascii="Rockwell"/>
              </w:rPr>
              <w:t>Appendix</w:t>
            </w:r>
            <w:r>
              <w:rPr>
                <w:rFonts w:ascii="Rockwell"/>
                <w:spacing w:val="-10"/>
              </w:rPr>
              <w:t> </w:t>
            </w:r>
            <w:r>
              <w:rPr>
                <w:rFonts w:ascii="Rockwell"/>
              </w:rPr>
              <w:t>1:</w:t>
            </w:r>
            <w:r>
              <w:rPr>
                <w:rFonts w:ascii="Rockwell"/>
                <w:spacing w:val="-9"/>
              </w:rPr>
              <w:t> </w:t>
            </w:r>
            <w:r>
              <w:rPr>
                <w:rFonts w:ascii="Rockwell"/>
              </w:rPr>
              <w:t>Authority</w:t>
            </w:r>
            <w:r>
              <w:rPr>
                <w:rFonts w:ascii="Rockwell"/>
                <w:spacing w:val="-10"/>
              </w:rPr>
              <w:t> </w:t>
            </w:r>
            <w:r>
              <w:rPr>
                <w:rFonts w:ascii="Rockwell"/>
              </w:rPr>
              <w:t>and</w:t>
            </w:r>
            <w:r>
              <w:rPr>
                <w:rFonts w:ascii="Rockwell"/>
                <w:spacing w:val="-8"/>
              </w:rPr>
              <w:t> </w:t>
            </w:r>
            <w:r>
              <w:rPr>
                <w:rFonts w:ascii="Rockwell"/>
              </w:rPr>
              <w:t>other</w:t>
            </w:r>
            <w:r>
              <w:rPr>
                <w:rFonts w:ascii="Rockwell"/>
                <w:spacing w:val="-10"/>
              </w:rPr>
              <w:t> </w:t>
            </w:r>
            <w:r>
              <w:rPr>
                <w:rFonts w:ascii="Rockwell"/>
              </w:rPr>
              <w:t>committees</w:t>
            </w:r>
            <w:r>
              <w:rPr>
                <w:rFonts w:ascii="Rockwell"/>
                <w:spacing w:val="-10"/>
              </w:rPr>
              <w:t> </w:t>
            </w:r>
            <w:r>
              <w:rPr>
                <w:rFonts w:ascii="Rockwell"/>
              </w:rPr>
              <w:t>in</w:t>
            </w:r>
            <w:r>
              <w:rPr>
                <w:rFonts w:ascii="Rockwell"/>
                <w:spacing w:val="-9"/>
              </w:rPr>
              <w:t> </w:t>
            </w:r>
            <w:r>
              <w:rPr>
                <w:rFonts w:ascii="Rockwell"/>
                <w:spacing w:val="-4"/>
              </w:rPr>
              <w:t>2017</w:t>
            </w:r>
            <w:r>
              <w:rPr>
                <w:rFonts w:ascii="Rockwell"/>
              </w:rPr>
              <w:tab/>
            </w:r>
            <w:r>
              <w:rPr>
                <w:spacing w:val="-5"/>
              </w:rPr>
              <w:t>92</w:t>
            </w:r>
          </w:hyperlink>
        </w:p>
        <w:p>
          <w:pPr>
            <w:pStyle w:val="TOC1"/>
            <w:tabs>
              <w:tab w:pos="9352" w:val="left" w:leader="dot"/>
            </w:tabs>
          </w:pPr>
          <w:hyperlink w:history="true" w:anchor="_bookmark9">
            <w:r>
              <w:rPr/>
              <w:t>Appendix</w:t>
            </w:r>
            <w:r>
              <w:rPr>
                <w:spacing w:val="-10"/>
              </w:rPr>
              <w:t> </w:t>
            </w:r>
            <w:r>
              <w:rPr/>
              <w:t>2:</w:t>
            </w:r>
            <w:r>
              <w:rPr>
                <w:spacing w:val="-7"/>
              </w:rPr>
              <w:t> </w:t>
            </w:r>
            <w:r>
              <w:rPr/>
              <w:t>Representation</w:t>
            </w:r>
            <w:r>
              <w:rPr>
                <w:spacing w:val="-8"/>
              </w:rPr>
              <w:t> </w:t>
            </w:r>
            <w:r>
              <w:rPr/>
              <w:t>on</w:t>
            </w:r>
            <w:r>
              <w:rPr>
                <w:spacing w:val="-9"/>
              </w:rPr>
              <w:t> </w:t>
            </w:r>
            <w:r>
              <w:rPr/>
              <w:t>external</w:t>
            </w:r>
            <w:r>
              <w:rPr>
                <w:spacing w:val="-10"/>
              </w:rPr>
              <w:t> </w:t>
            </w:r>
            <w:r>
              <w:rPr/>
              <w:t>bodies</w:t>
            </w:r>
            <w:r>
              <w:rPr>
                <w:spacing w:val="-9"/>
              </w:rPr>
              <w:t> </w:t>
            </w:r>
            <w:r>
              <w:rPr/>
              <w:t>in</w:t>
            </w:r>
            <w:r>
              <w:rPr>
                <w:spacing w:val="-9"/>
              </w:rPr>
              <w:t> </w:t>
            </w:r>
            <w:r>
              <w:rPr>
                <w:spacing w:val="-4"/>
              </w:rPr>
              <w:t>2017</w:t>
            </w:r>
            <w:r>
              <w:rPr/>
              <w:tab/>
            </w:r>
            <w:r>
              <w:rPr>
                <w:spacing w:val="-5"/>
              </w:rPr>
              <w:t>94</w:t>
            </w:r>
          </w:hyperlink>
        </w:p>
        <w:p>
          <w:pPr>
            <w:pStyle w:val="TOC1"/>
            <w:tabs>
              <w:tab w:pos="9352" w:val="left" w:leader="dot"/>
            </w:tabs>
          </w:pPr>
          <w:hyperlink w:history="true" w:anchor="_bookmark10">
            <w:r>
              <w:rPr/>
              <w:t>Appendix</w:t>
            </w:r>
            <w:r>
              <w:rPr>
                <w:spacing w:val="-9"/>
              </w:rPr>
              <w:t> </w:t>
            </w:r>
            <w:r>
              <w:rPr/>
              <w:t>3:</w:t>
            </w:r>
            <w:r>
              <w:rPr>
                <w:spacing w:val="-6"/>
              </w:rPr>
              <w:t> </w:t>
            </w:r>
            <w:r>
              <w:rPr/>
              <w:t>Publications</w:t>
            </w:r>
            <w:r>
              <w:rPr>
                <w:spacing w:val="-6"/>
              </w:rPr>
              <w:t> </w:t>
            </w:r>
            <w:r>
              <w:rPr/>
              <w:t>in</w:t>
            </w:r>
            <w:r>
              <w:rPr>
                <w:spacing w:val="-7"/>
              </w:rPr>
              <w:t> </w:t>
            </w:r>
            <w:r>
              <w:rPr>
                <w:spacing w:val="-4"/>
              </w:rPr>
              <w:t>2017</w:t>
            </w:r>
            <w:r>
              <w:rPr/>
              <w:tab/>
            </w:r>
            <w:r>
              <w:rPr>
                <w:spacing w:val="-5"/>
              </w:rPr>
              <w:t>97</w:t>
            </w:r>
          </w:hyperlink>
        </w:p>
        <w:p>
          <w:pPr>
            <w:pStyle w:val="TOC1"/>
            <w:tabs>
              <w:tab w:pos="9352" w:val="left" w:leader="dot"/>
            </w:tabs>
            <w:spacing w:before="239"/>
          </w:pPr>
          <w:hyperlink w:history="true" w:anchor="_bookmark11">
            <w:r>
              <w:rPr/>
              <w:t>Appendix</w:t>
            </w:r>
            <w:r>
              <w:rPr>
                <w:spacing w:val="-8"/>
              </w:rPr>
              <w:t> </w:t>
            </w:r>
            <w:r>
              <w:rPr/>
              <w:t>4:</w:t>
            </w:r>
            <w:r>
              <w:rPr>
                <w:spacing w:val="-6"/>
              </w:rPr>
              <w:t> </w:t>
            </w:r>
            <w:r>
              <w:rPr/>
              <w:t>Policy</w:t>
            </w:r>
            <w:r>
              <w:rPr>
                <w:spacing w:val="-5"/>
              </w:rPr>
              <w:t> </w:t>
            </w:r>
            <w:r>
              <w:rPr/>
              <w:t>advice</w:t>
            </w:r>
            <w:r>
              <w:rPr>
                <w:spacing w:val="-7"/>
              </w:rPr>
              <w:t> </w:t>
            </w:r>
            <w:r>
              <w:rPr/>
              <w:t>papers</w:t>
            </w:r>
            <w:r>
              <w:rPr>
                <w:spacing w:val="-7"/>
              </w:rPr>
              <w:t> </w:t>
            </w:r>
            <w:r>
              <w:rPr/>
              <w:t>in</w:t>
            </w:r>
            <w:r>
              <w:rPr>
                <w:spacing w:val="-8"/>
              </w:rPr>
              <w:t> </w:t>
            </w:r>
            <w:r>
              <w:rPr>
                <w:spacing w:val="-4"/>
              </w:rPr>
              <w:t>2017</w:t>
            </w:r>
            <w:r>
              <w:rPr/>
              <w:tab/>
            </w:r>
            <w:r>
              <w:rPr>
                <w:spacing w:val="-5"/>
              </w:rPr>
              <w:t>98</w:t>
            </w:r>
          </w:hyperlink>
        </w:p>
      </w:sdtContent>
    </w:sdt>
    <w:p>
      <w:pPr>
        <w:pStyle w:val="TOC1"/>
        <w:spacing w:after="0"/>
        <w:sectPr>
          <w:footerReference w:type="default" r:id="rId6"/>
          <w:pgSz w:w="11910" w:h="16850"/>
          <w:pgMar w:header="0" w:footer="811" w:top="1880" w:bottom="1000" w:left="283" w:right="992"/>
          <w:pgNumType w:start="2"/>
        </w:sectPr>
      </w:pPr>
    </w:p>
    <w:p>
      <w:pPr>
        <w:pStyle w:val="Heading2"/>
      </w:pPr>
      <w:bookmarkStart w:name="_bookmark1" w:id="2"/>
      <w:bookmarkEnd w:id="2"/>
      <w:r>
        <w:rPr>
          <w:b w:val="0"/>
        </w:rPr>
      </w:r>
      <w:r>
        <w:rPr>
          <w:color w:val="BE2195"/>
          <w:spacing w:val="-4"/>
        </w:rPr>
        <w:t>Chairperson’s</w:t>
      </w:r>
      <w:r>
        <w:rPr>
          <w:color w:val="BE2195"/>
          <w:spacing w:val="-10"/>
        </w:rPr>
        <w:t> </w:t>
      </w:r>
      <w:r>
        <w:rPr>
          <w:color w:val="BE2195"/>
          <w:spacing w:val="-2"/>
        </w:rPr>
        <w:t>statement</w:t>
      </w:r>
    </w:p>
    <w:p>
      <w:pPr>
        <w:pStyle w:val="BodyText"/>
        <w:spacing w:before="120"/>
        <w:ind w:left="1702" w:right="988"/>
      </w:pPr>
      <w:r>
        <w:rPr/>
        <w:t>I am pleased to present the annual report of the National Disability Authority (NDA) for 2017 to the Minister for Justice and Equality. This report</w:t>
      </w:r>
      <w:r>
        <w:rPr>
          <w:spacing w:val="-4"/>
        </w:rPr>
        <w:t> </w:t>
      </w:r>
      <w:r>
        <w:rPr/>
        <w:t>outlines</w:t>
      </w:r>
      <w:r>
        <w:rPr>
          <w:spacing w:val="-3"/>
        </w:rPr>
        <w:t> </w:t>
      </w:r>
      <w:r>
        <w:rPr/>
        <w:t>the</w:t>
      </w:r>
      <w:r>
        <w:rPr>
          <w:spacing w:val="-5"/>
        </w:rPr>
        <w:t> </w:t>
      </w:r>
      <w:r>
        <w:rPr/>
        <w:t>activities</w:t>
      </w:r>
      <w:r>
        <w:rPr>
          <w:spacing w:val="-3"/>
        </w:rPr>
        <w:t> </w:t>
      </w:r>
      <w:r>
        <w:rPr/>
        <w:t>and</w:t>
      </w:r>
      <w:r>
        <w:rPr>
          <w:spacing w:val="-5"/>
        </w:rPr>
        <w:t> </w:t>
      </w:r>
      <w:r>
        <w:rPr/>
        <w:t>outputs</w:t>
      </w:r>
      <w:r>
        <w:rPr>
          <w:spacing w:val="-3"/>
        </w:rPr>
        <w:t> </w:t>
      </w:r>
      <w:r>
        <w:rPr/>
        <w:t>of</w:t>
      </w:r>
      <w:r>
        <w:rPr>
          <w:spacing w:val="-5"/>
        </w:rPr>
        <w:t> </w:t>
      </w:r>
      <w:r>
        <w:rPr/>
        <w:t>the</w:t>
      </w:r>
      <w:r>
        <w:rPr>
          <w:spacing w:val="-5"/>
        </w:rPr>
        <w:t> </w:t>
      </w:r>
      <w:r>
        <w:rPr/>
        <w:t>NDA</w:t>
      </w:r>
      <w:r>
        <w:rPr>
          <w:spacing w:val="-5"/>
        </w:rPr>
        <w:t> </w:t>
      </w:r>
      <w:r>
        <w:rPr/>
        <w:t>during</w:t>
      </w:r>
      <w:r>
        <w:rPr>
          <w:spacing w:val="-5"/>
        </w:rPr>
        <w:t> </w:t>
      </w:r>
      <w:r>
        <w:rPr/>
        <w:t>the</w:t>
      </w:r>
      <w:r>
        <w:rPr>
          <w:spacing w:val="-5"/>
        </w:rPr>
        <w:t> </w:t>
      </w:r>
      <w:r>
        <w:rPr/>
        <w:t>second year of our three-year Strategic Plan 2016-2018.</w:t>
      </w:r>
    </w:p>
    <w:p>
      <w:pPr>
        <w:pStyle w:val="BodyText"/>
        <w:spacing w:before="239"/>
        <w:ind w:left="1702" w:right="1099"/>
      </w:pPr>
      <w:r>
        <w:rPr/>
        <w:t>The NDA is the independent state body with a statutory duty to provide evidence-informed advice to the Government on policy and practice relevant to the everyday lives of people with disabilities. Our work is guided by our vision of a society in Ireland in which persons with disabilities</w:t>
      </w:r>
      <w:r>
        <w:rPr>
          <w:spacing w:val="-4"/>
        </w:rPr>
        <w:t> </w:t>
      </w:r>
      <w:r>
        <w:rPr/>
        <w:t>enjoy</w:t>
      </w:r>
      <w:r>
        <w:rPr>
          <w:spacing w:val="-6"/>
        </w:rPr>
        <w:t> </w:t>
      </w:r>
      <w:r>
        <w:rPr/>
        <w:t>equal</w:t>
      </w:r>
      <w:r>
        <w:rPr>
          <w:spacing w:val="-5"/>
        </w:rPr>
        <w:t> </w:t>
      </w:r>
      <w:r>
        <w:rPr/>
        <w:t>rights</w:t>
      </w:r>
      <w:r>
        <w:rPr>
          <w:spacing w:val="-5"/>
        </w:rPr>
        <w:t> </w:t>
      </w:r>
      <w:r>
        <w:rPr/>
        <w:t>and</w:t>
      </w:r>
      <w:r>
        <w:rPr>
          <w:spacing w:val="-6"/>
        </w:rPr>
        <w:t> </w:t>
      </w:r>
      <w:r>
        <w:rPr/>
        <w:t>opportunities</w:t>
      </w:r>
      <w:r>
        <w:rPr>
          <w:spacing w:val="-4"/>
        </w:rPr>
        <w:t> </w:t>
      </w:r>
      <w:r>
        <w:rPr/>
        <w:t>to</w:t>
      </w:r>
      <w:r>
        <w:rPr>
          <w:spacing w:val="-5"/>
        </w:rPr>
        <w:t> </w:t>
      </w:r>
      <w:r>
        <w:rPr/>
        <w:t>participate</w:t>
      </w:r>
      <w:r>
        <w:rPr>
          <w:spacing w:val="-6"/>
        </w:rPr>
        <w:t> </w:t>
      </w:r>
      <w:r>
        <w:rPr/>
        <w:t>in</w:t>
      </w:r>
      <w:r>
        <w:rPr>
          <w:spacing w:val="-6"/>
        </w:rPr>
        <w:t> </w:t>
      </w:r>
      <w:r>
        <w:rPr/>
        <w:t>economic, social and cultural life; have choice and control over how they live their lives; and are enabled to reach their full individual potential in a society that embraces and accommodates the range of human diversity. Our advice, as always, is informed and guided by research, data analysis, learning on good practice and information and learning from the lived experiences of persons with disabilities.</w:t>
      </w:r>
    </w:p>
    <w:p>
      <w:pPr>
        <w:pStyle w:val="BodyText"/>
        <w:spacing w:before="241"/>
        <w:ind w:left="1702" w:right="1080"/>
      </w:pPr>
      <w:r>
        <w:rPr/>
        <w:t>The NDA continued our work to promote Universal Design, which is the design and development of the environment so that it can be easily accessed and understood by all, regardless of age, size, nationality, ability or disability. We are pleased with the engagement by professional and educational bodies in developing resources and a means to embed Universal</w:t>
      </w:r>
      <w:r>
        <w:rPr>
          <w:spacing w:val="-4"/>
        </w:rPr>
        <w:t> </w:t>
      </w:r>
      <w:r>
        <w:rPr/>
        <w:t>Design</w:t>
      </w:r>
      <w:r>
        <w:rPr>
          <w:spacing w:val="-4"/>
        </w:rPr>
        <w:t> </w:t>
      </w:r>
      <w:r>
        <w:rPr/>
        <w:t>in</w:t>
      </w:r>
      <w:r>
        <w:rPr>
          <w:spacing w:val="-4"/>
        </w:rPr>
        <w:t> </w:t>
      </w:r>
      <w:r>
        <w:rPr/>
        <w:t>educational</w:t>
      </w:r>
      <w:r>
        <w:rPr>
          <w:spacing w:val="-4"/>
        </w:rPr>
        <w:t> </w:t>
      </w:r>
      <w:r>
        <w:rPr/>
        <w:t>courses</w:t>
      </w:r>
      <w:r>
        <w:rPr>
          <w:spacing w:val="-2"/>
        </w:rPr>
        <w:t> </w:t>
      </w:r>
      <w:r>
        <w:rPr/>
        <w:t>for</w:t>
      </w:r>
      <w:r>
        <w:rPr>
          <w:spacing w:val="-4"/>
        </w:rPr>
        <w:t> </w:t>
      </w:r>
      <w:r>
        <w:rPr/>
        <w:t>those</w:t>
      </w:r>
      <w:r>
        <w:rPr>
          <w:spacing w:val="-4"/>
        </w:rPr>
        <w:t> </w:t>
      </w:r>
      <w:r>
        <w:rPr/>
        <w:t>engaged</w:t>
      </w:r>
      <w:r>
        <w:rPr>
          <w:spacing w:val="-4"/>
        </w:rPr>
        <w:t> </w:t>
      </w:r>
      <w:r>
        <w:rPr/>
        <w:t>in</w:t>
      </w:r>
      <w:r>
        <w:rPr>
          <w:spacing w:val="-4"/>
        </w:rPr>
        <w:t> </w:t>
      </w:r>
      <w:r>
        <w:rPr/>
        <w:t>designing</w:t>
      </w:r>
      <w:r>
        <w:rPr>
          <w:spacing w:val="-4"/>
        </w:rPr>
        <w:t> </w:t>
      </w:r>
      <w:r>
        <w:rPr/>
        <w:t>the </w:t>
      </w:r>
      <w:r>
        <w:rPr>
          <w:spacing w:val="-2"/>
        </w:rPr>
        <w:t>environment.</w:t>
      </w:r>
    </w:p>
    <w:p>
      <w:pPr>
        <w:pStyle w:val="BodyText"/>
        <w:spacing w:before="242"/>
        <w:ind w:left="1702" w:right="988"/>
      </w:pPr>
      <w:r>
        <w:rPr/>
        <w:t>In delivering on our functions, our goal is to ensure that persons with disabilities</w:t>
      </w:r>
      <w:r>
        <w:rPr>
          <w:spacing w:val="-2"/>
        </w:rPr>
        <w:t> </w:t>
      </w:r>
      <w:r>
        <w:rPr/>
        <w:t>are</w:t>
      </w:r>
      <w:r>
        <w:rPr>
          <w:spacing w:val="-3"/>
        </w:rPr>
        <w:t> </w:t>
      </w:r>
      <w:r>
        <w:rPr/>
        <w:t>supported</w:t>
      </w:r>
      <w:r>
        <w:rPr>
          <w:spacing w:val="-4"/>
        </w:rPr>
        <w:t> </w:t>
      </w:r>
      <w:r>
        <w:rPr/>
        <w:t>and</w:t>
      </w:r>
      <w:r>
        <w:rPr>
          <w:spacing w:val="-4"/>
        </w:rPr>
        <w:t> </w:t>
      </w:r>
      <w:r>
        <w:rPr/>
        <w:t>empowered</w:t>
      </w:r>
      <w:r>
        <w:rPr>
          <w:spacing w:val="-4"/>
        </w:rPr>
        <w:t> </w:t>
      </w:r>
      <w:r>
        <w:rPr/>
        <w:t>to</w:t>
      </w:r>
      <w:r>
        <w:rPr>
          <w:spacing w:val="-3"/>
        </w:rPr>
        <w:t> </w:t>
      </w:r>
      <w:r>
        <w:rPr/>
        <w:t>live</w:t>
      </w:r>
      <w:r>
        <w:rPr>
          <w:spacing w:val="-4"/>
        </w:rPr>
        <w:t> </w:t>
      </w:r>
      <w:r>
        <w:rPr/>
        <w:t>lives</w:t>
      </w:r>
      <w:r>
        <w:rPr>
          <w:spacing w:val="-3"/>
        </w:rPr>
        <w:t> </w:t>
      </w:r>
      <w:r>
        <w:rPr/>
        <w:t>of</w:t>
      </w:r>
      <w:r>
        <w:rPr>
          <w:spacing w:val="-4"/>
        </w:rPr>
        <w:t> </w:t>
      </w:r>
      <w:r>
        <w:rPr/>
        <w:t>their</w:t>
      </w:r>
      <w:r>
        <w:rPr>
          <w:spacing w:val="-4"/>
        </w:rPr>
        <w:t> </w:t>
      </w:r>
      <w:r>
        <w:rPr/>
        <w:t>choosing within our communities.</w:t>
      </w:r>
    </w:p>
    <w:p>
      <w:pPr>
        <w:pStyle w:val="BodyText"/>
        <w:spacing w:before="238"/>
        <w:ind w:left="1702" w:right="1005"/>
      </w:pPr>
      <w:r>
        <w:rPr/>
        <w:t>Throughout 2017 we have continued to support and advise the Government in the implementation of several national strategies and policies relevant to achieving this goal, including the Comprehensive Employment Strategy for People with Disabilities, the Transforming Lives programme, and related policies, to deliver models of support in the community.</w:t>
      </w:r>
      <w:r>
        <w:rPr>
          <w:spacing w:val="40"/>
        </w:rPr>
        <w:t> </w:t>
      </w:r>
      <w:r>
        <w:rPr/>
        <w:t>We welcome the new National Disability Inclusion Strategy 2017-2021</w:t>
      </w:r>
      <w:r>
        <w:rPr>
          <w:spacing w:val="-4"/>
        </w:rPr>
        <w:t> </w:t>
      </w:r>
      <w:r>
        <w:rPr/>
        <w:t>launched</w:t>
      </w:r>
      <w:r>
        <w:rPr>
          <w:spacing w:val="-4"/>
        </w:rPr>
        <w:t> </w:t>
      </w:r>
      <w:r>
        <w:rPr/>
        <w:t>by</w:t>
      </w:r>
      <w:r>
        <w:rPr>
          <w:spacing w:val="-3"/>
        </w:rPr>
        <w:t> </w:t>
      </w:r>
      <w:r>
        <w:rPr/>
        <w:t>the</w:t>
      </w:r>
      <w:r>
        <w:rPr>
          <w:spacing w:val="-4"/>
        </w:rPr>
        <w:t> </w:t>
      </w:r>
      <w:r>
        <w:rPr/>
        <w:t>Minister</w:t>
      </w:r>
      <w:r>
        <w:rPr>
          <w:spacing w:val="-3"/>
        </w:rPr>
        <w:t> </w:t>
      </w:r>
      <w:r>
        <w:rPr/>
        <w:t>and</w:t>
      </w:r>
      <w:r>
        <w:rPr>
          <w:spacing w:val="-4"/>
        </w:rPr>
        <w:t> </w:t>
      </w:r>
      <w:r>
        <w:rPr/>
        <w:t>that</w:t>
      </w:r>
      <w:r>
        <w:rPr>
          <w:spacing w:val="-4"/>
        </w:rPr>
        <w:t> </w:t>
      </w:r>
      <w:r>
        <w:rPr/>
        <w:t>it</w:t>
      </w:r>
      <w:r>
        <w:rPr>
          <w:spacing w:val="-4"/>
        </w:rPr>
        <w:t> </w:t>
      </w:r>
      <w:r>
        <w:rPr/>
        <w:t>has</w:t>
      </w:r>
      <w:r>
        <w:rPr>
          <w:spacing w:val="-4"/>
        </w:rPr>
        <w:t> </w:t>
      </w:r>
      <w:r>
        <w:rPr/>
        <w:t>been</w:t>
      </w:r>
      <w:r>
        <w:rPr>
          <w:spacing w:val="-4"/>
        </w:rPr>
        <w:t> </w:t>
      </w:r>
      <w:r>
        <w:rPr/>
        <w:t>adopted</w:t>
      </w:r>
      <w:r>
        <w:rPr>
          <w:spacing w:val="-1"/>
        </w:rPr>
        <w:t> </w:t>
      </w:r>
      <w:r>
        <w:rPr/>
        <w:t>as</w:t>
      </w:r>
      <w:r>
        <w:rPr>
          <w:spacing w:val="-4"/>
        </w:rPr>
        <w:t> </w:t>
      </w:r>
      <w:r>
        <w:rPr/>
        <w:t>a</w:t>
      </w:r>
      <w:r>
        <w:rPr>
          <w:spacing w:val="-4"/>
        </w:rPr>
        <w:t> </w:t>
      </w:r>
      <w:r>
        <w:rPr/>
        <w:t>living strategy</w:t>
      </w:r>
      <w:r>
        <w:rPr>
          <w:spacing w:val="-2"/>
        </w:rPr>
        <w:t> </w:t>
      </w:r>
      <w:r>
        <w:rPr/>
        <w:t>on</w:t>
      </w:r>
      <w:r>
        <w:rPr>
          <w:spacing w:val="-1"/>
        </w:rPr>
        <w:t> </w:t>
      </w:r>
      <w:r>
        <w:rPr/>
        <w:t>which</w:t>
      </w:r>
      <w:r>
        <w:rPr>
          <w:spacing w:val="-1"/>
        </w:rPr>
        <w:t> </w:t>
      </w:r>
      <w:r>
        <w:rPr/>
        <w:t>to build</w:t>
      </w:r>
      <w:r>
        <w:rPr>
          <w:spacing w:val="-1"/>
        </w:rPr>
        <w:t> </w:t>
      </w:r>
      <w:r>
        <w:rPr/>
        <w:t>over the</w:t>
      </w:r>
      <w:r>
        <w:rPr>
          <w:spacing w:val="-1"/>
        </w:rPr>
        <w:t> </w:t>
      </w:r>
      <w:r>
        <w:rPr/>
        <w:t>coming years.</w:t>
      </w:r>
      <w:r>
        <w:rPr>
          <w:spacing w:val="40"/>
        </w:rPr>
        <w:t> </w:t>
      </w:r>
      <w:r>
        <w:rPr/>
        <w:t>It</w:t>
      </w:r>
      <w:r>
        <w:rPr>
          <w:spacing w:val="-1"/>
        </w:rPr>
        <w:t> </w:t>
      </w:r>
      <w:r>
        <w:rPr/>
        <w:t>will be</w:t>
      </w:r>
      <w:r>
        <w:rPr>
          <w:spacing w:val="-1"/>
        </w:rPr>
        <w:t> </w:t>
      </w:r>
      <w:r>
        <w:rPr/>
        <w:t>important</w:t>
      </w:r>
      <w:r>
        <w:rPr>
          <w:spacing w:val="-1"/>
        </w:rPr>
        <w:t> </w:t>
      </w:r>
      <w:r>
        <w:rPr/>
        <w:t>that the committed actions are delivered through joint working and that their impact can be measured to ensure its effectiveness. We look forward to the concerted effort by all departments and agencies who have</w:t>
      </w:r>
    </w:p>
    <w:p>
      <w:pPr>
        <w:pStyle w:val="BodyText"/>
        <w:spacing w:after="0"/>
        <w:sectPr>
          <w:pgSz w:w="11910" w:h="16850"/>
          <w:pgMar w:header="0" w:footer="811" w:top="1880" w:bottom="1000" w:left="283" w:right="992"/>
        </w:sectPr>
      </w:pPr>
    </w:p>
    <w:p>
      <w:pPr>
        <w:pStyle w:val="BodyText"/>
        <w:spacing w:before="79"/>
        <w:ind w:left="1702" w:right="988"/>
      </w:pPr>
      <w:r>
        <w:rPr/>
        <w:t>responsibilities under the Strategy and to play our part to support its implementation.</w:t>
      </w:r>
      <w:r>
        <w:rPr>
          <w:spacing w:val="40"/>
        </w:rPr>
        <w:t> </w:t>
      </w:r>
      <w:r>
        <w:rPr/>
        <w:t>The</w:t>
      </w:r>
      <w:r>
        <w:rPr>
          <w:spacing w:val="-3"/>
        </w:rPr>
        <w:t> </w:t>
      </w:r>
      <w:r>
        <w:rPr/>
        <w:t>Strategy</w:t>
      </w:r>
      <w:r>
        <w:rPr>
          <w:spacing w:val="-5"/>
        </w:rPr>
        <w:t> </w:t>
      </w:r>
      <w:r>
        <w:rPr/>
        <w:t>will</w:t>
      </w:r>
      <w:r>
        <w:rPr>
          <w:spacing w:val="-4"/>
        </w:rPr>
        <w:t> </w:t>
      </w:r>
      <w:r>
        <w:rPr/>
        <w:t>assist</w:t>
      </w:r>
      <w:r>
        <w:rPr>
          <w:spacing w:val="-4"/>
        </w:rPr>
        <w:t> </w:t>
      </w:r>
      <w:r>
        <w:rPr/>
        <w:t>Ireland to</w:t>
      </w:r>
      <w:r>
        <w:rPr>
          <w:spacing w:val="-4"/>
        </w:rPr>
        <w:t> </w:t>
      </w:r>
      <w:r>
        <w:rPr/>
        <w:t>deliver</w:t>
      </w:r>
      <w:r>
        <w:rPr>
          <w:spacing w:val="-4"/>
        </w:rPr>
        <w:t> </w:t>
      </w:r>
      <w:r>
        <w:rPr/>
        <w:t>on</w:t>
      </w:r>
      <w:r>
        <w:rPr>
          <w:spacing w:val="-4"/>
        </w:rPr>
        <w:t> </w:t>
      </w:r>
      <w:r>
        <w:rPr/>
        <w:t>many</w:t>
      </w:r>
      <w:r>
        <w:rPr>
          <w:spacing w:val="-3"/>
        </w:rPr>
        <w:t> </w:t>
      </w:r>
      <w:r>
        <w:rPr/>
        <w:t>of</w:t>
      </w:r>
      <w:r>
        <w:rPr>
          <w:spacing w:val="-4"/>
        </w:rPr>
        <w:t> </w:t>
      </w:r>
      <w:r>
        <w:rPr/>
        <w:t>the goals of the United Nations Convention on the Rights of Persons with </w:t>
      </w:r>
      <w:r>
        <w:rPr>
          <w:spacing w:val="-2"/>
        </w:rPr>
        <w:t>Disabilities.</w:t>
      </w:r>
    </w:p>
    <w:p>
      <w:pPr>
        <w:pStyle w:val="BodyText"/>
        <w:spacing w:before="238"/>
        <w:ind w:left="1702" w:right="1035"/>
      </w:pPr>
      <w:r>
        <w:rPr/>
        <w:t>We welcome the progressive realisation of the aims and objectives of these transformational strategies, and the continued commitment of all relevant stakeholders to their implementation. As I write this foreword, we look forward to the imminent ratification by Ireland of the United Nations</w:t>
      </w:r>
      <w:r>
        <w:rPr>
          <w:spacing w:val="-4"/>
        </w:rPr>
        <w:t> </w:t>
      </w:r>
      <w:r>
        <w:rPr/>
        <w:t>Convention</w:t>
      </w:r>
      <w:r>
        <w:rPr>
          <w:spacing w:val="-5"/>
        </w:rPr>
        <w:t> </w:t>
      </w:r>
      <w:r>
        <w:rPr/>
        <w:t>on</w:t>
      </w:r>
      <w:r>
        <w:rPr>
          <w:spacing w:val="-5"/>
        </w:rPr>
        <w:t> </w:t>
      </w:r>
      <w:r>
        <w:rPr/>
        <w:t>the</w:t>
      </w:r>
      <w:r>
        <w:rPr>
          <w:spacing w:val="-5"/>
        </w:rPr>
        <w:t> </w:t>
      </w:r>
      <w:r>
        <w:rPr/>
        <w:t>Rights</w:t>
      </w:r>
      <w:r>
        <w:rPr>
          <w:spacing w:val="-4"/>
        </w:rPr>
        <w:t> </w:t>
      </w:r>
      <w:r>
        <w:rPr/>
        <w:t>of</w:t>
      </w:r>
      <w:r>
        <w:rPr>
          <w:spacing w:val="-5"/>
        </w:rPr>
        <w:t> </w:t>
      </w:r>
      <w:r>
        <w:rPr/>
        <w:t>Persons</w:t>
      </w:r>
      <w:r>
        <w:rPr>
          <w:spacing w:val="-4"/>
        </w:rPr>
        <w:t> </w:t>
      </w:r>
      <w:r>
        <w:rPr/>
        <w:t>with</w:t>
      </w:r>
      <w:r>
        <w:rPr>
          <w:spacing w:val="-5"/>
        </w:rPr>
        <w:t> </w:t>
      </w:r>
      <w:r>
        <w:rPr/>
        <w:t>Disabilities</w:t>
      </w:r>
      <w:r>
        <w:rPr>
          <w:spacing w:val="-3"/>
        </w:rPr>
        <w:t> </w:t>
      </w:r>
      <w:r>
        <w:rPr/>
        <w:t>(UNCRPD). The NDA has welcomed the progressive implementation of many of the provisions of the Convention under the Strategies and Programmes referred to above, but we now look forward to a renewed impetus following formal ratification, and to our own role in reviewing and assessing the impact of same.</w:t>
      </w:r>
    </w:p>
    <w:p>
      <w:pPr>
        <w:pStyle w:val="BodyText"/>
        <w:tabs>
          <w:tab w:pos="6555" w:val="left" w:leader="none"/>
        </w:tabs>
        <w:spacing w:before="243"/>
        <w:ind w:left="1702" w:right="1091"/>
      </w:pPr>
      <w:r>
        <w:rPr/>
        <w:t>Our</w:t>
      </w:r>
      <w:r>
        <w:rPr>
          <w:spacing w:val="-2"/>
        </w:rPr>
        <w:t> </w:t>
      </w:r>
      <w:r>
        <w:rPr/>
        <w:t>work</w:t>
      </w:r>
      <w:r>
        <w:rPr>
          <w:spacing w:val="-2"/>
        </w:rPr>
        <w:t> </w:t>
      </w:r>
      <w:r>
        <w:rPr/>
        <w:t>on</w:t>
      </w:r>
      <w:r>
        <w:rPr>
          <w:spacing w:val="-3"/>
        </w:rPr>
        <w:t> </w:t>
      </w:r>
      <w:r>
        <w:rPr/>
        <w:t>Universal</w:t>
      </w:r>
      <w:r>
        <w:rPr>
          <w:spacing w:val="-2"/>
        </w:rPr>
        <w:t> </w:t>
      </w:r>
      <w:r>
        <w:rPr/>
        <w:t>Design</w:t>
      </w:r>
      <w:r>
        <w:rPr>
          <w:spacing w:val="-3"/>
        </w:rPr>
        <w:t> </w:t>
      </w:r>
      <w:r>
        <w:rPr/>
        <w:t>involves</w:t>
      </w:r>
      <w:r>
        <w:rPr>
          <w:spacing w:val="-2"/>
        </w:rPr>
        <w:t> </w:t>
      </w:r>
      <w:r>
        <w:rPr/>
        <w:t>stakeholders</w:t>
      </w:r>
      <w:r>
        <w:rPr>
          <w:spacing w:val="-2"/>
        </w:rPr>
        <w:t> </w:t>
      </w:r>
      <w:r>
        <w:rPr/>
        <w:t>beyond</w:t>
      </w:r>
      <w:r>
        <w:rPr>
          <w:spacing w:val="-3"/>
        </w:rPr>
        <w:t> </w:t>
      </w:r>
      <w:r>
        <w:rPr/>
        <w:t>the</w:t>
      </w:r>
      <w:r>
        <w:rPr>
          <w:spacing w:val="-3"/>
        </w:rPr>
        <w:t> </w:t>
      </w:r>
      <w:r>
        <w:rPr/>
        <w:t>world</w:t>
      </w:r>
      <w:r>
        <w:rPr>
          <w:spacing w:val="-3"/>
        </w:rPr>
        <w:t> </w:t>
      </w:r>
      <w:r>
        <w:rPr/>
        <w:t>of disability, in promoting awareness of Universal Design as a good design approach that benefits everyone. We have been pleased to see the increased</w:t>
      </w:r>
      <w:r>
        <w:rPr>
          <w:spacing w:val="-6"/>
        </w:rPr>
        <w:t> </w:t>
      </w:r>
      <w:r>
        <w:rPr/>
        <w:t>knowledge</w:t>
      </w:r>
      <w:r>
        <w:rPr>
          <w:spacing w:val="-5"/>
        </w:rPr>
        <w:t> </w:t>
      </w:r>
      <w:r>
        <w:rPr/>
        <w:t>and</w:t>
      </w:r>
      <w:r>
        <w:rPr>
          <w:spacing w:val="-6"/>
        </w:rPr>
        <w:t> </w:t>
      </w:r>
      <w:r>
        <w:rPr/>
        <w:t>adoption</w:t>
      </w:r>
      <w:r>
        <w:rPr>
          <w:spacing w:val="-6"/>
        </w:rPr>
        <w:t> </w:t>
      </w:r>
      <w:r>
        <w:rPr/>
        <w:t>of</w:t>
      </w:r>
      <w:r>
        <w:rPr>
          <w:spacing w:val="-6"/>
        </w:rPr>
        <w:t> </w:t>
      </w:r>
      <w:r>
        <w:rPr/>
        <w:t>the</w:t>
      </w:r>
      <w:r>
        <w:rPr>
          <w:spacing w:val="-3"/>
        </w:rPr>
        <w:t> </w:t>
      </w:r>
      <w:r>
        <w:rPr/>
        <w:t>Universal</w:t>
      </w:r>
      <w:r>
        <w:rPr>
          <w:spacing w:val="-6"/>
        </w:rPr>
        <w:t> </w:t>
      </w:r>
      <w:r>
        <w:rPr/>
        <w:t>Design</w:t>
      </w:r>
      <w:r>
        <w:rPr>
          <w:spacing w:val="-6"/>
        </w:rPr>
        <w:t> </w:t>
      </w:r>
      <w:r>
        <w:rPr/>
        <w:t>concept</w:t>
      </w:r>
      <w:r>
        <w:rPr>
          <w:spacing w:val="-4"/>
        </w:rPr>
        <w:t> </w:t>
      </w:r>
      <w:r>
        <w:rPr/>
        <w:t>during 2017,</w:t>
      </w:r>
      <w:r>
        <w:rPr>
          <w:spacing w:val="-3"/>
        </w:rPr>
        <w:t> </w:t>
      </w:r>
      <w:r>
        <w:rPr/>
        <w:t>and</w:t>
      </w:r>
      <w:r>
        <w:rPr>
          <w:spacing w:val="-4"/>
        </w:rPr>
        <w:t> </w:t>
      </w:r>
      <w:r>
        <w:rPr/>
        <w:t>we</w:t>
      </w:r>
      <w:r>
        <w:rPr>
          <w:spacing w:val="-3"/>
        </w:rPr>
        <w:t> </w:t>
      </w:r>
      <w:r>
        <w:rPr/>
        <w:t>have</w:t>
      </w:r>
      <w:r>
        <w:rPr>
          <w:spacing w:val="-4"/>
        </w:rPr>
        <w:t> </w:t>
      </w:r>
      <w:r>
        <w:rPr/>
        <w:t>supported</w:t>
      </w:r>
      <w:r>
        <w:rPr>
          <w:spacing w:val="-4"/>
        </w:rPr>
        <w:t> </w:t>
      </w:r>
      <w:r>
        <w:rPr/>
        <w:t>these</w:t>
      </w:r>
      <w:r>
        <w:rPr>
          <w:spacing w:val="-4"/>
        </w:rPr>
        <w:t> </w:t>
      </w:r>
      <w:r>
        <w:rPr/>
        <w:t>advances</w:t>
      </w:r>
      <w:r>
        <w:rPr>
          <w:spacing w:val="-3"/>
        </w:rPr>
        <w:t> </w:t>
      </w:r>
      <w:r>
        <w:rPr/>
        <w:t>through</w:t>
      </w:r>
      <w:r>
        <w:rPr>
          <w:spacing w:val="-4"/>
        </w:rPr>
        <w:t> </w:t>
      </w:r>
      <w:r>
        <w:rPr/>
        <w:t>our</w:t>
      </w:r>
      <w:r>
        <w:rPr>
          <w:spacing w:val="-3"/>
        </w:rPr>
        <w:t> </w:t>
      </w:r>
      <w:r>
        <w:rPr/>
        <w:t>development</w:t>
      </w:r>
      <w:r>
        <w:rPr>
          <w:spacing w:val="-4"/>
        </w:rPr>
        <w:t> </w:t>
      </w:r>
      <w:r>
        <w:rPr/>
        <w:t>of guidance and toolkits to assist all those responsible for embedding the approach within their policies and practices.</w:t>
        <w:tab/>
        <w:t>Universal design is recognised in the UN Convention on the Rights of Persons with Disabilities as an enabler to achieving independence and equality as it addresses the many practical barriers.</w:t>
      </w:r>
    </w:p>
    <w:p>
      <w:pPr>
        <w:pStyle w:val="BodyText"/>
        <w:spacing w:before="239"/>
        <w:ind w:left="1702" w:right="988"/>
      </w:pPr>
      <w:r>
        <w:rPr/>
        <w:t>2017 was another busy year for both the NDA and its Centre for Excellence</w:t>
      </w:r>
      <w:r>
        <w:rPr>
          <w:spacing w:val="-4"/>
        </w:rPr>
        <w:t> </w:t>
      </w:r>
      <w:r>
        <w:rPr/>
        <w:t>in</w:t>
      </w:r>
      <w:r>
        <w:rPr>
          <w:spacing w:val="-4"/>
        </w:rPr>
        <w:t> </w:t>
      </w:r>
      <w:r>
        <w:rPr/>
        <w:t>Universal</w:t>
      </w:r>
      <w:r>
        <w:rPr>
          <w:spacing w:val="-4"/>
        </w:rPr>
        <w:t> </w:t>
      </w:r>
      <w:r>
        <w:rPr/>
        <w:t>Design.</w:t>
      </w:r>
      <w:r>
        <w:rPr>
          <w:spacing w:val="-4"/>
        </w:rPr>
        <w:t> </w:t>
      </w:r>
      <w:r>
        <w:rPr/>
        <w:t>I</w:t>
      </w:r>
      <w:r>
        <w:rPr>
          <w:spacing w:val="-4"/>
        </w:rPr>
        <w:t> </w:t>
      </w:r>
      <w:r>
        <w:rPr/>
        <w:t>am</w:t>
      </w:r>
      <w:r>
        <w:rPr>
          <w:spacing w:val="-4"/>
        </w:rPr>
        <w:t> </w:t>
      </w:r>
      <w:r>
        <w:rPr/>
        <w:t>pleased</w:t>
      </w:r>
      <w:r>
        <w:rPr>
          <w:spacing w:val="-4"/>
        </w:rPr>
        <w:t> </w:t>
      </w:r>
      <w:r>
        <w:rPr/>
        <w:t>to</w:t>
      </w:r>
      <w:r>
        <w:rPr>
          <w:spacing w:val="-3"/>
        </w:rPr>
        <w:t> </w:t>
      </w:r>
      <w:r>
        <w:rPr/>
        <w:t>advise</w:t>
      </w:r>
      <w:r>
        <w:rPr>
          <w:spacing w:val="-4"/>
        </w:rPr>
        <w:t> </w:t>
      </w:r>
      <w:r>
        <w:rPr/>
        <w:t>on</w:t>
      </w:r>
      <w:r>
        <w:rPr>
          <w:spacing w:val="-4"/>
        </w:rPr>
        <w:t> </w:t>
      </w:r>
      <w:r>
        <w:rPr/>
        <w:t>the</w:t>
      </w:r>
      <w:r>
        <w:rPr>
          <w:spacing w:val="-4"/>
        </w:rPr>
        <w:t> </w:t>
      </w:r>
      <w:r>
        <w:rPr/>
        <w:t>progress</w:t>
      </w:r>
      <w:r>
        <w:rPr>
          <w:spacing w:val="-3"/>
        </w:rPr>
        <w:t> </w:t>
      </w:r>
      <w:r>
        <w:rPr/>
        <w:t>we have</w:t>
      </w:r>
      <w:r>
        <w:rPr>
          <w:spacing w:val="-3"/>
        </w:rPr>
        <w:t> </w:t>
      </w:r>
      <w:r>
        <w:rPr/>
        <w:t>made</w:t>
      </w:r>
      <w:r>
        <w:rPr>
          <w:spacing w:val="-3"/>
        </w:rPr>
        <w:t> </w:t>
      </w:r>
      <w:r>
        <w:rPr/>
        <w:t>in</w:t>
      </w:r>
      <w:r>
        <w:rPr>
          <w:spacing w:val="-3"/>
        </w:rPr>
        <w:t> </w:t>
      </w:r>
      <w:r>
        <w:rPr/>
        <w:t>specific</w:t>
      </w:r>
      <w:r>
        <w:rPr>
          <w:spacing w:val="-3"/>
        </w:rPr>
        <w:t> </w:t>
      </w:r>
      <w:r>
        <w:rPr/>
        <w:t>areas,</w:t>
      </w:r>
      <w:r>
        <w:rPr>
          <w:spacing w:val="-1"/>
        </w:rPr>
        <w:t> </w:t>
      </w:r>
      <w:r>
        <w:rPr/>
        <w:t>and</w:t>
      </w:r>
      <w:r>
        <w:rPr>
          <w:spacing w:val="-3"/>
        </w:rPr>
        <w:t> </w:t>
      </w:r>
      <w:r>
        <w:rPr/>
        <w:t>take</w:t>
      </w:r>
      <w:r>
        <w:rPr>
          <w:spacing w:val="-2"/>
        </w:rPr>
        <w:t> </w:t>
      </w:r>
      <w:r>
        <w:rPr/>
        <w:t>the</w:t>
      </w:r>
      <w:r>
        <w:rPr>
          <w:spacing w:val="-3"/>
        </w:rPr>
        <w:t> </w:t>
      </w:r>
      <w:r>
        <w:rPr/>
        <w:t>opportunity</w:t>
      </w:r>
      <w:r>
        <w:rPr>
          <w:spacing w:val="-3"/>
        </w:rPr>
        <w:t> </w:t>
      </w:r>
      <w:r>
        <w:rPr/>
        <w:t>to</w:t>
      </w:r>
      <w:r>
        <w:rPr>
          <w:spacing w:val="-3"/>
        </w:rPr>
        <w:t> </w:t>
      </w:r>
      <w:r>
        <w:rPr/>
        <w:t>highlight</w:t>
      </w:r>
      <w:r>
        <w:rPr>
          <w:spacing w:val="-3"/>
        </w:rPr>
        <w:t> </w:t>
      </w:r>
      <w:r>
        <w:rPr/>
        <w:t>some</w:t>
      </w:r>
      <w:r>
        <w:rPr>
          <w:spacing w:val="-3"/>
        </w:rPr>
        <w:t> </w:t>
      </w:r>
      <w:r>
        <w:rPr/>
        <w:t>of these below.</w:t>
      </w:r>
    </w:p>
    <w:p>
      <w:pPr>
        <w:pStyle w:val="Heading5"/>
        <w:spacing w:before="254"/>
        <w:rPr>
          <w:rFonts w:ascii="Rockwell"/>
        </w:rPr>
      </w:pPr>
      <w:r>
        <w:rPr>
          <w:rFonts w:ascii="Rockwell"/>
          <w:color w:val="BE2195"/>
        </w:rPr>
        <w:t>Attitudes</w:t>
      </w:r>
      <w:r>
        <w:rPr>
          <w:rFonts w:ascii="Rockwell"/>
          <w:color w:val="BE2195"/>
          <w:spacing w:val="-16"/>
        </w:rPr>
        <w:t> </w:t>
      </w:r>
      <w:r>
        <w:rPr>
          <w:rFonts w:ascii="Rockwell"/>
          <w:color w:val="BE2195"/>
          <w:spacing w:val="-2"/>
        </w:rPr>
        <w:t>Survey</w:t>
      </w:r>
    </w:p>
    <w:p>
      <w:pPr>
        <w:pStyle w:val="BodyText"/>
        <w:spacing w:before="26"/>
        <w:ind w:left="1702" w:right="1059"/>
      </w:pPr>
      <w:r>
        <w:rPr/>
        <w:t>We</w:t>
      </w:r>
      <w:r>
        <w:rPr>
          <w:spacing w:val="-4"/>
        </w:rPr>
        <w:t> </w:t>
      </w:r>
      <w:r>
        <w:rPr/>
        <w:t>published</w:t>
      </w:r>
      <w:r>
        <w:rPr>
          <w:spacing w:val="-4"/>
        </w:rPr>
        <w:t> </w:t>
      </w:r>
      <w:r>
        <w:rPr/>
        <w:t>and</w:t>
      </w:r>
      <w:r>
        <w:rPr>
          <w:spacing w:val="-4"/>
        </w:rPr>
        <w:t> </w:t>
      </w:r>
      <w:r>
        <w:rPr/>
        <w:t>launched</w:t>
      </w:r>
      <w:r>
        <w:rPr>
          <w:spacing w:val="-4"/>
        </w:rPr>
        <w:t> </w:t>
      </w:r>
      <w:r>
        <w:rPr/>
        <w:t>the</w:t>
      </w:r>
      <w:r>
        <w:rPr>
          <w:spacing w:val="-4"/>
        </w:rPr>
        <w:t> </w:t>
      </w:r>
      <w:r>
        <w:rPr/>
        <w:t>report</w:t>
      </w:r>
      <w:r>
        <w:rPr>
          <w:spacing w:val="-4"/>
        </w:rPr>
        <w:t> </w:t>
      </w:r>
      <w:r>
        <w:rPr/>
        <w:t>of</w:t>
      </w:r>
      <w:r>
        <w:rPr>
          <w:spacing w:val="-4"/>
        </w:rPr>
        <w:t> </w:t>
      </w:r>
      <w:r>
        <w:rPr/>
        <w:t>our</w:t>
      </w:r>
      <w:r>
        <w:rPr>
          <w:spacing w:val="-1"/>
        </w:rPr>
        <w:t> </w:t>
      </w:r>
      <w:r>
        <w:rPr/>
        <w:t>fourth</w:t>
      </w:r>
      <w:r>
        <w:rPr>
          <w:spacing w:val="-4"/>
        </w:rPr>
        <w:t> </w:t>
      </w:r>
      <w:r>
        <w:rPr/>
        <w:t>survey</w:t>
      </w:r>
      <w:r>
        <w:rPr>
          <w:spacing w:val="-4"/>
        </w:rPr>
        <w:t> </w:t>
      </w:r>
      <w:r>
        <w:rPr/>
        <w:t>of</w:t>
      </w:r>
      <w:r>
        <w:rPr>
          <w:spacing w:val="-4"/>
        </w:rPr>
        <w:t> </w:t>
      </w:r>
      <w:r>
        <w:rPr/>
        <w:t>attitudes</w:t>
      </w:r>
      <w:r>
        <w:rPr>
          <w:spacing w:val="-2"/>
        </w:rPr>
        <w:t> </w:t>
      </w:r>
      <w:r>
        <w:rPr/>
        <w:t>to disability, which is conducted every 5 years.</w:t>
      </w:r>
      <w:r>
        <w:rPr>
          <w:spacing w:val="40"/>
        </w:rPr>
        <w:t> </w:t>
      </w:r>
      <w:r>
        <w:rPr/>
        <w:t>This has enabled the measurement of attitudes over almost two decades and highlights the areas that require particular attention in Irish society which are especially relevant to achieving inclusion and equality. It has been comforting to see improvements</w:t>
      </w:r>
      <w:r>
        <w:rPr>
          <w:spacing w:val="-3"/>
        </w:rPr>
        <w:t> </w:t>
      </w:r>
      <w:r>
        <w:rPr/>
        <w:t>in</w:t>
      </w:r>
      <w:r>
        <w:rPr>
          <w:spacing w:val="-4"/>
        </w:rPr>
        <w:t> </w:t>
      </w:r>
      <w:r>
        <w:rPr/>
        <w:t>attitudes</w:t>
      </w:r>
      <w:r>
        <w:rPr>
          <w:spacing w:val="-2"/>
        </w:rPr>
        <w:t> </w:t>
      </w:r>
      <w:r>
        <w:rPr/>
        <w:t>across</w:t>
      </w:r>
      <w:r>
        <w:rPr>
          <w:spacing w:val="-3"/>
        </w:rPr>
        <w:t> </w:t>
      </w:r>
      <w:r>
        <w:rPr/>
        <w:t>all</w:t>
      </w:r>
      <w:r>
        <w:rPr>
          <w:spacing w:val="-3"/>
        </w:rPr>
        <w:t> </w:t>
      </w:r>
      <w:r>
        <w:rPr/>
        <w:t>of</w:t>
      </w:r>
      <w:r>
        <w:rPr>
          <w:spacing w:val="-4"/>
        </w:rPr>
        <w:t> </w:t>
      </w:r>
      <w:r>
        <w:rPr/>
        <w:t>the</w:t>
      </w:r>
      <w:r>
        <w:rPr>
          <w:spacing w:val="-4"/>
        </w:rPr>
        <w:t> </w:t>
      </w:r>
      <w:r>
        <w:rPr/>
        <w:t>disability</w:t>
      </w:r>
      <w:r>
        <w:rPr>
          <w:spacing w:val="-4"/>
        </w:rPr>
        <w:t> </w:t>
      </w:r>
      <w:r>
        <w:rPr/>
        <w:t>categories covered</w:t>
      </w:r>
      <w:r>
        <w:rPr>
          <w:spacing w:val="-4"/>
        </w:rPr>
        <w:t> </w:t>
      </w:r>
      <w:r>
        <w:rPr/>
        <w:t>by the most recent survey.</w:t>
      </w:r>
    </w:p>
    <w:p>
      <w:pPr>
        <w:pStyle w:val="BodyText"/>
        <w:spacing w:after="0"/>
        <w:sectPr>
          <w:pgSz w:w="11910" w:h="16850"/>
          <w:pgMar w:header="0" w:footer="811" w:top="1880" w:bottom="1000" w:left="283" w:right="992"/>
        </w:sectPr>
      </w:pPr>
    </w:p>
    <w:p>
      <w:pPr>
        <w:pStyle w:val="Heading5"/>
        <w:spacing w:before="71"/>
        <w:rPr>
          <w:rFonts w:ascii="Rockwell"/>
        </w:rPr>
      </w:pPr>
      <w:r>
        <w:rPr>
          <w:rFonts w:ascii="Rockwell"/>
          <w:color w:val="BE2195"/>
        </w:rPr>
        <w:t>Employment</w:t>
      </w:r>
      <w:r>
        <w:rPr>
          <w:rFonts w:ascii="Rockwell"/>
          <w:color w:val="BE2195"/>
          <w:spacing w:val="-8"/>
        </w:rPr>
        <w:t> </w:t>
      </w:r>
      <w:r>
        <w:rPr>
          <w:rFonts w:ascii="Rockwell"/>
          <w:color w:val="BE2195"/>
        </w:rPr>
        <w:t>for</w:t>
      </w:r>
      <w:r>
        <w:rPr>
          <w:rFonts w:ascii="Rockwell"/>
          <w:color w:val="BE2195"/>
          <w:spacing w:val="-9"/>
        </w:rPr>
        <w:t> </w:t>
      </w:r>
      <w:r>
        <w:rPr>
          <w:rFonts w:ascii="Rockwell"/>
          <w:color w:val="BE2195"/>
        </w:rPr>
        <w:t>Persons</w:t>
      </w:r>
      <w:r>
        <w:rPr>
          <w:rFonts w:ascii="Rockwell"/>
          <w:color w:val="BE2195"/>
          <w:spacing w:val="-9"/>
        </w:rPr>
        <w:t> </w:t>
      </w:r>
      <w:r>
        <w:rPr>
          <w:rFonts w:ascii="Rockwell"/>
          <w:color w:val="BE2195"/>
        </w:rPr>
        <w:t>with</w:t>
      </w:r>
      <w:r>
        <w:rPr>
          <w:rFonts w:ascii="Rockwell"/>
          <w:color w:val="BE2195"/>
          <w:spacing w:val="-8"/>
        </w:rPr>
        <w:t> </w:t>
      </w:r>
      <w:r>
        <w:rPr>
          <w:rFonts w:ascii="Rockwell"/>
          <w:color w:val="BE2195"/>
          <w:spacing w:val="-2"/>
        </w:rPr>
        <w:t>Disabilities</w:t>
      </w:r>
    </w:p>
    <w:p>
      <w:pPr>
        <w:pStyle w:val="BodyText"/>
        <w:spacing w:before="28"/>
        <w:ind w:left="1702" w:right="1005"/>
      </w:pPr>
      <w:r>
        <w:rPr/>
        <w:t>2017 saw the second full year of implementation of the Comprehensive Employment</w:t>
      </w:r>
      <w:r>
        <w:rPr>
          <w:spacing w:val="-5"/>
        </w:rPr>
        <w:t> </w:t>
      </w:r>
      <w:r>
        <w:rPr/>
        <w:t>Strategy</w:t>
      </w:r>
      <w:r>
        <w:rPr>
          <w:spacing w:val="-5"/>
        </w:rPr>
        <w:t> </w:t>
      </w:r>
      <w:r>
        <w:rPr/>
        <w:t>for</w:t>
      </w:r>
      <w:r>
        <w:rPr>
          <w:spacing w:val="-5"/>
        </w:rPr>
        <w:t> </w:t>
      </w:r>
      <w:r>
        <w:rPr/>
        <w:t>People</w:t>
      </w:r>
      <w:r>
        <w:rPr>
          <w:spacing w:val="-5"/>
        </w:rPr>
        <w:t> </w:t>
      </w:r>
      <w:r>
        <w:rPr/>
        <w:t>with</w:t>
      </w:r>
      <w:r>
        <w:rPr>
          <w:spacing w:val="-5"/>
        </w:rPr>
        <w:t> </w:t>
      </w:r>
      <w:r>
        <w:rPr/>
        <w:t>Disabilities,</w:t>
      </w:r>
      <w:r>
        <w:rPr>
          <w:spacing w:val="-4"/>
        </w:rPr>
        <w:t> </w:t>
      </w:r>
      <w:r>
        <w:rPr/>
        <w:t>involving</w:t>
      </w:r>
      <w:r>
        <w:rPr>
          <w:spacing w:val="-5"/>
        </w:rPr>
        <w:t> </w:t>
      </w:r>
      <w:r>
        <w:rPr/>
        <w:t>activity</w:t>
      </w:r>
      <w:r>
        <w:rPr>
          <w:spacing w:val="-5"/>
        </w:rPr>
        <w:t> </w:t>
      </w:r>
      <w:r>
        <w:rPr/>
        <w:t>across</w:t>
      </w:r>
      <w:r>
        <w:rPr>
          <w:spacing w:val="-4"/>
        </w:rPr>
        <w:t> </w:t>
      </w:r>
      <w:r>
        <w:rPr/>
        <w:t>a number of departments and agencies. The NDA was pleased to be part of the cross-departmental working group led by Department of Employment Affairs and Social Protection, which published the Make Work Pay report in April. This report, presenting a detailed analysis of some of the complex financial barriers and dis-incentives to taking up employment, also set out clear recommendations for addressing these, a number of which are already well advanced.</w:t>
      </w:r>
    </w:p>
    <w:p>
      <w:pPr>
        <w:pStyle w:val="BodyText"/>
        <w:spacing w:before="239"/>
        <w:ind w:left="1702" w:right="1099"/>
      </w:pPr>
      <w:r>
        <w:rPr/>
        <w:t>We</w:t>
      </w:r>
      <w:r>
        <w:rPr>
          <w:spacing w:val="-5"/>
        </w:rPr>
        <w:t> </w:t>
      </w:r>
      <w:r>
        <w:rPr/>
        <w:t>welcomed</w:t>
      </w:r>
      <w:r>
        <w:rPr>
          <w:spacing w:val="-5"/>
        </w:rPr>
        <w:t> </w:t>
      </w:r>
      <w:r>
        <w:rPr/>
        <w:t>the</w:t>
      </w:r>
      <w:r>
        <w:rPr>
          <w:spacing w:val="-5"/>
        </w:rPr>
        <w:t> </w:t>
      </w:r>
      <w:r>
        <w:rPr/>
        <w:t>engagement</w:t>
      </w:r>
      <w:r>
        <w:rPr>
          <w:spacing w:val="-5"/>
        </w:rPr>
        <w:t> </w:t>
      </w:r>
      <w:r>
        <w:rPr/>
        <w:t>and</w:t>
      </w:r>
      <w:r>
        <w:rPr>
          <w:spacing w:val="-5"/>
        </w:rPr>
        <w:t> </w:t>
      </w:r>
      <w:r>
        <w:rPr/>
        <w:t>commitment</w:t>
      </w:r>
      <w:r>
        <w:rPr>
          <w:spacing w:val="-5"/>
        </w:rPr>
        <w:t> </w:t>
      </w:r>
      <w:r>
        <w:rPr/>
        <w:t>of</w:t>
      </w:r>
      <w:r>
        <w:rPr>
          <w:spacing w:val="-5"/>
        </w:rPr>
        <w:t> </w:t>
      </w:r>
      <w:r>
        <w:rPr/>
        <w:t>the</w:t>
      </w:r>
      <w:r>
        <w:rPr>
          <w:spacing w:val="-5"/>
        </w:rPr>
        <w:t> </w:t>
      </w:r>
      <w:r>
        <w:rPr/>
        <w:t>interdepartmental working group to agree an approach to supported employment, recognising the critical pathway from pre-employment, to getting support to apply for and keep a job. We look forward to the publication of the report of the group and the implementation of the agreed approach in </w:t>
      </w:r>
      <w:r>
        <w:rPr>
          <w:spacing w:val="-2"/>
        </w:rPr>
        <w:t>2018.</w:t>
      </w:r>
    </w:p>
    <w:p>
      <w:pPr>
        <w:pStyle w:val="BodyText"/>
        <w:spacing w:before="240"/>
        <w:ind w:left="1702" w:right="988"/>
      </w:pPr>
      <w:r>
        <w:rPr/>
        <w:t>We welcome the achievements by many public bodies in their work to achieve and in some cases surpass the target for employing persons with disabilities in the public sector. There are opportunities for further improvements</w:t>
      </w:r>
      <w:r>
        <w:rPr>
          <w:spacing w:val="-4"/>
        </w:rPr>
        <w:t> </w:t>
      </w:r>
      <w:r>
        <w:rPr/>
        <w:t>as</w:t>
      </w:r>
      <w:r>
        <w:rPr>
          <w:spacing w:val="-5"/>
        </w:rPr>
        <w:t> </w:t>
      </w:r>
      <w:r>
        <w:rPr/>
        <w:t>the</w:t>
      </w:r>
      <w:r>
        <w:rPr>
          <w:spacing w:val="-4"/>
        </w:rPr>
        <w:t> </w:t>
      </w:r>
      <w:r>
        <w:rPr/>
        <w:t>restrictions</w:t>
      </w:r>
      <w:r>
        <w:rPr>
          <w:spacing w:val="-4"/>
        </w:rPr>
        <w:t> </w:t>
      </w:r>
      <w:r>
        <w:rPr/>
        <w:t>on</w:t>
      </w:r>
      <w:r>
        <w:rPr>
          <w:spacing w:val="-5"/>
        </w:rPr>
        <w:t> </w:t>
      </w:r>
      <w:r>
        <w:rPr/>
        <w:t>recruitment</w:t>
      </w:r>
      <w:r>
        <w:rPr>
          <w:spacing w:val="-4"/>
        </w:rPr>
        <w:t> </w:t>
      </w:r>
      <w:r>
        <w:rPr/>
        <w:t>in</w:t>
      </w:r>
      <w:r>
        <w:rPr>
          <w:spacing w:val="-5"/>
        </w:rPr>
        <w:t> </w:t>
      </w:r>
      <w:r>
        <w:rPr/>
        <w:t>the</w:t>
      </w:r>
      <w:r>
        <w:rPr>
          <w:spacing w:val="-5"/>
        </w:rPr>
        <w:t> </w:t>
      </w:r>
      <w:r>
        <w:rPr/>
        <w:t>public</w:t>
      </w:r>
      <w:r>
        <w:rPr>
          <w:spacing w:val="-5"/>
        </w:rPr>
        <w:t> </w:t>
      </w:r>
      <w:r>
        <w:rPr/>
        <w:t>service</w:t>
      </w:r>
      <w:r>
        <w:rPr>
          <w:spacing w:val="-5"/>
        </w:rPr>
        <w:t> </w:t>
      </w:r>
      <w:r>
        <w:rPr/>
        <w:t>have eased and recognising the target will increase incrementally to 6% in the coming years.</w:t>
      </w:r>
    </w:p>
    <w:p>
      <w:pPr>
        <w:pStyle w:val="Heading5"/>
        <w:spacing w:before="254"/>
        <w:rPr>
          <w:rFonts w:ascii="Rockwell"/>
        </w:rPr>
      </w:pPr>
      <w:r>
        <w:rPr>
          <w:rFonts w:ascii="Rockwell"/>
          <w:color w:val="BE2195"/>
          <w:spacing w:val="-2"/>
        </w:rPr>
        <w:t>Transforming</w:t>
      </w:r>
      <w:r>
        <w:rPr>
          <w:rFonts w:ascii="Rockwell"/>
          <w:color w:val="BE2195"/>
          <w:spacing w:val="4"/>
        </w:rPr>
        <w:t> </w:t>
      </w:r>
      <w:r>
        <w:rPr>
          <w:rFonts w:ascii="Rockwell"/>
          <w:color w:val="BE2195"/>
          <w:spacing w:val="-4"/>
        </w:rPr>
        <w:t>Lives</w:t>
      </w:r>
    </w:p>
    <w:p>
      <w:pPr>
        <w:pStyle w:val="BodyText"/>
        <w:spacing w:before="27"/>
        <w:ind w:left="1702" w:right="988"/>
      </w:pPr>
      <w:r>
        <w:rPr/>
        <w:t>Throughout 2017, the NDA has continued to support the implementation of the Transforming Lives programme, aimed at achieving an individualised and tailored approach to the provision of disability services in the health and social care areas. We have completed a significant piece of strategic forecasting</w:t>
      </w:r>
      <w:r>
        <w:rPr>
          <w:spacing w:val="-5"/>
        </w:rPr>
        <w:t> </w:t>
      </w:r>
      <w:r>
        <w:rPr/>
        <w:t>of</w:t>
      </w:r>
      <w:r>
        <w:rPr>
          <w:spacing w:val="-5"/>
        </w:rPr>
        <w:t> </w:t>
      </w:r>
      <w:r>
        <w:rPr/>
        <w:t>future</w:t>
      </w:r>
      <w:r>
        <w:rPr>
          <w:spacing w:val="-5"/>
        </w:rPr>
        <w:t> </w:t>
      </w:r>
      <w:r>
        <w:rPr/>
        <w:t>demand</w:t>
      </w:r>
      <w:r>
        <w:rPr>
          <w:spacing w:val="-5"/>
        </w:rPr>
        <w:t> </w:t>
      </w:r>
      <w:r>
        <w:rPr/>
        <w:t>for</w:t>
      </w:r>
      <w:r>
        <w:rPr>
          <w:spacing w:val="-4"/>
        </w:rPr>
        <w:t> </w:t>
      </w:r>
      <w:r>
        <w:rPr/>
        <w:t>these</w:t>
      </w:r>
      <w:r>
        <w:rPr>
          <w:spacing w:val="-5"/>
        </w:rPr>
        <w:t> </w:t>
      </w:r>
      <w:r>
        <w:rPr/>
        <w:t>services,</w:t>
      </w:r>
      <w:r>
        <w:rPr>
          <w:spacing w:val="-4"/>
        </w:rPr>
        <w:t> </w:t>
      </w:r>
      <w:r>
        <w:rPr/>
        <w:t>analysing</w:t>
      </w:r>
      <w:r>
        <w:rPr>
          <w:spacing w:val="-5"/>
        </w:rPr>
        <w:t> </w:t>
      </w:r>
      <w:r>
        <w:rPr/>
        <w:t>demographic</w:t>
      </w:r>
      <w:r>
        <w:rPr>
          <w:spacing w:val="-5"/>
        </w:rPr>
        <w:t> </w:t>
      </w:r>
      <w:r>
        <w:rPr/>
        <w:t>and healthcare trends to 2026. This report will be published in 2018 and will inform</w:t>
      </w:r>
      <w:r>
        <w:rPr>
          <w:spacing w:val="-4"/>
        </w:rPr>
        <w:t> </w:t>
      </w:r>
      <w:r>
        <w:rPr/>
        <w:t>key</w:t>
      </w:r>
      <w:r>
        <w:rPr>
          <w:spacing w:val="-4"/>
        </w:rPr>
        <w:t> </w:t>
      </w:r>
      <w:r>
        <w:rPr/>
        <w:t>decisions</w:t>
      </w:r>
      <w:r>
        <w:rPr>
          <w:spacing w:val="-3"/>
        </w:rPr>
        <w:t> </w:t>
      </w:r>
      <w:r>
        <w:rPr/>
        <w:t>regarding</w:t>
      </w:r>
      <w:r>
        <w:rPr>
          <w:spacing w:val="-4"/>
        </w:rPr>
        <w:t> </w:t>
      </w:r>
      <w:r>
        <w:rPr/>
        <w:t>the</w:t>
      </w:r>
      <w:r>
        <w:rPr>
          <w:spacing w:val="-3"/>
        </w:rPr>
        <w:t> </w:t>
      </w:r>
      <w:r>
        <w:rPr/>
        <w:t>resourcing</w:t>
      </w:r>
      <w:r>
        <w:rPr>
          <w:spacing w:val="-4"/>
        </w:rPr>
        <w:t> </w:t>
      </w:r>
      <w:r>
        <w:rPr/>
        <w:t>and</w:t>
      </w:r>
      <w:r>
        <w:rPr>
          <w:spacing w:val="-4"/>
        </w:rPr>
        <w:t> </w:t>
      </w:r>
      <w:r>
        <w:rPr/>
        <w:t>provision</w:t>
      </w:r>
      <w:r>
        <w:rPr>
          <w:spacing w:val="-4"/>
        </w:rPr>
        <w:t> </w:t>
      </w:r>
      <w:r>
        <w:rPr/>
        <w:t>of</w:t>
      </w:r>
      <w:r>
        <w:rPr>
          <w:spacing w:val="-4"/>
        </w:rPr>
        <w:t> </w:t>
      </w:r>
      <w:r>
        <w:rPr/>
        <w:t>services</w:t>
      </w:r>
      <w:r>
        <w:rPr>
          <w:spacing w:val="-3"/>
        </w:rPr>
        <w:t> </w:t>
      </w:r>
      <w:r>
        <w:rPr/>
        <w:t>for the future.</w:t>
      </w:r>
    </w:p>
    <w:p>
      <w:pPr>
        <w:pStyle w:val="BodyText"/>
        <w:spacing w:before="241"/>
        <w:ind w:left="1702" w:right="988"/>
      </w:pPr>
      <w:r>
        <w:rPr/>
        <w:t>We have also continued to deliver a programme of projects that will help to support effective person-centred planning, the development of a framework for continuous quality improvement, and mechanisms for measuring</w:t>
      </w:r>
      <w:r>
        <w:rPr>
          <w:spacing w:val="-4"/>
        </w:rPr>
        <w:t> </w:t>
      </w:r>
      <w:r>
        <w:rPr/>
        <w:t>outcomes</w:t>
      </w:r>
      <w:r>
        <w:rPr>
          <w:spacing w:val="-3"/>
        </w:rPr>
        <w:t> </w:t>
      </w:r>
      <w:r>
        <w:rPr/>
        <w:t>for</w:t>
      </w:r>
      <w:r>
        <w:rPr>
          <w:spacing w:val="-4"/>
        </w:rPr>
        <w:t> </w:t>
      </w:r>
      <w:r>
        <w:rPr/>
        <w:t>persons</w:t>
      </w:r>
      <w:r>
        <w:rPr>
          <w:spacing w:val="-3"/>
        </w:rPr>
        <w:t> </w:t>
      </w:r>
      <w:r>
        <w:rPr/>
        <w:t>with</w:t>
      </w:r>
      <w:r>
        <w:rPr>
          <w:spacing w:val="-4"/>
        </w:rPr>
        <w:t> </w:t>
      </w:r>
      <w:r>
        <w:rPr/>
        <w:t>disabilities.</w:t>
      </w:r>
      <w:r>
        <w:rPr>
          <w:spacing w:val="40"/>
        </w:rPr>
        <w:t> </w:t>
      </w:r>
      <w:r>
        <w:rPr/>
        <w:t>It</w:t>
      </w:r>
      <w:r>
        <w:rPr>
          <w:spacing w:val="-4"/>
        </w:rPr>
        <w:t> </w:t>
      </w:r>
      <w:r>
        <w:rPr/>
        <w:t>is</w:t>
      </w:r>
      <w:r>
        <w:rPr>
          <w:spacing w:val="-2"/>
        </w:rPr>
        <w:t> </w:t>
      </w:r>
      <w:r>
        <w:rPr/>
        <w:t>evident</w:t>
      </w:r>
      <w:r>
        <w:rPr>
          <w:spacing w:val="-4"/>
        </w:rPr>
        <w:t> </w:t>
      </w:r>
      <w:r>
        <w:rPr/>
        <w:t>that</w:t>
      </w:r>
      <w:r>
        <w:rPr>
          <w:spacing w:val="-4"/>
        </w:rPr>
        <w:t> </w:t>
      </w:r>
      <w:r>
        <w:rPr/>
        <w:t>each</w:t>
      </w:r>
      <w:r>
        <w:rPr>
          <w:spacing w:val="-4"/>
        </w:rPr>
        <w:t> </w:t>
      </w:r>
      <w:r>
        <w:rPr/>
        <w:t>of these systems is dependent on the other, and we are ensuring this level of integration is recognised and addressed in our work.</w:t>
      </w:r>
    </w:p>
    <w:p>
      <w:pPr>
        <w:pStyle w:val="BodyText"/>
        <w:spacing w:after="0"/>
        <w:sectPr>
          <w:pgSz w:w="11910" w:h="16850"/>
          <w:pgMar w:header="0" w:footer="811" w:top="1900" w:bottom="1000" w:left="283" w:right="992"/>
        </w:sectPr>
      </w:pPr>
    </w:p>
    <w:p>
      <w:pPr>
        <w:pStyle w:val="BodyText"/>
        <w:spacing w:before="79"/>
        <w:ind w:left="1702" w:right="1038"/>
      </w:pPr>
      <w:r>
        <w:rPr/>
        <w:t>Our work to understand the costs and benefits of newer, community based</w:t>
      </w:r>
      <w:r>
        <w:rPr>
          <w:spacing w:val="-5"/>
        </w:rPr>
        <w:t> </w:t>
      </w:r>
      <w:r>
        <w:rPr/>
        <w:t>models</w:t>
      </w:r>
      <w:r>
        <w:rPr>
          <w:spacing w:val="-4"/>
        </w:rPr>
        <w:t> </w:t>
      </w:r>
      <w:r>
        <w:rPr/>
        <w:t>of</w:t>
      </w:r>
      <w:r>
        <w:rPr>
          <w:spacing w:val="-5"/>
        </w:rPr>
        <w:t> </w:t>
      </w:r>
      <w:r>
        <w:rPr/>
        <w:t>residential</w:t>
      </w:r>
      <w:r>
        <w:rPr>
          <w:spacing w:val="-5"/>
        </w:rPr>
        <w:t> </w:t>
      </w:r>
      <w:r>
        <w:rPr/>
        <w:t>service</w:t>
      </w:r>
      <w:r>
        <w:rPr>
          <w:spacing w:val="-5"/>
        </w:rPr>
        <w:t> </w:t>
      </w:r>
      <w:r>
        <w:rPr/>
        <w:t>also</w:t>
      </w:r>
      <w:r>
        <w:rPr>
          <w:spacing w:val="-4"/>
        </w:rPr>
        <w:t> </w:t>
      </w:r>
      <w:r>
        <w:rPr/>
        <w:t>continues.</w:t>
      </w:r>
      <w:r>
        <w:rPr>
          <w:spacing w:val="-4"/>
        </w:rPr>
        <w:t> </w:t>
      </w:r>
      <w:r>
        <w:rPr/>
        <w:t>During</w:t>
      </w:r>
      <w:r>
        <w:rPr>
          <w:spacing w:val="-5"/>
        </w:rPr>
        <w:t> </w:t>
      </w:r>
      <w:r>
        <w:rPr/>
        <w:t>2017</w:t>
      </w:r>
      <w:r>
        <w:rPr>
          <w:spacing w:val="-5"/>
        </w:rPr>
        <w:t> </w:t>
      </w:r>
      <w:r>
        <w:rPr/>
        <w:t>we</w:t>
      </w:r>
      <w:r>
        <w:rPr>
          <w:spacing w:val="-2"/>
        </w:rPr>
        <w:t> </w:t>
      </w:r>
      <w:r>
        <w:rPr/>
        <w:t>carried out fieldwork with persons with disabilities in traditional residential settings scheduled for closure, as well as people already living self-directed lives in the community. The rich information we are gathering throughout this process will inform and guide approaches to residential services into the future.</w:t>
      </w:r>
    </w:p>
    <w:p>
      <w:pPr>
        <w:pStyle w:val="Heading5"/>
        <w:spacing w:before="251"/>
        <w:rPr>
          <w:rFonts w:ascii="Rockwell"/>
        </w:rPr>
      </w:pPr>
      <w:r>
        <w:rPr>
          <w:rFonts w:ascii="Rockwell"/>
          <w:color w:val="BE2195"/>
        </w:rPr>
        <w:t>Personalised</w:t>
      </w:r>
      <w:r>
        <w:rPr>
          <w:rFonts w:ascii="Rockwell"/>
          <w:color w:val="BE2195"/>
          <w:spacing w:val="-14"/>
        </w:rPr>
        <w:t> </w:t>
      </w:r>
      <w:r>
        <w:rPr>
          <w:rFonts w:ascii="Rockwell"/>
          <w:color w:val="BE2195"/>
          <w:spacing w:val="-2"/>
        </w:rPr>
        <w:t>Budgets</w:t>
      </w:r>
    </w:p>
    <w:p>
      <w:pPr>
        <w:pStyle w:val="BodyText"/>
        <w:spacing w:before="28"/>
        <w:ind w:left="1702" w:right="1009"/>
      </w:pPr>
      <w:r>
        <w:rPr/>
        <w:t>We have worked with the Task Force on Personalised Budgets,</w:t>
      </w:r>
      <w:r>
        <w:rPr>
          <w:spacing w:val="40"/>
        </w:rPr>
        <w:t> </w:t>
      </w:r>
      <w:r>
        <w:rPr/>
        <w:t>established by the Minister of State with Responsibility for Disabilities to influence</w:t>
      </w:r>
      <w:r>
        <w:rPr>
          <w:spacing w:val="-4"/>
        </w:rPr>
        <w:t> </w:t>
      </w:r>
      <w:r>
        <w:rPr/>
        <w:t>a</w:t>
      </w:r>
      <w:r>
        <w:rPr>
          <w:spacing w:val="-4"/>
        </w:rPr>
        <w:t> </w:t>
      </w:r>
      <w:r>
        <w:rPr/>
        <w:t>policy</w:t>
      </w:r>
      <w:r>
        <w:rPr>
          <w:spacing w:val="-5"/>
        </w:rPr>
        <w:t> </w:t>
      </w:r>
      <w:r>
        <w:rPr/>
        <w:t>that</w:t>
      </w:r>
      <w:r>
        <w:rPr>
          <w:spacing w:val="-2"/>
        </w:rPr>
        <w:t> </w:t>
      </w:r>
      <w:r>
        <w:rPr/>
        <w:t>could</w:t>
      </w:r>
      <w:r>
        <w:rPr>
          <w:spacing w:val="-4"/>
        </w:rPr>
        <w:t> </w:t>
      </w:r>
      <w:r>
        <w:rPr/>
        <w:t>work</w:t>
      </w:r>
      <w:r>
        <w:rPr>
          <w:spacing w:val="-3"/>
        </w:rPr>
        <w:t> </w:t>
      </w:r>
      <w:r>
        <w:rPr/>
        <w:t>in</w:t>
      </w:r>
      <w:r>
        <w:rPr>
          <w:spacing w:val="-4"/>
        </w:rPr>
        <w:t> </w:t>
      </w:r>
      <w:r>
        <w:rPr/>
        <w:t>an</w:t>
      </w:r>
      <w:r>
        <w:rPr>
          <w:spacing w:val="-4"/>
        </w:rPr>
        <w:t> </w:t>
      </w:r>
      <w:r>
        <w:rPr/>
        <w:t>Irish</w:t>
      </w:r>
      <w:r>
        <w:rPr>
          <w:spacing w:val="-4"/>
        </w:rPr>
        <w:t> </w:t>
      </w:r>
      <w:r>
        <w:rPr/>
        <w:t>context.</w:t>
      </w:r>
      <w:r>
        <w:rPr>
          <w:spacing w:val="-1"/>
        </w:rPr>
        <w:t> </w:t>
      </w:r>
      <w:r>
        <w:rPr/>
        <w:t>The</w:t>
      </w:r>
      <w:r>
        <w:rPr>
          <w:spacing w:val="-2"/>
        </w:rPr>
        <w:t> </w:t>
      </w:r>
      <w:r>
        <w:rPr/>
        <w:t>NDA</w:t>
      </w:r>
      <w:r>
        <w:rPr>
          <w:spacing w:val="-2"/>
        </w:rPr>
        <w:t> </w:t>
      </w:r>
      <w:r>
        <w:rPr/>
        <w:t>conducted research and evaluation work to inform the deliberations of the Task Force, and we look forward to the final report being available early in </w:t>
      </w:r>
      <w:r>
        <w:rPr>
          <w:spacing w:val="-2"/>
        </w:rPr>
        <w:t>2018.</w:t>
      </w:r>
    </w:p>
    <w:p>
      <w:pPr>
        <w:pStyle w:val="BodyText"/>
        <w:spacing w:before="241"/>
        <w:ind w:left="1702" w:right="1099"/>
      </w:pPr>
      <w:r>
        <w:rPr/>
        <w:t>This year, our annual conference was designed to further inform considerations of the type of individualised supports that persons with disabilities</w:t>
      </w:r>
      <w:r>
        <w:rPr>
          <w:spacing w:val="-3"/>
        </w:rPr>
        <w:t> </w:t>
      </w:r>
      <w:r>
        <w:rPr/>
        <w:t>might</w:t>
      </w:r>
      <w:r>
        <w:rPr>
          <w:spacing w:val="-5"/>
        </w:rPr>
        <w:t> </w:t>
      </w:r>
      <w:r>
        <w:rPr/>
        <w:t>need</w:t>
      </w:r>
      <w:r>
        <w:rPr>
          <w:spacing w:val="-5"/>
        </w:rPr>
        <w:t> </w:t>
      </w:r>
      <w:r>
        <w:rPr/>
        <w:t>to</w:t>
      </w:r>
      <w:r>
        <w:rPr>
          <w:spacing w:val="-5"/>
        </w:rPr>
        <w:t> </w:t>
      </w:r>
      <w:r>
        <w:rPr/>
        <w:t>assist</w:t>
      </w:r>
      <w:r>
        <w:rPr>
          <w:spacing w:val="-5"/>
        </w:rPr>
        <w:t> </w:t>
      </w:r>
      <w:r>
        <w:rPr/>
        <w:t>them</w:t>
      </w:r>
      <w:r>
        <w:rPr>
          <w:spacing w:val="-5"/>
        </w:rPr>
        <w:t> </w:t>
      </w:r>
      <w:r>
        <w:rPr/>
        <w:t>in</w:t>
      </w:r>
      <w:r>
        <w:rPr>
          <w:spacing w:val="-5"/>
        </w:rPr>
        <w:t> </w:t>
      </w:r>
      <w:r>
        <w:rPr/>
        <w:t>availing</w:t>
      </w:r>
      <w:r>
        <w:rPr>
          <w:spacing w:val="-5"/>
        </w:rPr>
        <w:t> </w:t>
      </w:r>
      <w:r>
        <w:rPr/>
        <w:t>of</w:t>
      </w:r>
      <w:r>
        <w:rPr>
          <w:spacing w:val="-5"/>
        </w:rPr>
        <w:t> </w:t>
      </w:r>
      <w:r>
        <w:rPr/>
        <w:t>personalised</w:t>
      </w:r>
      <w:r>
        <w:rPr>
          <w:spacing w:val="-5"/>
        </w:rPr>
        <w:t> </w:t>
      </w:r>
      <w:r>
        <w:rPr/>
        <w:t>budgets. We focused on circles of support, local area coordination and micro-boards</w:t>
      </w:r>
      <w:r>
        <w:rPr>
          <w:spacing w:val="-2"/>
        </w:rPr>
        <w:t> </w:t>
      </w:r>
      <w:r>
        <w:rPr/>
        <w:t>as</w:t>
      </w:r>
      <w:r>
        <w:rPr>
          <w:spacing w:val="-3"/>
        </w:rPr>
        <w:t> </w:t>
      </w:r>
      <w:r>
        <w:rPr/>
        <w:t>possibilities</w:t>
      </w:r>
      <w:r>
        <w:rPr>
          <w:spacing w:val="-1"/>
        </w:rPr>
        <w:t> </w:t>
      </w:r>
      <w:r>
        <w:rPr/>
        <w:t>for</w:t>
      </w:r>
      <w:r>
        <w:rPr>
          <w:spacing w:val="-3"/>
        </w:rPr>
        <w:t> </w:t>
      </w:r>
      <w:r>
        <w:rPr/>
        <w:t>future</w:t>
      </w:r>
      <w:r>
        <w:rPr>
          <w:spacing w:val="-3"/>
        </w:rPr>
        <w:t> </w:t>
      </w:r>
      <w:r>
        <w:rPr/>
        <w:t>implementation</w:t>
      </w:r>
      <w:r>
        <w:rPr>
          <w:spacing w:val="-3"/>
        </w:rPr>
        <w:t> </w:t>
      </w:r>
      <w:r>
        <w:rPr/>
        <w:t>of</w:t>
      </w:r>
      <w:r>
        <w:rPr>
          <w:spacing w:val="-3"/>
        </w:rPr>
        <w:t> </w:t>
      </w:r>
      <w:r>
        <w:rPr/>
        <w:t>a</w:t>
      </w:r>
      <w:r>
        <w:rPr>
          <w:spacing w:val="-3"/>
        </w:rPr>
        <w:t> </w:t>
      </w:r>
      <w:r>
        <w:rPr/>
        <w:t>national</w:t>
      </w:r>
      <w:r>
        <w:rPr>
          <w:spacing w:val="-3"/>
        </w:rPr>
        <w:t> </w:t>
      </w:r>
      <w:r>
        <w:rPr/>
        <w:t>system</w:t>
      </w:r>
      <w:r>
        <w:rPr>
          <w:spacing w:val="-1"/>
        </w:rPr>
        <w:t> </w:t>
      </w:r>
      <w:r>
        <w:rPr/>
        <w:t>of personalised budgets.</w:t>
      </w:r>
    </w:p>
    <w:p>
      <w:pPr>
        <w:pStyle w:val="Heading5"/>
        <w:spacing w:before="253"/>
        <w:rPr>
          <w:rFonts w:ascii="Rockwell"/>
        </w:rPr>
      </w:pPr>
      <w:r>
        <w:rPr>
          <w:rFonts w:ascii="Rockwell"/>
          <w:color w:val="BE2195"/>
          <w:spacing w:val="-2"/>
        </w:rPr>
        <w:t>Housing</w:t>
      </w:r>
    </w:p>
    <w:p>
      <w:pPr>
        <w:pStyle w:val="BodyText"/>
        <w:spacing w:before="26"/>
        <w:ind w:left="1702" w:right="1005"/>
      </w:pPr>
      <w:r>
        <w:rPr/>
        <w:t>The issue of access to housing continues to present challenges for the population generally, including those with disabilities.</w:t>
      </w:r>
      <w:r>
        <w:rPr>
          <w:spacing w:val="80"/>
        </w:rPr>
        <w:t> </w:t>
      </w:r>
      <w:r>
        <w:rPr/>
        <w:t>The NDA has advised on how Universal Design from the outset can provide greater choice for individuals and enable people to remain in their homes when they age or they experience changes in their abilities.</w:t>
      </w:r>
      <w:r>
        <w:rPr>
          <w:spacing w:val="40"/>
        </w:rPr>
        <w:t> </w:t>
      </w:r>
      <w:r>
        <w:rPr/>
        <w:t>In 2017 we were delighted to see the successful outcomes from the joint initiative between our Centre for Excellence in Universal Design and the Department of Housing,</w:t>
      </w:r>
      <w:r>
        <w:rPr>
          <w:spacing w:val="-5"/>
        </w:rPr>
        <w:t> </w:t>
      </w:r>
      <w:r>
        <w:rPr/>
        <w:t>Planning</w:t>
      </w:r>
      <w:r>
        <w:rPr>
          <w:spacing w:val="-5"/>
        </w:rPr>
        <w:t> </w:t>
      </w:r>
      <w:r>
        <w:rPr/>
        <w:t>&amp;</w:t>
      </w:r>
      <w:r>
        <w:rPr>
          <w:spacing w:val="-4"/>
        </w:rPr>
        <w:t> </w:t>
      </w:r>
      <w:r>
        <w:rPr/>
        <w:t>Local</w:t>
      </w:r>
      <w:r>
        <w:rPr>
          <w:spacing w:val="-4"/>
        </w:rPr>
        <w:t> </w:t>
      </w:r>
      <w:r>
        <w:rPr/>
        <w:t>Government</w:t>
      </w:r>
      <w:r>
        <w:rPr>
          <w:spacing w:val="-2"/>
        </w:rPr>
        <w:t> </w:t>
      </w:r>
      <w:r>
        <w:rPr/>
        <w:t>-</w:t>
      </w:r>
      <w:r>
        <w:rPr>
          <w:spacing w:val="-4"/>
        </w:rPr>
        <w:t> </w:t>
      </w:r>
      <w:r>
        <w:rPr/>
        <w:t>the</w:t>
      </w:r>
      <w:r>
        <w:rPr>
          <w:spacing w:val="-5"/>
        </w:rPr>
        <w:t> </w:t>
      </w:r>
      <w:r>
        <w:rPr/>
        <w:t>first</w:t>
      </w:r>
      <w:r>
        <w:rPr>
          <w:spacing w:val="-4"/>
        </w:rPr>
        <w:t> </w:t>
      </w:r>
      <w:r>
        <w:rPr/>
        <w:t>Homes</w:t>
      </w:r>
      <w:r>
        <w:rPr>
          <w:spacing w:val="-4"/>
        </w:rPr>
        <w:t> </w:t>
      </w:r>
      <w:r>
        <w:rPr/>
        <w:t>for</w:t>
      </w:r>
      <w:r>
        <w:rPr>
          <w:spacing w:val="-5"/>
        </w:rPr>
        <w:t> </w:t>
      </w:r>
      <w:r>
        <w:rPr/>
        <w:t>Smart</w:t>
      </w:r>
      <w:r>
        <w:rPr>
          <w:spacing w:val="-2"/>
        </w:rPr>
        <w:t> </w:t>
      </w:r>
      <w:r>
        <w:rPr/>
        <w:t>Ageing: Universal Design Challenge. This competition encouraged designers, architects and engineers to consider innovative ways of planning for the</w:t>
      </w:r>
    </w:p>
    <w:p>
      <w:pPr>
        <w:pStyle w:val="BodyText"/>
        <w:spacing w:before="2"/>
        <w:ind w:left="1702" w:right="1080"/>
      </w:pPr>
      <w:r>
        <w:rPr/>
        <w:t>housing</w:t>
      </w:r>
      <w:r>
        <w:rPr>
          <w:spacing w:val="-4"/>
        </w:rPr>
        <w:t> </w:t>
      </w:r>
      <w:r>
        <w:rPr/>
        <w:t>needs</w:t>
      </w:r>
      <w:r>
        <w:rPr>
          <w:spacing w:val="-3"/>
        </w:rPr>
        <w:t> </w:t>
      </w:r>
      <w:r>
        <w:rPr/>
        <w:t>of</w:t>
      </w:r>
      <w:r>
        <w:rPr>
          <w:spacing w:val="-4"/>
        </w:rPr>
        <w:t> </w:t>
      </w:r>
      <w:r>
        <w:rPr/>
        <w:t>an</w:t>
      </w:r>
      <w:r>
        <w:rPr>
          <w:spacing w:val="-4"/>
        </w:rPr>
        <w:t> </w:t>
      </w:r>
      <w:r>
        <w:rPr/>
        <w:t>ageing</w:t>
      </w:r>
      <w:r>
        <w:rPr>
          <w:spacing w:val="-4"/>
        </w:rPr>
        <w:t> </w:t>
      </w:r>
      <w:r>
        <w:rPr/>
        <w:t>population,</w:t>
      </w:r>
      <w:r>
        <w:rPr>
          <w:spacing w:val="-3"/>
        </w:rPr>
        <w:t> </w:t>
      </w:r>
      <w:r>
        <w:rPr/>
        <w:t>with</w:t>
      </w:r>
      <w:r>
        <w:rPr>
          <w:spacing w:val="-4"/>
        </w:rPr>
        <w:t> </w:t>
      </w:r>
      <w:r>
        <w:rPr/>
        <w:t>the</w:t>
      </w:r>
      <w:r>
        <w:rPr>
          <w:spacing w:val="-4"/>
        </w:rPr>
        <w:t> </w:t>
      </w:r>
      <w:r>
        <w:rPr/>
        <w:t>goal</w:t>
      </w:r>
      <w:r>
        <w:rPr>
          <w:spacing w:val="-4"/>
        </w:rPr>
        <w:t> </w:t>
      </w:r>
      <w:r>
        <w:rPr/>
        <w:t>of</w:t>
      </w:r>
      <w:r>
        <w:rPr>
          <w:spacing w:val="-4"/>
        </w:rPr>
        <w:t> </w:t>
      </w:r>
      <w:r>
        <w:rPr/>
        <w:t>supporting</w:t>
      </w:r>
      <w:r>
        <w:rPr>
          <w:spacing w:val="-4"/>
        </w:rPr>
        <w:t> </w:t>
      </w:r>
      <w:r>
        <w:rPr/>
        <w:t>‘ageing in place’ wherever possible. The response to the call for entries was impressive, and the winning design team are already proceeding to the implementation phase.</w:t>
      </w:r>
    </w:p>
    <w:p>
      <w:pPr>
        <w:pStyle w:val="BodyText"/>
        <w:spacing w:after="0"/>
        <w:sectPr>
          <w:pgSz w:w="11910" w:h="16850"/>
          <w:pgMar w:header="0" w:footer="811" w:top="1880" w:bottom="1000" w:left="283" w:right="992"/>
        </w:sectPr>
      </w:pPr>
    </w:p>
    <w:p>
      <w:pPr>
        <w:pStyle w:val="Heading5"/>
        <w:spacing w:before="71"/>
        <w:rPr>
          <w:rFonts w:ascii="Rockwell"/>
        </w:rPr>
      </w:pPr>
      <w:r>
        <w:rPr>
          <w:rFonts w:ascii="Rockwell"/>
          <w:color w:val="BE2195"/>
        </w:rPr>
        <w:t>Universal</w:t>
      </w:r>
      <w:r>
        <w:rPr>
          <w:rFonts w:ascii="Rockwell"/>
          <w:color w:val="BE2195"/>
          <w:spacing w:val="-12"/>
        </w:rPr>
        <w:t> </w:t>
      </w:r>
      <w:r>
        <w:rPr>
          <w:rFonts w:ascii="Rockwell"/>
          <w:color w:val="BE2195"/>
        </w:rPr>
        <w:t>Design</w:t>
      </w:r>
      <w:r>
        <w:rPr>
          <w:rFonts w:ascii="Rockwell"/>
          <w:color w:val="BE2195"/>
          <w:spacing w:val="-11"/>
        </w:rPr>
        <w:t> </w:t>
      </w:r>
      <w:r>
        <w:rPr>
          <w:rFonts w:ascii="Rockwell"/>
          <w:color w:val="BE2195"/>
          <w:spacing w:val="-2"/>
        </w:rPr>
        <w:t>Implementation</w:t>
      </w:r>
    </w:p>
    <w:p>
      <w:pPr>
        <w:pStyle w:val="BodyText"/>
        <w:spacing w:before="28"/>
        <w:ind w:left="1702" w:right="1099"/>
      </w:pPr>
      <w:r>
        <w:rPr/>
        <w:t>We</w:t>
      </w:r>
      <w:r>
        <w:rPr>
          <w:spacing w:val="-5"/>
        </w:rPr>
        <w:t> </w:t>
      </w:r>
      <w:r>
        <w:rPr/>
        <w:t>welcome</w:t>
      </w:r>
      <w:r>
        <w:rPr>
          <w:spacing w:val="-5"/>
        </w:rPr>
        <w:t> </w:t>
      </w:r>
      <w:r>
        <w:rPr/>
        <w:t>the</w:t>
      </w:r>
      <w:r>
        <w:rPr>
          <w:spacing w:val="-4"/>
        </w:rPr>
        <w:t> </w:t>
      </w:r>
      <w:r>
        <w:rPr/>
        <w:t>publication</w:t>
      </w:r>
      <w:r>
        <w:rPr>
          <w:spacing w:val="-5"/>
        </w:rPr>
        <w:t> </w:t>
      </w:r>
      <w:r>
        <w:rPr/>
        <w:t>of</w:t>
      </w:r>
      <w:r>
        <w:rPr>
          <w:spacing w:val="-5"/>
        </w:rPr>
        <w:t> </w:t>
      </w:r>
      <w:r>
        <w:rPr/>
        <w:t>the</w:t>
      </w:r>
      <w:r>
        <w:rPr>
          <w:spacing w:val="-2"/>
        </w:rPr>
        <w:t> </w:t>
      </w:r>
      <w:r>
        <w:rPr/>
        <w:t>Customer</w:t>
      </w:r>
      <w:r>
        <w:rPr>
          <w:spacing w:val="-5"/>
        </w:rPr>
        <w:t> </w:t>
      </w:r>
      <w:r>
        <w:rPr/>
        <w:t>Communications</w:t>
      </w:r>
      <w:r>
        <w:rPr>
          <w:spacing w:val="-4"/>
        </w:rPr>
        <w:t> </w:t>
      </w:r>
      <w:r>
        <w:rPr/>
        <w:t>Toolkit for the Public Service – A Universal Design Approach developed jointly with the quality customer services team in the Department of Public Expenditure and Reform and the commitment to promote its implementation in all public services.</w:t>
      </w:r>
    </w:p>
    <w:p>
      <w:pPr>
        <w:pStyle w:val="BodyText"/>
        <w:spacing w:before="97"/>
      </w:pPr>
    </w:p>
    <w:p>
      <w:pPr>
        <w:pStyle w:val="Heading5"/>
        <w:rPr>
          <w:rFonts w:ascii="Rockwell"/>
        </w:rPr>
      </w:pPr>
      <w:r>
        <w:rPr>
          <w:rFonts w:ascii="Rockwell"/>
          <w:color w:val="BE2195"/>
        </w:rPr>
        <w:t>The</w:t>
      </w:r>
      <w:r>
        <w:rPr>
          <w:rFonts w:ascii="Rockwell"/>
          <w:color w:val="BE2195"/>
          <w:spacing w:val="-9"/>
        </w:rPr>
        <w:t> </w:t>
      </w:r>
      <w:r>
        <w:rPr>
          <w:rFonts w:ascii="Rockwell"/>
          <w:color w:val="BE2195"/>
        </w:rPr>
        <w:t>Authority</w:t>
      </w:r>
      <w:r>
        <w:rPr>
          <w:rFonts w:ascii="Rockwell"/>
          <w:color w:val="BE2195"/>
          <w:spacing w:val="-6"/>
        </w:rPr>
        <w:t> </w:t>
      </w:r>
      <w:r>
        <w:rPr>
          <w:rFonts w:ascii="Rockwell"/>
          <w:color w:val="BE2195"/>
        </w:rPr>
        <w:t>and</w:t>
      </w:r>
      <w:r>
        <w:rPr>
          <w:rFonts w:ascii="Rockwell"/>
          <w:color w:val="BE2195"/>
          <w:spacing w:val="-7"/>
        </w:rPr>
        <w:t> </w:t>
      </w:r>
      <w:r>
        <w:rPr>
          <w:rFonts w:ascii="Rockwell"/>
          <w:color w:val="BE2195"/>
        </w:rPr>
        <w:t>NDA</w:t>
      </w:r>
      <w:r>
        <w:rPr>
          <w:rFonts w:ascii="Rockwell"/>
          <w:color w:val="BE2195"/>
          <w:spacing w:val="-9"/>
        </w:rPr>
        <w:t> </w:t>
      </w:r>
      <w:r>
        <w:rPr>
          <w:rFonts w:ascii="Rockwell"/>
          <w:color w:val="BE2195"/>
          <w:spacing w:val="-4"/>
        </w:rPr>
        <w:t>Staff</w:t>
      </w:r>
    </w:p>
    <w:p>
      <w:pPr>
        <w:pStyle w:val="BodyText"/>
        <w:spacing w:before="26"/>
        <w:ind w:left="1702" w:right="1099"/>
      </w:pPr>
      <w:r>
        <w:rPr/>
        <w:t>I would like to take this opportunity to thank my fellow Authority members</w:t>
      </w:r>
      <w:r>
        <w:rPr>
          <w:spacing w:val="-2"/>
        </w:rPr>
        <w:t> </w:t>
      </w:r>
      <w:r>
        <w:rPr/>
        <w:t>for</w:t>
      </w:r>
      <w:r>
        <w:rPr>
          <w:spacing w:val="-4"/>
        </w:rPr>
        <w:t> </w:t>
      </w:r>
      <w:r>
        <w:rPr/>
        <w:t>their</w:t>
      </w:r>
      <w:r>
        <w:rPr>
          <w:spacing w:val="-4"/>
        </w:rPr>
        <w:t> </w:t>
      </w:r>
      <w:r>
        <w:rPr/>
        <w:t>work</w:t>
      </w:r>
      <w:r>
        <w:rPr>
          <w:spacing w:val="-3"/>
        </w:rPr>
        <w:t> </w:t>
      </w:r>
      <w:r>
        <w:rPr/>
        <w:t>throughout</w:t>
      </w:r>
      <w:r>
        <w:rPr>
          <w:spacing w:val="-4"/>
        </w:rPr>
        <w:t> </w:t>
      </w:r>
      <w:r>
        <w:rPr/>
        <w:t>2017,</w:t>
      </w:r>
      <w:r>
        <w:rPr>
          <w:spacing w:val="-2"/>
        </w:rPr>
        <w:t> </w:t>
      </w:r>
      <w:r>
        <w:rPr/>
        <w:t>and</w:t>
      </w:r>
      <w:r>
        <w:rPr>
          <w:spacing w:val="-4"/>
        </w:rPr>
        <w:t> </w:t>
      </w:r>
      <w:r>
        <w:rPr/>
        <w:t>to</w:t>
      </w:r>
      <w:r>
        <w:rPr>
          <w:spacing w:val="-4"/>
        </w:rPr>
        <w:t> </w:t>
      </w:r>
      <w:r>
        <w:rPr/>
        <w:t>welcome</w:t>
      </w:r>
      <w:r>
        <w:rPr>
          <w:spacing w:val="-4"/>
        </w:rPr>
        <w:t> </w:t>
      </w:r>
      <w:r>
        <w:rPr/>
        <w:t>our</w:t>
      </w:r>
      <w:r>
        <w:rPr>
          <w:spacing w:val="-4"/>
        </w:rPr>
        <w:t> </w:t>
      </w:r>
      <w:r>
        <w:rPr/>
        <w:t>newest member, Aisling</w:t>
      </w:r>
      <w:r>
        <w:rPr>
          <w:spacing w:val="-1"/>
        </w:rPr>
        <w:t> </w:t>
      </w:r>
      <w:r>
        <w:rPr/>
        <w:t>Glynn, who was appointed</w:t>
      </w:r>
      <w:r>
        <w:rPr>
          <w:spacing w:val="-1"/>
        </w:rPr>
        <w:t> </w:t>
      </w:r>
      <w:r>
        <w:rPr/>
        <w:t>following</w:t>
      </w:r>
      <w:r>
        <w:rPr>
          <w:spacing w:val="-1"/>
        </w:rPr>
        <w:t> </w:t>
      </w:r>
      <w:r>
        <w:rPr/>
        <w:t>the</w:t>
      </w:r>
      <w:r>
        <w:rPr>
          <w:spacing w:val="-1"/>
        </w:rPr>
        <w:t> </w:t>
      </w:r>
      <w:r>
        <w:rPr/>
        <w:t>retirement</w:t>
      </w:r>
      <w:r>
        <w:rPr>
          <w:spacing w:val="-1"/>
        </w:rPr>
        <w:t> </w:t>
      </w:r>
      <w:r>
        <w:rPr/>
        <w:t>of Orla Barry. I would also like to thank all the members of our Finance, Audit and Risk Committees for the work and guidance throughout the </w:t>
      </w:r>
      <w:r>
        <w:rPr>
          <w:spacing w:val="-2"/>
        </w:rPr>
        <w:t>year.</w:t>
      </w:r>
    </w:p>
    <w:p>
      <w:pPr>
        <w:pStyle w:val="BodyText"/>
        <w:spacing w:before="240"/>
        <w:ind w:left="1702" w:right="1059"/>
      </w:pPr>
      <w:r>
        <w:rPr/>
        <w:t>Finally,</w:t>
      </w:r>
      <w:r>
        <w:rPr>
          <w:spacing w:val="-1"/>
        </w:rPr>
        <w:t> </w:t>
      </w:r>
      <w:r>
        <w:rPr/>
        <w:t>I</w:t>
      </w:r>
      <w:r>
        <w:rPr>
          <w:spacing w:val="-1"/>
        </w:rPr>
        <w:t> </w:t>
      </w:r>
      <w:r>
        <w:rPr/>
        <w:t>would</w:t>
      </w:r>
      <w:r>
        <w:rPr>
          <w:spacing w:val="-1"/>
        </w:rPr>
        <w:t> </w:t>
      </w:r>
      <w:r>
        <w:rPr/>
        <w:t>like to</w:t>
      </w:r>
      <w:r>
        <w:rPr>
          <w:spacing w:val="-2"/>
        </w:rPr>
        <w:t> </w:t>
      </w:r>
      <w:r>
        <w:rPr/>
        <w:t>sincerely</w:t>
      </w:r>
      <w:r>
        <w:rPr>
          <w:spacing w:val="-1"/>
        </w:rPr>
        <w:t> </w:t>
      </w:r>
      <w:r>
        <w:rPr/>
        <w:t>acknowledge and</w:t>
      </w:r>
      <w:r>
        <w:rPr>
          <w:spacing w:val="-1"/>
        </w:rPr>
        <w:t> </w:t>
      </w:r>
      <w:r>
        <w:rPr/>
        <w:t>thank</w:t>
      </w:r>
      <w:r>
        <w:rPr>
          <w:spacing w:val="-1"/>
        </w:rPr>
        <w:t> </w:t>
      </w:r>
      <w:r>
        <w:rPr/>
        <w:t>the</w:t>
      </w:r>
      <w:r>
        <w:rPr>
          <w:spacing w:val="-1"/>
        </w:rPr>
        <w:t> </w:t>
      </w:r>
      <w:r>
        <w:rPr/>
        <w:t>NDA</w:t>
      </w:r>
      <w:r>
        <w:rPr>
          <w:spacing w:val="-1"/>
        </w:rPr>
        <w:t> </w:t>
      </w:r>
      <w:r>
        <w:rPr/>
        <w:t>staff</w:t>
      </w:r>
      <w:r>
        <w:rPr>
          <w:spacing w:val="-1"/>
        </w:rPr>
        <w:t> </w:t>
      </w:r>
      <w:r>
        <w:rPr/>
        <w:t>and management for their continued dedication to the work of the organisation, and their on-going commitment to delivering high quality outputs. The scope and standard of work delivered by the staff during 2017</w:t>
      </w:r>
      <w:r>
        <w:rPr>
          <w:spacing w:val="-4"/>
        </w:rPr>
        <w:t> </w:t>
      </w:r>
      <w:r>
        <w:rPr/>
        <w:t>is</w:t>
      </w:r>
      <w:r>
        <w:rPr>
          <w:spacing w:val="-2"/>
        </w:rPr>
        <w:t> </w:t>
      </w:r>
      <w:r>
        <w:rPr/>
        <w:t>a</w:t>
      </w:r>
      <w:r>
        <w:rPr>
          <w:spacing w:val="-4"/>
        </w:rPr>
        <w:t> </w:t>
      </w:r>
      <w:r>
        <w:rPr/>
        <w:t>clear</w:t>
      </w:r>
      <w:r>
        <w:rPr>
          <w:spacing w:val="-3"/>
        </w:rPr>
        <w:t> </w:t>
      </w:r>
      <w:r>
        <w:rPr/>
        <w:t>demonstration</w:t>
      </w:r>
      <w:r>
        <w:rPr>
          <w:spacing w:val="-4"/>
        </w:rPr>
        <w:t> </w:t>
      </w:r>
      <w:r>
        <w:rPr/>
        <w:t>of</w:t>
      </w:r>
      <w:r>
        <w:rPr>
          <w:spacing w:val="-4"/>
        </w:rPr>
        <w:t> </w:t>
      </w:r>
      <w:r>
        <w:rPr/>
        <w:t>the</w:t>
      </w:r>
      <w:r>
        <w:rPr>
          <w:spacing w:val="-4"/>
        </w:rPr>
        <w:t> </w:t>
      </w:r>
      <w:r>
        <w:rPr/>
        <w:t>expertise</w:t>
      </w:r>
      <w:r>
        <w:rPr>
          <w:spacing w:val="-4"/>
        </w:rPr>
        <w:t> </w:t>
      </w:r>
      <w:r>
        <w:rPr/>
        <w:t>within</w:t>
      </w:r>
      <w:r>
        <w:rPr>
          <w:spacing w:val="-4"/>
        </w:rPr>
        <w:t> </w:t>
      </w:r>
      <w:r>
        <w:rPr/>
        <w:t>the</w:t>
      </w:r>
      <w:r>
        <w:rPr>
          <w:spacing w:val="-4"/>
        </w:rPr>
        <w:t> </w:t>
      </w:r>
      <w:r>
        <w:rPr/>
        <w:t>organisation,</w:t>
      </w:r>
      <w:r>
        <w:rPr>
          <w:spacing w:val="-3"/>
        </w:rPr>
        <w:t> </w:t>
      </w:r>
      <w:r>
        <w:rPr/>
        <w:t>and the importance of our role in informing the development of policy and practice that can make a difference in the lives of persons with disabilities.</w:t>
      </w:r>
    </w:p>
    <w:p>
      <w:pPr>
        <w:pStyle w:val="BodyText"/>
        <w:spacing w:before="10"/>
        <w:rPr>
          <w:sz w:val="20"/>
        </w:rPr>
      </w:pPr>
      <w:r>
        <w:rPr>
          <w:sz w:val="20"/>
        </w:rPr>
        <w:drawing>
          <wp:anchor distT="0" distB="0" distL="0" distR="0" allowOverlap="1" layoutInCell="1" locked="0" behindDoc="1" simplePos="0" relativeHeight="487588352">
            <wp:simplePos x="0" y="0"/>
            <wp:positionH relativeFrom="page">
              <wp:posOffset>1260475</wp:posOffset>
            </wp:positionH>
            <wp:positionV relativeFrom="paragraph">
              <wp:posOffset>169288</wp:posOffset>
            </wp:positionV>
            <wp:extent cx="1262295" cy="470058"/>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62295" cy="470058"/>
                    </a:xfrm>
                    <a:prstGeom prst="rect">
                      <a:avLst/>
                    </a:prstGeom>
                  </pic:spPr>
                </pic:pic>
              </a:graphicData>
            </a:graphic>
          </wp:anchor>
        </w:drawing>
      </w:r>
    </w:p>
    <w:p>
      <w:pPr>
        <w:pStyle w:val="BodyText"/>
        <w:spacing w:line="432" w:lineRule="auto" w:before="224"/>
        <w:ind w:left="1702" w:right="6542"/>
      </w:pPr>
      <w:r>
        <w:rPr/>
        <w:t>Helen</w:t>
      </w:r>
      <w:r>
        <w:rPr>
          <w:spacing w:val="-19"/>
        </w:rPr>
        <w:t> </w:t>
      </w:r>
      <w:r>
        <w:rPr/>
        <w:t>Guinan </w:t>
      </w:r>
      <w:r>
        <w:rPr>
          <w:spacing w:val="-2"/>
        </w:rPr>
        <w:t>Chairperson</w:t>
      </w:r>
    </w:p>
    <w:p>
      <w:pPr>
        <w:pStyle w:val="BodyText"/>
        <w:ind w:left="1702"/>
      </w:pPr>
      <w:r>
        <w:rPr/>
        <w:t>National</w:t>
      </w:r>
      <w:r>
        <w:rPr>
          <w:spacing w:val="-13"/>
        </w:rPr>
        <w:t> </w:t>
      </w:r>
      <w:r>
        <w:rPr/>
        <w:t>Disability</w:t>
      </w:r>
      <w:r>
        <w:rPr>
          <w:spacing w:val="-12"/>
        </w:rPr>
        <w:t> </w:t>
      </w:r>
      <w:r>
        <w:rPr>
          <w:spacing w:val="-2"/>
        </w:rPr>
        <w:t>Authority</w:t>
      </w:r>
    </w:p>
    <w:p>
      <w:pPr>
        <w:pStyle w:val="BodyText"/>
        <w:spacing w:after="0"/>
        <w:sectPr>
          <w:pgSz w:w="11910" w:h="16850"/>
          <w:pgMar w:header="0" w:footer="811" w:top="1900" w:bottom="1000" w:left="283" w:right="992"/>
        </w:sectPr>
      </w:pPr>
    </w:p>
    <w:p>
      <w:pPr>
        <w:pStyle w:val="Heading2"/>
      </w:pPr>
      <w:r>
        <w:rPr>
          <w:color w:val="BE2195"/>
        </w:rPr>
        <w:t>Overview</w:t>
      </w:r>
      <w:r>
        <w:rPr>
          <w:color w:val="BE2195"/>
          <w:spacing w:val="-14"/>
        </w:rPr>
        <w:t> </w:t>
      </w:r>
      <w:r>
        <w:rPr>
          <w:color w:val="BE2195"/>
        </w:rPr>
        <w:t>and</w:t>
      </w:r>
      <w:r>
        <w:rPr>
          <w:color w:val="BE2195"/>
          <w:spacing w:val="-14"/>
        </w:rPr>
        <w:t> </w:t>
      </w:r>
      <w:r>
        <w:rPr>
          <w:color w:val="BE2195"/>
        </w:rPr>
        <w:t>policy</w:t>
      </w:r>
      <w:r>
        <w:rPr>
          <w:color w:val="BE2195"/>
          <w:spacing w:val="-14"/>
        </w:rPr>
        <w:t> </w:t>
      </w:r>
      <w:r>
        <w:rPr>
          <w:color w:val="BE2195"/>
          <w:spacing w:val="-2"/>
        </w:rPr>
        <w:t>context</w:t>
      </w:r>
    </w:p>
    <w:p>
      <w:pPr>
        <w:pStyle w:val="BodyText"/>
        <w:spacing w:before="240"/>
        <w:ind w:left="1702" w:right="1573"/>
        <w:jc w:val="both"/>
      </w:pPr>
      <w:r>
        <w:rPr/>
        <w:t>The</w:t>
      </w:r>
      <w:r>
        <w:rPr>
          <w:spacing w:val="-3"/>
        </w:rPr>
        <w:t> </w:t>
      </w:r>
      <w:r>
        <w:rPr/>
        <w:t>year</w:t>
      </w:r>
      <w:r>
        <w:rPr>
          <w:spacing w:val="-3"/>
        </w:rPr>
        <w:t> </w:t>
      </w:r>
      <w:r>
        <w:rPr/>
        <w:t>2017</w:t>
      </w:r>
      <w:r>
        <w:rPr>
          <w:spacing w:val="-1"/>
        </w:rPr>
        <w:t> </w:t>
      </w:r>
      <w:r>
        <w:rPr/>
        <w:t>marked the</w:t>
      </w:r>
      <w:r>
        <w:rPr>
          <w:spacing w:val="-3"/>
        </w:rPr>
        <w:t> </w:t>
      </w:r>
      <w:r>
        <w:rPr/>
        <w:t>mid-point</w:t>
      </w:r>
      <w:r>
        <w:rPr>
          <w:spacing w:val="-3"/>
        </w:rPr>
        <w:t> </w:t>
      </w:r>
      <w:r>
        <w:rPr/>
        <w:t>of</w:t>
      </w:r>
      <w:r>
        <w:rPr>
          <w:spacing w:val="-3"/>
        </w:rPr>
        <w:t> </w:t>
      </w:r>
      <w:r>
        <w:rPr/>
        <w:t>NDA’s</w:t>
      </w:r>
      <w:r>
        <w:rPr>
          <w:spacing w:val="-2"/>
        </w:rPr>
        <w:t> </w:t>
      </w:r>
      <w:r>
        <w:rPr/>
        <w:t>current</w:t>
      </w:r>
      <w:r>
        <w:rPr>
          <w:spacing w:val="-3"/>
        </w:rPr>
        <w:t> </w:t>
      </w:r>
      <w:r>
        <w:rPr/>
        <w:t>Strategic</w:t>
      </w:r>
      <w:r>
        <w:rPr>
          <w:spacing w:val="-1"/>
        </w:rPr>
        <w:t> </w:t>
      </w:r>
      <w:r>
        <w:rPr/>
        <w:t>Plan (2016-2018)</w:t>
      </w:r>
      <w:r>
        <w:rPr>
          <w:spacing w:val="-2"/>
        </w:rPr>
        <w:t> </w:t>
      </w:r>
      <w:r>
        <w:rPr/>
        <w:t>and</w:t>
      </w:r>
      <w:r>
        <w:rPr>
          <w:spacing w:val="-5"/>
        </w:rPr>
        <w:t> </w:t>
      </w:r>
      <w:r>
        <w:rPr/>
        <w:t>the</w:t>
      </w:r>
      <w:r>
        <w:rPr>
          <w:spacing w:val="-5"/>
        </w:rPr>
        <w:t> </w:t>
      </w:r>
      <w:r>
        <w:rPr/>
        <w:t>continued</w:t>
      </w:r>
      <w:r>
        <w:rPr>
          <w:spacing w:val="-5"/>
        </w:rPr>
        <w:t> </w:t>
      </w:r>
      <w:r>
        <w:rPr/>
        <w:t>delivery</w:t>
      </w:r>
      <w:r>
        <w:rPr>
          <w:spacing w:val="-5"/>
        </w:rPr>
        <w:t> </w:t>
      </w:r>
      <w:r>
        <w:rPr/>
        <w:t>of</w:t>
      </w:r>
      <w:r>
        <w:rPr>
          <w:spacing w:val="-5"/>
        </w:rPr>
        <w:t> </w:t>
      </w:r>
      <w:r>
        <w:rPr/>
        <w:t>the</w:t>
      </w:r>
      <w:r>
        <w:rPr>
          <w:spacing w:val="-5"/>
        </w:rPr>
        <w:t> </w:t>
      </w:r>
      <w:r>
        <w:rPr/>
        <w:t>actions</w:t>
      </w:r>
      <w:r>
        <w:rPr>
          <w:spacing w:val="-4"/>
        </w:rPr>
        <w:t> </w:t>
      </w:r>
      <w:r>
        <w:rPr/>
        <w:t>under</w:t>
      </w:r>
      <w:r>
        <w:rPr>
          <w:spacing w:val="-4"/>
        </w:rPr>
        <w:t> </w:t>
      </w:r>
      <w:r>
        <w:rPr/>
        <w:t>Strategic </w:t>
      </w:r>
      <w:r>
        <w:rPr>
          <w:spacing w:val="-2"/>
        </w:rPr>
        <w:t>Priorities:</w:t>
      </w:r>
    </w:p>
    <w:p>
      <w:pPr>
        <w:pStyle w:val="ListParagraph"/>
        <w:numPr>
          <w:ilvl w:val="0"/>
          <w:numId w:val="1"/>
        </w:numPr>
        <w:tabs>
          <w:tab w:pos="2422" w:val="left" w:leader="none"/>
        </w:tabs>
        <w:spacing w:line="240" w:lineRule="auto" w:before="240" w:after="0"/>
        <w:ind w:left="2422" w:right="1091" w:hanging="360"/>
        <w:jc w:val="left"/>
        <w:rPr>
          <w:sz w:val="26"/>
        </w:rPr>
      </w:pPr>
      <w:r>
        <w:rPr>
          <w:sz w:val="26"/>
        </w:rPr>
        <w:t>To support and monitor the effective development and delivery of coordinated cross-government action on disability and the implementation</w:t>
      </w:r>
      <w:r>
        <w:rPr>
          <w:spacing w:val="-2"/>
          <w:sz w:val="26"/>
        </w:rPr>
        <w:t> </w:t>
      </w:r>
      <w:r>
        <w:rPr>
          <w:sz w:val="26"/>
        </w:rPr>
        <w:t>of</w:t>
      </w:r>
      <w:r>
        <w:rPr>
          <w:spacing w:val="-2"/>
          <w:sz w:val="26"/>
        </w:rPr>
        <w:t> </w:t>
      </w:r>
      <w:r>
        <w:rPr>
          <w:sz w:val="26"/>
        </w:rPr>
        <w:t>the United Nations</w:t>
      </w:r>
      <w:r>
        <w:rPr>
          <w:spacing w:val="-1"/>
          <w:sz w:val="26"/>
        </w:rPr>
        <w:t> </w:t>
      </w:r>
      <w:r>
        <w:rPr>
          <w:sz w:val="26"/>
        </w:rPr>
        <w:t>Convention</w:t>
      </w:r>
      <w:r>
        <w:rPr>
          <w:spacing w:val="-2"/>
          <w:sz w:val="26"/>
        </w:rPr>
        <w:t> </w:t>
      </w:r>
      <w:r>
        <w:rPr>
          <w:sz w:val="26"/>
        </w:rPr>
        <w:t>on</w:t>
      </w:r>
      <w:r>
        <w:rPr>
          <w:spacing w:val="-2"/>
          <w:sz w:val="26"/>
        </w:rPr>
        <w:t> </w:t>
      </w:r>
      <w:r>
        <w:rPr>
          <w:sz w:val="26"/>
        </w:rPr>
        <w:t>the</w:t>
      </w:r>
      <w:r>
        <w:rPr>
          <w:spacing w:val="-2"/>
          <w:sz w:val="26"/>
        </w:rPr>
        <w:t> </w:t>
      </w:r>
      <w:r>
        <w:rPr>
          <w:sz w:val="26"/>
        </w:rPr>
        <w:t>Rights</w:t>
      </w:r>
      <w:r>
        <w:rPr>
          <w:spacing w:val="-1"/>
          <w:sz w:val="26"/>
        </w:rPr>
        <w:t> </w:t>
      </w:r>
      <w:r>
        <w:rPr>
          <w:sz w:val="26"/>
        </w:rPr>
        <w:t>of Persons with Disabilities. The NDA will conduct research, advise, and</w:t>
      </w:r>
      <w:r>
        <w:rPr>
          <w:spacing w:val="-5"/>
          <w:sz w:val="26"/>
        </w:rPr>
        <w:t> </w:t>
      </w:r>
      <w:r>
        <w:rPr>
          <w:sz w:val="26"/>
        </w:rPr>
        <w:t>assist</w:t>
      </w:r>
      <w:r>
        <w:rPr>
          <w:spacing w:val="-5"/>
          <w:sz w:val="26"/>
        </w:rPr>
        <w:t> </w:t>
      </w:r>
      <w:r>
        <w:rPr>
          <w:sz w:val="26"/>
        </w:rPr>
        <w:t>government</w:t>
      </w:r>
      <w:r>
        <w:rPr>
          <w:spacing w:val="-3"/>
          <w:sz w:val="26"/>
        </w:rPr>
        <w:t> </w:t>
      </w:r>
      <w:r>
        <w:rPr>
          <w:sz w:val="26"/>
        </w:rPr>
        <w:t>departments</w:t>
      </w:r>
      <w:r>
        <w:rPr>
          <w:spacing w:val="-4"/>
          <w:sz w:val="26"/>
        </w:rPr>
        <w:t> </w:t>
      </w:r>
      <w:r>
        <w:rPr>
          <w:sz w:val="26"/>
        </w:rPr>
        <w:t>and</w:t>
      </w:r>
      <w:r>
        <w:rPr>
          <w:spacing w:val="-5"/>
          <w:sz w:val="26"/>
        </w:rPr>
        <w:t> </w:t>
      </w:r>
      <w:r>
        <w:rPr>
          <w:sz w:val="26"/>
        </w:rPr>
        <w:t>public</w:t>
      </w:r>
      <w:r>
        <w:rPr>
          <w:spacing w:val="-5"/>
          <w:sz w:val="26"/>
        </w:rPr>
        <w:t> </w:t>
      </w:r>
      <w:r>
        <w:rPr>
          <w:sz w:val="26"/>
        </w:rPr>
        <w:t>bodies</w:t>
      </w:r>
      <w:r>
        <w:rPr>
          <w:spacing w:val="-4"/>
          <w:sz w:val="26"/>
        </w:rPr>
        <w:t> </w:t>
      </w:r>
      <w:r>
        <w:rPr>
          <w:sz w:val="26"/>
        </w:rPr>
        <w:t>on</w:t>
      </w:r>
      <w:r>
        <w:rPr>
          <w:spacing w:val="-5"/>
          <w:sz w:val="26"/>
        </w:rPr>
        <w:t> </w:t>
      </w:r>
      <w:r>
        <w:rPr>
          <w:sz w:val="26"/>
        </w:rPr>
        <w:t>policy</w:t>
      </w:r>
      <w:r>
        <w:rPr>
          <w:spacing w:val="-6"/>
          <w:sz w:val="26"/>
        </w:rPr>
        <w:t> </w:t>
      </w:r>
      <w:r>
        <w:rPr>
          <w:sz w:val="26"/>
        </w:rPr>
        <w:t>and practice that ensures people with disabilities, across the lifecycle, can participate as valued citizens in the mainstream of Irish society and can live the lives they want to lead.</w:t>
      </w:r>
    </w:p>
    <w:p>
      <w:pPr>
        <w:pStyle w:val="BodyText"/>
        <w:spacing w:before="1"/>
      </w:pPr>
    </w:p>
    <w:p>
      <w:pPr>
        <w:pStyle w:val="ListParagraph"/>
        <w:numPr>
          <w:ilvl w:val="0"/>
          <w:numId w:val="1"/>
        </w:numPr>
        <w:tabs>
          <w:tab w:pos="2422" w:val="left" w:leader="none"/>
        </w:tabs>
        <w:spacing w:line="240" w:lineRule="auto" w:before="0" w:after="0"/>
        <w:ind w:left="2422" w:right="1100" w:hanging="360"/>
        <w:jc w:val="left"/>
        <w:rPr>
          <w:sz w:val="26"/>
        </w:rPr>
      </w:pPr>
      <w:r>
        <w:rPr>
          <w:sz w:val="26"/>
        </w:rPr>
        <w:t>To promote excellence in Universal Design through standards, practice, education and awareness, in order to facilitate participation</w:t>
      </w:r>
      <w:r>
        <w:rPr>
          <w:spacing w:val="-5"/>
          <w:sz w:val="26"/>
        </w:rPr>
        <w:t> </w:t>
      </w:r>
      <w:r>
        <w:rPr>
          <w:sz w:val="26"/>
        </w:rPr>
        <w:t>in</w:t>
      </w:r>
      <w:r>
        <w:rPr>
          <w:spacing w:val="-5"/>
          <w:sz w:val="26"/>
        </w:rPr>
        <w:t> </w:t>
      </w:r>
      <w:r>
        <w:rPr>
          <w:sz w:val="26"/>
        </w:rPr>
        <w:t>Irish</w:t>
      </w:r>
      <w:r>
        <w:rPr>
          <w:spacing w:val="-5"/>
          <w:sz w:val="26"/>
        </w:rPr>
        <w:t> </w:t>
      </w:r>
      <w:r>
        <w:rPr>
          <w:sz w:val="26"/>
        </w:rPr>
        <w:t>society</w:t>
      </w:r>
      <w:r>
        <w:rPr>
          <w:spacing w:val="-5"/>
          <w:sz w:val="26"/>
        </w:rPr>
        <w:t> </w:t>
      </w:r>
      <w:r>
        <w:rPr>
          <w:sz w:val="26"/>
        </w:rPr>
        <w:t>by</w:t>
      </w:r>
      <w:r>
        <w:rPr>
          <w:spacing w:val="-3"/>
          <w:sz w:val="26"/>
        </w:rPr>
        <w:t> </w:t>
      </w:r>
      <w:r>
        <w:rPr>
          <w:sz w:val="26"/>
        </w:rPr>
        <w:t>people</w:t>
      </w:r>
      <w:r>
        <w:rPr>
          <w:spacing w:val="-5"/>
          <w:sz w:val="26"/>
        </w:rPr>
        <w:t> </w:t>
      </w:r>
      <w:r>
        <w:rPr>
          <w:sz w:val="26"/>
        </w:rPr>
        <w:t>regardless</w:t>
      </w:r>
      <w:r>
        <w:rPr>
          <w:spacing w:val="-4"/>
          <w:sz w:val="26"/>
        </w:rPr>
        <w:t> </w:t>
      </w:r>
      <w:r>
        <w:rPr>
          <w:sz w:val="26"/>
        </w:rPr>
        <w:t>of</w:t>
      </w:r>
      <w:r>
        <w:rPr>
          <w:spacing w:val="-5"/>
          <w:sz w:val="26"/>
        </w:rPr>
        <w:t> </w:t>
      </w:r>
      <w:r>
        <w:rPr>
          <w:sz w:val="26"/>
        </w:rPr>
        <w:t>age,</w:t>
      </w:r>
      <w:r>
        <w:rPr>
          <w:spacing w:val="-4"/>
          <w:sz w:val="26"/>
        </w:rPr>
        <w:t> </w:t>
      </w:r>
      <w:r>
        <w:rPr>
          <w:sz w:val="26"/>
        </w:rPr>
        <w:t>size,</w:t>
      </w:r>
      <w:r>
        <w:rPr>
          <w:spacing w:val="-4"/>
          <w:sz w:val="26"/>
        </w:rPr>
        <w:t> </w:t>
      </w:r>
      <w:r>
        <w:rPr>
          <w:sz w:val="26"/>
        </w:rPr>
        <w:t>ability or disability.</w:t>
      </w:r>
    </w:p>
    <w:p>
      <w:pPr>
        <w:pStyle w:val="ListParagraph"/>
        <w:numPr>
          <w:ilvl w:val="0"/>
          <w:numId w:val="1"/>
        </w:numPr>
        <w:tabs>
          <w:tab w:pos="2422" w:val="left" w:leader="none"/>
        </w:tabs>
        <w:spacing w:line="240" w:lineRule="auto" w:before="301" w:after="0"/>
        <w:ind w:left="2422" w:right="1044" w:hanging="360"/>
        <w:jc w:val="left"/>
        <w:rPr>
          <w:sz w:val="26"/>
        </w:rPr>
      </w:pPr>
      <w:r>
        <w:rPr>
          <w:sz w:val="26"/>
        </w:rPr>
        <w:t>To lead, and promote an effective and efficient organisation to enable the National Disability Authority to deliver on its strategic objectives and to foster a culture of flexibility, responsibility, innovation</w:t>
      </w:r>
      <w:r>
        <w:rPr>
          <w:spacing w:val="-5"/>
          <w:sz w:val="26"/>
        </w:rPr>
        <w:t> </w:t>
      </w:r>
      <w:r>
        <w:rPr>
          <w:sz w:val="26"/>
        </w:rPr>
        <w:t>and</w:t>
      </w:r>
      <w:r>
        <w:rPr>
          <w:spacing w:val="-5"/>
          <w:sz w:val="26"/>
        </w:rPr>
        <w:t> </w:t>
      </w:r>
      <w:r>
        <w:rPr>
          <w:sz w:val="26"/>
        </w:rPr>
        <w:t>a</w:t>
      </w:r>
      <w:r>
        <w:rPr>
          <w:spacing w:val="-3"/>
          <w:sz w:val="26"/>
        </w:rPr>
        <w:t> </w:t>
      </w:r>
      <w:r>
        <w:rPr>
          <w:sz w:val="26"/>
        </w:rPr>
        <w:t>high</w:t>
      </w:r>
      <w:r>
        <w:rPr>
          <w:spacing w:val="-5"/>
          <w:sz w:val="26"/>
        </w:rPr>
        <w:t> </w:t>
      </w:r>
      <w:r>
        <w:rPr>
          <w:sz w:val="26"/>
        </w:rPr>
        <w:t>performing</w:t>
      </w:r>
      <w:r>
        <w:rPr>
          <w:spacing w:val="-5"/>
          <w:sz w:val="26"/>
        </w:rPr>
        <w:t> </w:t>
      </w:r>
      <w:r>
        <w:rPr>
          <w:sz w:val="26"/>
        </w:rPr>
        <w:t>organisation</w:t>
      </w:r>
      <w:r>
        <w:rPr>
          <w:spacing w:val="-5"/>
          <w:sz w:val="26"/>
        </w:rPr>
        <w:t> </w:t>
      </w:r>
      <w:r>
        <w:rPr>
          <w:sz w:val="26"/>
        </w:rPr>
        <w:t>in</w:t>
      </w:r>
      <w:r>
        <w:rPr>
          <w:spacing w:val="-5"/>
          <w:sz w:val="26"/>
        </w:rPr>
        <w:t> </w:t>
      </w:r>
      <w:r>
        <w:rPr>
          <w:sz w:val="26"/>
        </w:rPr>
        <w:t>the</w:t>
      </w:r>
      <w:r>
        <w:rPr>
          <w:spacing w:val="-5"/>
          <w:sz w:val="26"/>
        </w:rPr>
        <w:t> </w:t>
      </w:r>
      <w:r>
        <w:rPr>
          <w:sz w:val="26"/>
        </w:rPr>
        <w:t>achievement</w:t>
      </w:r>
      <w:r>
        <w:rPr>
          <w:spacing w:val="-5"/>
          <w:sz w:val="26"/>
        </w:rPr>
        <w:t> </w:t>
      </w:r>
      <w:r>
        <w:rPr>
          <w:sz w:val="26"/>
        </w:rPr>
        <w:t>of its objectives.</w:t>
      </w:r>
    </w:p>
    <w:p>
      <w:pPr>
        <w:pStyle w:val="BodyText"/>
        <w:spacing w:before="239"/>
        <w:ind w:left="1702" w:right="988"/>
      </w:pPr>
      <w:r>
        <w:rPr/>
        <w:t>The NDA’s work programme for 2017 under each of these priorities supported the development and implementation of national strategies and programmes relevant to the lives of persons with disabilities, by many government</w:t>
      </w:r>
      <w:r>
        <w:rPr>
          <w:spacing w:val="-5"/>
        </w:rPr>
        <w:t> </w:t>
      </w:r>
      <w:r>
        <w:rPr/>
        <w:t>departments</w:t>
      </w:r>
      <w:r>
        <w:rPr>
          <w:spacing w:val="-4"/>
        </w:rPr>
        <w:t> </w:t>
      </w:r>
      <w:r>
        <w:rPr/>
        <w:t>and</w:t>
      </w:r>
      <w:r>
        <w:rPr>
          <w:spacing w:val="-5"/>
        </w:rPr>
        <w:t> </w:t>
      </w:r>
      <w:r>
        <w:rPr/>
        <w:t>agencies</w:t>
      </w:r>
      <w:r>
        <w:rPr>
          <w:spacing w:val="-3"/>
        </w:rPr>
        <w:t> </w:t>
      </w:r>
      <w:r>
        <w:rPr/>
        <w:t>and</w:t>
      </w:r>
      <w:r>
        <w:rPr>
          <w:spacing w:val="-5"/>
        </w:rPr>
        <w:t> </w:t>
      </w:r>
      <w:r>
        <w:rPr/>
        <w:t>included</w:t>
      </w:r>
      <w:r>
        <w:rPr>
          <w:spacing w:val="-5"/>
        </w:rPr>
        <w:t> </w:t>
      </w:r>
      <w:r>
        <w:rPr/>
        <w:t>the</w:t>
      </w:r>
      <w:r>
        <w:rPr>
          <w:spacing w:val="-4"/>
        </w:rPr>
        <w:t> </w:t>
      </w:r>
      <w:r>
        <w:rPr/>
        <w:t>delivery</w:t>
      </w:r>
      <w:r>
        <w:rPr>
          <w:spacing w:val="-3"/>
        </w:rPr>
        <w:t> </w:t>
      </w:r>
      <w:r>
        <w:rPr/>
        <w:t>of</w:t>
      </w:r>
      <w:r>
        <w:rPr>
          <w:spacing w:val="-5"/>
        </w:rPr>
        <w:t> </w:t>
      </w:r>
      <w:r>
        <w:rPr/>
        <w:t>specific project commitments by the NDA itself.</w:t>
      </w:r>
    </w:p>
    <w:p>
      <w:pPr>
        <w:pStyle w:val="BodyText"/>
        <w:spacing w:before="243"/>
        <w:ind w:left="1702" w:right="1020"/>
      </w:pPr>
      <w:r>
        <w:rPr/>
        <w:t>As the economy continued to improve in Ireland during 2017, it created improved employment opportunities, which should provide a basis for progressing the Comprehensive Employment Strategy for persons with disabilities.</w:t>
      </w:r>
      <w:r>
        <w:rPr>
          <w:spacing w:val="-2"/>
        </w:rPr>
        <w:t> </w:t>
      </w:r>
      <w:r>
        <w:rPr/>
        <w:t>The</w:t>
      </w:r>
      <w:r>
        <w:rPr>
          <w:spacing w:val="-4"/>
        </w:rPr>
        <w:t> </w:t>
      </w:r>
      <w:r>
        <w:rPr/>
        <w:t>NDA</w:t>
      </w:r>
      <w:r>
        <w:rPr>
          <w:spacing w:val="-4"/>
        </w:rPr>
        <w:t> </w:t>
      </w:r>
      <w:r>
        <w:rPr/>
        <w:t>is</w:t>
      </w:r>
      <w:r>
        <w:rPr>
          <w:spacing w:val="-3"/>
        </w:rPr>
        <w:t> </w:t>
      </w:r>
      <w:r>
        <w:rPr/>
        <w:t>conscious</w:t>
      </w:r>
      <w:r>
        <w:rPr>
          <w:spacing w:val="-3"/>
        </w:rPr>
        <w:t> </w:t>
      </w:r>
      <w:r>
        <w:rPr/>
        <w:t>that</w:t>
      </w:r>
      <w:r>
        <w:rPr>
          <w:spacing w:val="-4"/>
        </w:rPr>
        <w:t> </w:t>
      </w:r>
      <w:r>
        <w:rPr/>
        <w:t>the</w:t>
      </w:r>
      <w:r>
        <w:rPr>
          <w:spacing w:val="-4"/>
        </w:rPr>
        <w:t> </w:t>
      </w:r>
      <w:r>
        <w:rPr/>
        <w:t>moratorium</w:t>
      </w:r>
      <w:r>
        <w:rPr>
          <w:spacing w:val="-4"/>
        </w:rPr>
        <w:t> </w:t>
      </w:r>
      <w:r>
        <w:rPr/>
        <w:t>on</w:t>
      </w:r>
      <w:r>
        <w:rPr>
          <w:spacing w:val="-4"/>
        </w:rPr>
        <w:t> </w:t>
      </w:r>
      <w:r>
        <w:rPr/>
        <w:t>recruitment</w:t>
      </w:r>
      <w:r>
        <w:rPr>
          <w:spacing w:val="-4"/>
        </w:rPr>
        <w:t> </w:t>
      </w:r>
      <w:r>
        <w:rPr/>
        <w:t>has impacted the public sector for a number of years but that since it was</w:t>
      </w:r>
      <w:r>
        <w:rPr>
          <w:spacing w:val="40"/>
        </w:rPr>
        <w:t> </w:t>
      </w:r>
      <w:r>
        <w:rPr/>
        <w:t>lifted there have been gradual improvements in job opportunities and increased mobility.</w:t>
      </w:r>
      <w:r>
        <w:rPr>
          <w:spacing w:val="40"/>
        </w:rPr>
        <w:t> </w:t>
      </w:r>
      <w:r>
        <w:rPr/>
        <w:t>It is expected that this should yield increased opportunities for persons with disabilities who would like to work in the public sector.</w:t>
      </w:r>
    </w:p>
    <w:p>
      <w:pPr>
        <w:pStyle w:val="BodyText"/>
        <w:spacing w:after="0"/>
        <w:sectPr>
          <w:pgSz w:w="11910" w:h="16850"/>
          <w:pgMar w:header="0" w:footer="811" w:top="1880" w:bottom="1000" w:left="283" w:right="992"/>
        </w:sectPr>
      </w:pPr>
    </w:p>
    <w:p>
      <w:pPr>
        <w:pStyle w:val="BodyText"/>
        <w:spacing w:before="79"/>
        <w:ind w:left="1702" w:right="1000"/>
      </w:pPr>
      <w:r>
        <w:rPr/>
        <w:t>The Comprehensive Employment Strategy for People with Disabilities</w:t>
      </w:r>
      <w:r>
        <w:rPr>
          <w:spacing w:val="40"/>
        </w:rPr>
        <w:t> </w:t>
      </w:r>
      <w:r>
        <w:rPr/>
        <w:t>2015 – 2024, moved into its second full-year of implementation.</w:t>
      </w:r>
      <w:r>
        <w:rPr>
          <w:spacing w:val="80"/>
        </w:rPr>
        <w:t> </w:t>
      </w:r>
      <w:r>
        <w:rPr/>
        <w:t>The</w:t>
      </w:r>
      <w:r>
        <w:rPr>
          <w:spacing w:val="40"/>
        </w:rPr>
        <w:t> </w:t>
      </w:r>
      <w:r>
        <w:rPr/>
        <w:t>NDA welcomed the progress made across a number of government departments</w:t>
      </w:r>
      <w:r>
        <w:rPr>
          <w:spacing w:val="-3"/>
        </w:rPr>
        <w:t> </w:t>
      </w:r>
      <w:r>
        <w:rPr/>
        <w:t>and</w:t>
      </w:r>
      <w:r>
        <w:rPr>
          <w:spacing w:val="-4"/>
        </w:rPr>
        <w:t> </w:t>
      </w:r>
      <w:r>
        <w:rPr/>
        <w:t>agencies</w:t>
      </w:r>
      <w:r>
        <w:rPr>
          <w:spacing w:val="-2"/>
        </w:rPr>
        <w:t> </w:t>
      </w:r>
      <w:r>
        <w:rPr/>
        <w:t>in</w:t>
      </w:r>
      <w:r>
        <w:rPr>
          <w:spacing w:val="-4"/>
        </w:rPr>
        <w:t> </w:t>
      </w:r>
      <w:r>
        <w:rPr/>
        <w:t>putting</w:t>
      </w:r>
      <w:r>
        <w:rPr>
          <w:spacing w:val="-4"/>
        </w:rPr>
        <w:t> </w:t>
      </w:r>
      <w:r>
        <w:rPr/>
        <w:t>in</w:t>
      </w:r>
      <w:r>
        <w:rPr>
          <w:spacing w:val="-4"/>
        </w:rPr>
        <w:t> </w:t>
      </w:r>
      <w:r>
        <w:rPr/>
        <w:t>place</w:t>
      </w:r>
      <w:r>
        <w:rPr>
          <w:spacing w:val="-4"/>
        </w:rPr>
        <w:t> </w:t>
      </w:r>
      <w:r>
        <w:rPr/>
        <w:t>the</w:t>
      </w:r>
      <w:r>
        <w:rPr>
          <w:spacing w:val="-4"/>
        </w:rPr>
        <w:t> </w:t>
      </w:r>
      <w:r>
        <w:rPr/>
        <w:t>infrastructure</w:t>
      </w:r>
      <w:r>
        <w:rPr>
          <w:spacing w:val="-3"/>
        </w:rPr>
        <w:t> </w:t>
      </w:r>
      <w:r>
        <w:rPr/>
        <w:t>and</w:t>
      </w:r>
      <w:r>
        <w:rPr>
          <w:spacing w:val="-4"/>
        </w:rPr>
        <w:t> </w:t>
      </w:r>
      <w:r>
        <w:rPr/>
        <w:t>systems that will facilitate the overall aim of the Strategy to ensure pathways to work</w:t>
      </w:r>
      <w:r>
        <w:rPr>
          <w:spacing w:val="-3"/>
        </w:rPr>
        <w:t> </w:t>
      </w:r>
      <w:r>
        <w:rPr/>
        <w:t>for</w:t>
      </w:r>
      <w:r>
        <w:rPr>
          <w:spacing w:val="-4"/>
        </w:rPr>
        <w:t> </w:t>
      </w:r>
      <w:r>
        <w:rPr/>
        <w:t>persons</w:t>
      </w:r>
      <w:r>
        <w:rPr>
          <w:spacing w:val="-3"/>
        </w:rPr>
        <w:t> </w:t>
      </w:r>
      <w:r>
        <w:rPr/>
        <w:t>with</w:t>
      </w:r>
      <w:r>
        <w:rPr>
          <w:spacing w:val="-6"/>
        </w:rPr>
        <w:t> </w:t>
      </w:r>
      <w:r>
        <w:rPr/>
        <w:t>disabilities</w:t>
      </w:r>
      <w:r>
        <w:rPr>
          <w:spacing w:val="-2"/>
        </w:rPr>
        <w:t> </w:t>
      </w:r>
      <w:r>
        <w:rPr/>
        <w:t>and</w:t>
      </w:r>
      <w:r>
        <w:rPr>
          <w:spacing w:val="-4"/>
        </w:rPr>
        <w:t> </w:t>
      </w:r>
      <w:r>
        <w:rPr/>
        <w:t>enhanced</w:t>
      </w:r>
      <w:r>
        <w:rPr>
          <w:spacing w:val="-4"/>
        </w:rPr>
        <w:t> </w:t>
      </w:r>
      <w:r>
        <w:rPr/>
        <w:t>participation</w:t>
      </w:r>
      <w:r>
        <w:rPr>
          <w:spacing w:val="-4"/>
        </w:rPr>
        <w:t> </w:t>
      </w:r>
      <w:r>
        <w:rPr/>
        <w:t>in</w:t>
      </w:r>
      <w:r>
        <w:rPr>
          <w:spacing w:val="-4"/>
        </w:rPr>
        <w:t> </w:t>
      </w:r>
      <w:r>
        <w:rPr/>
        <w:t>work.</w:t>
      </w:r>
      <w:r>
        <w:rPr>
          <w:spacing w:val="40"/>
        </w:rPr>
        <w:t> </w:t>
      </w:r>
      <w:r>
        <w:rPr/>
        <w:t>The Employer Disability Information Initiative completed its second year as a pilot programme to support employers in building their competence and roles to provide more job opportunities for persons with disabilities.</w:t>
      </w:r>
    </w:p>
    <w:p>
      <w:pPr>
        <w:pStyle w:val="BodyText"/>
        <w:spacing w:before="238"/>
        <w:ind w:left="1702" w:right="988"/>
      </w:pPr>
      <w:r>
        <w:rPr/>
        <w:t>As with the National Disability Inclusion Strategy, the NDA has a role to independently</w:t>
      </w:r>
      <w:r>
        <w:rPr>
          <w:spacing w:val="-5"/>
        </w:rPr>
        <w:t> </w:t>
      </w:r>
      <w:r>
        <w:rPr/>
        <w:t>monitor</w:t>
      </w:r>
      <w:r>
        <w:rPr>
          <w:spacing w:val="-2"/>
        </w:rPr>
        <w:t> </w:t>
      </w:r>
      <w:r>
        <w:rPr/>
        <w:t>and</w:t>
      </w:r>
      <w:r>
        <w:rPr>
          <w:spacing w:val="-5"/>
        </w:rPr>
        <w:t> </w:t>
      </w:r>
      <w:r>
        <w:rPr/>
        <w:t>assess</w:t>
      </w:r>
      <w:r>
        <w:rPr>
          <w:spacing w:val="-4"/>
        </w:rPr>
        <w:t> </w:t>
      </w:r>
      <w:r>
        <w:rPr/>
        <w:t>progress</w:t>
      </w:r>
      <w:r>
        <w:rPr>
          <w:spacing w:val="-4"/>
        </w:rPr>
        <w:t> </w:t>
      </w:r>
      <w:r>
        <w:rPr/>
        <w:t>under</w:t>
      </w:r>
      <w:r>
        <w:rPr>
          <w:spacing w:val="-4"/>
        </w:rPr>
        <w:t> </w:t>
      </w:r>
      <w:r>
        <w:rPr/>
        <w:t>the</w:t>
      </w:r>
      <w:r>
        <w:rPr>
          <w:spacing w:val="-5"/>
        </w:rPr>
        <w:t> </w:t>
      </w:r>
      <w:r>
        <w:rPr/>
        <w:t>Strategy,</w:t>
      </w:r>
      <w:r>
        <w:rPr>
          <w:spacing w:val="-4"/>
        </w:rPr>
        <w:t> </w:t>
      </w:r>
      <w:r>
        <w:rPr/>
        <w:t>and in</w:t>
      </w:r>
      <w:r>
        <w:rPr>
          <w:spacing w:val="-5"/>
        </w:rPr>
        <w:t> </w:t>
      </w:r>
      <w:r>
        <w:rPr/>
        <w:t>this regard conducted an assessment at the end of 2017 noting progress but also identifying areas for improvement.</w:t>
      </w:r>
    </w:p>
    <w:p>
      <w:pPr>
        <w:pStyle w:val="BodyText"/>
        <w:spacing w:before="242"/>
        <w:ind w:left="1702" w:right="986"/>
      </w:pPr>
      <w:r>
        <w:rPr/>
        <w:t>The Transforming Lives Programme, as it is called (informed by a previous review of</w:t>
      </w:r>
      <w:r>
        <w:rPr>
          <w:spacing w:val="-2"/>
        </w:rPr>
        <w:t> </w:t>
      </w:r>
      <w:r>
        <w:rPr/>
        <w:t>disability</w:t>
      </w:r>
      <w:r>
        <w:rPr>
          <w:spacing w:val="-2"/>
        </w:rPr>
        <w:t> </w:t>
      </w:r>
      <w:r>
        <w:rPr/>
        <w:t>policies funded</w:t>
      </w:r>
      <w:r>
        <w:rPr>
          <w:spacing w:val="-2"/>
        </w:rPr>
        <w:t> </w:t>
      </w:r>
      <w:r>
        <w:rPr/>
        <w:t>through</w:t>
      </w:r>
      <w:r>
        <w:rPr>
          <w:spacing w:val="-2"/>
        </w:rPr>
        <w:t> </w:t>
      </w:r>
      <w:r>
        <w:rPr/>
        <w:t>the health</w:t>
      </w:r>
      <w:r>
        <w:rPr>
          <w:spacing w:val="-2"/>
        </w:rPr>
        <w:t> </w:t>
      </w:r>
      <w:r>
        <w:rPr/>
        <w:t>budget)</w:t>
      </w:r>
      <w:r>
        <w:rPr>
          <w:spacing w:val="-2"/>
        </w:rPr>
        <w:t> </w:t>
      </w:r>
      <w:r>
        <w:rPr/>
        <w:t>provides the basis</w:t>
      </w:r>
      <w:r>
        <w:rPr>
          <w:spacing w:val="-4"/>
        </w:rPr>
        <w:t> </w:t>
      </w:r>
      <w:r>
        <w:rPr/>
        <w:t>for</w:t>
      </w:r>
      <w:r>
        <w:rPr>
          <w:spacing w:val="-5"/>
        </w:rPr>
        <w:t> </w:t>
      </w:r>
      <w:r>
        <w:rPr/>
        <w:t>significant</w:t>
      </w:r>
      <w:r>
        <w:rPr>
          <w:spacing w:val="-5"/>
        </w:rPr>
        <w:t> </w:t>
      </w:r>
      <w:r>
        <w:rPr/>
        <w:t>transformation</w:t>
      </w:r>
      <w:r>
        <w:rPr>
          <w:spacing w:val="-5"/>
        </w:rPr>
        <w:t> </w:t>
      </w:r>
      <w:r>
        <w:rPr/>
        <w:t>of</w:t>
      </w:r>
      <w:r>
        <w:rPr>
          <w:spacing w:val="-5"/>
        </w:rPr>
        <w:t> </w:t>
      </w:r>
      <w:r>
        <w:rPr/>
        <w:t>disability</w:t>
      </w:r>
      <w:r>
        <w:rPr>
          <w:spacing w:val="-5"/>
        </w:rPr>
        <w:t> </w:t>
      </w:r>
      <w:r>
        <w:rPr/>
        <w:t>support</w:t>
      </w:r>
      <w:r>
        <w:rPr>
          <w:spacing w:val="-5"/>
        </w:rPr>
        <w:t> </w:t>
      </w:r>
      <w:r>
        <w:rPr/>
        <w:t>systems</w:t>
      </w:r>
      <w:r>
        <w:rPr>
          <w:spacing w:val="-5"/>
        </w:rPr>
        <w:t> </w:t>
      </w:r>
      <w:r>
        <w:rPr/>
        <w:t>and</w:t>
      </w:r>
      <w:r>
        <w:rPr>
          <w:spacing w:val="-3"/>
        </w:rPr>
        <w:t> </w:t>
      </w:r>
      <w:r>
        <w:rPr/>
        <w:t>funding approaches to deliver a person centred policy for supported living in the community.</w:t>
      </w:r>
      <w:r>
        <w:rPr>
          <w:spacing w:val="40"/>
        </w:rPr>
        <w:t> </w:t>
      </w:r>
      <w:r>
        <w:rPr/>
        <w:t>As a long term initiative, the milestones to delivering this require systems changes as well as a change in culture.</w:t>
      </w:r>
      <w:r>
        <w:rPr>
          <w:spacing w:val="40"/>
        </w:rPr>
        <w:t> </w:t>
      </w:r>
      <w:r>
        <w:rPr/>
        <w:t>The NDA has devoted many years to researching the means of achieving these and over 2017 continued to work to advise on systems, frameworks and tools to implement those changes as detailed in this report.</w:t>
      </w:r>
    </w:p>
    <w:p>
      <w:pPr>
        <w:pStyle w:val="BodyText"/>
        <w:spacing w:before="241"/>
        <w:ind w:left="1702" w:right="1015"/>
      </w:pPr>
      <w:r>
        <w:rPr/>
        <w:t>In this regard, the NDA welcomed the continued work by the Taskforce on Personalised Budgets established by the Minister in 2016, which will report</w:t>
      </w:r>
      <w:r>
        <w:rPr>
          <w:spacing w:val="-3"/>
        </w:rPr>
        <w:t> </w:t>
      </w:r>
      <w:r>
        <w:rPr/>
        <w:t>early</w:t>
      </w:r>
      <w:r>
        <w:rPr>
          <w:spacing w:val="-4"/>
        </w:rPr>
        <w:t> </w:t>
      </w:r>
      <w:r>
        <w:rPr/>
        <w:t>2018</w:t>
      </w:r>
      <w:r>
        <w:rPr>
          <w:spacing w:val="-4"/>
        </w:rPr>
        <w:t> </w:t>
      </w:r>
      <w:r>
        <w:rPr/>
        <w:t>on</w:t>
      </w:r>
      <w:r>
        <w:rPr>
          <w:spacing w:val="-4"/>
        </w:rPr>
        <w:t> </w:t>
      </w:r>
      <w:r>
        <w:rPr/>
        <w:t>recommendations</w:t>
      </w:r>
      <w:r>
        <w:rPr>
          <w:spacing w:val="-3"/>
        </w:rPr>
        <w:t> </w:t>
      </w:r>
      <w:r>
        <w:rPr/>
        <w:t>on</w:t>
      </w:r>
      <w:r>
        <w:rPr>
          <w:spacing w:val="-1"/>
        </w:rPr>
        <w:t> </w:t>
      </w:r>
      <w:r>
        <w:rPr/>
        <w:t>how</w:t>
      </w:r>
      <w:r>
        <w:rPr>
          <w:spacing w:val="-3"/>
        </w:rPr>
        <w:t> </w:t>
      </w:r>
      <w:r>
        <w:rPr/>
        <w:t>to</w:t>
      </w:r>
      <w:r>
        <w:rPr>
          <w:spacing w:val="-3"/>
        </w:rPr>
        <w:t> </w:t>
      </w:r>
      <w:r>
        <w:rPr/>
        <w:t>deliver</w:t>
      </w:r>
      <w:r>
        <w:rPr>
          <w:spacing w:val="-4"/>
        </w:rPr>
        <w:t> </w:t>
      </w:r>
      <w:r>
        <w:rPr/>
        <w:t>a</w:t>
      </w:r>
      <w:r>
        <w:rPr>
          <w:spacing w:val="-4"/>
        </w:rPr>
        <w:t> </w:t>
      </w:r>
      <w:r>
        <w:rPr/>
        <w:t>national</w:t>
      </w:r>
      <w:r>
        <w:rPr>
          <w:spacing w:val="-3"/>
        </w:rPr>
        <w:t> </w:t>
      </w:r>
      <w:r>
        <w:rPr/>
        <w:t>policy on personalised budgets. Over 2017, its work comprised research, consultation, and considerations of how a policy could be applied in an Irish context.</w:t>
      </w:r>
    </w:p>
    <w:p>
      <w:pPr>
        <w:pStyle w:val="BodyText"/>
        <w:tabs>
          <w:tab w:pos="4813" w:val="left" w:leader="none"/>
        </w:tabs>
        <w:spacing w:before="239"/>
        <w:ind w:left="1702" w:right="1012"/>
      </w:pPr>
      <w:r>
        <w:rPr/>
        <w:t>In 2017, the government committed to ratifying the UN Convention on the Rights of Persons with Disabilities, and continued to progress legislation to support same.</w:t>
        <w:tab/>
        <w:t>This included the establishment of the Decision Support Service in the Mental Health Commission providing a</w:t>
      </w:r>
      <w:r>
        <w:rPr>
          <w:spacing w:val="40"/>
        </w:rPr>
        <w:t> </w:t>
      </w:r>
      <w:r>
        <w:rPr/>
        <w:t>key mechanism for monitoring and overseeing the implementation of the Assisted Decision Making (Capacity) Act. The NDA has progressed a significant</w:t>
      </w:r>
      <w:r>
        <w:rPr>
          <w:spacing w:val="-4"/>
        </w:rPr>
        <w:t> </w:t>
      </w:r>
      <w:r>
        <w:rPr/>
        <w:t>programme</w:t>
      </w:r>
      <w:r>
        <w:rPr>
          <w:spacing w:val="-2"/>
        </w:rPr>
        <w:t> </w:t>
      </w:r>
      <w:r>
        <w:rPr/>
        <w:t>of</w:t>
      </w:r>
      <w:r>
        <w:rPr>
          <w:spacing w:val="-4"/>
        </w:rPr>
        <w:t> </w:t>
      </w:r>
      <w:r>
        <w:rPr/>
        <w:t>work</w:t>
      </w:r>
      <w:r>
        <w:rPr>
          <w:spacing w:val="-3"/>
        </w:rPr>
        <w:t> </w:t>
      </w:r>
      <w:r>
        <w:rPr/>
        <w:t>in</w:t>
      </w:r>
      <w:r>
        <w:rPr>
          <w:spacing w:val="-4"/>
        </w:rPr>
        <w:t> </w:t>
      </w:r>
      <w:r>
        <w:rPr/>
        <w:t>developing</w:t>
      </w:r>
      <w:r>
        <w:rPr>
          <w:spacing w:val="-4"/>
        </w:rPr>
        <w:t> </w:t>
      </w:r>
      <w:r>
        <w:rPr/>
        <w:t>Codes</w:t>
      </w:r>
      <w:r>
        <w:rPr>
          <w:spacing w:val="-2"/>
        </w:rPr>
        <w:t> </w:t>
      </w:r>
      <w:r>
        <w:rPr/>
        <w:t>of</w:t>
      </w:r>
      <w:r>
        <w:rPr>
          <w:spacing w:val="-4"/>
        </w:rPr>
        <w:t> </w:t>
      </w:r>
      <w:r>
        <w:rPr/>
        <w:t>Practice</w:t>
      </w:r>
      <w:r>
        <w:rPr>
          <w:spacing w:val="-1"/>
        </w:rPr>
        <w:t> </w:t>
      </w:r>
      <w:r>
        <w:rPr/>
        <w:t>to</w:t>
      </w:r>
      <w:r>
        <w:rPr>
          <w:spacing w:val="-3"/>
        </w:rPr>
        <w:t> </w:t>
      </w:r>
      <w:r>
        <w:rPr/>
        <w:t>guide</w:t>
      </w:r>
      <w:r>
        <w:rPr>
          <w:spacing w:val="-4"/>
        </w:rPr>
        <w:t> </w:t>
      </w:r>
      <w:r>
        <w:rPr/>
        <w:t>on the implementation of the Act. We look forward to continuing to liaise with the Director of the Decision Support Service as we finalise this work in 2018.</w:t>
      </w:r>
    </w:p>
    <w:p>
      <w:pPr>
        <w:pStyle w:val="BodyText"/>
        <w:spacing w:after="0"/>
        <w:sectPr>
          <w:pgSz w:w="11910" w:h="16850"/>
          <w:pgMar w:header="0" w:footer="811" w:top="1880" w:bottom="1000" w:left="283" w:right="992"/>
        </w:sectPr>
      </w:pPr>
    </w:p>
    <w:p>
      <w:pPr>
        <w:pStyle w:val="BodyText"/>
        <w:spacing w:before="79"/>
        <w:ind w:left="1702" w:right="988"/>
      </w:pPr>
      <w:r>
        <w:rPr/>
        <w:t>The Centre for Excellence in Universal Design has continued to build awareness and understanding of Universal Design in 2017. The Universal Design</w:t>
      </w:r>
      <w:r>
        <w:rPr>
          <w:spacing w:val="-6"/>
        </w:rPr>
        <w:t> </w:t>
      </w:r>
      <w:r>
        <w:rPr/>
        <w:t>Grand</w:t>
      </w:r>
      <w:r>
        <w:rPr>
          <w:spacing w:val="-4"/>
        </w:rPr>
        <w:t> </w:t>
      </w:r>
      <w:r>
        <w:rPr/>
        <w:t>Challenge</w:t>
      </w:r>
      <w:r>
        <w:rPr>
          <w:spacing w:val="-6"/>
        </w:rPr>
        <w:t> </w:t>
      </w:r>
      <w:r>
        <w:rPr/>
        <w:t>competition</w:t>
      </w:r>
      <w:r>
        <w:rPr>
          <w:spacing w:val="-6"/>
        </w:rPr>
        <w:t> </w:t>
      </w:r>
      <w:r>
        <w:rPr/>
        <w:t>succeeded</w:t>
      </w:r>
      <w:r>
        <w:rPr>
          <w:spacing w:val="-6"/>
        </w:rPr>
        <w:t> </w:t>
      </w:r>
      <w:r>
        <w:rPr/>
        <w:t>in</w:t>
      </w:r>
      <w:r>
        <w:rPr>
          <w:spacing w:val="-6"/>
        </w:rPr>
        <w:t> </w:t>
      </w:r>
      <w:r>
        <w:rPr/>
        <w:t>promoting</w:t>
      </w:r>
      <w:r>
        <w:rPr>
          <w:spacing w:val="-6"/>
        </w:rPr>
        <w:t> </w:t>
      </w:r>
      <w:r>
        <w:rPr/>
        <w:t>UD</w:t>
      </w:r>
      <w:r>
        <w:rPr>
          <w:spacing w:val="-6"/>
        </w:rPr>
        <w:t> </w:t>
      </w:r>
      <w:r>
        <w:rPr/>
        <w:t>among third level students for the fourth year running, also achieving further support and sponsorship from Enterprise Ireland.</w:t>
      </w:r>
    </w:p>
    <w:p>
      <w:pPr>
        <w:pStyle w:val="BodyText"/>
        <w:spacing w:before="239"/>
        <w:ind w:left="1702" w:right="988"/>
      </w:pPr>
      <w:r>
        <w:rPr/>
        <w:t>The implementation of the national programme for Smart Ageing provided a framework for adopting Universal Design in relation to housing and community solutions for older persons. The NDA welcomed the engagement of the Department of Housing, Planning &amp; Local Government in delivering the first Universal Design housing challenge as a means of enabling older persons to remain living in their own homes in the community,</w:t>
      </w:r>
      <w:r>
        <w:rPr>
          <w:spacing w:val="-5"/>
        </w:rPr>
        <w:t> </w:t>
      </w:r>
      <w:r>
        <w:rPr/>
        <w:t>building</w:t>
      </w:r>
      <w:r>
        <w:rPr>
          <w:spacing w:val="-6"/>
        </w:rPr>
        <w:t> </w:t>
      </w:r>
      <w:r>
        <w:rPr/>
        <w:t>on</w:t>
      </w:r>
      <w:r>
        <w:rPr>
          <w:spacing w:val="-4"/>
        </w:rPr>
        <w:t> </w:t>
      </w:r>
      <w:r>
        <w:rPr/>
        <w:t>the</w:t>
      </w:r>
      <w:r>
        <w:rPr>
          <w:spacing w:val="-6"/>
        </w:rPr>
        <w:t> </w:t>
      </w:r>
      <w:r>
        <w:rPr/>
        <w:t>guidelines</w:t>
      </w:r>
      <w:r>
        <w:rPr>
          <w:spacing w:val="-4"/>
        </w:rPr>
        <w:t> </w:t>
      </w:r>
      <w:r>
        <w:rPr/>
        <w:t>developed</w:t>
      </w:r>
      <w:r>
        <w:rPr>
          <w:spacing w:val="-6"/>
        </w:rPr>
        <w:t> </w:t>
      </w:r>
      <w:r>
        <w:rPr/>
        <w:t>by</w:t>
      </w:r>
      <w:r>
        <w:rPr>
          <w:spacing w:val="-6"/>
        </w:rPr>
        <w:t> </w:t>
      </w:r>
      <w:r>
        <w:rPr/>
        <w:t>the</w:t>
      </w:r>
      <w:r>
        <w:rPr>
          <w:spacing w:val="-3"/>
        </w:rPr>
        <w:t> </w:t>
      </w:r>
      <w:r>
        <w:rPr/>
        <w:t>Centre. The</w:t>
      </w:r>
      <w:r>
        <w:rPr>
          <w:spacing w:val="-4"/>
        </w:rPr>
        <w:t> </w:t>
      </w:r>
      <w:r>
        <w:rPr/>
        <w:t>award funded and presented by the Department in June 2017, recognised innovative solutions for the housing market, facilitating our ageing population to live independently in communities of choice.</w:t>
      </w:r>
    </w:p>
    <w:p>
      <w:pPr>
        <w:pStyle w:val="BodyText"/>
        <w:spacing w:before="240"/>
        <w:ind w:left="1702" w:right="1080"/>
      </w:pPr>
      <w:r>
        <w:rPr/>
        <w:t>In</w:t>
      </w:r>
      <w:r>
        <w:rPr>
          <w:spacing w:val="-4"/>
        </w:rPr>
        <w:t> </w:t>
      </w:r>
      <w:r>
        <w:rPr/>
        <w:t>light</w:t>
      </w:r>
      <w:r>
        <w:rPr>
          <w:spacing w:val="-4"/>
        </w:rPr>
        <w:t> </w:t>
      </w:r>
      <w:r>
        <w:rPr/>
        <w:t>of</w:t>
      </w:r>
      <w:r>
        <w:rPr>
          <w:spacing w:val="-4"/>
        </w:rPr>
        <w:t> </w:t>
      </w:r>
      <w:r>
        <w:rPr/>
        <w:t>these</w:t>
      </w:r>
      <w:r>
        <w:rPr>
          <w:spacing w:val="-4"/>
        </w:rPr>
        <w:t> </w:t>
      </w:r>
      <w:r>
        <w:rPr/>
        <w:t>policy</w:t>
      </w:r>
      <w:r>
        <w:rPr>
          <w:spacing w:val="-3"/>
        </w:rPr>
        <w:t> </w:t>
      </w:r>
      <w:r>
        <w:rPr/>
        <w:t>developments</w:t>
      </w:r>
      <w:r>
        <w:rPr>
          <w:spacing w:val="-3"/>
        </w:rPr>
        <w:t> </w:t>
      </w:r>
      <w:r>
        <w:rPr/>
        <w:t>at</w:t>
      </w:r>
      <w:r>
        <w:rPr>
          <w:spacing w:val="-4"/>
        </w:rPr>
        <w:t> </w:t>
      </w:r>
      <w:r>
        <w:rPr/>
        <w:t>national</w:t>
      </w:r>
      <w:r>
        <w:rPr>
          <w:spacing w:val="-4"/>
        </w:rPr>
        <w:t> </w:t>
      </w:r>
      <w:r>
        <w:rPr/>
        <w:t>level,</w:t>
      </w:r>
      <w:r>
        <w:rPr>
          <w:spacing w:val="-3"/>
        </w:rPr>
        <w:t> </w:t>
      </w:r>
      <w:r>
        <w:rPr/>
        <w:t>the</w:t>
      </w:r>
      <w:r>
        <w:rPr>
          <w:spacing w:val="-4"/>
        </w:rPr>
        <w:t> </w:t>
      </w:r>
      <w:r>
        <w:rPr/>
        <w:t>NDA</w:t>
      </w:r>
      <w:r>
        <w:rPr>
          <w:spacing w:val="-4"/>
        </w:rPr>
        <w:t> </w:t>
      </w:r>
      <w:r>
        <w:rPr/>
        <w:t>work-plan for 2017 included the following key areas, as well as many others:</w:t>
      </w:r>
    </w:p>
    <w:p>
      <w:pPr>
        <w:pStyle w:val="ListParagraph"/>
        <w:numPr>
          <w:ilvl w:val="0"/>
          <w:numId w:val="1"/>
        </w:numPr>
        <w:tabs>
          <w:tab w:pos="2422" w:val="left" w:leader="none"/>
        </w:tabs>
        <w:spacing w:line="240" w:lineRule="auto" w:before="242" w:after="0"/>
        <w:ind w:left="2422" w:right="1533" w:hanging="360"/>
        <w:jc w:val="left"/>
        <w:rPr>
          <w:sz w:val="26"/>
        </w:rPr>
      </w:pPr>
      <w:r>
        <w:rPr>
          <w:sz w:val="26"/>
        </w:rPr>
        <w:t>Work to draft 11 non-healthcare Codes of Practice to guide implementation</w:t>
      </w:r>
      <w:r>
        <w:rPr>
          <w:spacing w:val="-6"/>
          <w:sz w:val="26"/>
        </w:rPr>
        <w:t> </w:t>
      </w:r>
      <w:r>
        <w:rPr>
          <w:sz w:val="26"/>
        </w:rPr>
        <w:t>of</w:t>
      </w:r>
      <w:r>
        <w:rPr>
          <w:spacing w:val="-6"/>
          <w:sz w:val="26"/>
        </w:rPr>
        <w:t> </w:t>
      </w:r>
      <w:r>
        <w:rPr>
          <w:sz w:val="26"/>
        </w:rPr>
        <w:t>the</w:t>
      </w:r>
      <w:r>
        <w:rPr>
          <w:spacing w:val="-3"/>
          <w:sz w:val="26"/>
        </w:rPr>
        <w:t> </w:t>
      </w:r>
      <w:r>
        <w:rPr>
          <w:sz w:val="26"/>
        </w:rPr>
        <w:t>Assisted</w:t>
      </w:r>
      <w:r>
        <w:rPr>
          <w:spacing w:val="-6"/>
          <w:sz w:val="26"/>
        </w:rPr>
        <w:t> </w:t>
      </w:r>
      <w:r>
        <w:rPr>
          <w:sz w:val="26"/>
        </w:rPr>
        <w:t>Decision</w:t>
      </w:r>
      <w:r>
        <w:rPr>
          <w:spacing w:val="-6"/>
          <w:sz w:val="26"/>
        </w:rPr>
        <w:t> </w:t>
      </w:r>
      <w:r>
        <w:rPr>
          <w:sz w:val="26"/>
        </w:rPr>
        <w:t>Making</w:t>
      </w:r>
      <w:r>
        <w:rPr>
          <w:spacing w:val="-6"/>
          <w:sz w:val="26"/>
        </w:rPr>
        <w:t> </w:t>
      </w:r>
      <w:r>
        <w:rPr>
          <w:sz w:val="26"/>
        </w:rPr>
        <w:t>(Capacity)</w:t>
      </w:r>
      <w:r>
        <w:rPr>
          <w:spacing w:val="-6"/>
          <w:sz w:val="26"/>
        </w:rPr>
        <w:t> </w:t>
      </w:r>
      <w:r>
        <w:rPr>
          <w:sz w:val="26"/>
        </w:rPr>
        <w:t>Act </w:t>
      </w:r>
      <w:r>
        <w:rPr>
          <w:spacing w:val="-4"/>
          <w:sz w:val="26"/>
        </w:rPr>
        <w:t>2015</w:t>
      </w:r>
    </w:p>
    <w:p>
      <w:pPr>
        <w:pStyle w:val="ListParagraph"/>
        <w:numPr>
          <w:ilvl w:val="0"/>
          <w:numId w:val="1"/>
        </w:numPr>
        <w:tabs>
          <w:tab w:pos="2422" w:val="left" w:leader="none"/>
        </w:tabs>
        <w:spacing w:line="240" w:lineRule="auto" w:before="0" w:after="0"/>
        <w:ind w:left="2422" w:right="1914" w:hanging="360"/>
        <w:jc w:val="left"/>
        <w:rPr>
          <w:sz w:val="26"/>
        </w:rPr>
      </w:pPr>
      <w:r>
        <w:rPr>
          <w:sz w:val="26"/>
        </w:rPr>
        <w:t>The</w:t>
      </w:r>
      <w:r>
        <w:rPr>
          <w:spacing w:val="-6"/>
          <w:sz w:val="26"/>
        </w:rPr>
        <w:t> </w:t>
      </w:r>
      <w:r>
        <w:rPr>
          <w:sz w:val="26"/>
        </w:rPr>
        <w:t>Homes</w:t>
      </w:r>
      <w:r>
        <w:rPr>
          <w:spacing w:val="-5"/>
          <w:sz w:val="26"/>
        </w:rPr>
        <w:t> </w:t>
      </w:r>
      <w:r>
        <w:rPr>
          <w:sz w:val="26"/>
        </w:rPr>
        <w:t>for</w:t>
      </w:r>
      <w:r>
        <w:rPr>
          <w:spacing w:val="-6"/>
          <w:sz w:val="26"/>
        </w:rPr>
        <w:t> </w:t>
      </w:r>
      <w:r>
        <w:rPr>
          <w:sz w:val="26"/>
        </w:rPr>
        <w:t>Smart</w:t>
      </w:r>
      <w:r>
        <w:rPr>
          <w:spacing w:val="-3"/>
          <w:sz w:val="26"/>
        </w:rPr>
        <w:t> </w:t>
      </w:r>
      <w:r>
        <w:rPr>
          <w:sz w:val="26"/>
        </w:rPr>
        <w:t>Ageing</w:t>
      </w:r>
      <w:r>
        <w:rPr>
          <w:spacing w:val="-6"/>
          <w:sz w:val="26"/>
        </w:rPr>
        <w:t> </w:t>
      </w:r>
      <w:r>
        <w:rPr>
          <w:sz w:val="26"/>
        </w:rPr>
        <w:t>Universal</w:t>
      </w:r>
      <w:r>
        <w:rPr>
          <w:spacing w:val="-6"/>
          <w:sz w:val="26"/>
        </w:rPr>
        <w:t> </w:t>
      </w:r>
      <w:r>
        <w:rPr>
          <w:sz w:val="26"/>
        </w:rPr>
        <w:t>Design</w:t>
      </w:r>
      <w:r>
        <w:rPr>
          <w:spacing w:val="-6"/>
          <w:sz w:val="26"/>
        </w:rPr>
        <w:t> </w:t>
      </w:r>
      <w:r>
        <w:rPr>
          <w:sz w:val="26"/>
        </w:rPr>
        <w:t>Challenge</w:t>
      </w:r>
      <w:r>
        <w:rPr>
          <w:spacing w:val="-5"/>
          <w:sz w:val="26"/>
        </w:rPr>
        <w:t> </w:t>
      </w:r>
      <w:r>
        <w:rPr>
          <w:sz w:val="26"/>
        </w:rPr>
        <w:t>in partnership with Department of Housing, Planning &amp; Local </w:t>
      </w:r>
      <w:r>
        <w:rPr>
          <w:spacing w:val="-2"/>
          <w:sz w:val="26"/>
        </w:rPr>
        <w:t>Government</w:t>
      </w:r>
    </w:p>
    <w:p>
      <w:pPr>
        <w:pStyle w:val="ListParagraph"/>
        <w:numPr>
          <w:ilvl w:val="0"/>
          <w:numId w:val="1"/>
        </w:numPr>
        <w:tabs>
          <w:tab w:pos="2422" w:val="left" w:leader="none"/>
        </w:tabs>
        <w:spacing w:line="240" w:lineRule="auto" w:before="0" w:after="0"/>
        <w:ind w:left="2422" w:right="1958" w:hanging="360"/>
        <w:jc w:val="left"/>
        <w:rPr>
          <w:sz w:val="26"/>
        </w:rPr>
      </w:pPr>
      <w:r>
        <w:rPr>
          <w:sz w:val="26"/>
        </w:rPr>
        <w:t>Research</w:t>
      </w:r>
      <w:r>
        <w:rPr>
          <w:spacing w:val="-5"/>
          <w:sz w:val="26"/>
        </w:rPr>
        <w:t> </w:t>
      </w:r>
      <w:r>
        <w:rPr>
          <w:sz w:val="26"/>
        </w:rPr>
        <w:t>and</w:t>
      </w:r>
      <w:r>
        <w:rPr>
          <w:spacing w:val="-3"/>
          <w:sz w:val="26"/>
        </w:rPr>
        <w:t> </w:t>
      </w:r>
      <w:r>
        <w:rPr>
          <w:sz w:val="26"/>
        </w:rPr>
        <w:t>analysis</w:t>
      </w:r>
      <w:r>
        <w:rPr>
          <w:spacing w:val="-4"/>
          <w:sz w:val="26"/>
        </w:rPr>
        <w:t> </w:t>
      </w:r>
      <w:r>
        <w:rPr>
          <w:sz w:val="26"/>
        </w:rPr>
        <w:t>to</w:t>
      </w:r>
      <w:r>
        <w:rPr>
          <w:spacing w:val="-4"/>
          <w:sz w:val="26"/>
        </w:rPr>
        <w:t> </w:t>
      </w:r>
      <w:r>
        <w:rPr>
          <w:sz w:val="26"/>
        </w:rPr>
        <w:t>inform</w:t>
      </w:r>
      <w:r>
        <w:rPr>
          <w:spacing w:val="-2"/>
          <w:sz w:val="26"/>
        </w:rPr>
        <w:t> </w:t>
      </w:r>
      <w:r>
        <w:rPr>
          <w:sz w:val="26"/>
        </w:rPr>
        <w:t>the</w:t>
      </w:r>
      <w:r>
        <w:rPr>
          <w:spacing w:val="-4"/>
          <w:sz w:val="26"/>
        </w:rPr>
        <w:t> </w:t>
      </w:r>
      <w:r>
        <w:rPr>
          <w:sz w:val="26"/>
        </w:rPr>
        <w:t>work</w:t>
      </w:r>
      <w:r>
        <w:rPr>
          <w:spacing w:val="-4"/>
          <w:sz w:val="26"/>
        </w:rPr>
        <w:t> </w:t>
      </w:r>
      <w:r>
        <w:rPr>
          <w:sz w:val="26"/>
        </w:rPr>
        <w:t>of</w:t>
      </w:r>
      <w:r>
        <w:rPr>
          <w:spacing w:val="-5"/>
          <w:sz w:val="26"/>
        </w:rPr>
        <w:t> </w:t>
      </w:r>
      <w:r>
        <w:rPr>
          <w:sz w:val="26"/>
        </w:rPr>
        <w:t>Task</w:t>
      </w:r>
      <w:r>
        <w:rPr>
          <w:spacing w:val="-5"/>
          <w:sz w:val="26"/>
        </w:rPr>
        <w:t> </w:t>
      </w:r>
      <w:r>
        <w:rPr>
          <w:sz w:val="26"/>
        </w:rPr>
        <w:t>Force</w:t>
      </w:r>
      <w:r>
        <w:rPr>
          <w:spacing w:val="-5"/>
          <w:sz w:val="26"/>
        </w:rPr>
        <w:t> </w:t>
      </w:r>
      <w:r>
        <w:rPr>
          <w:sz w:val="26"/>
        </w:rPr>
        <w:t>on Personalised Budgets</w:t>
      </w:r>
    </w:p>
    <w:p>
      <w:pPr>
        <w:pStyle w:val="ListParagraph"/>
        <w:numPr>
          <w:ilvl w:val="0"/>
          <w:numId w:val="1"/>
        </w:numPr>
        <w:tabs>
          <w:tab w:pos="2422" w:val="left" w:leader="none"/>
        </w:tabs>
        <w:spacing w:line="240" w:lineRule="auto" w:before="0" w:after="0"/>
        <w:ind w:left="2422" w:right="1649" w:hanging="360"/>
        <w:jc w:val="left"/>
        <w:rPr>
          <w:sz w:val="26"/>
        </w:rPr>
      </w:pPr>
      <w:r>
        <w:rPr>
          <w:sz w:val="26"/>
        </w:rPr>
        <w:t>Work</w:t>
      </w:r>
      <w:r>
        <w:rPr>
          <w:spacing w:val="-4"/>
          <w:sz w:val="26"/>
        </w:rPr>
        <w:t> </w:t>
      </w:r>
      <w:r>
        <w:rPr>
          <w:sz w:val="26"/>
        </w:rPr>
        <w:t>to</w:t>
      </w:r>
      <w:r>
        <w:rPr>
          <w:spacing w:val="-4"/>
          <w:sz w:val="26"/>
        </w:rPr>
        <w:t> </w:t>
      </w:r>
      <w:r>
        <w:rPr>
          <w:sz w:val="26"/>
        </w:rPr>
        <w:t>support</w:t>
      </w:r>
      <w:r>
        <w:rPr>
          <w:spacing w:val="-5"/>
          <w:sz w:val="26"/>
        </w:rPr>
        <w:t> </w:t>
      </w:r>
      <w:r>
        <w:rPr>
          <w:sz w:val="26"/>
        </w:rPr>
        <w:t>and</w:t>
      </w:r>
      <w:r>
        <w:rPr>
          <w:spacing w:val="-5"/>
          <w:sz w:val="26"/>
        </w:rPr>
        <w:t> </w:t>
      </w:r>
      <w:r>
        <w:rPr>
          <w:sz w:val="26"/>
        </w:rPr>
        <w:t>guide</w:t>
      </w:r>
      <w:r>
        <w:rPr>
          <w:spacing w:val="-4"/>
          <w:sz w:val="26"/>
        </w:rPr>
        <w:t> </w:t>
      </w:r>
      <w:r>
        <w:rPr>
          <w:sz w:val="26"/>
        </w:rPr>
        <w:t>implementation</w:t>
      </w:r>
      <w:r>
        <w:rPr>
          <w:spacing w:val="-3"/>
          <w:sz w:val="26"/>
        </w:rPr>
        <w:t> </w:t>
      </w:r>
      <w:r>
        <w:rPr>
          <w:sz w:val="26"/>
        </w:rPr>
        <w:t>of</w:t>
      </w:r>
      <w:r>
        <w:rPr>
          <w:spacing w:val="-5"/>
          <w:sz w:val="26"/>
        </w:rPr>
        <w:t> </w:t>
      </w:r>
      <w:r>
        <w:rPr>
          <w:sz w:val="26"/>
        </w:rPr>
        <w:t>the</w:t>
      </w:r>
      <w:r>
        <w:rPr>
          <w:spacing w:val="-5"/>
          <w:sz w:val="26"/>
        </w:rPr>
        <w:t> </w:t>
      </w:r>
      <w:r>
        <w:rPr>
          <w:sz w:val="26"/>
        </w:rPr>
        <w:t>Access</w:t>
      </w:r>
      <w:r>
        <w:rPr>
          <w:spacing w:val="-4"/>
          <w:sz w:val="26"/>
        </w:rPr>
        <w:t> </w:t>
      </w:r>
      <w:r>
        <w:rPr>
          <w:sz w:val="26"/>
        </w:rPr>
        <w:t>and Inclusion Model for Early Childhood Care &amp; Education</w:t>
      </w:r>
    </w:p>
    <w:p>
      <w:pPr>
        <w:pStyle w:val="ListParagraph"/>
        <w:numPr>
          <w:ilvl w:val="0"/>
          <w:numId w:val="1"/>
        </w:numPr>
        <w:tabs>
          <w:tab w:pos="2422" w:val="left" w:leader="none"/>
        </w:tabs>
        <w:spacing w:line="240" w:lineRule="auto" w:before="0" w:after="0"/>
        <w:ind w:left="2422" w:right="2139" w:hanging="360"/>
        <w:jc w:val="left"/>
        <w:rPr>
          <w:sz w:val="26"/>
        </w:rPr>
      </w:pPr>
      <w:r>
        <w:rPr>
          <w:sz w:val="26"/>
        </w:rPr>
        <w:t>Work</w:t>
      </w:r>
      <w:r>
        <w:rPr>
          <w:spacing w:val="-7"/>
          <w:sz w:val="26"/>
        </w:rPr>
        <w:t> </w:t>
      </w:r>
      <w:r>
        <w:rPr>
          <w:sz w:val="26"/>
        </w:rPr>
        <w:t>to</w:t>
      </w:r>
      <w:r>
        <w:rPr>
          <w:spacing w:val="-7"/>
          <w:sz w:val="26"/>
        </w:rPr>
        <w:t> </w:t>
      </w:r>
      <w:r>
        <w:rPr>
          <w:sz w:val="26"/>
        </w:rPr>
        <w:t>progress</w:t>
      </w:r>
      <w:r>
        <w:rPr>
          <w:spacing w:val="-7"/>
          <w:sz w:val="26"/>
        </w:rPr>
        <w:t> </w:t>
      </w:r>
      <w:r>
        <w:rPr>
          <w:sz w:val="26"/>
        </w:rPr>
        <w:t>implementation</w:t>
      </w:r>
      <w:r>
        <w:rPr>
          <w:spacing w:val="-8"/>
          <w:sz w:val="26"/>
        </w:rPr>
        <w:t> </w:t>
      </w:r>
      <w:r>
        <w:rPr>
          <w:sz w:val="26"/>
        </w:rPr>
        <w:t>of</w:t>
      </w:r>
      <w:r>
        <w:rPr>
          <w:spacing w:val="-8"/>
          <w:sz w:val="26"/>
        </w:rPr>
        <w:t> </w:t>
      </w:r>
      <w:r>
        <w:rPr>
          <w:sz w:val="26"/>
        </w:rPr>
        <w:t>the</w:t>
      </w:r>
      <w:r>
        <w:rPr>
          <w:spacing w:val="-5"/>
          <w:sz w:val="26"/>
        </w:rPr>
        <w:t> </w:t>
      </w:r>
      <w:r>
        <w:rPr>
          <w:sz w:val="26"/>
        </w:rPr>
        <w:t>Comprehensive Employment Strategy</w:t>
      </w:r>
    </w:p>
    <w:p>
      <w:pPr>
        <w:pStyle w:val="ListParagraph"/>
        <w:numPr>
          <w:ilvl w:val="0"/>
          <w:numId w:val="1"/>
        </w:numPr>
        <w:tabs>
          <w:tab w:pos="2422" w:val="left" w:leader="none"/>
        </w:tabs>
        <w:spacing w:line="240" w:lineRule="auto" w:before="1" w:after="0"/>
        <w:ind w:left="2422" w:right="1173" w:hanging="360"/>
        <w:jc w:val="left"/>
        <w:rPr>
          <w:sz w:val="26"/>
        </w:rPr>
      </w:pPr>
      <w:r>
        <w:rPr>
          <w:sz w:val="26"/>
        </w:rPr>
        <w:t>Continued</w:t>
      </w:r>
      <w:r>
        <w:rPr>
          <w:spacing w:val="-6"/>
          <w:sz w:val="26"/>
        </w:rPr>
        <w:t> </w:t>
      </w:r>
      <w:r>
        <w:rPr>
          <w:sz w:val="26"/>
        </w:rPr>
        <w:t>funding</w:t>
      </w:r>
      <w:r>
        <w:rPr>
          <w:spacing w:val="-6"/>
          <w:sz w:val="26"/>
        </w:rPr>
        <w:t> </w:t>
      </w:r>
      <w:r>
        <w:rPr>
          <w:sz w:val="26"/>
        </w:rPr>
        <w:t>of</w:t>
      </w:r>
      <w:r>
        <w:rPr>
          <w:spacing w:val="-6"/>
          <w:sz w:val="26"/>
        </w:rPr>
        <w:t> </w:t>
      </w:r>
      <w:r>
        <w:rPr>
          <w:sz w:val="26"/>
        </w:rPr>
        <w:t>the</w:t>
      </w:r>
      <w:r>
        <w:rPr>
          <w:spacing w:val="-6"/>
          <w:sz w:val="26"/>
        </w:rPr>
        <w:t> </w:t>
      </w:r>
      <w:r>
        <w:rPr>
          <w:sz w:val="26"/>
        </w:rPr>
        <w:t>consortium-managed</w:t>
      </w:r>
      <w:r>
        <w:rPr>
          <w:spacing w:val="-6"/>
          <w:sz w:val="26"/>
        </w:rPr>
        <w:t> </w:t>
      </w:r>
      <w:r>
        <w:rPr>
          <w:sz w:val="26"/>
        </w:rPr>
        <w:t>Employer</w:t>
      </w:r>
      <w:r>
        <w:rPr>
          <w:spacing w:val="-6"/>
          <w:sz w:val="26"/>
        </w:rPr>
        <w:t> </w:t>
      </w:r>
      <w:r>
        <w:rPr>
          <w:sz w:val="26"/>
        </w:rPr>
        <w:t>Disability Information service, and independent mid-term review of same</w:t>
      </w:r>
    </w:p>
    <w:p>
      <w:pPr>
        <w:pStyle w:val="ListParagraph"/>
        <w:numPr>
          <w:ilvl w:val="0"/>
          <w:numId w:val="1"/>
        </w:numPr>
        <w:tabs>
          <w:tab w:pos="2422" w:val="left" w:leader="none"/>
        </w:tabs>
        <w:spacing w:line="240" w:lineRule="auto" w:before="0" w:after="0"/>
        <w:ind w:left="2422" w:right="1477" w:hanging="360"/>
        <w:jc w:val="left"/>
        <w:rPr>
          <w:sz w:val="26"/>
        </w:rPr>
      </w:pPr>
      <w:r>
        <w:rPr>
          <w:sz w:val="26"/>
        </w:rPr>
        <w:t>Work</w:t>
      </w:r>
      <w:r>
        <w:rPr>
          <w:spacing w:val="-5"/>
          <w:sz w:val="26"/>
        </w:rPr>
        <w:t> </w:t>
      </w:r>
      <w:r>
        <w:rPr>
          <w:sz w:val="26"/>
        </w:rPr>
        <w:t>to</w:t>
      </w:r>
      <w:r>
        <w:rPr>
          <w:spacing w:val="-4"/>
          <w:sz w:val="26"/>
        </w:rPr>
        <w:t> </w:t>
      </w:r>
      <w:r>
        <w:rPr>
          <w:sz w:val="26"/>
        </w:rPr>
        <w:t>develop</w:t>
      </w:r>
      <w:r>
        <w:rPr>
          <w:spacing w:val="-6"/>
          <w:sz w:val="26"/>
        </w:rPr>
        <w:t> </w:t>
      </w:r>
      <w:r>
        <w:rPr>
          <w:sz w:val="26"/>
        </w:rPr>
        <w:t>a</w:t>
      </w:r>
      <w:r>
        <w:rPr>
          <w:spacing w:val="-6"/>
          <w:sz w:val="26"/>
        </w:rPr>
        <w:t> </w:t>
      </w:r>
      <w:r>
        <w:rPr>
          <w:sz w:val="26"/>
        </w:rPr>
        <w:t>framework</w:t>
      </w:r>
      <w:r>
        <w:rPr>
          <w:spacing w:val="-5"/>
          <w:sz w:val="26"/>
        </w:rPr>
        <w:t> </w:t>
      </w:r>
      <w:r>
        <w:rPr>
          <w:sz w:val="26"/>
        </w:rPr>
        <w:t>for</w:t>
      </w:r>
      <w:r>
        <w:rPr>
          <w:spacing w:val="-6"/>
          <w:sz w:val="26"/>
        </w:rPr>
        <w:t> </w:t>
      </w:r>
      <w:r>
        <w:rPr>
          <w:sz w:val="26"/>
        </w:rPr>
        <w:t>Person-Centred</w:t>
      </w:r>
      <w:r>
        <w:rPr>
          <w:spacing w:val="-6"/>
          <w:sz w:val="26"/>
        </w:rPr>
        <w:t> </w:t>
      </w:r>
      <w:r>
        <w:rPr>
          <w:sz w:val="26"/>
        </w:rPr>
        <w:t>Planning</w:t>
      </w:r>
      <w:r>
        <w:rPr>
          <w:spacing w:val="-6"/>
          <w:sz w:val="26"/>
        </w:rPr>
        <w:t> </w:t>
      </w:r>
      <w:r>
        <w:rPr>
          <w:sz w:val="26"/>
        </w:rPr>
        <w:t>for disability services</w:t>
      </w:r>
    </w:p>
    <w:p>
      <w:pPr>
        <w:pStyle w:val="ListParagraph"/>
        <w:numPr>
          <w:ilvl w:val="0"/>
          <w:numId w:val="1"/>
        </w:numPr>
        <w:tabs>
          <w:tab w:pos="2422" w:val="left" w:leader="none"/>
        </w:tabs>
        <w:spacing w:line="240" w:lineRule="auto" w:before="0" w:after="0"/>
        <w:ind w:left="2422" w:right="1248" w:hanging="360"/>
        <w:jc w:val="left"/>
        <w:rPr>
          <w:sz w:val="26"/>
        </w:rPr>
      </w:pPr>
      <w:r>
        <w:rPr>
          <w:sz w:val="26"/>
        </w:rPr>
        <w:t>Strategic</w:t>
      </w:r>
      <w:r>
        <w:rPr>
          <w:spacing w:val="-6"/>
          <w:sz w:val="26"/>
        </w:rPr>
        <w:t> </w:t>
      </w:r>
      <w:r>
        <w:rPr>
          <w:sz w:val="26"/>
        </w:rPr>
        <w:t>forecasting</w:t>
      </w:r>
      <w:r>
        <w:rPr>
          <w:spacing w:val="-6"/>
          <w:sz w:val="26"/>
        </w:rPr>
        <w:t> </w:t>
      </w:r>
      <w:r>
        <w:rPr>
          <w:sz w:val="26"/>
        </w:rPr>
        <w:t>of</w:t>
      </w:r>
      <w:r>
        <w:rPr>
          <w:spacing w:val="-3"/>
          <w:sz w:val="26"/>
        </w:rPr>
        <w:t> </w:t>
      </w:r>
      <w:r>
        <w:rPr>
          <w:sz w:val="26"/>
        </w:rPr>
        <w:t>future</w:t>
      </w:r>
      <w:r>
        <w:rPr>
          <w:spacing w:val="-5"/>
          <w:sz w:val="26"/>
        </w:rPr>
        <w:t> </w:t>
      </w:r>
      <w:r>
        <w:rPr>
          <w:sz w:val="26"/>
        </w:rPr>
        <w:t>demand</w:t>
      </w:r>
      <w:r>
        <w:rPr>
          <w:spacing w:val="-6"/>
          <w:sz w:val="26"/>
        </w:rPr>
        <w:t> </w:t>
      </w:r>
      <w:r>
        <w:rPr>
          <w:sz w:val="26"/>
        </w:rPr>
        <w:t>for</w:t>
      </w:r>
      <w:r>
        <w:rPr>
          <w:spacing w:val="-5"/>
          <w:sz w:val="26"/>
        </w:rPr>
        <w:t> </w:t>
      </w:r>
      <w:r>
        <w:rPr>
          <w:sz w:val="26"/>
        </w:rPr>
        <w:t>disability</w:t>
      </w:r>
      <w:r>
        <w:rPr>
          <w:spacing w:val="-6"/>
          <w:sz w:val="26"/>
        </w:rPr>
        <w:t> </w:t>
      </w:r>
      <w:r>
        <w:rPr>
          <w:sz w:val="26"/>
        </w:rPr>
        <w:t>services</w:t>
      </w:r>
      <w:r>
        <w:rPr>
          <w:spacing w:val="-4"/>
          <w:sz w:val="26"/>
        </w:rPr>
        <w:t> </w:t>
      </w:r>
      <w:r>
        <w:rPr>
          <w:sz w:val="26"/>
        </w:rPr>
        <w:t>based on demographic trends</w:t>
      </w:r>
    </w:p>
    <w:p>
      <w:pPr>
        <w:pStyle w:val="ListParagraph"/>
        <w:numPr>
          <w:ilvl w:val="0"/>
          <w:numId w:val="1"/>
        </w:numPr>
        <w:tabs>
          <w:tab w:pos="2422" w:val="left" w:leader="none"/>
        </w:tabs>
        <w:spacing w:line="240" w:lineRule="auto" w:before="0" w:after="0"/>
        <w:ind w:left="2422" w:right="1379" w:hanging="360"/>
        <w:jc w:val="left"/>
        <w:rPr>
          <w:sz w:val="26"/>
        </w:rPr>
      </w:pPr>
      <w:r>
        <w:rPr>
          <w:sz w:val="26"/>
        </w:rPr>
        <w:t>Work to understand the costs and benefits of newer models of community-based</w:t>
      </w:r>
      <w:r>
        <w:rPr>
          <w:spacing w:val="-7"/>
          <w:sz w:val="26"/>
        </w:rPr>
        <w:t> </w:t>
      </w:r>
      <w:r>
        <w:rPr>
          <w:sz w:val="26"/>
        </w:rPr>
        <w:t>living</w:t>
      </w:r>
      <w:r>
        <w:rPr>
          <w:spacing w:val="-6"/>
          <w:sz w:val="26"/>
        </w:rPr>
        <w:t> </w:t>
      </w:r>
      <w:r>
        <w:rPr>
          <w:sz w:val="26"/>
        </w:rPr>
        <w:t>in</w:t>
      </w:r>
      <w:r>
        <w:rPr>
          <w:spacing w:val="-7"/>
          <w:sz w:val="26"/>
        </w:rPr>
        <w:t> </w:t>
      </w:r>
      <w:r>
        <w:rPr>
          <w:sz w:val="26"/>
        </w:rPr>
        <w:t>comparison</w:t>
      </w:r>
      <w:r>
        <w:rPr>
          <w:spacing w:val="-7"/>
          <w:sz w:val="26"/>
        </w:rPr>
        <w:t> </w:t>
      </w:r>
      <w:r>
        <w:rPr>
          <w:sz w:val="26"/>
        </w:rPr>
        <w:t>to</w:t>
      </w:r>
      <w:r>
        <w:rPr>
          <w:spacing w:val="-7"/>
          <w:sz w:val="26"/>
        </w:rPr>
        <w:t> </w:t>
      </w:r>
      <w:r>
        <w:rPr>
          <w:sz w:val="26"/>
        </w:rPr>
        <w:t>traditional</w:t>
      </w:r>
      <w:r>
        <w:rPr>
          <w:spacing w:val="-7"/>
          <w:sz w:val="26"/>
        </w:rPr>
        <w:t> </w:t>
      </w:r>
      <w:r>
        <w:rPr>
          <w:sz w:val="26"/>
        </w:rPr>
        <w:t>congregated </w:t>
      </w:r>
      <w:r>
        <w:rPr>
          <w:spacing w:val="-2"/>
          <w:sz w:val="26"/>
        </w:rPr>
        <w:t>settings</w:t>
      </w:r>
    </w:p>
    <w:p>
      <w:pPr>
        <w:pStyle w:val="ListParagraph"/>
        <w:spacing w:after="0" w:line="240" w:lineRule="auto"/>
        <w:jc w:val="left"/>
        <w:rPr>
          <w:sz w:val="26"/>
        </w:rPr>
        <w:sectPr>
          <w:pgSz w:w="11910" w:h="16850"/>
          <w:pgMar w:header="0" w:footer="811" w:top="1880" w:bottom="1000" w:left="283" w:right="992"/>
        </w:sectPr>
      </w:pPr>
    </w:p>
    <w:p>
      <w:pPr>
        <w:pStyle w:val="ListParagraph"/>
        <w:numPr>
          <w:ilvl w:val="0"/>
          <w:numId w:val="1"/>
        </w:numPr>
        <w:tabs>
          <w:tab w:pos="2422" w:val="left" w:leader="none"/>
        </w:tabs>
        <w:spacing w:line="240" w:lineRule="auto" w:before="78" w:after="0"/>
        <w:ind w:left="2422" w:right="1383" w:hanging="360"/>
        <w:jc w:val="left"/>
        <w:rPr>
          <w:sz w:val="26"/>
        </w:rPr>
      </w:pPr>
      <w:r>
        <w:rPr>
          <w:sz w:val="26"/>
        </w:rPr>
        <w:t>Research</w:t>
      </w:r>
      <w:r>
        <w:rPr>
          <w:spacing w:val="-6"/>
          <w:sz w:val="26"/>
        </w:rPr>
        <w:t> </w:t>
      </w:r>
      <w:r>
        <w:rPr>
          <w:sz w:val="26"/>
        </w:rPr>
        <w:t>and</w:t>
      </w:r>
      <w:r>
        <w:rPr>
          <w:spacing w:val="-4"/>
          <w:sz w:val="26"/>
        </w:rPr>
        <w:t> </w:t>
      </w:r>
      <w:r>
        <w:rPr>
          <w:sz w:val="26"/>
        </w:rPr>
        <w:t>development</w:t>
      </w:r>
      <w:r>
        <w:rPr>
          <w:spacing w:val="-6"/>
          <w:sz w:val="26"/>
        </w:rPr>
        <w:t> </w:t>
      </w:r>
      <w:r>
        <w:rPr>
          <w:sz w:val="26"/>
        </w:rPr>
        <w:t>of</w:t>
      </w:r>
      <w:r>
        <w:rPr>
          <w:spacing w:val="-6"/>
          <w:sz w:val="26"/>
        </w:rPr>
        <w:t> </w:t>
      </w:r>
      <w:r>
        <w:rPr>
          <w:sz w:val="26"/>
        </w:rPr>
        <w:t>ways</w:t>
      </w:r>
      <w:r>
        <w:rPr>
          <w:spacing w:val="-5"/>
          <w:sz w:val="26"/>
        </w:rPr>
        <w:t> </w:t>
      </w:r>
      <w:r>
        <w:rPr>
          <w:sz w:val="26"/>
        </w:rPr>
        <w:t>of</w:t>
      </w:r>
      <w:r>
        <w:rPr>
          <w:spacing w:val="-6"/>
          <w:sz w:val="26"/>
        </w:rPr>
        <w:t> </w:t>
      </w:r>
      <w:r>
        <w:rPr>
          <w:sz w:val="26"/>
        </w:rPr>
        <w:t>including</w:t>
      </w:r>
      <w:r>
        <w:rPr>
          <w:spacing w:val="-6"/>
          <w:sz w:val="26"/>
        </w:rPr>
        <w:t> </w:t>
      </w:r>
      <w:r>
        <w:rPr>
          <w:sz w:val="26"/>
        </w:rPr>
        <w:t>Universal</w:t>
      </w:r>
      <w:r>
        <w:rPr>
          <w:spacing w:val="-6"/>
          <w:sz w:val="26"/>
        </w:rPr>
        <w:t> </w:t>
      </w:r>
      <w:r>
        <w:rPr>
          <w:sz w:val="26"/>
        </w:rPr>
        <w:t>Design within the second level curriculum</w:t>
      </w:r>
    </w:p>
    <w:p>
      <w:pPr>
        <w:pStyle w:val="ListParagraph"/>
        <w:numPr>
          <w:ilvl w:val="0"/>
          <w:numId w:val="1"/>
        </w:numPr>
        <w:tabs>
          <w:tab w:pos="2422" w:val="left" w:leader="none"/>
        </w:tabs>
        <w:spacing w:line="240" w:lineRule="auto" w:before="0" w:after="0"/>
        <w:ind w:left="2422" w:right="1495" w:hanging="360"/>
        <w:jc w:val="left"/>
        <w:rPr>
          <w:sz w:val="26"/>
        </w:rPr>
      </w:pPr>
      <w:r>
        <w:rPr>
          <w:sz w:val="26"/>
        </w:rPr>
        <w:t>Re-development of the Universal Design Toolkit for Customer Engagement</w:t>
      </w:r>
      <w:r>
        <w:rPr>
          <w:spacing w:val="-4"/>
          <w:sz w:val="26"/>
        </w:rPr>
        <w:t> </w:t>
      </w:r>
      <w:r>
        <w:rPr>
          <w:sz w:val="26"/>
        </w:rPr>
        <w:t>for</w:t>
      </w:r>
      <w:r>
        <w:rPr>
          <w:spacing w:val="-4"/>
          <w:sz w:val="26"/>
        </w:rPr>
        <w:t> </w:t>
      </w:r>
      <w:r>
        <w:rPr>
          <w:sz w:val="26"/>
        </w:rPr>
        <w:t>use</w:t>
      </w:r>
      <w:r>
        <w:rPr>
          <w:spacing w:val="-4"/>
          <w:sz w:val="26"/>
        </w:rPr>
        <w:t> </w:t>
      </w:r>
      <w:r>
        <w:rPr>
          <w:sz w:val="26"/>
        </w:rPr>
        <w:t>in</w:t>
      </w:r>
      <w:r>
        <w:rPr>
          <w:spacing w:val="-4"/>
          <w:sz w:val="26"/>
        </w:rPr>
        <w:t> </w:t>
      </w:r>
      <w:r>
        <w:rPr>
          <w:sz w:val="26"/>
        </w:rPr>
        <w:t>the</w:t>
      </w:r>
      <w:r>
        <w:rPr>
          <w:spacing w:val="-4"/>
          <w:sz w:val="26"/>
        </w:rPr>
        <w:t> </w:t>
      </w:r>
      <w:r>
        <w:rPr>
          <w:sz w:val="26"/>
        </w:rPr>
        <w:t>public</w:t>
      </w:r>
      <w:r>
        <w:rPr>
          <w:spacing w:val="-4"/>
          <w:sz w:val="26"/>
        </w:rPr>
        <w:t> </w:t>
      </w:r>
      <w:r>
        <w:rPr>
          <w:sz w:val="26"/>
        </w:rPr>
        <w:t>sector,</w:t>
      </w:r>
      <w:r>
        <w:rPr>
          <w:spacing w:val="-3"/>
          <w:sz w:val="26"/>
        </w:rPr>
        <w:t> </w:t>
      </w:r>
      <w:r>
        <w:rPr>
          <w:sz w:val="26"/>
        </w:rPr>
        <w:t>in</w:t>
      </w:r>
      <w:r>
        <w:rPr>
          <w:spacing w:val="-4"/>
          <w:sz w:val="26"/>
        </w:rPr>
        <w:t> </w:t>
      </w:r>
      <w:r>
        <w:rPr>
          <w:sz w:val="26"/>
        </w:rPr>
        <w:t>partnership</w:t>
      </w:r>
      <w:r>
        <w:rPr>
          <w:spacing w:val="-4"/>
          <w:sz w:val="26"/>
        </w:rPr>
        <w:t> </w:t>
      </w:r>
      <w:r>
        <w:rPr>
          <w:sz w:val="26"/>
        </w:rPr>
        <w:t>with</w:t>
      </w:r>
      <w:r>
        <w:rPr>
          <w:spacing w:val="-4"/>
          <w:sz w:val="26"/>
        </w:rPr>
        <w:t> </w:t>
      </w:r>
      <w:r>
        <w:rPr>
          <w:sz w:val="26"/>
        </w:rPr>
        <w:t>the Department of Public Expenditure and Reform</w:t>
      </w:r>
    </w:p>
    <w:p>
      <w:pPr>
        <w:pStyle w:val="ListParagraph"/>
        <w:numPr>
          <w:ilvl w:val="0"/>
          <w:numId w:val="1"/>
        </w:numPr>
        <w:tabs>
          <w:tab w:pos="2422" w:val="left" w:leader="none"/>
        </w:tabs>
        <w:spacing w:line="240" w:lineRule="auto" w:before="1" w:after="0"/>
        <w:ind w:left="2422" w:right="1626" w:hanging="360"/>
        <w:jc w:val="left"/>
        <w:rPr>
          <w:sz w:val="26"/>
        </w:rPr>
      </w:pPr>
      <w:r>
        <w:rPr>
          <w:sz w:val="26"/>
        </w:rPr>
        <w:t>Pilot phase of monitoring of the Transport sector and its compliance</w:t>
      </w:r>
      <w:r>
        <w:rPr>
          <w:spacing w:val="-6"/>
          <w:sz w:val="26"/>
        </w:rPr>
        <w:t> </w:t>
      </w:r>
      <w:r>
        <w:rPr>
          <w:sz w:val="26"/>
        </w:rPr>
        <w:t>with</w:t>
      </w:r>
      <w:r>
        <w:rPr>
          <w:spacing w:val="-4"/>
          <w:sz w:val="26"/>
        </w:rPr>
        <w:t> </w:t>
      </w:r>
      <w:r>
        <w:rPr>
          <w:sz w:val="26"/>
        </w:rPr>
        <w:t>accessibility</w:t>
      </w:r>
      <w:r>
        <w:rPr>
          <w:spacing w:val="-6"/>
          <w:sz w:val="26"/>
        </w:rPr>
        <w:t> </w:t>
      </w:r>
      <w:r>
        <w:rPr>
          <w:sz w:val="26"/>
        </w:rPr>
        <w:t>requirements</w:t>
      </w:r>
      <w:r>
        <w:rPr>
          <w:spacing w:val="-5"/>
          <w:sz w:val="26"/>
        </w:rPr>
        <w:t> </w:t>
      </w:r>
      <w:r>
        <w:rPr>
          <w:sz w:val="26"/>
        </w:rPr>
        <w:t>under</w:t>
      </w:r>
      <w:r>
        <w:rPr>
          <w:spacing w:val="-5"/>
          <w:sz w:val="26"/>
        </w:rPr>
        <w:t> </w:t>
      </w:r>
      <w:r>
        <w:rPr>
          <w:sz w:val="26"/>
        </w:rPr>
        <w:t>Part</w:t>
      </w:r>
      <w:r>
        <w:rPr>
          <w:spacing w:val="-6"/>
          <w:sz w:val="26"/>
        </w:rPr>
        <w:t> </w:t>
      </w:r>
      <w:r>
        <w:rPr>
          <w:sz w:val="26"/>
        </w:rPr>
        <w:t>3</w:t>
      </w:r>
      <w:r>
        <w:rPr>
          <w:spacing w:val="-6"/>
          <w:sz w:val="26"/>
        </w:rPr>
        <w:t> </w:t>
      </w:r>
      <w:r>
        <w:rPr>
          <w:sz w:val="26"/>
        </w:rPr>
        <w:t>of</w:t>
      </w:r>
      <w:r>
        <w:rPr>
          <w:spacing w:val="-6"/>
          <w:sz w:val="26"/>
        </w:rPr>
        <w:t> </w:t>
      </w:r>
      <w:r>
        <w:rPr>
          <w:sz w:val="26"/>
        </w:rPr>
        <w:t>the Disability Act 2005</w:t>
      </w:r>
    </w:p>
    <w:p>
      <w:pPr>
        <w:pStyle w:val="ListParagraph"/>
        <w:spacing w:after="0" w:line="240" w:lineRule="auto"/>
        <w:jc w:val="left"/>
        <w:rPr>
          <w:sz w:val="26"/>
        </w:rPr>
        <w:sectPr>
          <w:pgSz w:w="11910" w:h="16850"/>
          <w:pgMar w:header="0" w:footer="811" w:top="1880" w:bottom="1000" w:left="283" w:right="992"/>
        </w:sectPr>
      </w:pPr>
    </w:p>
    <w:p>
      <w:pPr>
        <w:pStyle w:val="Heading2"/>
      </w:pPr>
      <w:bookmarkStart w:name="_bookmark2" w:id="3"/>
      <w:bookmarkEnd w:id="3"/>
      <w:r>
        <w:rPr>
          <w:b w:val="0"/>
        </w:rPr>
      </w:r>
      <w:r>
        <w:rPr>
          <w:color w:val="BE2195"/>
        </w:rPr>
        <w:t>Strategic</w:t>
      </w:r>
      <w:r>
        <w:rPr>
          <w:color w:val="BE2195"/>
          <w:spacing w:val="-10"/>
        </w:rPr>
        <w:t> </w:t>
      </w:r>
      <w:r>
        <w:rPr>
          <w:color w:val="BE2195"/>
        </w:rPr>
        <w:t>Priority</w:t>
      </w:r>
      <w:r>
        <w:rPr>
          <w:color w:val="BE2195"/>
          <w:spacing w:val="-11"/>
        </w:rPr>
        <w:t> </w:t>
      </w:r>
      <w:r>
        <w:rPr>
          <w:color w:val="BE2195"/>
          <w:spacing w:val="-5"/>
        </w:rPr>
        <w:t>1:</w:t>
      </w:r>
    </w:p>
    <w:p>
      <w:pPr>
        <w:spacing w:before="0"/>
        <w:ind w:left="1702" w:right="988" w:firstLine="0"/>
        <w:jc w:val="left"/>
        <w:rPr>
          <w:rFonts w:ascii="Rockwell"/>
          <w:b/>
          <w:sz w:val="56"/>
        </w:rPr>
      </w:pPr>
      <w:r>
        <w:rPr>
          <w:rFonts w:ascii="Rockwell"/>
          <w:b/>
          <w:color w:val="BE2195"/>
          <w:sz w:val="56"/>
        </w:rPr>
        <w:t>United Nations Convention on</w:t>
      </w:r>
      <w:r>
        <w:rPr>
          <w:rFonts w:ascii="Rockwell"/>
          <w:b/>
          <w:color w:val="BE2195"/>
          <w:spacing w:val="-9"/>
          <w:sz w:val="56"/>
        </w:rPr>
        <w:t> </w:t>
      </w:r>
      <w:r>
        <w:rPr>
          <w:rFonts w:ascii="Rockwell"/>
          <w:b/>
          <w:color w:val="BE2195"/>
          <w:sz w:val="56"/>
        </w:rPr>
        <w:t>the</w:t>
      </w:r>
      <w:r>
        <w:rPr>
          <w:rFonts w:ascii="Rockwell"/>
          <w:b/>
          <w:color w:val="BE2195"/>
          <w:spacing w:val="-11"/>
          <w:sz w:val="56"/>
        </w:rPr>
        <w:t> </w:t>
      </w:r>
      <w:r>
        <w:rPr>
          <w:rFonts w:ascii="Rockwell"/>
          <w:b/>
          <w:color w:val="BE2195"/>
          <w:sz w:val="56"/>
        </w:rPr>
        <w:t>Rights</w:t>
      </w:r>
      <w:r>
        <w:rPr>
          <w:rFonts w:ascii="Rockwell"/>
          <w:b/>
          <w:color w:val="BE2195"/>
          <w:spacing w:val="-11"/>
          <w:sz w:val="56"/>
        </w:rPr>
        <w:t> </w:t>
      </w:r>
      <w:r>
        <w:rPr>
          <w:rFonts w:ascii="Rockwell"/>
          <w:b/>
          <w:color w:val="BE2195"/>
          <w:sz w:val="56"/>
        </w:rPr>
        <w:t>of</w:t>
      </w:r>
      <w:r>
        <w:rPr>
          <w:rFonts w:ascii="Rockwell"/>
          <w:b/>
          <w:color w:val="BE2195"/>
          <w:spacing w:val="-11"/>
          <w:sz w:val="56"/>
        </w:rPr>
        <w:t> </w:t>
      </w:r>
      <w:r>
        <w:rPr>
          <w:rFonts w:ascii="Rockwell"/>
          <w:b/>
          <w:color w:val="BE2195"/>
          <w:sz w:val="56"/>
        </w:rPr>
        <w:t>Persons</w:t>
      </w:r>
      <w:r>
        <w:rPr>
          <w:rFonts w:ascii="Rockwell"/>
          <w:b/>
          <w:color w:val="BE2195"/>
          <w:spacing w:val="-11"/>
          <w:sz w:val="56"/>
        </w:rPr>
        <w:t> </w:t>
      </w:r>
      <w:r>
        <w:rPr>
          <w:rFonts w:ascii="Rockwell"/>
          <w:b/>
          <w:color w:val="BE2195"/>
          <w:sz w:val="56"/>
        </w:rPr>
        <w:t>with </w:t>
      </w:r>
      <w:r>
        <w:rPr>
          <w:rFonts w:ascii="Rockwell"/>
          <w:b/>
          <w:color w:val="BE2195"/>
          <w:spacing w:val="-2"/>
          <w:sz w:val="56"/>
        </w:rPr>
        <w:t>Disabilities</w:t>
      </w:r>
    </w:p>
    <w:p>
      <w:pPr>
        <w:pStyle w:val="Heading5"/>
        <w:spacing w:before="121"/>
        <w:ind w:right="988"/>
      </w:pPr>
      <w:r>
        <w:rPr/>
        <w:t>“To</w:t>
      </w:r>
      <w:r>
        <w:rPr>
          <w:spacing w:val="-6"/>
        </w:rPr>
        <w:t> </w:t>
      </w:r>
      <w:r>
        <w:rPr/>
        <w:t>support</w:t>
      </w:r>
      <w:r>
        <w:rPr>
          <w:spacing w:val="-3"/>
        </w:rPr>
        <w:t> </w:t>
      </w:r>
      <w:r>
        <w:rPr/>
        <w:t>and</w:t>
      </w:r>
      <w:r>
        <w:rPr>
          <w:spacing w:val="-3"/>
        </w:rPr>
        <w:t> </w:t>
      </w:r>
      <w:r>
        <w:rPr/>
        <w:t>monitor</w:t>
      </w:r>
      <w:r>
        <w:rPr>
          <w:spacing w:val="-7"/>
        </w:rPr>
        <w:t> </w:t>
      </w:r>
      <w:r>
        <w:rPr/>
        <w:t>the</w:t>
      </w:r>
      <w:r>
        <w:rPr>
          <w:spacing w:val="-5"/>
        </w:rPr>
        <w:t> </w:t>
      </w:r>
      <w:r>
        <w:rPr/>
        <w:t>effective</w:t>
      </w:r>
      <w:r>
        <w:rPr>
          <w:spacing w:val="-6"/>
        </w:rPr>
        <w:t> </w:t>
      </w:r>
      <w:r>
        <w:rPr/>
        <w:t>development</w:t>
      </w:r>
      <w:r>
        <w:rPr>
          <w:spacing w:val="-6"/>
        </w:rPr>
        <w:t> </w:t>
      </w:r>
      <w:r>
        <w:rPr/>
        <w:t>and</w:t>
      </w:r>
      <w:r>
        <w:rPr>
          <w:spacing w:val="-4"/>
        </w:rPr>
        <w:t> </w:t>
      </w:r>
      <w:r>
        <w:rPr/>
        <w:t>delivery of co-ordinated cross-government action on disability and the implementation of the United Nations Convention on the Rights of Persons with Disabilities. The NDA will conduct research, advise, and assist government departments and public bodies on policy and practice that ensures people with disabilities, across the</w:t>
      </w:r>
      <w:r>
        <w:rPr>
          <w:spacing w:val="-5"/>
        </w:rPr>
        <w:t> </w:t>
      </w:r>
      <w:r>
        <w:rPr/>
        <w:t>lifecycle,</w:t>
      </w:r>
      <w:r>
        <w:rPr>
          <w:spacing w:val="-4"/>
        </w:rPr>
        <w:t> </w:t>
      </w:r>
      <w:r>
        <w:rPr/>
        <w:t>can</w:t>
      </w:r>
      <w:r>
        <w:rPr>
          <w:spacing w:val="-6"/>
        </w:rPr>
        <w:t> </w:t>
      </w:r>
      <w:r>
        <w:rPr/>
        <w:t>participate</w:t>
      </w:r>
      <w:r>
        <w:rPr>
          <w:spacing w:val="-6"/>
        </w:rPr>
        <w:t> </w:t>
      </w:r>
      <w:r>
        <w:rPr/>
        <w:t>as</w:t>
      </w:r>
      <w:r>
        <w:rPr>
          <w:spacing w:val="-6"/>
        </w:rPr>
        <w:t> </w:t>
      </w:r>
      <w:r>
        <w:rPr/>
        <w:t>valued</w:t>
      </w:r>
      <w:r>
        <w:rPr>
          <w:spacing w:val="-6"/>
        </w:rPr>
        <w:t> </w:t>
      </w:r>
      <w:r>
        <w:rPr/>
        <w:t>citizens</w:t>
      </w:r>
      <w:r>
        <w:rPr>
          <w:spacing w:val="-4"/>
        </w:rPr>
        <w:t> </w:t>
      </w:r>
      <w:r>
        <w:rPr/>
        <w:t>in</w:t>
      </w:r>
      <w:r>
        <w:rPr>
          <w:spacing w:val="-6"/>
        </w:rPr>
        <w:t> </w:t>
      </w:r>
      <w:r>
        <w:rPr/>
        <w:t>the</w:t>
      </w:r>
      <w:r>
        <w:rPr>
          <w:spacing w:val="-3"/>
        </w:rPr>
        <w:t> </w:t>
      </w:r>
      <w:r>
        <w:rPr/>
        <w:t>mainstream of Irish society and can live the lives they want to lead.”</w:t>
      </w:r>
    </w:p>
    <w:p>
      <w:pPr>
        <w:pStyle w:val="BodyText"/>
        <w:spacing w:before="240"/>
        <w:ind w:left="1702" w:right="988"/>
      </w:pPr>
      <w:r>
        <w:rPr/>
        <w:t>The</w:t>
      </w:r>
      <w:r>
        <w:rPr>
          <w:spacing w:val="-5"/>
        </w:rPr>
        <w:t> </w:t>
      </w:r>
      <w:r>
        <w:rPr/>
        <w:t>National</w:t>
      </w:r>
      <w:r>
        <w:rPr>
          <w:spacing w:val="-5"/>
        </w:rPr>
        <w:t> </w:t>
      </w:r>
      <w:r>
        <w:rPr/>
        <w:t>Disability</w:t>
      </w:r>
      <w:r>
        <w:rPr>
          <w:spacing w:val="-5"/>
        </w:rPr>
        <w:t> </w:t>
      </w:r>
      <w:r>
        <w:rPr/>
        <w:t>Inclusion</w:t>
      </w:r>
      <w:r>
        <w:rPr>
          <w:spacing w:val="-5"/>
        </w:rPr>
        <w:t> </w:t>
      </w:r>
      <w:r>
        <w:rPr/>
        <w:t>Strategy</w:t>
      </w:r>
      <w:r>
        <w:rPr>
          <w:spacing w:val="-5"/>
        </w:rPr>
        <w:t> </w:t>
      </w:r>
      <w:r>
        <w:rPr/>
        <w:t>2017</w:t>
      </w:r>
      <w:r>
        <w:rPr>
          <w:spacing w:val="-3"/>
        </w:rPr>
        <w:t> </w:t>
      </w:r>
      <w:r>
        <w:rPr/>
        <w:t>–</w:t>
      </w:r>
      <w:r>
        <w:rPr>
          <w:spacing w:val="-5"/>
        </w:rPr>
        <w:t> </w:t>
      </w:r>
      <w:r>
        <w:rPr/>
        <w:t>2021</w:t>
      </w:r>
      <w:r>
        <w:rPr>
          <w:spacing w:val="-5"/>
        </w:rPr>
        <w:t> </w:t>
      </w:r>
      <w:r>
        <w:rPr/>
        <w:t>was</w:t>
      </w:r>
      <w:r>
        <w:rPr>
          <w:spacing w:val="-5"/>
        </w:rPr>
        <w:t> </w:t>
      </w:r>
      <w:r>
        <w:rPr/>
        <w:t>launched</w:t>
      </w:r>
      <w:r>
        <w:rPr>
          <w:spacing w:val="-3"/>
        </w:rPr>
        <w:t> </w:t>
      </w:r>
      <w:r>
        <w:rPr/>
        <w:t>by</w:t>
      </w:r>
      <w:r>
        <w:rPr>
          <w:spacing w:val="-5"/>
        </w:rPr>
        <w:t> </w:t>
      </w:r>
      <w:r>
        <w:rPr/>
        <w:t>Mr Finian McGrath, TD, </w:t>
      </w:r>
      <w:r>
        <w:rPr>
          <w:sz w:val="25"/>
        </w:rPr>
        <w:t>Minister of State with special responsibility for Disabilities</w:t>
      </w:r>
      <w:r>
        <w:rPr/>
        <w:t>. While the UN Convention on the Rights of Persons with Disabilities had not yet been ratified in 2017, the Strategy provides a framework</w:t>
      </w:r>
      <w:r>
        <w:rPr>
          <w:spacing w:val="-4"/>
        </w:rPr>
        <w:t> </w:t>
      </w:r>
      <w:r>
        <w:rPr/>
        <w:t>for</w:t>
      </w:r>
      <w:r>
        <w:rPr>
          <w:spacing w:val="-5"/>
        </w:rPr>
        <w:t> </w:t>
      </w:r>
      <w:r>
        <w:rPr/>
        <w:t>government</w:t>
      </w:r>
      <w:r>
        <w:rPr>
          <w:spacing w:val="-5"/>
        </w:rPr>
        <w:t> </w:t>
      </w:r>
      <w:r>
        <w:rPr/>
        <w:t>departments</w:t>
      </w:r>
      <w:r>
        <w:rPr>
          <w:spacing w:val="-4"/>
        </w:rPr>
        <w:t> </w:t>
      </w:r>
      <w:r>
        <w:rPr/>
        <w:t>and</w:t>
      </w:r>
      <w:r>
        <w:rPr>
          <w:spacing w:val="-3"/>
        </w:rPr>
        <w:t> </w:t>
      </w:r>
      <w:r>
        <w:rPr/>
        <w:t>agencies</w:t>
      </w:r>
      <w:r>
        <w:rPr>
          <w:spacing w:val="-3"/>
        </w:rPr>
        <w:t> </w:t>
      </w:r>
      <w:r>
        <w:rPr/>
        <w:t>to</w:t>
      </w:r>
      <w:r>
        <w:rPr>
          <w:spacing w:val="-4"/>
        </w:rPr>
        <w:t> </w:t>
      </w:r>
      <w:r>
        <w:rPr/>
        <w:t>work</w:t>
      </w:r>
      <w:r>
        <w:rPr>
          <w:spacing w:val="-4"/>
        </w:rPr>
        <w:t> </w:t>
      </w:r>
      <w:r>
        <w:rPr/>
        <w:t>together</w:t>
      </w:r>
      <w:r>
        <w:rPr>
          <w:spacing w:val="-5"/>
        </w:rPr>
        <w:t> </w:t>
      </w:r>
      <w:r>
        <w:rPr/>
        <w:t>to implement actions to progress the goals of the Convention.</w:t>
      </w:r>
      <w:r>
        <w:rPr>
          <w:spacing w:val="40"/>
        </w:rPr>
        <w:t> </w:t>
      </w:r>
      <w:r>
        <w:rPr/>
        <w:t>It also brings together a range of national strategies and programmes in this regard, and the Strategy is monitored by a national steering group of stakeholders chaired by the Minister.</w:t>
      </w:r>
    </w:p>
    <w:p>
      <w:pPr>
        <w:pStyle w:val="BodyText"/>
        <w:spacing w:before="249"/>
      </w:pPr>
    </w:p>
    <w:p>
      <w:pPr>
        <w:pStyle w:val="Heading3"/>
        <w:spacing w:before="0"/>
        <w:ind w:right="1099"/>
      </w:pPr>
      <w:r>
        <w:rPr>
          <w:color w:val="BE2195"/>
        </w:rPr>
        <w:t>Provide</w:t>
      </w:r>
      <w:r>
        <w:rPr>
          <w:color w:val="BE2195"/>
          <w:spacing w:val="-8"/>
        </w:rPr>
        <w:t> </w:t>
      </w:r>
      <w:r>
        <w:rPr>
          <w:color w:val="BE2195"/>
        </w:rPr>
        <w:t>advice</w:t>
      </w:r>
      <w:r>
        <w:rPr>
          <w:color w:val="BE2195"/>
          <w:spacing w:val="-6"/>
        </w:rPr>
        <w:t> </w:t>
      </w:r>
      <w:r>
        <w:rPr>
          <w:color w:val="BE2195"/>
        </w:rPr>
        <w:t>to</w:t>
      </w:r>
      <w:r>
        <w:rPr>
          <w:color w:val="BE2195"/>
          <w:spacing w:val="-7"/>
        </w:rPr>
        <w:t> </w:t>
      </w:r>
      <w:r>
        <w:rPr>
          <w:color w:val="BE2195"/>
        </w:rPr>
        <w:t>guide</w:t>
      </w:r>
      <w:r>
        <w:rPr>
          <w:color w:val="BE2195"/>
          <w:spacing w:val="-6"/>
        </w:rPr>
        <w:t> </w:t>
      </w:r>
      <w:r>
        <w:rPr>
          <w:color w:val="BE2195"/>
        </w:rPr>
        <w:t>the</w:t>
      </w:r>
      <w:r>
        <w:rPr>
          <w:color w:val="BE2195"/>
          <w:spacing w:val="-5"/>
        </w:rPr>
        <w:t> </w:t>
      </w:r>
      <w:r>
        <w:rPr>
          <w:color w:val="BE2195"/>
        </w:rPr>
        <w:t>implementation</w:t>
      </w:r>
      <w:r>
        <w:rPr>
          <w:color w:val="BE2195"/>
          <w:spacing w:val="-5"/>
        </w:rPr>
        <w:t> </w:t>
      </w:r>
      <w:r>
        <w:rPr>
          <w:color w:val="BE2195"/>
        </w:rPr>
        <w:t>of</w:t>
      </w:r>
      <w:r>
        <w:rPr>
          <w:color w:val="BE2195"/>
          <w:spacing w:val="-7"/>
        </w:rPr>
        <w:t> </w:t>
      </w:r>
      <w:r>
        <w:rPr>
          <w:color w:val="BE2195"/>
        </w:rPr>
        <w:t>the United Nations Convention on the Rights of Persons with Disabilities</w:t>
      </w:r>
    </w:p>
    <w:p>
      <w:pPr>
        <w:pStyle w:val="BodyText"/>
        <w:spacing w:before="105"/>
        <w:ind w:left="1702" w:right="1035"/>
      </w:pPr>
      <w:r>
        <w:rPr/>
        <w:t>Building</w:t>
      </w:r>
      <w:r>
        <w:rPr>
          <w:spacing w:val="-4"/>
        </w:rPr>
        <w:t> </w:t>
      </w:r>
      <w:r>
        <w:rPr/>
        <w:t>on</w:t>
      </w:r>
      <w:r>
        <w:rPr>
          <w:spacing w:val="-4"/>
        </w:rPr>
        <w:t> </w:t>
      </w:r>
      <w:r>
        <w:rPr/>
        <w:t>its</w:t>
      </w:r>
      <w:r>
        <w:rPr>
          <w:spacing w:val="-3"/>
        </w:rPr>
        <w:t> </w:t>
      </w:r>
      <w:r>
        <w:rPr/>
        <w:t>research</w:t>
      </w:r>
      <w:r>
        <w:rPr>
          <w:spacing w:val="-4"/>
        </w:rPr>
        <w:t> </w:t>
      </w:r>
      <w:r>
        <w:rPr/>
        <w:t>and</w:t>
      </w:r>
      <w:r>
        <w:rPr>
          <w:spacing w:val="-4"/>
        </w:rPr>
        <w:t> </w:t>
      </w:r>
      <w:r>
        <w:rPr/>
        <w:t>advice</w:t>
      </w:r>
      <w:r>
        <w:rPr>
          <w:spacing w:val="-4"/>
        </w:rPr>
        <w:t> </w:t>
      </w:r>
      <w:r>
        <w:rPr/>
        <w:t>to</w:t>
      </w:r>
      <w:r>
        <w:rPr>
          <w:spacing w:val="-3"/>
        </w:rPr>
        <w:t> </w:t>
      </w:r>
      <w:r>
        <w:rPr/>
        <w:t>date</w:t>
      </w:r>
      <w:r>
        <w:rPr>
          <w:spacing w:val="-4"/>
        </w:rPr>
        <w:t> </w:t>
      </w:r>
      <w:r>
        <w:rPr/>
        <w:t>to</w:t>
      </w:r>
      <w:r>
        <w:rPr>
          <w:spacing w:val="-3"/>
        </w:rPr>
        <w:t> </w:t>
      </w:r>
      <w:r>
        <w:rPr/>
        <w:t>guide</w:t>
      </w:r>
      <w:r>
        <w:rPr>
          <w:spacing w:val="-3"/>
        </w:rPr>
        <w:t> </w:t>
      </w:r>
      <w:r>
        <w:rPr/>
        <w:t>on</w:t>
      </w:r>
      <w:r>
        <w:rPr>
          <w:spacing w:val="-4"/>
        </w:rPr>
        <w:t> </w:t>
      </w:r>
      <w:r>
        <w:rPr/>
        <w:t>the</w:t>
      </w:r>
      <w:r>
        <w:rPr>
          <w:spacing w:val="-4"/>
        </w:rPr>
        <w:t> </w:t>
      </w:r>
      <w:r>
        <w:rPr/>
        <w:t>implementation of Article 12 of the UN Convention on the Rights of Persons with Disabilities, the NDA progressed the drafting of 11 non-healthcare Codes of Practice provided for in the Assisted Decision Making (Capacity) Act 2015, in response to a request from the Department of Justice and Equality. The NDA established a Technical Experts Group to provide advice and guidance on drafting of the Codes.</w:t>
      </w:r>
    </w:p>
    <w:p>
      <w:pPr>
        <w:pStyle w:val="BodyText"/>
        <w:spacing w:before="241"/>
        <w:ind w:left="1702" w:right="1099"/>
      </w:pPr>
      <w:r>
        <w:rPr/>
        <w:t>During</w:t>
      </w:r>
      <w:r>
        <w:rPr>
          <w:spacing w:val="-4"/>
        </w:rPr>
        <w:t> </w:t>
      </w:r>
      <w:r>
        <w:rPr/>
        <w:t>the</w:t>
      </w:r>
      <w:r>
        <w:rPr>
          <w:spacing w:val="-4"/>
        </w:rPr>
        <w:t> </w:t>
      </w:r>
      <w:r>
        <w:rPr/>
        <w:t>drafting</w:t>
      </w:r>
      <w:r>
        <w:rPr>
          <w:spacing w:val="-4"/>
        </w:rPr>
        <w:t> </w:t>
      </w:r>
      <w:r>
        <w:rPr/>
        <w:t>work</w:t>
      </w:r>
      <w:r>
        <w:rPr>
          <w:spacing w:val="-3"/>
        </w:rPr>
        <w:t> </w:t>
      </w:r>
      <w:r>
        <w:rPr/>
        <w:t>throughout</w:t>
      </w:r>
      <w:r>
        <w:rPr>
          <w:spacing w:val="-4"/>
        </w:rPr>
        <w:t> </w:t>
      </w:r>
      <w:r>
        <w:rPr/>
        <w:t>the year,</w:t>
      </w:r>
      <w:r>
        <w:rPr>
          <w:spacing w:val="-3"/>
        </w:rPr>
        <w:t> </w:t>
      </w:r>
      <w:r>
        <w:rPr/>
        <w:t>the</w:t>
      </w:r>
      <w:r>
        <w:rPr>
          <w:spacing w:val="-4"/>
        </w:rPr>
        <w:t> </w:t>
      </w:r>
      <w:r>
        <w:rPr/>
        <w:t>NDA</w:t>
      </w:r>
      <w:r>
        <w:rPr>
          <w:spacing w:val="-1"/>
        </w:rPr>
        <w:t> </w:t>
      </w:r>
      <w:r>
        <w:rPr/>
        <w:t>met</w:t>
      </w:r>
      <w:r>
        <w:rPr>
          <w:spacing w:val="-4"/>
        </w:rPr>
        <w:t> </w:t>
      </w:r>
      <w:r>
        <w:rPr/>
        <w:t>bilaterally with</w:t>
      </w:r>
      <w:r>
        <w:rPr>
          <w:spacing w:val="-8"/>
        </w:rPr>
        <w:t> </w:t>
      </w:r>
      <w:r>
        <w:rPr/>
        <w:t>relevant</w:t>
      </w:r>
      <w:r>
        <w:rPr>
          <w:spacing w:val="-7"/>
        </w:rPr>
        <w:t> </w:t>
      </w:r>
      <w:r>
        <w:rPr/>
        <w:t>bodies</w:t>
      </w:r>
      <w:r>
        <w:rPr>
          <w:spacing w:val="-5"/>
        </w:rPr>
        <w:t> </w:t>
      </w:r>
      <w:r>
        <w:rPr/>
        <w:t>and</w:t>
      </w:r>
      <w:r>
        <w:rPr>
          <w:spacing w:val="-8"/>
        </w:rPr>
        <w:t> </w:t>
      </w:r>
      <w:r>
        <w:rPr/>
        <w:t>organisations</w:t>
      </w:r>
      <w:r>
        <w:rPr>
          <w:spacing w:val="-6"/>
        </w:rPr>
        <w:t> </w:t>
      </w:r>
      <w:r>
        <w:rPr/>
        <w:t>to</w:t>
      </w:r>
      <w:r>
        <w:rPr>
          <w:spacing w:val="-6"/>
        </w:rPr>
        <w:t> </w:t>
      </w:r>
      <w:r>
        <w:rPr/>
        <w:t>raise</w:t>
      </w:r>
      <w:r>
        <w:rPr>
          <w:spacing w:val="-7"/>
        </w:rPr>
        <w:t> </w:t>
      </w:r>
      <w:r>
        <w:rPr/>
        <w:t>awareness</w:t>
      </w:r>
      <w:r>
        <w:rPr>
          <w:spacing w:val="-1"/>
        </w:rPr>
        <w:t> </w:t>
      </w:r>
      <w:r>
        <w:rPr/>
        <w:t>of</w:t>
      </w:r>
      <w:r>
        <w:rPr>
          <w:spacing w:val="-7"/>
        </w:rPr>
        <w:t> </w:t>
      </w:r>
      <w:r>
        <w:rPr/>
        <w:t>the</w:t>
      </w:r>
      <w:r>
        <w:rPr>
          <w:spacing w:val="-8"/>
        </w:rPr>
        <w:t> </w:t>
      </w:r>
      <w:r>
        <w:rPr>
          <w:spacing w:val="-2"/>
        </w:rPr>
        <w:t>Codes</w:t>
      </w:r>
    </w:p>
    <w:p>
      <w:pPr>
        <w:pStyle w:val="BodyText"/>
        <w:spacing w:after="0"/>
        <w:sectPr>
          <w:pgSz w:w="11910" w:h="16850"/>
          <w:pgMar w:header="0" w:footer="811" w:top="1880" w:bottom="1000" w:left="283" w:right="992"/>
        </w:sectPr>
      </w:pPr>
    </w:p>
    <w:p>
      <w:pPr>
        <w:pStyle w:val="BodyText"/>
        <w:spacing w:before="79"/>
        <w:ind w:left="1702" w:right="988"/>
      </w:pPr>
      <w:r>
        <w:rPr/>
        <w:t>and their implications for certain professions, or those who may be supporting</w:t>
      </w:r>
      <w:r>
        <w:rPr>
          <w:spacing w:val="-5"/>
        </w:rPr>
        <w:t> </w:t>
      </w:r>
      <w:r>
        <w:rPr/>
        <w:t>persons</w:t>
      </w:r>
      <w:r>
        <w:rPr>
          <w:spacing w:val="-4"/>
        </w:rPr>
        <w:t> </w:t>
      </w:r>
      <w:r>
        <w:rPr/>
        <w:t>with</w:t>
      </w:r>
      <w:r>
        <w:rPr>
          <w:spacing w:val="-5"/>
        </w:rPr>
        <w:t> </w:t>
      </w:r>
      <w:r>
        <w:rPr/>
        <w:t>disabilities</w:t>
      </w:r>
      <w:r>
        <w:rPr>
          <w:spacing w:val="-3"/>
        </w:rPr>
        <w:t> </w:t>
      </w:r>
      <w:r>
        <w:rPr/>
        <w:t>to</w:t>
      </w:r>
      <w:r>
        <w:rPr>
          <w:spacing w:val="-4"/>
        </w:rPr>
        <w:t> </w:t>
      </w:r>
      <w:r>
        <w:rPr/>
        <w:t>make</w:t>
      </w:r>
      <w:r>
        <w:rPr>
          <w:spacing w:val="-4"/>
        </w:rPr>
        <w:t> </w:t>
      </w:r>
      <w:r>
        <w:rPr/>
        <w:t>decisions. By</w:t>
      </w:r>
      <w:r>
        <w:rPr>
          <w:spacing w:val="-5"/>
        </w:rPr>
        <w:t> </w:t>
      </w:r>
      <w:r>
        <w:rPr/>
        <w:t>the</w:t>
      </w:r>
      <w:r>
        <w:rPr>
          <w:spacing w:val="-5"/>
        </w:rPr>
        <w:t> </w:t>
      </w:r>
      <w:r>
        <w:rPr/>
        <w:t>end</w:t>
      </w:r>
      <w:r>
        <w:rPr>
          <w:spacing w:val="-5"/>
        </w:rPr>
        <w:t> </w:t>
      </w:r>
      <w:r>
        <w:rPr/>
        <w:t>of</w:t>
      </w:r>
      <w:r>
        <w:rPr>
          <w:spacing w:val="-5"/>
        </w:rPr>
        <w:t> </w:t>
      </w:r>
      <w:r>
        <w:rPr/>
        <w:t>2017, seven draft Codes were produced.</w:t>
      </w:r>
      <w:r>
        <w:rPr>
          <w:spacing w:val="40"/>
        </w:rPr>
        <w:t> </w:t>
      </w:r>
      <w:r>
        <w:rPr/>
        <w:t>Work will continue in 2018, including focused consultation with relevant stakeholders in disability and older persons sectors, and those with caring responsibilities.</w:t>
      </w:r>
    </w:p>
    <w:p>
      <w:pPr>
        <w:pStyle w:val="BodyText"/>
        <w:spacing w:before="239"/>
        <w:ind w:left="1702" w:right="995"/>
      </w:pPr>
      <w:r>
        <w:rPr/>
        <w:t>Representatives from the NDA met with the new Director of the</w:t>
      </w:r>
      <w:r>
        <w:rPr>
          <w:spacing w:val="40"/>
        </w:rPr>
        <w:t> </w:t>
      </w:r>
      <w:r>
        <w:rPr/>
        <w:t>Decision Support Service following her appointment, to provide updates on</w:t>
      </w:r>
      <w:r>
        <w:rPr>
          <w:spacing w:val="-4"/>
        </w:rPr>
        <w:t> </w:t>
      </w:r>
      <w:r>
        <w:rPr/>
        <w:t>the</w:t>
      </w:r>
      <w:r>
        <w:rPr>
          <w:spacing w:val="-4"/>
        </w:rPr>
        <w:t> </w:t>
      </w:r>
      <w:r>
        <w:rPr/>
        <w:t>work</w:t>
      </w:r>
      <w:r>
        <w:rPr>
          <w:spacing w:val="-2"/>
        </w:rPr>
        <w:t> </w:t>
      </w:r>
      <w:r>
        <w:rPr/>
        <w:t>to</w:t>
      </w:r>
      <w:r>
        <w:rPr>
          <w:spacing w:val="-3"/>
        </w:rPr>
        <w:t> </w:t>
      </w:r>
      <w:r>
        <w:rPr/>
        <w:t>date.</w:t>
      </w:r>
      <w:r>
        <w:rPr>
          <w:spacing w:val="-2"/>
        </w:rPr>
        <w:t> </w:t>
      </w:r>
      <w:r>
        <w:rPr/>
        <w:t>It</w:t>
      </w:r>
      <w:r>
        <w:rPr>
          <w:spacing w:val="-4"/>
        </w:rPr>
        <w:t> </w:t>
      </w:r>
      <w:r>
        <w:rPr/>
        <w:t>is</w:t>
      </w:r>
      <w:r>
        <w:rPr>
          <w:spacing w:val="-3"/>
        </w:rPr>
        <w:t> </w:t>
      </w:r>
      <w:r>
        <w:rPr/>
        <w:t>intended</w:t>
      </w:r>
      <w:r>
        <w:rPr>
          <w:spacing w:val="-4"/>
        </w:rPr>
        <w:t> </w:t>
      </w:r>
      <w:r>
        <w:rPr/>
        <w:t>that</w:t>
      </w:r>
      <w:r>
        <w:rPr>
          <w:spacing w:val="-4"/>
        </w:rPr>
        <w:t> </w:t>
      </w:r>
      <w:r>
        <w:rPr/>
        <w:t>the</w:t>
      </w:r>
      <w:r>
        <w:rPr>
          <w:spacing w:val="-1"/>
        </w:rPr>
        <w:t> </w:t>
      </w:r>
      <w:r>
        <w:rPr/>
        <w:t>Codes</w:t>
      </w:r>
      <w:r>
        <w:rPr>
          <w:spacing w:val="-2"/>
        </w:rPr>
        <w:t> </w:t>
      </w:r>
      <w:r>
        <w:rPr/>
        <w:t>drafted</w:t>
      </w:r>
      <w:r>
        <w:rPr>
          <w:spacing w:val="-4"/>
        </w:rPr>
        <w:t> </w:t>
      </w:r>
      <w:r>
        <w:rPr/>
        <w:t>by</w:t>
      </w:r>
      <w:r>
        <w:rPr>
          <w:spacing w:val="-4"/>
        </w:rPr>
        <w:t> </w:t>
      </w:r>
      <w:r>
        <w:rPr/>
        <w:t>the</w:t>
      </w:r>
      <w:r>
        <w:rPr>
          <w:spacing w:val="-1"/>
        </w:rPr>
        <w:t> </w:t>
      </w:r>
      <w:r>
        <w:rPr/>
        <w:t>NDA</w:t>
      </w:r>
      <w:r>
        <w:rPr>
          <w:spacing w:val="-4"/>
        </w:rPr>
        <w:t> </w:t>
      </w:r>
      <w:r>
        <w:rPr/>
        <w:t>will be handed over to the Director, who will review them in preparation for publication and implementation as statutory Codes of Practice.</w:t>
      </w:r>
    </w:p>
    <w:p>
      <w:pPr>
        <w:pStyle w:val="BodyText"/>
        <w:spacing w:before="240"/>
        <w:ind w:left="1702" w:right="988"/>
      </w:pPr>
      <w:r>
        <w:rPr/>
        <w:t>The</w:t>
      </w:r>
      <w:r>
        <w:rPr>
          <w:spacing w:val="-2"/>
        </w:rPr>
        <w:t> </w:t>
      </w:r>
      <w:r>
        <w:rPr/>
        <w:t>NDA</w:t>
      </w:r>
      <w:r>
        <w:rPr>
          <w:spacing w:val="-2"/>
        </w:rPr>
        <w:t> </w:t>
      </w:r>
      <w:r>
        <w:rPr/>
        <w:t>also</w:t>
      </w:r>
      <w:r>
        <w:rPr>
          <w:spacing w:val="-1"/>
        </w:rPr>
        <w:t> </w:t>
      </w:r>
      <w:r>
        <w:rPr/>
        <w:t>continued</w:t>
      </w:r>
      <w:r>
        <w:rPr>
          <w:spacing w:val="-2"/>
        </w:rPr>
        <w:t> </w:t>
      </w:r>
      <w:r>
        <w:rPr/>
        <w:t>to</w:t>
      </w:r>
      <w:r>
        <w:rPr>
          <w:spacing w:val="-1"/>
        </w:rPr>
        <w:t> </w:t>
      </w:r>
      <w:r>
        <w:rPr/>
        <w:t>participate</w:t>
      </w:r>
      <w:r>
        <w:rPr>
          <w:spacing w:val="-2"/>
        </w:rPr>
        <w:t> </w:t>
      </w:r>
      <w:r>
        <w:rPr/>
        <w:t>actively</w:t>
      </w:r>
      <w:r>
        <w:rPr>
          <w:spacing w:val="-2"/>
        </w:rPr>
        <w:t> </w:t>
      </w:r>
      <w:r>
        <w:rPr/>
        <w:t>as</w:t>
      </w:r>
      <w:r>
        <w:rPr>
          <w:spacing w:val="-2"/>
        </w:rPr>
        <w:t> </w:t>
      </w:r>
      <w:r>
        <w:rPr/>
        <w:t>a</w:t>
      </w:r>
      <w:r>
        <w:rPr>
          <w:spacing w:val="-2"/>
        </w:rPr>
        <w:t> </w:t>
      </w:r>
      <w:r>
        <w:rPr/>
        <w:t>member</w:t>
      </w:r>
      <w:r>
        <w:rPr>
          <w:spacing w:val="-2"/>
        </w:rPr>
        <w:t> </w:t>
      </w:r>
      <w:r>
        <w:rPr/>
        <w:t>of</w:t>
      </w:r>
      <w:r>
        <w:rPr>
          <w:spacing w:val="-2"/>
        </w:rPr>
        <w:t> </w:t>
      </w:r>
      <w:r>
        <w:rPr/>
        <w:t>the HSE’s Assisted Decision-Making (Capacity) Act 2015 Steering Group, which is developing</w:t>
      </w:r>
      <w:r>
        <w:rPr>
          <w:spacing w:val="-5"/>
        </w:rPr>
        <w:t> </w:t>
      </w:r>
      <w:r>
        <w:rPr/>
        <w:t>guidance</w:t>
      </w:r>
      <w:r>
        <w:rPr>
          <w:spacing w:val="-5"/>
        </w:rPr>
        <w:t> </w:t>
      </w:r>
      <w:r>
        <w:rPr/>
        <w:t>on</w:t>
      </w:r>
      <w:r>
        <w:rPr>
          <w:spacing w:val="-2"/>
        </w:rPr>
        <w:t> </w:t>
      </w:r>
      <w:r>
        <w:rPr/>
        <w:t>the</w:t>
      </w:r>
      <w:r>
        <w:rPr>
          <w:spacing w:val="-5"/>
        </w:rPr>
        <w:t> </w:t>
      </w:r>
      <w:r>
        <w:rPr/>
        <w:t>Act</w:t>
      </w:r>
      <w:r>
        <w:rPr>
          <w:spacing w:val="-5"/>
        </w:rPr>
        <w:t> </w:t>
      </w:r>
      <w:r>
        <w:rPr/>
        <w:t>for</w:t>
      </w:r>
      <w:r>
        <w:rPr>
          <w:spacing w:val="-4"/>
        </w:rPr>
        <w:t> </w:t>
      </w:r>
      <w:r>
        <w:rPr/>
        <w:t>health</w:t>
      </w:r>
      <w:r>
        <w:rPr>
          <w:spacing w:val="-2"/>
        </w:rPr>
        <w:t> </w:t>
      </w:r>
      <w:r>
        <w:rPr/>
        <w:t>and</w:t>
      </w:r>
      <w:r>
        <w:rPr>
          <w:spacing w:val="-3"/>
        </w:rPr>
        <w:t> </w:t>
      </w:r>
      <w:r>
        <w:rPr/>
        <w:t>social</w:t>
      </w:r>
      <w:r>
        <w:rPr>
          <w:spacing w:val="-5"/>
        </w:rPr>
        <w:t> </w:t>
      </w:r>
      <w:r>
        <w:rPr/>
        <w:t>care</w:t>
      </w:r>
      <w:r>
        <w:rPr>
          <w:spacing w:val="-4"/>
        </w:rPr>
        <w:t> </w:t>
      </w:r>
      <w:r>
        <w:rPr/>
        <w:t>professionals,</w:t>
      </w:r>
      <w:r>
        <w:rPr>
          <w:spacing w:val="-4"/>
        </w:rPr>
        <w:t> </w:t>
      </w:r>
      <w:r>
        <w:rPr/>
        <w:t>as well as providing input to the Guidance and Documentation Sub-Group.</w:t>
      </w:r>
    </w:p>
    <w:p>
      <w:pPr>
        <w:pStyle w:val="BodyText"/>
        <w:spacing w:before="242"/>
        <w:ind w:left="1702" w:right="986"/>
      </w:pPr>
      <w:r>
        <w:rPr/>
        <w:t>At</w:t>
      </w:r>
      <w:r>
        <w:rPr>
          <w:spacing w:val="-4"/>
        </w:rPr>
        <w:t> </w:t>
      </w:r>
      <w:r>
        <w:rPr/>
        <w:t>the</w:t>
      </w:r>
      <w:r>
        <w:rPr>
          <w:spacing w:val="-4"/>
        </w:rPr>
        <w:t> </w:t>
      </w:r>
      <w:r>
        <w:rPr/>
        <w:t>request</w:t>
      </w:r>
      <w:r>
        <w:rPr>
          <w:spacing w:val="-4"/>
        </w:rPr>
        <w:t> </w:t>
      </w:r>
      <w:r>
        <w:rPr/>
        <w:t>of</w:t>
      </w:r>
      <w:r>
        <w:rPr>
          <w:spacing w:val="-4"/>
        </w:rPr>
        <w:t> </w:t>
      </w:r>
      <w:r>
        <w:rPr/>
        <w:t>the</w:t>
      </w:r>
      <w:r>
        <w:rPr>
          <w:spacing w:val="-1"/>
        </w:rPr>
        <w:t> </w:t>
      </w:r>
      <w:r>
        <w:rPr/>
        <w:t>Minister</w:t>
      </w:r>
      <w:r>
        <w:rPr>
          <w:spacing w:val="-3"/>
        </w:rPr>
        <w:t> </w:t>
      </w:r>
      <w:r>
        <w:rPr/>
        <w:t>for</w:t>
      </w:r>
      <w:r>
        <w:rPr>
          <w:spacing w:val="-4"/>
        </w:rPr>
        <w:t> </w:t>
      </w:r>
      <w:r>
        <w:rPr/>
        <w:t>Health,</w:t>
      </w:r>
      <w:r>
        <w:rPr>
          <w:spacing w:val="-3"/>
        </w:rPr>
        <w:t> </w:t>
      </w:r>
      <w:r>
        <w:rPr/>
        <w:t>the</w:t>
      </w:r>
      <w:r>
        <w:rPr>
          <w:spacing w:val="-4"/>
        </w:rPr>
        <w:t> </w:t>
      </w:r>
      <w:r>
        <w:rPr/>
        <w:t>NDA</w:t>
      </w:r>
      <w:r>
        <w:rPr>
          <w:spacing w:val="-4"/>
        </w:rPr>
        <w:t> </w:t>
      </w:r>
      <w:r>
        <w:rPr/>
        <w:t>became</w:t>
      </w:r>
      <w:r>
        <w:rPr>
          <w:spacing w:val="-2"/>
        </w:rPr>
        <w:t> </w:t>
      </w:r>
      <w:r>
        <w:rPr/>
        <w:t>a</w:t>
      </w:r>
      <w:r>
        <w:rPr>
          <w:spacing w:val="-4"/>
        </w:rPr>
        <w:t> </w:t>
      </w:r>
      <w:r>
        <w:rPr/>
        <w:t>member</w:t>
      </w:r>
      <w:r>
        <w:rPr>
          <w:spacing w:val="-3"/>
        </w:rPr>
        <w:t> </w:t>
      </w:r>
      <w:r>
        <w:rPr/>
        <w:t>of</w:t>
      </w:r>
      <w:r>
        <w:rPr>
          <w:spacing w:val="-4"/>
        </w:rPr>
        <w:t> </w:t>
      </w:r>
      <w:r>
        <w:rPr/>
        <w:t>a Working Group convened in 2017 to prepare a Code of Practice for the legislative provisions on Advance Healthcare Directives under the 2015 Act, and this work is on-going.</w:t>
      </w:r>
    </w:p>
    <w:p>
      <w:pPr>
        <w:pStyle w:val="BodyText"/>
        <w:spacing w:before="239"/>
        <w:ind w:left="1702" w:right="986"/>
      </w:pPr>
      <w:r>
        <w:rPr/>
        <w:t>The NDA also provided advice to the Department of Health on making legal</w:t>
      </w:r>
      <w:r>
        <w:rPr>
          <w:spacing w:val="-3"/>
        </w:rPr>
        <w:t> </w:t>
      </w:r>
      <w:r>
        <w:rPr/>
        <w:t>provision</w:t>
      </w:r>
      <w:r>
        <w:rPr>
          <w:spacing w:val="-4"/>
        </w:rPr>
        <w:t> </w:t>
      </w:r>
      <w:r>
        <w:rPr/>
        <w:t>for</w:t>
      </w:r>
      <w:r>
        <w:rPr>
          <w:spacing w:val="-4"/>
        </w:rPr>
        <w:t> </w:t>
      </w:r>
      <w:r>
        <w:rPr/>
        <w:t>the</w:t>
      </w:r>
      <w:r>
        <w:rPr>
          <w:spacing w:val="-3"/>
        </w:rPr>
        <w:t> </w:t>
      </w:r>
      <w:r>
        <w:rPr/>
        <w:t>deprivation</w:t>
      </w:r>
      <w:r>
        <w:rPr>
          <w:spacing w:val="-4"/>
        </w:rPr>
        <w:t> </w:t>
      </w:r>
      <w:r>
        <w:rPr/>
        <w:t>of</w:t>
      </w:r>
      <w:r>
        <w:rPr>
          <w:spacing w:val="-4"/>
        </w:rPr>
        <w:t> </w:t>
      </w:r>
      <w:r>
        <w:rPr/>
        <w:t>liberty</w:t>
      </w:r>
      <w:r>
        <w:rPr>
          <w:spacing w:val="-4"/>
        </w:rPr>
        <w:t> </w:t>
      </w:r>
      <w:r>
        <w:rPr/>
        <w:t>of</w:t>
      </w:r>
      <w:r>
        <w:rPr>
          <w:spacing w:val="-4"/>
        </w:rPr>
        <w:t> </w:t>
      </w:r>
      <w:r>
        <w:rPr/>
        <w:t>persons</w:t>
      </w:r>
      <w:r>
        <w:rPr>
          <w:spacing w:val="-3"/>
        </w:rPr>
        <w:t> </w:t>
      </w:r>
      <w:r>
        <w:rPr/>
        <w:t>with</w:t>
      </w:r>
      <w:r>
        <w:rPr>
          <w:spacing w:val="-4"/>
        </w:rPr>
        <w:t> </w:t>
      </w:r>
      <w:r>
        <w:rPr/>
        <w:t>capacity</w:t>
      </w:r>
      <w:r>
        <w:rPr>
          <w:spacing w:val="-2"/>
        </w:rPr>
        <w:t> </w:t>
      </w:r>
      <w:r>
        <w:rPr/>
        <w:t>issues in relevant facilities and looks forward to a public consultation on this matter in 2018.</w:t>
      </w:r>
    </w:p>
    <w:p>
      <w:pPr>
        <w:pStyle w:val="Heading3"/>
        <w:ind w:right="1080"/>
      </w:pPr>
      <w:r>
        <w:rPr>
          <w:color w:val="BE2195"/>
        </w:rPr>
        <w:t>Advise Ministers, Government Departments and public bodies</w:t>
      </w:r>
      <w:r>
        <w:rPr>
          <w:color w:val="BE2195"/>
          <w:spacing w:val="-2"/>
        </w:rPr>
        <w:t> </w:t>
      </w:r>
      <w:r>
        <w:rPr>
          <w:color w:val="BE2195"/>
        </w:rPr>
        <w:t>on</w:t>
      </w:r>
      <w:r>
        <w:rPr>
          <w:color w:val="BE2195"/>
          <w:spacing w:val="-2"/>
        </w:rPr>
        <w:t> </w:t>
      </w:r>
      <w:r>
        <w:rPr>
          <w:color w:val="BE2195"/>
        </w:rPr>
        <w:t>disability policy</w:t>
      </w:r>
      <w:r>
        <w:rPr>
          <w:color w:val="BE2195"/>
          <w:spacing w:val="-2"/>
        </w:rPr>
        <w:t> </w:t>
      </w:r>
      <w:r>
        <w:rPr>
          <w:color w:val="BE2195"/>
        </w:rPr>
        <w:t>and practice</w:t>
      </w:r>
      <w:r>
        <w:rPr>
          <w:color w:val="BE2195"/>
          <w:spacing w:val="-3"/>
        </w:rPr>
        <w:t> </w:t>
      </w:r>
      <w:r>
        <w:rPr>
          <w:color w:val="BE2195"/>
        </w:rPr>
        <w:t>to support inclusion of people with disabilities in mainstream</w:t>
      </w:r>
      <w:r>
        <w:rPr>
          <w:color w:val="BE2195"/>
          <w:spacing w:val="-8"/>
        </w:rPr>
        <w:t> </w:t>
      </w:r>
      <w:r>
        <w:rPr>
          <w:color w:val="BE2195"/>
        </w:rPr>
        <w:t>society,</w:t>
      </w:r>
      <w:r>
        <w:rPr>
          <w:color w:val="BE2195"/>
          <w:spacing w:val="-7"/>
        </w:rPr>
        <w:t> </w:t>
      </w:r>
      <w:r>
        <w:rPr>
          <w:color w:val="BE2195"/>
        </w:rPr>
        <w:t>in</w:t>
      </w:r>
      <w:r>
        <w:rPr>
          <w:color w:val="BE2195"/>
          <w:spacing w:val="-10"/>
        </w:rPr>
        <w:t> </w:t>
      </w:r>
      <w:r>
        <w:rPr>
          <w:color w:val="BE2195"/>
        </w:rPr>
        <w:t>mainstream</w:t>
      </w:r>
      <w:r>
        <w:rPr>
          <w:color w:val="BE2195"/>
          <w:spacing w:val="-8"/>
        </w:rPr>
        <w:t> </w:t>
      </w:r>
      <w:r>
        <w:rPr>
          <w:color w:val="BE2195"/>
        </w:rPr>
        <w:t>services</w:t>
      </w:r>
      <w:r>
        <w:rPr>
          <w:color w:val="BE2195"/>
          <w:spacing w:val="-7"/>
        </w:rPr>
        <w:t> </w:t>
      </w:r>
      <w:r>
        <w:rPr>
          <w:color w:val="BE2195"/>
        </w:rPr>
        <w:t>and to have a valued role in the community</w:t>
      </w:r>
    </w:p>
    <w:p>
      <w:pPr>
        <w:pStyle w:val="BodyText"/>
        <w:spacing w:before="90"/>
        <w:rPr>
          <w:rFonts w:ascii="Rockwell"/>
          <w:b/>
          <w:sz w:val="32"/>
        </w:rPr>
      </w:pPr>
    </w:p>
    <w:p>
      <w:pPr>
        <w:pStyle w:val="Heading5"/>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7"/>
        </w:rPr>
        <w:t> </w:t>
      </w:r>
      <w:r>
        <w:rPr>
          <w:rFonts w:ascii="Rockwell"/>
          <w:color w:val="BE2195"/>
        </w:rPr>
        <w:t>Justice</w:t>
      </w:r>
      <w:r>
        <w:rPr>
          <w:rFonts w:ascii="Rockwell"/>
          <w:color w:val="BE2195"/>
          <w:spacing w:val="-8"/>
        </w:rPr>
        <w:t> </w:t>
      </w:r>
      <w:r>
        <w:rPr>
          <w:rFonts w:ascii="Rockwell"/>
          <w:color w:val="BE2195"/>
        </w:rPr>
        <w:t>and</w:t>
      </w:r>
      <w:r>
        <w:rPr>
          <w:rFonts w:ascii="Rockwell"/>
          <w:color w:val="BE2195"/>
          <w:spacing w:val="-8"/>
        </w:rPr>
        <w:t> </w:t>
      </w:r>
      <w:r>
        <w:rPr>
          <w:rFonts w:ascii="Rockwell"/>
          <w:color w:val="BE2195"/>
          <w:spacing w:val="-2"/>
        </w:rPr>
        <w:t>Equality</w:t>
      </w:r>
    </w:p>
    <w:p>
      <w:pPr>
        <w:pStyle w:val="BodyText"/>
        <w:spacing w:before="25"/>
        <w:ind w:left="1702" w:right="988"/>
      </w:pPr>
      <w:r>
        <w:rPr/>
        <w:t>The National Disability Authority continued to promote access to the justice system for persons with disabilities through its advice to the Department of Justice and Equality. The NDA is a member of the Monitoring</w:t>
      </w:r>
      <w:r>
        <w:rPr>
          <w:spacing w:val="-1"/>
        </w:rPr>
        <w:t> </w:t>
      </w:r>
      <w:r>
        <w:rPr/>
        <w:t>Committee of</w:t>
      </w:r>
      <w:r>
        <w:rPr>
          <w:spacing w:val="-1"/>
        </w:rPr>
        <w:t> </w:t>
      </w:r>
      <w:r>
        <w:rPr/>
        <w:t>the </w:t>
      </w:r>
      <w:r>
        <w:rPr>
          <w:b/>
        </w:rPr>
        <w:t>Second Strategy</w:t>
      </w:r>
      <w:r>
        <w:rPr>
          <w:b/>
          <w:spacing w:val="-1"/>
        </w:rPr>
        <w:t> </w:t>
      </w:r>
      <w:r>
        <w:rPr>
          <w:b/>
        </w:rPr>
        <w:t>on</w:t>
      </w:r>
      <w:r>
        <w:rPr>
          <w:b/>
          <w:spacing w:val="-1"/>
        </w:rPr>
        <w:t> </w:t>
      </w:r>
      <w:r>
        <w:rPr>
          <w:b/>
        </w:rPr>
        <w:t>Domestic, Sexual and Gender based Violence </w:t>
      </w:r>
      <w:r>
        <w:rPr/>
        <w:t>and provides input and advice in this regard.</w:t>
      </w:r>
      <w:r>
        <w:rPr>
          <w:spacing w:val="-4"/>
        </w:rPr>
        <w:t> </w:t>
      </w:r>
      <w:r>
        <w:rPr/>
        <w:t>The</w:t>
      </w:r>
      <w:r>
        <w:rPr>
          <w:spacing w:val="-4"/>
        </w:rPr>
        <w:t> </w:t>
      </w:r>
      <w:r>
        <w:rPr/>
        <w:t>NDA</w:t>
      </w:r>
      <w:r>
        <w:rPr>
          <w:spacing w:val="-4"/>
        </w:rPr>
        <w:t> </w:t>
      </w:r>
      <w:r>
        <w:rPr/>
        <w:t>welcomed</w:t>
      </w:r>
      <w:r>
        <w:rPr>
          <w:spacing w:val="-4"/>
        </w:rPr>
        <w:t> </w:t>
      </w:r>
      <w:r>
        <w:rPr/>
        <w:t>the</w:t>
      </w:r>
      <w:r>
        <w:rPr>
          <w:spacing w:val="-4"/>
        </w:rPr>
        <w:t> </w:t>
      </w:r>
      <w:r>
        <w:rPr/>
        <w:t>enactment</w:t>
      </w:r>
      <w:r>
        <w:rPr>
          <w:spacing w:val="-4"/>
        </w:rPr>
        <w:t> </w:t>
      </w:r>
      <w:r>
        <w:rPr/>
        <w:t>of</w:t>
      </w:r>
      <w:r>
        <w:rPr>
          <w:spacing w:val="-4"/>
        </w:rPr>
        <w:t> </w:t>
      </w:r>
      <w:r>
        <w:rPr/>
        <w:t>the</w:t>
      </w:r>
      <w:r>
        <w:rPr>
          <w:spacing w:val="-4"/>
        </w:rPr>
        <w:t> </w:t>
      </w:r>
      <w:r>
        <w:rPr/>
        <w:t>Victims</w:t>
      </w:r>
      <w:r>
        <w:rPr>
          <w:spacing w:val="-4"/>
        </w:rPr>
        <w:t> </w:t>
      </w:r>
      <w:r>
        <w:rPr/>
        <w:t>of</w:t>
      </w:r>
      <w:r>
        <w:rPr>
          <w:spacing w:val="-2"/>
        </w:rPr>
        <w:t> </w:t>
      </w:r>
      <w:r>
        <w:rPr/>
        <w:t>Crime</w:t>
      </w:r>
      <w:r>
        <w:rPr>
          <w:spacing w:val="-2"/>
        </w:rPr>
        <w:t> </w:t>
      </w:r>
      <w:r>
        <w:rPr/>
        <w:t>Bill</w:t>
      </w:r>
      <w:r>
        <w:rPr>
          <w:spacing w:val="-3"/>
        </w:rPr>
        <w:t> </w:t>
      </w:r>
      <w:r>
        <w:rPr/>
        <w:t>in</w:t>
      </w:r>
    </w:p>
    <w:p>
      <w:pPr>
        <w:pStyle w:val="BodyText"/>
        <w:spacing w:after="0"/>
        <w:sectPr>
          <w:pgSz w:w="11910" w:h="16850"/>
          <w:pgMar w:header="0" w:footer="811" w:top="1880" w:bottom="1000" w:left="283" w:right="992"/>
        </w:sectPr>
      </w:pPr>
    </w:p>
    <w:p>
      <w:pPr>
        <w:pStyle w:val="BodyText"/>
        <w:spacing w:before="79"/>
        <w:ind w:left="1702" w:right="988"/>
      </w:pPr>
      <w:r>
        <w:rPr/>
        <w:t>2017,</w:t>
      </w:r>
      <w:r>
        <w:rPr>
          <w:spacing w:val="-4"/>
        </w:rPr>
        <w:t> </w:t>
      </w:r>
      <w:r>
        <w:rPr/>
        <w:t>following</w:t>
      </w:r>
      <w:r>
        <w:rPr>
          <w:spacing w:val="-5"/>
        </w:rPr>
        <w:t> </w:t>
      </w:r>
      <w:r>
        <w:rPr/>
        <w:t>advice</w:t>
      </w:r>
      <w:r>
        <w:rPr>
          <w:spacing w:val="-3"/>
        </w:rPr>
        <w:t> </w:t>
      </w:r>
      <w:r>
        <w:rPr/>
        <w:t>to</w:t>
      </w:r>
      <w:r>
        <w:rPr>
          <w:spacing w:val="-4"/>
        </w:rPr>
        <w:t> </w:t>
      </w:r>
      <w:r>
        <w:rPr/>
        <w:t>the</w:t>
      </w:r>
      <w:r>
        <w:rPr>
          <w:spacing w:val="-5"/>
        </w:rPr>
        <w:t> </w:t>
      </w:r>
      <w:r>
        <w:rPr/>
        <w:t>Department</w:t>
      </w:r>
      <w:r>
        <w:rPr>
          <w:spacing w:val="-2"/>
        </w:rPr>
        <w:t> </w:t>
      </w:r>
      <w:r>
        <w:rPr/>
        <w:t>on</w:t>
      </w:r>
      <w:r>
        <w:rPr>
          <w:spacing w:val="-3"/>
        </w:rPr>
        <w:t> </w:t>
      </w:r>
      <w:r>
        <w:rPr/>
        <w:t>reflection</w:t>
      </w:r>
      <w:r>
        <w:rPr>
          <w:spacing w:val="-5"/>
        </w:rPr>
        <w:t> </w:t>
      </w:r>
      <w:r>
        <w:rPr/>
        <w:t>of</w:t>
      </w:r>
      <w:r>
        <w:rPr>
          <w:spacing w:val="-5"/>
        </w:rPr>
        <w:t> </w:t>
      </w:r>
      <w:r>
        <w:rPr/>
        <w:t>the</w:t>
      </w:r>
      <w:r>
        <w:rPr>
          <w:spacing w:val="-5"/>
        </w:rPr>
        <w:t> </w:t>
      </w:r>
      <w:r>
        <w:rPr/>
        <w:t>needs</w:t>
      </w:r>
      <w:r>
        <w:rPr>
          <w:spacing w:val="-3"/>
        </w:rPr>
        <w:t> </w:t>
      </w:r>
      <w:r>
        <w:rPr/>
        <w:t>of persons with disabilities in this legislation.</w:t>
      </w:r>
    </w:p>
    <w:p>
      <w:pPr>
        <w:pStyle w:val="BodyText"/>
        <w:spacing w:before="239"/>
        <w:ind w:left="1702" w:right="986"/>
      </w:pPr>
      <w:r>
        <w:rPr/>
        <w:t>We also finalised our guidance for justice professionals on dealing with persons</w:t>
      </w:r>
      <w:r>
        <w:rPr>
          <w:spacing w:val="-3"/>
        </w:rPr>
        <w:t> </w:t>
      </w:r>
      <w:r>
        <w:rPr/>
        <w:t>with</w:t>
      </w:r>
      <w:r>
        <w:rPr>
          <w:spacing w:val="-4"/>
        </w:rPr>
        <w:t> </w:t>
      </w:r>
      <w:r>
        <w:rPr/>
        <w:t>Autism</w:t>
      </w:r>
      <w:r>
        <w:rPr>
          <w:spacing w:val="-4"/>
        </w:rPr>
        <w:t> </w:t>
      </w:r>
      <w:r>
        <w:rPr/>
        <w:t>Spectrum</w:t>
      </w:r>
      <w:r>
        <w:rPr>
          <w:spacing w:val="-2"/>
        </w:rPr>
        <w:t> </w:t>
      </w:r>
      <w:r>
        <w:rPr/>
        <w:t>Disorder,</w:t>
      </w:r>
      <w:r>
        <w:rPr>
          <w:spacing w:val="-3"/>
        </w:rPr>
        <w:t> </w:t>
      </w:r>
      <w:r>
        <w:rPr/>
        <w:t>and</w:t>
      </w:r>
      <w:r>
        <w:rPr>
          <w:spacing w:val="-4"/>
        </w:rPr>
        <w:t> </w:t>
      </w:r>
      <w:r>
        <w:rPr/>
        <w:t>this</w:t>
      </w:r>
      <w:r>
        <w:rPr>
          <w:spacing w:val="-3"/>
        </w:rPr>
        <w:t> </w:t>
      </w:r>
      <w:r>
        <w:rPr/>
        <w:t>will</w:t>
      </w:r>
      <w:r>
        <w:rPr>
          <w:spacing w:val="-3"/>
        </w:rPr>
        <w:t> </w:t>
      </w:r>
      <w:r>
        <w:rPr/>
        <w:t>be</w:t>
      </w:r>
      <w:r>
        <w:rPr>
          <w:spacing w:val="-4"/>
        </w:rPr>
        <w:t> </w:t>
      </w:r>
      <w:r>
        <w:rPr/>
        <w:t>published</w:t>
      </w:r>
      <w:r>
        <w:rPr>
          <w:spacing w:val="-4"/>
        </w:rPr>
        <w:t> </w:t>
      </w:r>
      <w:r>
        <w:rPr/>
        <w:t>in</w:t>
      </w:r>
      <w:r>
        <w:rPr>
          <w:spacing w:val="-4"/>
        </w:rPr>
        <w:t> </w:t>
      </w:r>
      <w:r>
        <w:rPr/>
        <w:t>early </w:t>
      </w:r>
      <w:r>
        <w:rPr>
          <w:spacing w:val="-2"/>
        </w:rPr>
        <w:t>2018.</w:t>
      </w:r>
    </w:p>
    <w:p>
      <w:pPr>
        <w:spacing w:before="240"/>
        <w:ind w:left="1702" w:right="1099" w:firstLine="0"/>
        <w:jc w:val="left"/>
        <w:rPr>
          <w:sz w:val="26"/>
        </w:rPr>
      </w:pPr>
      <w:r>
        <w:rPr>
          <w:sz w:val="26"/>
        </w:rPr>
        <w:t>The NDA also provided input to the final draft of the </w:t>
      </w:r>
      <w:r>
        <w:rPr>
          <w:b/>
          <w:sz w:val="26"/>
        </w:rPr>
        <w:t>National Women’s</w:t>
      </w:r>
      <w:r>
        <w:rPr>
          <w:b/>
          <w:spacing w:val="-4"/>
          <w:sz w:val="26"/>
        </w:rPr>
        <w:t> </w:t>
      </w:r>
      <w:r>
        <w:rPr>
          <w:b/>
          <w:sz w:val="26"/>
        </w:rPr>
        <w:t>Strategy</w:t>
      </w:r>
      <w:r>
        <w:rPr>
          <w:b/>
          <w:spacing w:val="-4"/>
          <w:sz w:val="26"/>
        </w:rPr>
        <w:t> </w:t>
      </w:r>
      <w:r>
        <w:rPr>
          <w:b/>
          <w:sz w:val="26"/>
        </w:rPr>
        <w:t>2017-2020</w:t>
      </w:r>
      <w:r>
        <w:rPr>
          <w:b/>
          <w:spacing w:val="-4"/>
          <w:sz w:val="26"/>
        </w:rPr>
        <w:t> </w:t>
      </w:r>
      <w:r>
        <w:rPr>
          <w:sz w:val="26"/>
        </w:rPr>
        <w:t>under</w:t>
      </w:r>
      <w:r>
        <w:rPr>
          <w:spacing w:val="-5"/>
          <w:sz w:val="26"/>
        </w:rPr>
        <w:t> </w:t>
      </w:r>
      <w:r>
        <w:rPr>
          <w:sz w:val="26"/>
        </w:rPr>
        <w:t>the</w:t>
      </w:r>
      <w:r>
        <w:rPr>
          <w:spacing w:val="-6"/>
          <w:sz w:val="26"/>
        </w:rPr>
        <w:t> </w:t>
      </w:r>
      <w:r>
        <w:rPr>
          <w:sz w:val="26"/>
        </w:rPr>
        <w:t>Department</w:t>
      </w:r>
      <w:r>
        <w:rPr>
          <w:spacing w:val="-6"/>
          <w:sz w:val="26"/>
        </w:rPr>
        <w:t> </w:t>
      </w:r>
      <w:r>
        <w:rPr>
          <w:sz w:val="26"/>
        </w:rPr>
        <w:t>of</w:t>
      </w:r>
      <w:r>
        <w:rPr>
          <w:spacing w:val="-6"/>
          <w:sz w:val="26"/>
        </w:rPr>
        <w:t> </w:t>
      </w:r>
      <w:r>
        <w:rPr>
          <w:sz w:val="26"/>
        </w:rPr>
        <w:t>Justice</w:t>
      </w:r>
      <w:r>
        <w:rPr>
          <w:spacing w:val="-4"/>
          <w:sz w:val="26"/>
        </w:rPr>
        <w:t> </w:t>
      </w:r>
      <w:r>
        <w:rPr>
          <w:sz w:val="26"/>
        </w:rPr>
        <w:t>and</w:t>
      </w:r>
    </w:p>
    <w:p>
      <w:pPr>
        <w:pStyle w:val="BodyText"/>
        <w:ind w:left="1702" w:right="988"/>
      </w:pPr>
      <w:r>
        <w:rPr/>
        <w:t>Equality,</w:t>
      </w:r>
      <w:r>
        <w:rPr>
          <w:spacing w:val="-4"/>
        </w:rPr>
        <w:t> </w:t>
      </w:r>
      <w:r>
        <w:rPr/>
        <w:t>and</w:t>
      </w:r>
      <w:r>
        <w:rPr>
          <w:spacing w:val="-2"/>
        </w:rPr>
        <w:t> </w:t>
      </w:r>
      <w:r>
        <w:rPr/>
        <w:t>has</w:t>
      </w:r>
      <w:r>
        <w:rPr>
          <w:spacing w:val="-4"/>
        </w:rPr>
        <w:t> </w:t>
      </w:r>
      <w:r>
        <w:rPr/>
        <w:t>committed</w:t>
      </w:r>
      <w:r>
        <w:rPr>
          <w:spacing w:val="-4"/>
        </w:rPr>
        <w:t> </w:t>
      </w:r>
      <w:r>
        <w:rPr/>
        <w:t>to</w:t>
      </w:r>
      <w:r>
        <w:rPr>
          <w:spacing w:val="-4"/>
        </w:rPr>
        <w:t> </w:t>
      </w:r>
      <w:r>
        <w:rPr/>
        <w:t>lead</w:t>
      </w:r>
      <w:r>
        <w:rPr>
          <w:spacing w:val="-4"/>
        </w:rPr>
        <w:t> </w:t>
      </w:r>
      <w:r>
        <w:rPr/>
        <w:t>on</w:t>
      </w:r>
      <w:r>
        <w:rPr>
          <w:spacing w:val="-4"/>
        </w:rPr>
        <w:t> </w:t>
      </w:r>
      <w:r>
        <w:rPr/>
        <w:t>the</w:t>
      </w:r>
      <w:r>
        <w:rPr>
          <w:spacing w:val="-1"/>
        </w:rPr>
        <w:t> </w:t>
      </w:r>
      <w:r>
        <w:rPr/>
        <w:t>collation</w:t>
      </w:r>
      <w:r>
        <w:rPr>
          <w:spacing w:val="-4"/>
        </w:rPr>
        <w:t> </w:t>
      </w:r>
      <w:r>
        <w:rPr/>
        <w:t>and</w:t>
      </w:r>
      <w:r>
        <w:rPr>
          <w:spacing w:val="-4"/>
        </w:rPr>
        <w:t> </w:t>
      </w:r>
      <w:r>
        <w:rPr/>
        <w:t>analysis</w:t>
      </w:r>
      <w:r>
        <w:rPr>
          <w:spacing w:val="-3"/>
        </w:rPr>
        <w:t> </w:t>
      </w:r>
      <w:r>
        <w:rPr/>
        <w:t>of data</w:t>
      </w:r>
      <w:r>
        <w:rPr>
          <w:spacing w:val="-4"/>
        </w:rPr>
        <w:t> </w:t>
      </w:r>
      <w:r>
        <w:rPr/>
        <w:t>on persons with disabilities, broken down by gender, as well as ensuring any research we conduct on matters related to disability can provide findings that are disaggregated by gender.</w:t>
      </w:r>
    </w:p>
    <w:p>
      <w:pPr>
        <w:pStyle w:val="BodyText"/>
        <w:spacing w:before="298"/>
      </w:pPr>
    </w:p>
    <w:p>
      <w:pPr>
        <w:pStyle w:val="Heading5"/>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rPr>
        <w:t>Children</w:t>
      </w:r>
      <w:r>
        <w:rPr>
          <w:rFonts w:ascii="Rockwell"/>
          <w:color w:val="BE2195"/>
          <w:spacing w:val="-8"/>
        </w:rPr>
        <w:t> </w:t>
      </w:r>
      <w:r>
        <w:rPr>
          <w:rFonts w:ascii="Rockwell"/>
          <w:color w:val="BE2195"/>
        </w:rPr>
        <w:t>and</w:t>
      </w:r>
      <w:r>
        <w:rPr>
          <w:rFonts w:ascii="Rockwell"/>
          <w:color w:val="BE2195"/>
          <w:spacing w:val="-8"/>
        </w:rPr>
        <w:t> </w:t>
      </w:r>
      <w:r>
        <w:rPr>
          <w:rFonts w:ascii="Rockwell"/>
          <w:color w:val="BE2195"/>
        </w:rPr>
        <w:t>Youth</w:t>
      </w:r>
      <w:r>
        <w:rPr>
          <w:rFonts w:ascii="Rockwell"/>
          <w:color w:val="BE2195"/>
          <w:spacing w:val="-8"/>
        </w:rPr>
        <w:t> </w:t>
      </w:r>
      <w:r>
        <w:rPr>
          <w:rFonts w:ascii="Rockwell"/>
          <w:color w:val="BE2195"/>
          <w:spacing w:val="-2"/>
        </w:rPr>
        <w:t>Affairs</w:t>
      </w:r>
    </w:p>
    <w:p>
      <w:pPr>
        <w:spacing w:before="25"/>
        <w:ind w:left="1702" w:right="0" w:firstLine="0"/>
        <w:jc w:val="left"/>
        <w:rPr>
          <w:b/>
          <w:sz w:val="26"/>
        </w:rPr>
      </w:pPr>
      <w:r>
        <w:rPr>
          <w:b/>
          <w:sz w:val="26"/>
        </w:rPr>
        <w:t>Access</w:t>
      </w:r>
      <w:r>
        <w:rPr>
          <w:b/>
          <w:spacing w:val="-10"/>
          <w:sz w:val="26"/>
        </w:rPr>
        <w:t> </w:t>
      </w:r>
      <w:r>
        <w:rPr>
          <w:b/>
          <w:sz w:val="26"/>
        </w:rPr>
        <w:t>and</w:t>
      </w:r>
      <w:r>
        <w:rPr>
          <w:b/>
          <w:spacing w:val="-7"/>
          <w:sz w:val="26"/>
        </w:rPr>
        <w:t> </w:t>
      </w:r>
      <w:r>
        <w:rPr>
          <w:b/>
          <w:sz w:val="26"/>
        </w:rPr>
        <w:t>inclusion</w:t>
      </w:r>
      <w:r>
        <w:rPr>
          <w:b/>
          <w:spacing w:val="-10"/>
          <w:sz w:val="26"/>
        </w:rPr>
        <w:t> </w:t>
      </w:r>
      <w:r>
        <w:rPr>
          <w:b/>
          <w:sz w:val="26"/>
        </w:rPr>
        <w:t>model</w:t>
      </w:r>
      <w:r>
        <w:rPr>
          <w:b/>
          <w:spacing w:val="-9"/>
          <w:sz w:val="26"/>
        </w:rPr>
        <w:t> </w:t>
      </w:r>
      <w:r>
        <w:rPr>
          <w:b/>
          <w:spacing w:val="-2"/>
          <w:sz w:val="26"/>
        </w:rPr>
        <w:t>(AIM)</w:t>
      </w:r>
    </w:p>
    <w:p>
      <w:pPr>
        <w:pStyle w:val="BodyText"/>
        <w:spacing w:before="42"/>
        <w:ind w:left="1702" w:right="1099"/>
      </w:pPr>
      <w:r>
        <w:rPr/>
        <w:t>The National Disability Authority has previously produced research and advice in relation to the value of quality pre-school supports for children with disabilities.</w:t>
      </w:r>
      <w:r>
        <w:rPr>
          <w:spacing w:val="80"/>
        </w:rPr>
        <w:t> </w:t>
      </w:r>
      <w:r>
        <w:rPr/>
        <w:t>The NDA is a member of the Project Team and the Cross</w:t>
      </w:r>
      <w:r>
        <w:rPr>
          <w:spacing w:val="-4"/>
        </w:rPr>
        <w:t> </w:t>
      </w:r>
      <w:r>
        <w:rPr/>
        <w:t>Sectoral</w:t>
      </w:r>
      <w:r>
        <w:rPr>
          <w:spacing w:val="-4"/>
        </w:rPr>
        <w:t> </w:t>
      </w:r>
      <w:r>
        <w:rPr/>
        <w:t>Implementation</w:t>
      </w:r>
      <w:r>
        <w:rPr>
          <w:spacing w:val="-5"/>
        </w:rPr>
        <w:t> </w:t>
      </w:r>
      <w:r>
        <w:rPr/>
        <w:t>Group</w:t>
      </w:r>
      <w:r>
        <w:rPr>
          <w:spacing w:val="-3"/>
        </w:rPr>
        <w:t> </w:t>
      </w:r>
      <w:r>
        <w:rPr/>
        <w:t>for</w:t>
      </w:r>
      <w:r>
        <w:rPr>
          <w:spacing w:val="-4"/>
        </w:rPr>
        <w:t> </w:t>
      </w:r>
      <w:r>
        <w:rPr/>
        <w:t>the</w:t>
      </w:r>
      <w:r>
        <w:rPr>
          <w:spacing w:val="-3"/>
        </w:rPr>
        <w:t> </w:t>
      </w:r>
      <w:r>
        <w:rPr/>
        <w:t>Access</w:t>
      </w:r>
      <w:r>
        <w:rPr>
          <w:spacing w:val="-4"/>
        </w:rPr>
        <w:t> </w:t>
      </w:r>
      <w:r>
        <w:rPr/>
        <w:t>and</w:t>
      </w:r>
      <w:r>
        <w:rPr>
          <w:spacing w:val="-5"/>
        </w:rPr>
        <w:t> </w:t>
      </w:r>
      <w:r>
        <w:rPr/>
        <w:t>Inclusion</w:t>
      </w:r>
      <w:r>
        <w:rPr>
          <w:spacing w:val="-5"/>
        </w:rPr>
        <w:t> </w:t>
      </w:r>
      <w:r>
        <w:rPr/>
        <w:t>Model (AIM) model of supports designed to ensure that children with disabilities can access the Early Childhood Care and Education (ECCE) programme, which is operated by the Department of Children and Youth Affairs.</w:t>
      </w:r>
    </w:p>
    <w:p>
      <w:pPr>
        <w:pStyle w:val="BodyText"/>
        <w:spacing w:before="239"/>
        <w:ind w:left="1702" w:right="1035"/>
      </w:pPr>
      <w:r>
        <w:rPr/>
        <w:t>The goal of AIM is to empower service providers to deliver an inclusive pre-school experience, ensuring that every eligible child can fully participate</w:t>
      </w:r>
      <w:r>
        <w:rPr>
          <w:spacing w:val="-5"/>
        </w:rPr>
        <w:t> </w:t>
      </w:r>
      <w:r>
        <w:rPr/>
        <w:t>in</w:t>
      </w:r>
      <w:r>
        <w:rPr>
          <w:spacing w:val="-5"/>
        </w:rPr>
        <w:t> </w:t>
      </w:r>
      <w:r>
        <w:rPr/>
        <w:t>the</w:t>
      </w:r>
      <w:r>
        <w:rPr>
          <w:spacing w:val="-5"/>
        </w:rPr>
        <w:t> </w:t>
      </w:r>
      <w:r>
        <w:rPr/>
        <w:t>Early</w:t>
      </w:r>
      <w:r>
        <w:rPr>
          <w:spacing w:val="-3"/>
        </w:rPr>
        <w:t> </w:t>
      </w:r>
      <w:r>
        <w:rPr/>
        <w:t>Childhood</w:t>
      </w:r>
      <w:r>
        <w:rPr>
          <w:spacing w:val="-5"/>
        </w:rPr>
        <w:t> </w:t>
      </w:r>
      <w:r>
        <w:rPr/>
        <w:t>Care</w:t>
      </w:r>
      <w:r>
        <w:rPr>
          <w:spacing w:val="-4"/>
        </w:rPr>
        <w:t> </w:t>
      </w:r>
      <w:r>
        <w:rPr/>
        <w:t>and</w:t>
      </w:r>
      <w:r>
        <w:rPr>
          <w:spacing w:val="-5"/>
        </w:rPr>
        <w:t> </w:t>
      </w:r>
      <w:r>
        <w:rPr/>
        <w:t>Education</w:t>
      </w:r>
      <w:r>
        <w:rPr>
          <w:spacing w:val="-5"/>
        </w:rPr>
        <w:t> </w:t>
      </w:r>
      <w:r>
        <w:rPr/>
        <w:t>(ECCE)</w:t>
      </w:r>
      <w:r>
        <w:rPr>
          <w:spacing w:val="-5"/>
        </w:rPr>
        <w:t> </w:t>
      </w:r>
      <w:r>
        <w:rPr/>
        <w:t>Scheme</w:t>
      </w:r>
      <w:r>
        <w:rPr>
          <w:spacing w:val="-5"/>
        </w:rPr>
        <w:t> </w:t>
      </w:r>
      <w:r>
        <w:rPr/>
        <w:t>and reap the benefits of quality early years care and education. AIM is a child-centred model, involving seven levels of progressive support, moving from the universal to the targeted, based on the needs of the child and the service provider.</w:t>
      </w:r>
    </w:p>
    <w:p>
      <w:pPr>
        <w:pStyle w:val="BodyText"/>
        <w:spacing w:before="242"/>
        <w:ind w:left="1702" w:right="1080"/>
      </w:pPr>
      <w:r>
        <w:rPr/>
        <w:t>Some</w:t>
      </w:r>
      <w:r>
        <w:rPr>
          <w:spacing w:val="-4"/>
        </w:rPr>
        <w:t> </w:t>
      </w:r>
      <w:r>
        <w:rPr/>
        <w:t>of</w:t>
      </w:r>
      <w:r>
        <w:rPr>
          <w:spacing w:val="-4"/>
        </w:rPr>
        <w:t> </w:t>
      </w:r>
      <w:r>
        <w:rPr/>
        <w:t>the</w:t>
      </w:r>
      <w:r>
        <w:rPr>
          <w:spacing w:val="-4"/>
        </w:rPr>
        <w:t> </w:t>
      </w:r>
      <w:r>
        <w:rPr/>
        <w:t>key</w:t>
      </w:r>
      <w:r>
        <w:rPr>
          <w:spacing w:val="-4"/>
        </w:rPr>
        <w:t> </w:t>
      </w:r>
      <w:r>
        <w:rPr/>
        <w:t>issues</w:t>
      </w:r>
      <w:r>
        <w:rPr>
          <w:spacing w:val="-2"/>
        </w:rPr>
        <w:t> </w:t>
      </w:r>
      <w:r>
        <w:rPr/>
        <w:t>advanced</w:t>
      </w:r>
      <w:r>
        <w:rPr>
          <w:spacing w:val="-4"/>
        </w:rPr>
        <w:t> </w:t>
      </w:r>
      <w:r>
        <w:rPr/>
        <w:t>in</w:t>
      </w:r>
      <w:r>
        <w:rPr>
          <w:spacing w:val="-4"/>
        </w:rPr>
        <w:t> </w:t>
      </w:r>
      <w:r>
        <w:rPr/>
        <w:t>2017</w:t>
      </w:r>
      <w:r>
        <w:rPr>
          <w:spacing w:val="-1"/>
        </w:rPr>
        <w:t> </w:t>
      </w:r>
      <w:r>
        <w:rPr/>
        <w:t>with</w:t>
      </w:r>
      <w:r>
        <w:rPr>
          <w:spacing w:val="-1"/>
        </w:rPr>
        <w:t> </w:t>
      </w:r>
      <w:r>
        <w:rPr/>
        <w:t>the</w:t>
      </w:r>
      <w:r>
        <w:rPr>
          <w:spacing w:val="-4"/>
        </w:rPr>
        <w:t> </w:t>
      </w:r>
      <w:r>
        <w:rPr/>
        <w:t>guidance</w:t>
      </w:r>
      <w:r>
        <w:rPr>
          <w:spacing w:val="-2"/>
        </w:rPr>
        <w:t> </w:t>
      </w:r>
      <w:r>
        <w:rPr/>
        <w:t>of</w:t>
      </w:r>
      <w:r>
        <w:rPr>
          <w:spacing w:val="-4"/>
        </w:rPr>
        <w:t> </w:t>
      </w:r>
      <w:r>
        <w:rPr/>
        <w:t>the</w:t>
      </w:r>
      <w:r>
        <w:rPr>
          <w:spacing w:val="-4"/>
        </w:rPr>
        <w:t> </w:t>
      </w:r>
      <w:r>
        <w:rPr/>
        <w:t>NDA, included the development of early years supports, management of key indicators for the Access &amp; Inclusion model, selection of toys, and development of proposed guidance for their use under the AIM </w:t>
      </w:r>
      <w:r>
        <w:rPr>
          <w:spacing w:val="-2"/>
        </w:rPr>
        <w:t>Programme.</w:t>
      </w:r>
    </w:p>
    <w:p>
      <w:pPr>
        <w:pStyle w:val="BodyText"/>
        <w:spacing w:before="240"/>
        <w:ind w:left="1702" w:right="1038"/>
      </w:pPr>
      <w:r>
        <w:rPr/>
        <w:t>In addition, the Centre for Excellence in Universal Design and the Department of Children and Youth Affairs initiated a joint project on Universal</w:t>
      </w:r>
      <w:r>
        <w:rPr>
          <w:spacing w:val="-5"/>
        </w:rPr>
        <w:t> </w:t>
      </w:r>
      <w:r>
        <w:rPr/>
        <w:t>Design</w:t>
      </w:r>
      <w:r>
        <w:rPr>
          <w:spacing w:val="-3"/>
        </w:rPr>
        <w:t> </w:t>
      </w:r>
      <w:r>
        <w:rPr/>
        <w:t>for</w:t>
      </w:r>
      <w:r>
        <w:rPr>
          <w:spacing w:val="-5"/>
        </w:rPr>
        <w:t> </w:t>
      </w:r>
      <w:r>
        <w:rPr/>
        <w:t>Early</w:t>
      </w:r>
      <w:r>
        <w:rPr>
          <w:spacing w:val="-5"/>
        </w:rPr>
        <w:t> </w:t>
      </w:r>
      <w:r>
        <w:rPr/>
        <w:t>Years</w:t>
      </w:r>
      <w:r>
        <w:rPr>
          <w:spacing w:val="-4"/>
        </w:rPr>
        <w:t> </w:t>
      </w:r>
      <w:r>
        <w:rPr/>
        <w:t>Settings,</w:t>
      </w:r>
      <w:r>
        <w:rPr>
          <w:spacing w:val="-4"/>
        </w:rPr>
        <w:t> </w:t>
      </w:r>
      <w:r>
        <w:rPr/>
        <w:t>which</w:t>
      </w:r>
      <w:r>
        <w:rPr>
          <w:spacing w:val="-5"/>
        </w:rPr>
        <w:t> </w:t>
      </w:r>
      <w:r>
        <w:rPr/>
        <w:t>will</w:t>
      </w:r>
      <w:r>
        <w:rPr>
          <w:spacing w:val="-4"/>
        </w:rPr>
        <w:t> </w:t>
      </w:r>
      <w:r>
        <w:rPr/>
        <w:t>be</w:t>
      </w:r>
      <w:r>
        <w:rPr>
          <w:spacing w:val="-5"/>
        </w:rPr>
        <w:t> </w:t>
      </w:r>
      <w:r>
        <w:rPr/>
        <w:t>completed</w:t>
      </w:r>
      <w:r>
        <w:rPr>
          <w:spacing w:val="-5"/>
        </w:rPr>
        <w:t> </w:t>
      </w:r>
      <w:r>
        <w:rPr/>
        <w:t>in</w:t>
      </w:r>
      <w:r>
        <w:rPr>
          <w:spacing w:val="-2"/>
        </w:rPr>
        <w:t> </w:t>
      </w:r>
      <w:r>
        <w:rPr/>
        <w:t>2018. This will involve the development of research-informed guidance for the</w:t>
      </w:r>
    </w:p>
    <w:p>
      <w:pPr>
        <w:pStyle w:val="BodyText"/>
        <w:spacing w:after="0"/>
        <w:sectPr>
          <w:pgSz w:w="11910" w:h="16850"/>
          <w:pgMar w:header="0" w:footer="811" w:top="1880" w:bottom="1000" w:left="283" w:right="992"/>
        </w:sectPr>
      </w:pPr>
    </w:p>
    <w:p>
      <w:pPr>
        <w:pStyle w:val="BodyText"/>
        <w:spacing w:before="79"/>
        <w:ind w:left="1702" w:right="988"/>
      </w:pPr>
      <w:r>
        <w:rPr/>
        <w:t>Universal</w:t>
      </w:r>
      <w:r>
        <w:rPr>
          <w:spacing w:val="-5"/>
        </w:rPr>
        <w:t> </w:t>
      </w:r>
      <w:r>
        <w:rPr/>
        <w:t>Design</w:t>
      </w:r>
      <w:r>
        <w:rPr>
          <w:spacing w:val="-5"/>
        </w:rPr>
        <w:t> </w:t>
      </w:r>
      <w:r>
        <w:rPr/>
        <w:t>of</w:t>
      </w:r>
      <w:r>
        <w:rPr>
          <w:spacing w:val="-5"/>
        </w:rPr>
        <w:t> </w:t>
      </w:r>
      <w:r>
        <w:rPr/>
        <w:t>early</w:t>
      </w:r>
      <w:r>
        <w:rPr>
          <w:spacing w:val="-5"/>
        </w:rPr>
        <w:t> </w:t>
      </w:r>
      <w:r>
        <w:rPr/>
        <w:t>years</w:t>
      </w:r>
      <w:r>
        <w:rPr>
          <w:spacing w:val="-4"/>
        </w:rPr>
        <w:t> </w:t>
      </w:r>
      <w:r>
        <w:rPr/>
        <w:t>settings,</w:t>
      </w:r>
      <w:r>
        <w:rPr>
          <w:spacing w:val="-3"/>
        </w:rPr>
        <w:t> </w:t>
      </w:r>
      <w:r>
        <w:rPr/>
        <w:t>which</w:t>
      </w:r>
      <w:r>
        <w:rPr>
          <w:spacing w:val="-5"/>
        </w:rPr>
        <w:t> </w:t>
      </w:r>
      <w:r>
        <w:rPr/>
        <w:t>can</w:t>
      </w:r>
      <w:r>
        <w:rPr>
          <w:spacing w:val="-5"/>
        </w:rPr>
        <w:t> </w:t>
      </w:r>
      <w:r>
        <w:rPr/>
        <w:t>then</w:t>
      </w:r>
      <w:r>
        <w:rPr>
          <w:spacing w:val="-5"/>
        </w:rPr>
        <w:t> </w:t>
      </w:r>
      <w:r>
        <w:rPr/>
        <w:t>be</w:t>
      </w:r>
      <w:r>
        <w:rPr>
          <w:spacing w:val="-5"/>
        </w:rPr>
        <w:t> </w:t>
      </w:r>
      <w:r>
        <w:rPr/>
        <w:t>implemented across the range of settings in Ireland.</w:t>
      </w:r>
    </w:p>
    <w:p>
      <w:pPr>
        <w:pStyle w:val="Heading5"/>
        <w:spacing w:before="292"/>
        <w:rPr>
          <w:rFonts w:ascii="Rockwell"/>
        </w:rPr>
      </w:pPr>
      <w:r>
        <w:rPr>
          <w:rFonts w:ascii="Rockwell"/>
          <w:color w:val="BE2195"/>
        </w:rPr>
        <w:t>Department</w:t>
      </w:r>
      <w:r>
        <w:rPr>
          <w:rFonts w:ascii="Rockwell"/>
          <w:color w:val="BE2195"/>
          <w:spacing w:val="-10"/>
        </w:rPr>
        <w:t> </w:t>
      </w:r>
      <w:r>
        <w:rPr>
          <w:rFonts w:ascii="Rockwell"/>
          <w:color w:val="BE2195"/>
        </w:rPr>
        <w:t>of</w:t>
      </w:r>
      <w:r>
        <w:rPr>
          <w:rFonts w:ascii="Rockwell"/>
          <w:color w:val="BE2195"/>
          <w:spacing w:val="-9"/>
        </w:rPr>
        <w:t> </w:t>
      </w:r>
      <w:r>
        <w:rPr>
          <w:rFonts w:ascii="Rockwell"/>
          <w:color w:val="BE2195"/>
        </w:rPr>
        <w:t>Education</w:t>
      </w:r>
      <w:r>
        <w:rPr>
          <w:rFonts w:ascii="Rockwell"/>
          <w:color w:val="BE2195"/>
          <w:spacing w:val="-7"/>
        </w:rPr>
        <w:t> </w:t>
      </w:r>
      <w:r>
        <w:rPr>
          <w:rFonts w:ascii="Rockwell"/>
          <w:color w:val="BE2195"/>
        </w:rPr>
        <w:t>and</w:t>
      </w:r>
      <w:r>
        <w:rPr>
          <w:rFonts w:ascii="Rockwell"/>
          <w:color w:val="BE2195"/>
          <w:spacing w:val="-8"/>
        </w:rPr>
        <w:t> </w:t>
      </w:r>
      <w:r>
        <w:rPr>
          <w:rFonts w:ascii="Rockwell"/>
          <w:color w:val="BE2195"/>
          <w:spacing w:val="-2"/>
        </w:rPr>
        <w:t>Skills</w:t>
      </w:r>
    </w:p>
    <w:p>
      <w:pPr>
        <w:spacing w:before="26"/>
        <w:ind w:left="1702" w:right="0" w:firstLine="0"/>
        <w:jc w:val="left"/>
        <w:rPr>
          <w:b/>
          <w:sz w:val="26"/>
        </w:rPr>
      </w:pPr>
      <w:r>
        <w:rPr>
          <w:b/>
          <w:sz w:val="26"/>
        </w:rPr>
        <w:t>Review</w:t>
      </w:r>
      <w:r>
        <w:rPr>
          <w:b/>
          <w:spacing w:val="-7"/>
          <w:sz w:val="26"/>
        </w:rPr>
        <w:t> </w:t>
      </w:r>
      <w:r>
        <w:rPr>
          <w:b/>
          <w:sz w:val="26"/>
        </w:rPr>
        <w:t>of</w:t>
      </w:r>
      <w:r>
        <w:rPr>
          <w:b/>
          <w:spacing w:val="-9"/>
          <w:sz w:val="26"/>
        </w:rPr>
        <w:t> </w:t>
      </w:r>
      <w:r>
        <w:rPr>
          <w:b/>
          <w:sz w:val="26"/>
        </w:rPr>
        <w:t>Special</w:t>
      </w:r>
      <w:r>
        <w:rPr>
          <w:b/>
          <w:spacing w:val="-6"/>
          <w:sz w:val="26"/>
        </w:rPr>
        <w:t> </w:t>
      </w:r>
      <w:r>
        <w:rPr>
          <w:b/>
          <w:sz w:val="26"/>
        </w:rPr>
        <w:t>Needs</w:t>
      </w:r>
      <w:r>
        <w:rPr>
          <w:b/>
          <w:spacing w:val="-9"/>
          <w:sz w:val="26"/>
        </w:rPr>
        <w:t> </w:t>
      </w:r>
      <w:r>
        <w:rPr>
          <w:b/>
          <w:sz w:val="26"/>
        </w:rPr>
        <w:t>Assistants</w:t>
      </w:r>
      <w:r>
        <w:rPr>
          <w:b/>
          <w:spacing w:val="-8"/>
          <w:sz w:val="26"/>
        </w:rPr>
        <w:t> </w:t>
      </w:r>
      <w:r>
        <w:rPr>
          <w:b/>
          <w:spacing w:val="-2"/>
          <w:sz w:val="26"/>
        </w:rPr>
        <w:t>scheme</w:t>
      </w:r>
    </w:p>
    <w:p>
      <w:pPr>
        <w:pStyle w:val="BodyText"/>
        <w:spacing w:before="41"/>
        <w:ind w:left="1702" w:right="988"/>
      </w:pPr>
      <w:r>
        <w:rPr/>
        <w:t>The National Council for Special Education (NCSE) were asked by the Minister</w:t>
      </w:r>
      <w:r>
        <w:rPr>
          <w:spacing w:val="-4"/>
        </w:rPr>
        <w:t> </w:t>
      </w:r>
      <w:r>
        <w:rPr/>
        <w:t>for</w:t>
      </w:r>
      <w:r>
        <w:rPr>
          <w:spacing w:val="-5"/>
        </w:rPr>
        <w:t> </w:t>
      </w:r>
      <w:r>
        <w:rPr/>
        <w:t>Education</w:t>
      </w:r>
      <w:r>
        <w:rPr>
          <w:spacing w:val="-3"/>
        </w:rPr>
        <w:t> </w:t>
      </w:r>
      <w:r>
        <w:rPr/>
        <w:t>and</w:t>
      </w:r>
      <w:r>
        <w:rPr>
          <w:spacing w:val="-5"/>
        </w:rPr>
        <w:t> </w:t>
      </w:r>
      <w:r>
        <w:rPr/>
        <w:t>Skills,</w:t>
      </w:r>
      <w:r>
        <w:rPr>
          <w:spacing w:val="-1"/>
        </w:rPr>
        <w:t> </w:t>
      </w:r>
      <w:r>
        <w:rPr/>
        <w:t>to</w:t>
      </w:r>
      <w:r>
        <w:rPr>
          <w:spacing w:val="-4"/>
        </w:rPr>
        <w:t> </w:t>
      </w:r>
      <w:r>
        <w:rPr/>
        <w:t>conduct</w:t>
      </w:r>
      <w:r>
        <w:rPr>
          <w:spacing w:val="-3"/>
        </w:rPr>
        <w:t> </w:t>
      </w:r>
      <w:r>
        <w:rPr/>
        <w:t>a</w:t>
      </w:r>
      <w:r>
        <w:rPr>
          <w:spacing w:val="-3"/>
        </w:rPr>
        <w:t> </w:t>
      </w:r>
      <w:r>
        <w:rPr/>
        <w:t>review</w:t>
      </w:r>
      <w:r>
        <w:rPr>
          <w:spacing w:val="-3"/>
        </w:rPr>
        <w:t> </w:t>
      </w:r>
      <w:r>
        <w:rPr/>
        <w:t>of</w:t>
      </w:r>
      <w:r>
        <w:rPr>
          <w:spacing w:val="-5"/>
        </w:rPr>
        <w:t> </w:t>
      </w:r>
      <w:r>
        <w:rPr/>
        <w:t>the</w:t>
      </w:r>
      <w:r>
        <w:rPr>
          <w:spacing w:val="-5"/>
        </w:rPr>
        <w:t> </w:t>
      </w:r>
      <w:r>
        <w:rPr/>
        <w:t>Special Needs Assistants scheme, in consultation with other agencies, particularly the National Disability Authority.</w:t>
      </w:r>
    </w:p>
    <w:p>
      <w:pPr>
        <w:pStyle w:val="BodyText"/>
        <w:spacing w:before="240"/>
        <w:ind w:left="1702" w:right="988"/>
      </w:pPr>
      <w:r>
        <w:rPr/>
        <w:t>The National Disability Authority were requested by the NCSE to contribute</w:t>
      </w:r>
      <w:r>
        <w:rPr>
          <w:spacing w:val="-5"/>
        </w:rPr>
        <w:t> </w:t>
      </w:r>
      <w:r>
        <w:rPr/>
        <w:t>to</w:t>
      </w:r>
      <w:r>
        <w:rPr>
          <w:spacing w:val="-3"/>
        </w:rPr>
        <w:t> </w:t>
      </w:r>
      <w:r>
        <w:rPr/>
        <w:t>the</w:t>
      </w:r>
      <w:r>
        <w:rPr>
          <w:spacing w:val="-3"/>
        </w:rPr>
        <w:t> </w:t>
      </w:r>
      <w:r>
        <w:rPr/>
        <w:t>review</w:t>
      </w:r>
      <w:r>
        <w:rPr>
          <w:spacing w:val="-4"/>
        </w:rPr>
        <w:t> </w:t>
      </w:r>
      <w:r>
        <w:rPr/>
        <w:t>by</w:t>
      </w:r>
      <w:r>
        <w:rPr>
          <w:spacing w:val="-5"/>
        </w:rPr>
        <w:t> </w:t>
      </w:r>
      <w:r>
        <w:rPr/>
        <w:t>undertaking</w:t>
      </w:r>
      <w:r>
        <w:rPr>
          <w:spacing w:val="-3"/>
        </w:rPr>
        <w:t> </w:t>
      </w:r>
      <w:r>
        <w:rPr/>
        <w:t>a</w:t>
      </w:r>
      <w:r>
        <w:rPr>
          <w:spacing w:val="-5"/>
        </w:rPr>
        <w:t> </w:t>
      </w:r>
      <w:r>
        <w:rPr/>
        <w:t>stand-alone</w:t>
      </w:r>
      <w:r>
        <w:rPr>
          <w:spacing w:val="-5"/>
        </w:rPr>
        <w:t> </w:t>
      </w:r>
      <w:r>
        <w:rPr/>
        <w:t>piece</w:t>
      </w:r>
      <w:r>
        <w:rPr>
          <w:spacing w:val="-5"/>
        </w:rPr>
        <w:t> </w:t>
      </w:r>
      <w:r>
        <w:rPr/>
        <w:t>of</w:t>
      </w:r>
      <w:r>
        <w:rPr>
          <w:spacing w:val="-5"/>
        </w:rPr>
        <w:t> </w:t>
      </w:r>
      <w:r>
        <w:rPr/>
        <w:t>research consisting of two actions:</w:t>
      </w:r>
    </w:p>
    <w:p>
      <w:pPr>
        <w:pStyle w:val="ListParagraph"/>
        <w:numPr>
          <w:ilvl w:val="0"/>
          <w:numId w:val="2"/>
        </w:numPr>
        <w:tabs>
          <w:tab w:pos="2420" w:val="left" w:leader="none"/>
          <w:tab w:pos="2422" w:val="left" w:leader="none"/>
        </w:tabs>
        <w:spacing w:line="240" w:lineRule="auto" w:before="240" w:after="0"/>
        <w:ind w:left="2422" w:right="1310" w:hanging="360"/>
        <w:jc w:val="left"/>
        <w:rPr>
          <w:sz w:val="26"/>
        </w:rPr>
      </w:pPr>
      <w:r>
        <w:rPr>
          <w:sz w:val="26"/>
        </w:rPr>
        <w:t>Providing an overview of the supports available for adults with disabilities</w:t>
      </w:r>
      <w:r>
        <w:rPr>
          <w:spacing w:val="-4"/>
          <w:sz w:val="26"/>
        </w:rPr>
        <w:t> </w:t>
      </w:r>
      <w:r>
        <w:rPr>
          <w:sz w:val="26"/>
        </w:rPr>
        <w:t>after</w:t>
      </w:r>
      <w:r>
        <w:rPr>
          <w:spacing w:val="-5"/>
          <w:sz w:val="26"/>
        </w:rPr>
        <w:t> </w:t>
      </w:r>
      <w:r>
        <w:rPr>
          <w:sz w:val="26"/>
        </w:rPr>
        <w:t>they</w:t>
      </w:r>
      <w:r>
        <w:rPr>
          <w:spacing w:val="-6"/>
          <w:sz w:val="26"/>
        </w:rPr>
        <w:t> </w:t>
      </w:r>
      <w:r>
        <w:rPr>
          <w:sz w:val="26"/>
        </w:rPr>
        <w:t>leave</w:t>
      </w:r>
      <w:r>
        <w:rPr>
          <w:spacing w:val="-6"/>
          <w:sz w:val="26"/>
        </w:rPr>
        <w:t> </w:t>
      </w:r>
      <w:r>
        <w:rPr>
          <w:sz w:val="26"/>
        </w:rPr>
        <w:t>school</w:t>
      </w:r>
      <w:r>
        <w:rPr>
          <w:spacing w:val="-5"/>
          <w:sz w:val="26"/>
        </w:rPr>
        <w:t> </w:t>
      </w:r>
      <w:r>
        <w:rPr>
          <w:sz w:val="26"/>
        </w:rPr>
        <w:t>and</w:t>
      </w:r>
      <w:r>
        <w:rPr>
          <w:spacing w:val="-6"/>
          <w:sz w:val="26"/>
        </w:rPr>
        <w:t> </w:t>
      </w:r>
      <w:r>
        <w:rPr>
          <w:sz w:val="26"/>
        </w:rPr>
        <w:t>in</w:t>
      </w:r>
      <w:r>
        <w:rPr>
          <w:spacing w:val="-6"/>
          <w:sz w:val="26"/>
        </w:rPr>
        <w:t> </w:t>
      </w:r>
      <w:r>
        <w:rPr>
          <w:sz w:val="26"/>
        </w:rPr>
        <w:t>particular, Special</w:t>
      </w:r>
      <w:r>
        <w:rPr>
          <w:spacing w:val="-6"/>
          <w:sz w:val="26"/>
        </w:rPr>
        <w:t> </w:t>
      </w:r>
      <w:r>
        <w:rPr>
          <w:sz w:val="26"/>
        </w:rPr>
        <w:t>Needs Assistants-type supports</w:t>
      </w:r>
    </w:p>
    <w:p>
      <w:pPr>
        <w:pStyle w:val="BodyText"/>
        <w:spacing w:before="1"/>
      </w:pPr>
    </w:p>
    <w:p>
      <w:pPr>
        <w:pStyle w:val="ListParagraph"/>
        <w:numPr>
          <w:ilvl w:val="0"/>
          <w:numId w:val="2"/>
        </w:numPr>
        <w:tabs>
          <w:tab w:pos="2420" w:val="left" w:leader="none"/>
        </w:tabs>
        <w:spacing w:line="301" w:lineRule="exact" w:before="0" w:after="0"/>
        <w:ind w:left="2420" w:right="0" w:hanging="358"/>
        <w:jc w:val="left"/>
        <w:rPr>
          <w:sz w:val="26"/>
        </w:rPr>
      </w:pPr>
      <w:r>
        <w:rPr>
          <w:sz w:val="26"/>
        </w:rPr>
        <w:t>Conducting</w:t>
      </w:r>
      <w:r>
        <w:rPr>
          <w:spacing w:val="-9"/>
          <w:sz w:val="26"/>
        </w:rPr>
        <w:t> </w:t>
      </w:r>
      <w:r>
        <w:rPr>
          <w:sz w:val="26"/>
        </w:rPr>
        <w:t>a</w:t>
      </w:r>
      <w:r>
        <w:rPr>
          <w:spacing w:val="-8"/>
          <w:sz w:val="26"/>
        </w:rPr>
        <w:t> </w:t>
      </w:r>
      <w:r>
        <w:rPr>
          <w:sz w:val="26"/>
        </w:rPr>
        <w:t>small-scale</w:t>
      </w:r>
      <w:r>
        <w:rPr>
          <w:spacing w:val="-8"/>
          <w:sz w:val="26"/>
        </w:rPr>
        <w:t> </w:t>
      </w:r>
      <w:r>
        <w:rPr>
          <w:sz w:val="26"/>
        </w:rPr>
        <w:t>qualitative</w:t>
      </w:r>
      <w:r>
        <w:rPr>
          <w:spacing w:val="-9"/>
          <w:sz w:val="26"/>
        </w:rPr>
        <w:t> </w:t>
      </w:r>
      <w:r>
        <w:rPr>
          <w:sz w:val="26"/>
        </w:rPr>
        <w:t>study</w:t>
      </w:r>
      <w:r>
        <w:rPr>
          <w:spacing w:val="-8"/>
          <w:sz w:val="26"/>
        </w:rPr>
        <w:t> </w:t>
      </w:r>
      <w:r>
        <w:rPr>
          <w:sz w:val="26"/>
        </w:rPr>
        <w:t>to</w:t>
      </w:r>
      <w:r>
        <w:rPr>
          <w:spacing w:val="-8"/>
          <w:sz w:val="26"/>
        </w:rPr>
        <w:t> </w:t>
      </w:r>
      <w:r>
        <w:rPr>
          <w:spacing w:val="-2"/>
          <w:sz w:val="26"/>
        </w:rPr>
        <w:t>ascertain:</w:t>
      </w:r>
    </w:p>
    <w:p>
      <w:pPr>
        <w:pStyle w:val="ListParagraph"/>
        <w:numPr>
          <w:ilvl w:val="1"/>
          <w:numId w:val="2"/>
        </w:numPr>
        <w:tabs>
          <w:tab w:pos="3142" w:val="left" w:leader="none"/>
        </w:tabs>
        <w:spacing w:line="240" w:lineRule="auto" w:before="0" w:after="0"/>
        <w:ind w:left="3142" w:right="1044" w:hanging="360"/>
        <w:jc w:val="left"/>
        <w:rPr>
          <w:sz w:val="26"/>
        </w:rPr>
      </w:pPr>
      <w:r>
        <w:rPr>
          <w:sz w:val="26"/>
        </w:rPr>
        <w:t>The views of young people, trainers, employers, etc. – in further education/training/work sectors- on how prepared they</w:t>
      </w:r>
      <w:r>
        <w:rPr>
          <w:spacing w:val="-5"/>
          <w:sz w:val="26"/>
        </w:rPr>
        <w:t> </w:t>
      </w:r>
      <w:r>
        <w:rPr>
          <w:sz w:val="26"/>
        </w:rPr>
        <w:t>believe</w:t>
      </w:r>
      <w:r>
        <w:rPr>
          <w:spacing w:val="-5"/>
          <w:sz w:val="26"/>
        </w:rPr>
        <w:t> </w:t>
      </w:r>
      <w:r>
        <w:rPr>
          <w:sz w:val="26"/>
        </w:rPr>
        <w:t>students</w:t>
      </w:r>
      <w:r>
        <w:rPr>
          <w:spacing w:val="-1"/>
          <w:sz w:val="26"/>
        </w:rPr>
        <w:t> </w:t>
      </w:r>
      <w:r>
        <w:rPr>
          <w:sz w:val="26"/>
        </w:rPr>
        <w:t>with</w:t>
      </w:r>
      <w:r>
        <w:rPr>
          <w:spacing w:val="-5"/>
          <w:sz w:val="26"/>
        </w:rPr>
        <w:t> </w:t>
      </w:r>
      <w:r>
        <w:rPr>
          <w:sz w:val="26"/>
        </w:rPr>
        <w:t>disabilities</w:t>
      </w:r>
      <w:r>
        <w:rPr>
          <w:spacing w:val="-3"/>
          <w:sz w:val="26"/>
        </w:rPr>
        <w:t> </w:t>
      </w:r>
      <w:r>
        <w:rPr>
          <w:sz w:val="26"/>
        </w:rPr>
        <w:t>are</w:t>
      </w:r>
      <w:r>
        <w:rPr>
          <w:spacing w:val="-4"/>
          <w:sz w:val="26"/>
        </w:rPr>
        <w:t> </w:t>
      </w:r>
      <w:r>
        <w:rPr>
          <w:sz w:val="26"/>
        </w:rPr>
        <w:t>for</w:t>
      </w:r>
      <w:r>
        <w:rPr>
          <w:spacing w:val="-6"/>
          <w:sz w:val="26"/>
        </w:rPr>
        <w:t> </w:t>
      </w:r>
      <w:r>
        <w:rPr>
          <w:sz w:val="26"/>
        </w:rPr>
        <w:t>life</w:t>
      </w:r>
      <w:r>
        <w:rPr>
          <w:spacing w:val="-5"/>
          <w:sz w:val="26"/>
        </w:rPr>
        <w:t> </w:t>
      </w:r>
      <w:r>
        <w:rPr>
          <w:sz w:val="26"/>
        </w:rPr>
        <w:t>after</w:t>
      </w:r>
      <w:r>
        <w:rPr>
          <w:spacing w:val="-5"/>
          <w:sz w:val="26"/>
        </w:rPr>
        <w:t> </w:t>
      </w:r>
      <w:r>
        <w:rPr>
          <w:sz w:val="26"/>
        </w:rPr>
        <w:t>school.</w:t>
      </w:r>
    </w:p>
    <w:p>
      <w:pPr>
        <w:pStyle w:val="ListParagraph"/>
        <w:numPr>
          <w:ilvl w:val="1"/>
          <w:numId w:val="2"/>
        </w:numPr>
        <w:tabs>
          <w:tab w:pos="3140" w:val="left" w:leader="none"/>
          <w:tab w:pos="3142" w:val="left" w:leader="none"/>
        </w:tabs>
        <w:spacing w:line="240" w:lineRule="auto" w:before="0" w:after="0"/>
        <w:ind w:left="3142" w:right="1105" w:hanging="360"/>
        <w:jc w:val="left"/>
        <w:rPr>
          <w:sz w:val="26"/>
        </w:rPr>
      </w:pPr>
      <w:r>
        <w:rPr>
          <w:sz w:val="26"/>
        </w:rPr>
        <w:t>The views and experiences of school personnel (including principals, teachers, students, Special Needs Assistants and parents) on the perceived benefits and drawbacks of the Special</w:t>
      </w:r>
      <w:r>
        <w:rPr>
          <w:spacing w:val="-4"/>
          <w:sz w:val="26"/>
        </w:rPr>
        <w:t> </w:t>
      </w:r>
      <w:r>
        <w:rPr>
          <w:sz w:val="26"/>
        </w:rPr>
        <w:t>Needs</w:t>
      </w:r>
      <w:r>
        <w:rPr>
          <w:spacing w:val="-6"/>
          <w:sz w:val="26"/>
        </w:rPr>
        <w:t> </w:t>
      </w:r>
      <w:r>
        <w:rPr>
          <w:sz w:val="26"/>
        </w:rPr>
        <w:t>Assistants</w:t>
      </w:r>
      <w:r>
        <w:rPr>
          <w:spacing w:val="-3"/>
          <w:sz w:val="26"/>
        </w:rPr>
        <w:t> </w:t>
      </w:r>
      <w:r>
        <w:rPr>
          <w:sz w:val="26"/>
        </w:rPr>
        <w:t>scheme</w:t>
      </w:r>
      <w:r>
        <w:rPr>
          <w:spacing w:val="-7"/>
          <w:sz w:val="26"/>
        </w:rPr>
        <w:t> </w:t>
      </w:r>
      <w:r>
        <w:rPr>
          <w:sz w:val="26"/>
        </w:rPr>
        <w:t>in</w:t>
      </w:r>
      <w:r>
        <w:rPr>
          <w:spacing w:val="-7"/>
          <w:sz w:val="26"/>
        </w:rPr>
        <w:t> </w:t>
      </w:r>
      <w:r>
        <w:rPr>
          <w:sz w:val="26"/>
        </w:rPr>
        <w:t>preparing</w:t>
      </w:r>
      <w:r>
        <w:rPr>
          <w:spacing w:val="-5"/>
          <w:sz w:val="26"/>
        </w:rPr>
        <w:t> </w:t>
      </w:r>
      <w:r>
        <w:rPr>
          <w:sz w:val="26"/>
        </w:rPr>
        <w:t>these</w:t>
      </w:r>
      <w:r>
        <w:rPr>
          <w:spacing w:val="-7"/>
          <w:sz w:val="26"/>
        </w:rPr>
        <w:t> </w:t>
      </w:r>
      <w:r>
        <w:rPr>
          <w:sz w:val="26"/>
        </w:rPr>
        <w:t>students for the next stage of life after school.</w:t>
      </w:r>
    </w:p>
    <w:p>
      <w:pPr>
        <w:pStyle w:val="BodyText"/>
        <w:spacing w:before="239"/>
        <w:ind w:left="1702" w:right="988"/>
      </w:pPr>
      <w:r>
        <w:rPr/>
        <w:t>The overview of supports paper highlighted the fragmented and uncoordinated</w:t>
      </w:r>
      <w:r>
        <w:rPr>
          <w:spacing w:val="-6"/>
        </w:rPr>
        <w:t> </w:t>
      </w:r>
      <w:r>
        <w:rPr/>
        <w:t>nature</w:t>
      </w:r>
      <w:r>
        <w:rPr>
          <w:spacing w:val="-3"/>
        </w:rPr>
        <w:t> </w:t>
      </w:r>
      <w:r>
        <w:rPr/>
        <w:t>of</w:t>
      </w:r>
      <w:r>
        <w:rPr>
          <w:spacing w:val="-6"/>
        </w:rPr>
        <w:t> </w:t>
      </w:r>
      <w:r>
        <w:rPr/>
        <w:t>post-school</w:t>
      </w:r>
      <w:r>
        <w:rPr>
          <w:spacing w:val="-5"/>
        </w:rPr>
        <w:t> </w:t>
      </w:r>
      <w:r>
        <w:rPr/>
        <w:t>supports</w:t>
      </w:r>
      <w:r>
        <w:rPr>
          <w:spacing w:val="-5"/>
        </w:rPr>
        <w:t> </w:t>
      </w:r>
      <w:r>
        <w:rPr/>
        <w:t>for</w:t>
      </w:r>
      <w:r>
        <w:rPr>
          <w:spacing w:val="-6"/>
        </w:rPr>
        <w:t> </w:t>
      </w:r>
      <w:r>
        <w:rPr/>
        <w:t>young</w:t>
      </w:r>
      <w:r>
        <w:rPr>
          <w:spacing w:val="-6"/>
        </w:rPr>
        <w:t> </w:t>
      </w:r>
      <w:r>
        <w:rPr/>
        <w:t>people</w:t>
      </w:r>
      <w:r>
        <w:rPr>
          <w:spacing w:val="-6"/>
        </w:rPr>
        <w:t> </w:t>
      </w:r>
      <w:r>
        <w:rPr/>
        <w:t>with </w:t>
      </w:r>
      <w:r>
        <w:rPr>
          <w:spacing w:val="-2"/>
        </w:rPr>
        <w:t>disabilities.</w:t>
      </w:r>
    </w:p>
    <w:p>
      <w:pPr>
        <w:pStyle w:val="BodyText"/>
        <w:spacing w:before="81"/>
      </w:pPr>
    </w:p>
    <w:p>
      <w:pPr>
        <w:pStyle w:val="BodyText"/>
        <w:ind w:left="1702" w:right="1023"/>
      </w:pPr>
      <w:r>
        <w:rPr/>
        <w:t>The qualitative study found that many professionals in post-school environments believed that young adults with disabilities were not well prepared for life in post-school environments. It also found little evidence that</w:t>
      </w:r>
      <w:r>
        <w:rPr>
          <w:spacing w:val="-5"/>
        </w:rPr>
        <w:t> </w:t>
      </w:r>
      <w:r>
        <w:rPr/>
        <w:t>there</w:t>
      </w:r>
      <w:r>
        <w:rPr>
          <w:spacing w:val="-5"/>
        </w:rPr>
        <w:t> </w:t>
      </w:r>
      <w:r>
        <w:rPr/>
        <w:t>was</w:t>
      </w:r>
      <w:r>
        <w:rPr>
          <w:spacing w:val="-3"/>
        </w:rPr>
        <w:t> </w:t>
      </w:r>
      <w:r>
        <w:rPr/>
        <w:t>a</w:t>
      </w:r>
      <w:r>
        <w:rPr>
          <w:spacing w:val="-5"/>
        </w:rPr>
        <w:t> </w:t>
      </w:r>
      <w:r>
        <w:rPr/>
        <w:t>systematic</w:t>
      </w:r>
      <w:r>
        <w:rPr>
          <w:spacing w:val="-5"/>
        </w:rPr>
        <w:t> </w:t>
      </w:r>
      <w:r>
        <w:rPr/>
        <w:t>approach</w:t>
      </w:r>
      <w:r>
        <w:rPr>
          <w:spacing w:val="-5"/>
        </w:rPr>
        <w:t> </w:t>
      </w:r>
      <w:r>
        <w:rPr/>
        <w:t>to</w:t>
      </w:r>
      <w:r>
        <w:rPr>
          <w:spacing w:val="-4"/>
        </w:rPr>
        <w:t> </w:t>
      </w:r>
      <w:r>
        <w:rPr/>
        <w:t>supporting</w:t>
      </w:r>
      <w:r>
        <w:rPr>
          <w:spacing w:val="-5"/>
        </w:rPr>
        <w:t> </w:t>
      </w:r>
      <w:r>
        <w:rPr/>
        <w:t>transitions</w:t>
      </w:r>
      <w:r>
        <w:rPr>
          <w:spacing w:val="-4"/>
        </w:rPr>
        <w:t> </w:t>
      </w:r>
      <w:r>
        <w:rPr/>
        <w:t>from</w:t>
      </w:r>
      <w:r>
        <w:rPr>
          <w:spacing w:val="-5"/>
        </w:rPr>
        <w:t> </w:t>
      </w:r>
      <w:r>
        <w:rPr/>
        <w:t>school to post-school environments for children with disabilities. While some Special Needs Assistants were seen as being involved in supporting the development of independent living skills, this was not seen as a core part</w:t>
      </w:r>
      <w:r>
        <w:rPr>
          <w:spacing w:val="40"/>
        </w:rPr>
        <w:t> </w:t>
      </w:r>
      <w:r>
        <w:rPr/>
        <w:t>of their role.</w:t>
      </w:r>
    </w:p>
    <w:p>
      <w:pPr>
        <w:pStyle w:val="BodyText"/>
        <w:spacing w:after="0"/>
        <w:sectPr>
          <w:pgSz w:w="11910" w:h="16850"/>
          <w:pgMar w:header="0" w:footer="811" w:top="1880" w:bottom="1000" w:left="283" w:right="992"/>
        </w:sectPr>
      </w:pPr>
    </w:p>
    <w:p>
      <w:pPr>
        <w:pStyle w:val="BodyText"/>
        <w:spacing w:before="79"/>
        <w:ind w:left="1702" w:right="988"/>
      </w:pPr>
      <w:r>
        <w:rPr/>
        <w:t>The</w:t>
      </w:r>
      <w:r>
        <w:rPr>
          <w:spacing w:val="-4"/>
        </w:rPr>
        <w:t> </w:t>
      </w:r>
      <w:r>
        <w:rPr/>
        <w:t>NCSE</w:t>
      </w:r>
      <w:r>
        <w:rPr>
          <w:spacing w:val="-4"/>
        </w:rPr>
        <w:t> </w:t>
      </w:r>
      <w:r>
        <w:rPr/>
        <w:t>have</w:t>
      </w:r>
      <w:r>
        <w:rPr>
          <w:spacing w:val="-4"/>
        </w:rPr>
        <w:t> </w:t>
      </w:r>
      <w:r>
        <w:rPr/>
        <w:t>used</w:t>
      </w:r>
      <w:r>
        <w:rPr>
          <w:spacing w:val="-4"/>
        </w:rPr>
        <w:t> </w:t>
      </w:r>
      <w:r>
        <w:rPr/>
        <w:t>the</w:t>
      </w:r>
      <w:r>
        <w:rPr>
          <w:spacing w:val="-4"/>
        </w:rPr>
        <w:t> </w:t>
      </w:r>
      <w:r>
        <w:rPr/>
        <w:t>research</w:t>
      </w:r>
      <w:r>
        <w:rPr>
          <w:spacing w:val="-4"/>
        </w:rPr>
        <w:t> </w:t>
      </w:r>
      <w:r>
        <w:rPr/>
        <w:t>findings</w:t>
      </w:r>
      <w:r>
        <w:rPr>
          <w:spacing w:val="-3"/>
        </w:rPr>
        <w:t> </w:t>
      </w:r>
      <w:r>
        <w:rPr/>
        <w:t>to</w:t>
      </w:r>
      <w:r>
        <w:rPr>
          <w:spacing w:val="-3"/>
        </w:rPr>
        <w:t> </w:t>
      </w:r>
      <w:r>
        <w:rPr/>
        <w:t>inform</w:t>
      </w:r>
      <w:r>
        <w:rPr>
          <w:spacing w:val="-4"/>
        </w:rPr>
        <w:t> </w:t>
      </w:r>
      <w:r>
        <w:rPr/>
        <w:t>their</w:t>
      </w:r>
      <w:r>
        <w:rPr>
          <w:spacing w:val="-4"/>
        </w:rPr>
        <w:t> </w:t>
      </w:r>
      <w:r>
        <w:rPr/>
        <w:t>continued</w:t>
      </w:r>
      <w:r>
        <w:rPr>
          <w:spacing w:val="-4"/>
        </w:rPr>
        <w:t> </w:t>
      </w:r>
      <w:r>
        <w:rPr/>
        <w:t>work to review the current SNA scheme and make recommendations to the Minister on its future development.</w:t>
      </w:r>
    </w:p>
    <w:p>
      <w:pPr>
        <w:pStyle w:val="BodyText"/>
        <w:spacing w:before="279"/>
      </w:pPr>
    </w:p>
    <w:p>
      <w:pPr>
        <w:pStyle w:val="Heading5"/>
        <w:ind w:right="1080"/>
      </w:pPr>
      <w:r>
        <w:rPr/>
        <w:t>Submission</w:t>
      </w:r>
      <w:r>
        <w:rPr>
          <w:spacing w:val="-6"/>
        </w:rPr>
        <w:t> </w:t>
      </w:r>
      <w:r>
        <w:rPr/>
        <w:t>to</w:t>
      </w:r>
      <w:r>
        <w:rPr>
          <w:spacing w:val="-6"/>
        </w:rPr>
        <w:t> </w:t>
      </w:r>
      <w:r>
        <w:rPr/>
        <w:t>the</w:t>
      </w:r>
      <w:r>
        <w:rPr>
          <w:spacing w:val="-3"/>
        </w:rPr>
        <w:t> </w:t>
      </w:r>
      <w:r>
        <w:rPr/>
        <w:t>Department</w:t>
      </w:r>
      <w:r>
        <w:rPr>
          <w:spacing w:val="-6"/>
        </w:rPr>
        <w:t> </w:t>
      </w:r>
      <w:r>
        <w:rPr/>
        <w:t>of</w:t>
      </w:r>
      <w:r>
        <w:rPr>
          <w:spacing w:val="-5"/>
        </w:rPr>
        <w:t> </w:t>
      </w:r>
      <w:r>
        <w:rPr/>
        <w:t>Education</w:t>
      </w:r>
      <w:r>
        <w:rPr>
          <w:spacing w:val="-6"/>
        </w:rPr>
        <w:t> </w:t>
      </w:r>
      <w:r>
        <w:rPr/>
        <w:t>and</w:t>
      </w:r>
      <w:r>
        <w:rPr>
          <w:spacing w:val="-3"/>
        </w:rPr>
        <w:t> </w:t>
      </w:r>
      <w:r>
        <w:rPr/>
        <w:t>Skills’</w:t>
      </w:r>
      <w:r>
        <w:rPr>
          <w:spacing w:val="-4"/>
        </w:rPr>
        <w:t> </w:t>
      </w:r>
      <w:r>
        <w:rPr/>
        <w:t>Working Group on Nursing Supports</w:t>
      </w:r>
    </w:p>
    <w:p>
      <w:pPr>
        <w:pStyle w:val="BodyText"/>
        <w:spacing w:line="301" w:lineRule="exact" w:before="40"/>
        <w:ind w:left="1702"/>
      </w:pPr>
      <w:r>
        <w:rPr/>
        <w:t>The</w:t>
      </w:r>
      <w:r>
        <w:rPr>
          <w:spacing w:val="-10"/>
        </w:rPr>
        <w:t> </w:t>
      </w:r>
      <w:r>
        <w:rPr/>
        <w:t>National</w:t>
      </w:r>
      <w:r>
        <w:rPr>
          <w:spacing w:val="-9"/>
        </w:rPr>
        <w:t> </w:t>
      </w:r>
      <w:r>
        <w:rPr/>
        <w:t>Disability</w:t>
      </w:r>
      <w:r>
        <w:rPr>
          <w:spacing w:val="-9"/>
        </w:rPr>
        <w:t> </w:t>
      </w:r>
      <w:r>
        <w:rPr/>
        <w:t>Authority</w:t>
      </w:r>
      <w:r>
        <w:rPr>
          <w:spacing w:val="-9"/>
        </w:rPr>
        <w:t> </w:t>
      </w:r>
      <w:r>
        <w:rPr/>
        <w:t>provided</w:t>
      </w:r>
      <w:r>
        <w:rPr>
          <w:spacing w:val="-7"/>
        </w:rPr>
        <w:t> </w:t>
      </w:r>
      <w:r>
        <w:rPr/>
        <w:t>policy</w:t>
      </w:r>
      <w:r>
        <w:rPr>
          <w:spacing w:val="-10"/>
        </w:rPr>
        <w:t> </w:t>
      </w:r>
      <w:r>
        <w:rPr/>
        <w:t>advice</w:t>
      </w:r>
      <w:r>
        <w:rPr>
          <w:spacing w:val="-9"/>
        </w:rPr>
        <w:t> </w:t>
      </w:r>
      <w:r>
        <w:rPr/>
        <w:t>to</w:t>
      </w:r>
      <w:r>
        <w:rPr>
          <w:spacing w:val="-9"/>
        </w:rPr>
        <w:t> </w:t>
      </w:r>
      <w:r>
        <w:rPr>
          <w:spacing w:val="-5"/>
        </w:rPr>
        <w:t>the</w:t>
      </w:r>
    </w:p>
    <w:p>
      <w:pPr>
        <w:pStyle w:val="BodyText"/>
        <w:ind w:left="1702" w:right="988"/>
      </w:pPr>
      <w:r>
        <w:rPr/>
        <w:t>Department of Education and Skills’ Working Group on Nursing Supports. A key message in the National Disability Authority’s advice is that the concurrent</w:t>
      </w:r>
      <w:r>
        <w:rPr>
          <w:spacing w:val="-5"/>
        </w:rPr>
        <w:t> </w:t>
      </w:r>
      <w:r>
        <w:rPr/>
        <w:t>reviews</w:t>
      </w:r>
      <w:r>
        <w:rPr>
          <w:spacing w:val="-2"/>
        </w:rPr>
        <w:t> </w:t>
      </w:r>
      <w:r>
        <w:rPr/>
        <w:t>of</w:t>
      </w:r>
      <w:r>
        <w:rPr>
          <w:spacing w:val="-3"/>
        </w:rPr>
        <w:t> </w:t>
      </w:r>
      <w:r>
        <w:rPr/>
        <w:t>the</w:t>
      </w:r>
      <w:r>
        <w:rPr>
          <w:spacing w:val="-5"/>
        </w:rPr>
        <w:t> </w:t>
      </w:r>
      <w:r>
        <w:rPr/>
        <w:t>Special</w:t>
      </w:r>
      <w:r>
        <w:rPr>
          <w:spacing w:val="-2"/>
        </w:rPr>
        <w:t> </w:t>
      </w:r>
      <w:r>
        <w:rPr/>
        <w:t>Needs</w:t>
      </w:r>
      <w:r>
        <w:rPr>
          <w:spacing w:val="-4"/>
        </w:rPr>
        <w:t> </w:t>
      </w:r>
      <w:r>
        <w:rPr/>
        <w:t>Assistants</w:t>
      </w:r>
      <w:r>
        <w:rPr>
          <w:spacing w:val="-1"/>
        </w:rPr>
        <w:t> </w:t>
      </w:r>
      <w:r>
        <w:rPr/>
        <w:t>scheme</w:t>
      </w:r>
      <w:r>
        <w:rPr>
          <w:spacing w:val="-5"/>
        </w:rPr>
        <w:t> </w:t>
      </w:r>
      <w:r>
        <w:rPr/>
        <w:t>and</w:t>
      </w:r>
      <w:r>
        <w:rPr>
          <w:spacing w:val="-3"/>
        </w:rPr>
        <w:t> </w:t>
      </w:r>
      <w:r>
        <w:rPr/>
        <w:t>the</w:t>
      </w:r>
      <w:r>
        <w:rPr>
          <w:spacing w:val="-2"/>
        </w:rPr>
        <w:t> </w:t>
      </w:r>
      <w:r>
        <w:rPr/>
        <w:t>role</w:t>
      </w:r>
      <w:r>
        <w:rPr>
          <w:spacing w:val="-5"/>
        </w:rPr>
        <w:t> </w:t>
      </w:r>
      <w:r>
        <w:rPr/>
        <w:t>of Nursing Supports in schools afforded an opportunity to consider what supports are needed to support the participation of children with disabilities in schools and how can those supports best be provided rather than focusing on role of a single profession.</w:t>
      </w:r>
    </w:p>
    <w:p>
      <w:pPr>
        <w:pStyle w:val="Heading5"/>
        <w:spacing w:before="254"/>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spacing w:val="-2"/>
        </w:rPr>
        <w:t>Health</w:t>
      </w:r>
    </w:p>
    <w:p>
      <w:pPr>
        <w:spacing w:before="28"/>
        <w:ind w:left="1702" w:right="0" w:firstLine="0"/>
        <w:jc w:val="left"/>
        <w:rPr>
          <w:b/>
          <w:sz w:val="26"/>
        </w:rPr>
      </w:pPr>
      <w:r>
        <w:rPr>
          <w:b/>
          <w:sz w:val="26"/>
        </w:rPr>
        <w:t>Submissions</w:t>
      </w:r>
      <w:r>
        <w:rPr>
          <w:b/>
          <w:spacing w:val="-11"/>
          <w:sz w:val="26"/>
        </w:rPr>
        <w:t> </w:t>
      </w:r>
      <w:r>
        <w:rPr>
          <w:b/>
          <w:sz w:val="26"/>
        </w:rPr>
        <w:t>to</w:t>
      </w:r>
      <w:r>
        <w:rPr>
          <w:b/>
          <w:spacing w:val="-10"/>
          <w:sz w:val="26"/>
        </w:rPr>
        <w:t> </w:t>
      </w:r>
      <w:r>
        <w:rPr>
          <w:b/>
          <w:sz w:val="26"/>
        </w:rPr>
        <w:t>the</w:t>
      </w:r>
      <w:r>
        <w:rPr>
          <w:b/>
          <w:spacing w:val="-6"/>
          <w:sz w:val="26"/>
        </w:rPr>
        <w:t> </w:t>
      </w:r>
      <w:r>
        <w:rPr>
          <w:b/>
          <w:sz w:val="26"/>
        </w:rPr>
        <w:t>Department</w:t>
      </w:r>
      <w:r>
        <w:rPr>
          <w:b/>
          <w:spacing w:val="-10"/>
          <w:sz w:val="26"/>
        </w:rPr>
        <w:t> </w:t>
      </w:r>
      <w:r>
        <w:rPr>
          <w:b/>
          <w:sz w:val="26"/>
        </w:rPr>
        <w:t>of</w:t>
      </w:r>
      <w:r>
        <w:rPr>
          <w:b/>
          <w:spacing w:val="-7"/>
          <w:sz w:val="26"/>
        </w:rPr>
        <w:t> </w:t>
      </w:r>
      <w:r>
        <w:rPr>
          <w:b/>
          <w:spacing w:val="-2"/>
          <w:sz w:val="26"/>
        </w:rPr>
        <w:t>Health</w:t>
      </w:r>
    </w:p>
    <w:p>
      <w:pPr>
        <w:pStyle w:val="BodyText"/>
        <w:spacing w:before="239"/>
        <w:ind w:left="1702"/>
      </w:pPr>
      <w:r>
        <w:rPr/>
        <w:t>In</w:t>
      </w:r>
      <w:r>
        <w:rPr>
          <w:spacing w:val="-5"/>
        </w:rPr>
        <w:t> </w:t>
      </w:r>
      <w:r>
        <w:rPr/>
        <w:t>2017,</w:t>
      </w:r>
      <w:r>
        <w:rPr>
          <w:spacing w:val="-4"/>
        </w:rPr>
        <w:t> </w:t>
      </w:r>
      <w:r>
        <w:rPr/>
        <w:t>the</w:t>
      </w:r>
      <w:r>
        <w:rPr>
          <w:spacing w:val="-2"/>
        </w:rPr>
        <w:t> </w:t>
      </w:r>
      <w:r>
        <w:rPr/>
        <w:t>National</w:t>
      </w:r>
      <w:r>
        <w:rPr>
          <w:spacing w:val="-2"/>
        </w:rPr>
        <w:t> </w:t>
      </w:r>
      <w:r>
        <w:rPr/>
        <w:t>Disability</w:t>
      </w:r>
      <w:r>
        <w:rPr>
          <w:spacing w:val="-5"/>
        </w:rPr>
        <w:t> </w:t>
      </w:r>
      <w:r>
        <w:rPr/>
        <w:t>Authority</w:t>
      </w:r>
      <w:r>
        <w:rPr>
          <w:spacing w:val="-2"/>
        </w:rPr>
        <w:t> </w:t>
      </w:r>
      <w:r>
        <w:rPr/>
        <w:t>made</w:t>
      </w:r>
      <w:r>
        <w:rPr>
          <w:spacing w:val="-4"/>
        </w:rPr>
        <w:t> </w:t>
      </w:r>
      <w:r>
        <w:rPr/>
        <w:t>several</w:t>
      </w:r>
      <w:r>
        <w:rPr>
          <w:spacing w:val="-4"/>
        </w:rPr>
        <w:t> </w:t>
      </w:r>
      <w:r>
        <w:rPr/>
        <w:t>submissions</w:t>
      </w:r>
      <w:r>
        <w:rPr>
          <w:spacing w:val="-6"/>
        </w:rPr>
        <w:t> </w:t>
      </w:r>
      <w:r>
        <w:rPr/>
        <w:t>to</w:t>
      </w:r>
      <w:r>
        <w:rPr>
          <w:spacing w:val="-4"/>
        </w:rPr>
        <w:t> </w:t>
      </w:r>
      <w:r>
        <w:rPr/>
        <w:t>the Department of Health, as set out below.</w:t>
      </w:r>
    </w:p>
    <w:p>
      <w:pPr>
        <w:pStyle w:val="Heading5"/>
        <w:spacing w:before="239"/>
      </w:pPr>
      <w:r>
        <w:rPr/>
        <w:t>Health</w:t>
      </w:r>
      <w:r>
        <w:rPr>
          <w:spacing w:val="-12"/>
        </w:rPr>
        <w:t> </w:t>
      </w:r>
      <w:r>
        <w:rPr/>
        <w:t>Information</w:t>
      </w:r>
      <w:r>
        <w:rPr>
          <w:spacing w:val="-9"/>
        </w:rPr>
        <w:t> </w:t>
      </w:r>
      <w:r>
        <w:rPr/>
        <w:t>Policy</w:t>
      </w:r>
      <w:r>
        <w:rPr>
          <w:spacing w:val="-12"/>
        </w:rPr>
        <w:t> </w:t>
      </w:r>
      <w:r>
        <w:rPr>
          <w:spacing w:val="-2"/>
        </w:rPr>
        <w:t>Framework</w:t>
      </w:r>
    </w:p>
    <w:p>
      <w:pPr>
        <w:pStyle w:val="BodyText"/>
        <w:spacing w:before="42"/>
        <w:ind w:left="1702"/>
      </w:pPr>
      <w:r>
        <w:rPr/>
        <w:t>Key</w:t>
      </w:r>
      <w:r>
        <w:rPr>
          <w:spacing w:val="-9"/>
        </w:rPr>
        <w:t> </w:t>
      </w:r>
      <w:r>
        <w:rPr/>
        <w:t>points</w:t>
      </w:r>
      <w:r>
        <w:rPr>
          <w:spacing w:val="-8"/>
        </w:rPr>
        <w:t> </w:t>
      </w:r>
      <w:r>
        <w:rPr/>
        <w:t>raise</w:t>
      </w:r>
      <w:r>
        <w:rPr>
          <w:spacing w:val="-8"/>
        </w:rPr>
        <w:t> </w:t>
      </w:r>
      <w:r>
        <w:rPr/>
        <w:t>by</w:t>
      </w:r>
      <w:r>
        <w:rPr>
          <w:spacing w:val="-9"/>
        </w:rPr>
        <w:t> </w:t>
      </w:r>
      <w:r>
        <w:rPr/>
        <w:t>the</w:t>
      </w:r>
      <w:r>
        <w:rPr>
          <w:spacing w:val="-6"/>
        </w:rPr>
        <w:t> </w:t>
      </w:r>
      <w:r>
        <w:rPr/>
        <w:t>National</w:t>
      </w:r>
      <w:r>
        <w:rPr>
          <w:spacing w:val="-8"/>
        </w:rPr>
        <w:t> </w:t>
      </w:r>
      <w:r>
        <w:rPr/>
        <w:t>Disability</w:t>
      </w:r>
      <w:r>
        <w:rPr>
          <w:spacing w:val="-9"/>
        </w:rPr>
        <w:t> </w:t>
      </w:r>
      <w:r>
        <w:rPr/>
        <w:t>Authority,</w:t>
      </w:r>
      <w:r>
        <w:rPr>
          <w:spacing w:val="-8"/>
        </w:rPr>
        <w:t> </w:t>
      </w:r>
      <w:r>
        <w:rPr>
          <w:spacing w:val="-2"/>
        </w:rPr>
        <w:t>included:</w:t>
      </w:r>
    </w:p>
    <w:p>
      <w:pPr>
        <w:pStyle w:val="ListParagraph"/>
        <w:numPr>
          <w:ilvl w:val="0"/>
          <w:numId w:val="3"/>
        </w:numPr>
        <w:tabs>
          <w:tab w:pos="2062" w:val="left" w:leader="none"/>
        </w:tabs>
        <w:spacing w:line="240" w:lineRule="auto" w:before="121" w:after="0"/>
        <w:ind w:left="2062" w:right="1721" w:hanging="360"/>
        <w:jc w:val="left"/>
        <w:rPr>
          <w:sz w:val="26"/>
        </w:rPr>
      </w:pPr>
      <w:r>
        <w:rPr>
          <w:sz w:val="26"/>
        </w:rPr>
        <w:t>That</w:t>
      </w:r>
      <w:r>
        <w:rPr>
          <w:spacing w:val="-5"/>
          <w:sz w:val="26"/>
        </w:rPr>
        <w:t> </w:t>
      </w:r>
      <w:r>
        <w:rPr>
          <w:sz w:val="26"/>
        </w:rPr>
        <w:t>social</w:t>
      </w:r>
      <w:r>
        <w:rPr>
          <w:spacing w:val="-5"/>
          <w:sz w:val="26"/>
        </w:rPr>
        <w:t> </w:t>
      </w:r>
      <w:r>
        <w:rPr>
          <w:sz w:val="26"/>
        </w:rPr>
        <w:t>care</w:t>
      </w:r>
      <w:r>
        <w:rPr>
          <w:spacing w:val="-4"/>
          <w:sz w:val="26"/>
        </w:rPr>
        <w:t> </w:t>
      </w:r>
      <w:r>
        <w:rPr>
          <w:sz w:val="26"/>
        </w:rPr>
        <w:t>is</w:t>
      </w:r>
      <w:r>
        <w:rPr>
          <w:spacing w:val="-3"/>
          <w:sz w:val="26"/>
        </w:rPr>
        <w:t> </w:t>
      </w:r>
      <w:r>
        <w:rPr>
          <w:sz w:val="26"/>
        </w:rPr>
        <w:t>covered</w:t>
      </w:r>
      <w:r>
        <w:rPr>
          <w:spacing w:val="-5"/>
          <w:sz w:val="26"/>
        </w:rPr>
        <w:t> </w:t>
      </w:r>
      <w:r>
        <w:rPr>
          <w:sz w:val="26"/>
        </w:rPr>
        <w:t>by</w:t>
      </w:r>
      <w:r>
        <w:rPr>
          <w:spacing w:val="-5"/>
          <w:sz w:val="26"/>
        </w:rPr>
        <w:t> </w:t>
      </w:r>
      <w:r>
        <w:rPr>
          <w:sz w:val="26"/>
        </w:rPr>
        <w:t>any</w:t>
      </w:r>
      <w:r>
        <w:rPr>
          <w:spacing w:val="-5"/>
          <w:sz w:val="26"/>
        </w:rPr>
        <w:t> </w:t>
      </w:r>
      <w:r>
        <w:rPr>
          <w:sz w:val="26"/>
        </w:rPr>
        <w:t>new Health</w:t>
      </w:r>
      <w:r>
        <w:rPr>
          <w:spacing w:val="-5"/>
          <w:sz w:val="26"/>
        </w:rPr>
        <w:t> </w:t>
      </w:r>
      <w:r>
        <w:rPr>
          <w:sz w:val="26"/>
        </w:rPr>
        <w:t>Information</w:t>
      </w:r>
      <w:r>
        <w:rPr>
          <w:spacing w:val="-5"/>
          <w:sz w:val="26"/>
        </w:rPr>
        <w:t> </w:t>
      </w:r>
      <w:r>
        <w:rPr>
          <w:sz w:val="26"/>
        </w:rPr>
        <w:t>Policy </w:t>
      </w:r>
      <w:r>
        <w:rPr>
          <w:spacing w:val="-2"/>
          <w:sz w:val="26"/>
        </w:rPr>
        <w:t>Framework</w:t>
      </w:r>
    </w:p>
    <w:p>
      <w:pPr>
        <w:pStyle w:val="ListParagraph"/>
        <w:numPr>
          <w:ilvl w:val="0"/>
          <w:numId w:val="3"/>
        </w:numPr>
        <w:tabs>
          <w:tab w:pos="2062" w:val="left" w:leader="none"/>
        </w:tabs>
        <w:spacing w:line="240" w:lineRule="auto" w:before="0" w:after="0"/>
        <w:ind w:left="2062" w:right="1041" w:hanging="360"/>
        <w:jc w:val="left"/>
        <w:rPr>
          <w:sz w:val="26"/>
        </w:rPr>
      </w:pPr>
      <w:r>
        <w:rPr>
          <w:sz w:val="26"/>
        </w:rPr>
        <w:t>That accessibility of consent material and consent processes is critical. Specifically the submission referenced the National Disability Authority’s</w:t>
      </w:r>
      <w:r>
        <w:rPr>
          <w:spacing w:val="-5"/>
          <w:sz w:val="26"/>
        </w:rPr>
        <w:t> </w:t>
      </w:r>
      <w:r>
        <w:rPr>
          <w:sz w:val="26"/>
        </w:rPr>
        <w:t>‘Ethical</w:t>
      </w:r>
      <w:r>
        <w:rPr>
          <w:spacing w:val="-5"/>
          <w:sz w:val="26"/>
        </w:rPr>
        <w:t> </w:t>
      </w:r>
      <w:r>
        <w:rPr>
          <w:sz w:val="26"/>
        </w:rPr>
        <w:t>Guidance</w:t>
      </w:r>
      <w:r>
        <w:rPr>
          <w:spacing w:val="-6"/>
          <w:sz w:val="26"/>
        </w:rPr>
        <w:t> </w:t>
      </w:r>
      <w:r>
        <w:rPr>
          <w:sz w:val="26"/>
        </w:rPr>
        <w:t>for</w:t>
      </w:r>
      <w:r>
        <w:rPr>
          <w:spacing w:val="-6"/>
          <w:sz w:val="26"/>
        </w:rPr>
        <w:t> </w:t>
      </w:r>
      <w:r>
        <w:rPr>
          <w:sz w:val="26"/>
        </w:rPr>
        <w:t>Research</w:t>
      </w:r>
      <w:r>
        <w:rPr>
          <w:spacing w:val="-6"/>
          <w:sz w:val="26"/>
        </w:rPr>
        <w:t> </w:t>
      </w:r>
      <w:r>
        <w:rPr>
          <w:sz w:val="26"/>
        </w:rPr>
        <w:t>with</w:t>
      </w:r>
      <w:r>
        <w:rPr>
          <w:spacing w:val="-6"/>
          <w:sz w:val="26"/>
        </w:rPr>
        <w:t> </w:t>
      </w:r>
      <w:r>
        <w:rPr>
          <w:sz w:val="26"/>
        </w:rPr>
        <w:t>People</w:t>
      </w:r>
      <w:r>
        <w:rPr>
          <w:spacing w:val="-6"/>
          <w:sz w:val="26"/>
        </w:rPr>
        <w:t> </w:t>
      </w:r>
      <w:r>
        <w:rPr>
          <w:sz w:val="26"/>
        </w:rPr>
        <w:t>with</w:t>
      </w:r>
      <w:r>
        <w:rPr>
          <w:spacing w:val="-6"/>
          <w:sz w:val="26"/>
        </w:rPr>
        <w:t> </w:t>
      </w:r>
      <w:r>
        <w:rPr>
          <w:sz w:val="26"/>
        </w:rPr>
        <w:t>Disabilities</w:t>
      </w:r>
    </w:p>
    <w:p>
      <w:pPr>
        <w:pStyle w:val="BodyText"/>
        <w:ind w:left="2062" w:right="988"/>
      </w:pPr>
      <w:r>
        <w:rPr/>
        <w:t>(2009)’,</w:t>
      </w:r>
      <w:r>
        <w:rPr>
          <w:spacing w:val="-4"/>
        </w:rPr>
        <w:t> </w:t>
      </w:r>
      <w:r>
        <w:rPr/>
        <w:t>which</w:t>
      </w:r>
      <w:r>
        <w:rPr>
          <w:spacing w:val="-5"/>
        </w:rPr>
        <w:t> </w:t>
      </w:r>
      <w:r>
        <w:rPr/>
        <w:t>describes</w:t>
      </w:r>
      <w:r>
        <w:rPr>
          <w:spacing w:val="-4"/>
        </w:rPr>
        <w:t> </w:t>
      </w:r>
      <w:r>
        <w:rPr/>
        <w:t>an</w:t>
      </w:r>
      <w:r>
        <w:rPr>
          <w:spacing w:val="-5"/>
        </w:rPr>
        <w:t> </w:t>
      </w:r>
      <w:r>
        <w:rPr/>
        <w:t>ongoing</w:t>
      </w:r>
      <w:r>
        <w:rPr>
          <w:spacing w:val="-5"/>
        </w:rPr>
        <w:t> </w:t>
      </w:r>
      <w:r>
        <w:rPr/>
        <w:t>process</w:t>
      </w:r>
      <w:r>
        <w:rPr>
          <w:spacing w:val="-4"/>
        </w:rPr>
        <w:t> </w:t>
      </w:r>
      <w:r>
        <w:rPr/>
        <w:t>for</w:t>
      </w:r>
      <w:r>
        <w:rPr>
          <w:spacing w:val="-1"/>
        </w:rPr>
        <w:t> </w:t>
      </w:r>
      <w:r>
        <w:rPr/>
        <w:t>voluntary</w:t>
      </w:r>
      <w:r>
        <w:rPr>
          <w:spacing w:val="-5"/>
        </w:rPr>
        <w:t> </w:t>
      </w:r>
      <w:r>
        <w:rPr/>
        <w:t>and</w:t>
      </w:r>
      <w:r>
        <w:rPr>
          <w:spacing w:val="-5"/>
        </w:rPr>
        <w:t> </w:t>
      </w:r>
      <w:r>
        <w:rPr/>
        <w:t>informed </w:t>
      </w:r>
      <w:r>
        <w:rPr>
          <w:spacing w:val="-2"/>
        </w:rPr>
        <w:t>consent</w:t>
      </w:r>
    </w:p>
    <w:p>
      <w:pPr>
        <w:pStyle w:val="ListParagraph"/>
        <w:numPr>
          <w:ilvl w:val="0"/>
          <w:numId w:val="3"/>
        </w:numPr>
        <w:tabs>
          <w:tab w:pos="2062" w:val="left" w:leader="none"/>
        </w:tabs>
        <w:spacing w:line="240" w:lineRule="auto" w:before="0" w:after="0"/>
        <w:ind w:left="2062" w:right="1064" w:hanging="360"/>
        <w:jc w:val="left"/>
        <w:rPr>
          <w:sz w:val="26"/>
        </w:rPr>
      </w:pPr>
      <w:r>
        <w:rPr>
          <w:sz w:val="26"/>
        </w:rPr>
        <w:t>That</w:t>
      </w:r>
      <w:r>
        <w:rPr>
          <w:spacing w:val="-5"/>
          <w:sz w:val="26"/>
        </w:rPr>
        <w:t> </w:t>
      </w:r>
      <w:r>
        <w:rPr>
          <w:sz w:val="26"/>
        </w:rPr>
        <w:t>there</w:t>
      </w:r>
      <w:r>
        <w:rPr>
          <w:spacing w:val="-5"/>
          <w:sz w:val="26"/>
        </w:rPr>
        <w:t> </w:t>
      </w:r>
      <w:r>
        <w:rPr>
          <w:sz w:val="26"/>
        </w:rPr>
        <w:t>is</w:t>
      </w:r>
      <w:r>
        <w:rPr>
          <w:spacing w:val="-4"/>
          <w:sz w:val="26"/>
        </w:rPr>
        <w:t> </w:t>
      </w:r>
      <w:r>
        <w:rPr>
          <w:sz w:val="26"/>
        </w:rPr>
        <w:t>a</w:t>
      </w:r>
      <w:r>
        <w:rPr>
          <w:spacing w:val="-5"/>
          <w:sz w:val="26"/>
        </w:rPr>
        <w:t> </w:t>
      </w:r>
      <w:r>
        <w:rPr>
          <w:sz w:val="26"/>
        </w:rPr>
        <w:t>need</w:t>
      </w:r>
      <w:r>
        <w:rPr>
          <w:spacing w:val="-5"/>
          <w:sz w:val="26"/>
        </w:rPr>
        <w:t> </w:t>
      </w:r>
      <w:r>
        <w:rPr>
          <w:sz w:val="26"/>
        </w:rPr>
        <w:t>to</w:t>
      </w:r>
      <w:r>
        <w:rPr>
          <w:spacing w:val="-2"/>
          <w:sz w:val="26"/>
        </w:rPr>
        <w:t> </w:t>
      </w:r>
      <w:r>
        <w:rPr>
          <w:sz w:val="26"/>
        </w:rPr>
        <w:t>legally</w:t>
      </w:r>
      <w:r>
        <w:rPr>
          <w:spacing w:val="-5"/>
          <w:sz w:val="26"/>
        </w:rPr>
        <w:t> </w:t>
      </w:r>
      <w:r>
        <w:rPr>
          <w:sz w:val="26"/>
        </w:rPr>
        <w:t>define</w:t>
      </w:r>
      <w:r>
        <w:rPr>
          <w:spacing w:val="-1"/>
          <w:sz w:val="26"/>
        </w:rPr>
        <w:t> </w:t>
      </w:r>
      <w:r>
        <w:rPr>
          <w:sz w:val="26"/>
        </w:rPr>
        <w:t>“sensitive</w:t>
      </w:r>
      <w:r>
        <w:rPr>
          <w:spacing w:val="-5"/>
          <w:sz w:val="26"/>
        </w:rPr>
        <w:t> </w:t>
      </w:r>
      <w:r>
        <w:rPr>
          <w:sz w:val="26"/>
        </w:rPr>
        <w:t>personal</w:t>
      </w:r>
      <w:r>
        <w:rPr>
          <w:spacing w:val="-5"/>
          <w:sz w:val="26"/>
        </w:rPr>
        <w:t> </w:t>
      </w:r>
      <w:r>
        <w:rPr>
          <w:sz w:val="26"/>
        </w:rPr>
        <w:t>data”,</w:t>
      </w:r>
      <w:r>
        <w:rPr>
          <w:spacing w:val="-1"/>
          <w:sz w:val="26"/>
        </w:rPr>
        <w:t> </w:t>
      </w:r>
      <w:r>
        <w:rPr>
          <w:sz w:val="26"/>
        </w:rPr>
        <w:t>“explicit consent” and “scientific research”</w:t>
      </w:r>
    </w:p>
    <w:p>
      <w:pPr>
        <w:pStyle w:val="Heading5"/>
        <w:spacing w:before="239"/>
      </w:pPr>
      <w:r>
        <w:rPr/>
        <w:t>Healthy</w:t>
      </w:r>
      <w:r>
        <w:rPr>
          <w:spacing w:val="-12"/>
        </w:rPr>
        <w:t> </w:t>
      </w:r>
      <w:r>
        <w:rPr/>
        <w:t>Workplace</w:t>
      </w:r>
      <w:r>
        <w:rPr>
          <w:spacing w:val="-10"/>
        </w:rPr>
        <w:t> </w:t>
      </w:r>
      <w:r>
        <w:rPr/>
        <w:t>Framework</w:t>
      </w:r>
      <w:r>
        <w:rPr>
          <w:spacing w:val="-12"/>
        </w:rPr>
        <w:t> </w:t>
      </w:r>
      <w:r>
        <w:rPr/>
        <w:t>for</w:t>
      </w:r>
      <w:r>
        <w:rPr>
          <w:spacing w:val="-13"/>
        </w:rPr>
        <w:t> </w:t>
      </w:r>
      <w:r>
        <w:rPr>
          <w:spacing w:val="-2"/>
        </w:rPr>
        <w:t>Ireland</w:t>
      </w:r>
    </w:p>
    <w:p>
      <w:pPr>
        <w:pStyle w:val="BodyText"/>
        <w:spacing w:before="41"/>
        <w:ind w:left="1702"/>
      </w:pPr>
      <w:r>
        <w:rPr/>
        <w:t>Key</w:t>
      </w:r>
      <w:r>
        <w:rPr>
          <w:spacing w:val="-7"/>
        </w:rPr>
        <w:t> </w:t>
      </w:r>
      <w:r>
        <w:rPr/>
        <w:t>points</w:t>
      </w:r>
      <w:r>
        <w:rPr>
          <w:spacing w:val="-6"/>
        </w:rPr>
        <w:t> </w:t>
      </w:r>
      <w:r>
        <w:rPr/>
        <w:t>made</w:t>
      </w:r>
      <w:r>
        <w:rPr>
          <w:spacing w:val="-7"/>
        </w:rPr>
        <w:t> </w:t>
      </w:r>
      <w:r>
        <w:rPr>
          <w:spacing w:val="-2"/>
        </w:rPr>
        <w:t>included:</w:t>
      </w:r>
    </w:p>
    <w:p>
      <w:pPr>
        <w:pStyle w:val="ListParagraph"/>
        <w:numPr>
          <w:ilvl w:val="0"/>
          <w:numId w:val="3"/>
        </w:numPr>
        <w:tabs>
          <w:tab w:pos="2062" w:val="left" w:leader="none"/>
        </w:tabs>
        <w:spacing w:line="240" w:lineRule="auto" w:before="119" w:after="0"/>
        <w:ind w:left="2062" w:right="1117" w:hanging="360"/>
        <w:jc w:val="left"/>
        <w:rPr>
          <w:sz w:val="26"/>
        </w:rPr>
      </w:pPr>
      <w:r>
        <w:rPr>
          <w:sz w:val="26"/>
        </w:rPr>
        <w:t>That</w:t>
      </w:r>
      <w:r>
        <w:rPr>
          <w:spacing w:val="-6"/>
          <w:sz w:val="26"/>
        </w:rPr>
        <w:t> </w:t>
      </w:r>
      <w:r>
        <w:rPr>
          <w:sz w:val="26"/>
        </w:rPr>
        <w:t>an</w:t>
      </w:r>
      <w:r>
        <w:rPr>
          <w:spacing w:val="-4"/>
          <w:sz w:val="26"/>
        </w:rPr>
        <w:t> </w:t>
      </w:r>
      <w:r>
        <w:rPr>
          <w:sz w:val="26"/>
        </w:rPr>
        <w:t>important</w:t>
      </w:r>
      <w:r>
        <w:rPr>
          <w:spacing w:val="-3"/>
          <w:sz w:val="26"/>
        </w:rPr>
        <w:t> </w:t>
      </w:r>
      <w:r>
        <w:rPr>
          <w:sz w:val="26"/>
        </w:rPr>
        <w:t>characteristic</w:t>
      </w:r>
      <w:r>
        <w:rPr>
          <w:spacing w:val="-6"/>
          <w:sz w:val="26"/>
        </w:rPr>
        <w:t> </w:t>
      </w:r>
      <w:r>
        <w:rPr>
          <w:sz w:val="26"/>
        </w:rPr>
        <w:t>of</w:t>
      </w:r>
      <w:r>
        <w:rPr>
          <w:spacing w:val="-6"/>
          <w:sz w:val="26"/>
        </w:rPr>
        <w:t> </w:t>
      </w:r>
      <w:r>
        <w:rPr>
          <w:sz w:val="26"/>
        </w:rPr>
        <w:t>a</w:t>
      </w:r>
      <w:r>
        <w:rPr>
          <w:spacing w:val="-3"/>
          <w:sz w:val="26"/>
        </w:rPr>
        <w:t> </w:t>
      </w:r>
      <w:r>
        <w:rPr>
          <w:sz w:val="26"/>
        </w:rPr>
        <w:t>‘healthy</w:t>
      </w:r>
      <w:r>
        <w:rPr>
          <w:spacing w:val="-4"/>
          <w:sz w:val="26"/>
        </w:rPr>
        <w:t> </w:t>
      </w:r>
      <w:r>
        <w:rPr>
          <w:sz w:val="26"/>
        </w:rPr>
        <w:t>workplace’</w:t>
      </w:r>
      <w:r>
        <w:rPr>
          <w:spacing w:val="-4"/>
          <w:sz w:val="26"/>
        </w:rPr>
        <w:t> </w:t>
      </w:r>
      <w:r>
        <w:rPr>
          <w:sz w:val="26"/>
        </w:rPr>
        <w:t>as</w:t>
      </w:r>
      <w:r>
        <w:rPr>
          <w:spacing w:val="-6"/>
          <w:sz w:val="26"/>
        </w:rPr>
        <w:t> </w:t>
      </w:r>
      <w:r>
        <w:rPr>
          <w:sz w:val="26"/>
        </w:rPr>
        <w:t>highlighted by the World Health Organisation, is its openness, accessibility and accommodation of people of differing abilities</w:t>
      </w:r>
    </w:p>
    <w:p>
      <w:pPr>
        <w:pStyle w:val="ListParagraph"/>
        <w:numPr>
          <w:ilvl w:val="0"/>
          <w:numId w:val="3"/>
        </w:numPr>
        <w:tabs>
          <w:tab w:pos="2062" w:val="left" w:leader="none"/>
        </w:tabs>
        <w:spacing w:line="240" w:lineRule="auto" w:before="0" w:after="0"/>
        <w:ind w:left="2062" w:right="1403" w:hanging="360"/>
        <w:jc w:val="left"/>
        <w:rPr>
          <w:sz w:val="26"/>
        </w:rPr>
      </w:pPr>
      <w:r>
        <w:rPr>
          <w:sz w:val="26"/>
        </w:rPr>
        <w:t>That</w:t>
      </w:r>
      <w:r>
        <w:rPr>
          <w:spacing w:val="-3"/>
          <w:sz w:val="26"/>
        </w:rPr>
        <w:t> </w:t>
      </w:r>
      <w:r>
        <w:rPr>
          <w:sz w:val="26"/>
        </w:rPr>
        <w:t>material</w:t>
      </w:r>
      <w:r>
        <w:rPr>
          <w:spacing w:val="-5"/>
          <w:sz w:val="26"/>
        </w:rPr>
        <w:t> </w:t>
      </w:r>
      <w:r>
        <w:rPr>
          <w:sz w:val="26"/>
        </w:rPr>
        <w:t>on</w:t>
      </w:r>
      <w:r>
        <w:rPr>
          <w:spacing w:val="-5"/>
          <w:sz w:val="26"/>
        </w:rPr>
        <w:t> </w:t>
      </w:r>
      <w:r>
        <w:rPr>
          <w:sz w:val="26"/>
        </w:rPr>
        <w:t>the</w:t>
      </w:r>
      <w:r>
        <w:rPr>
          <w:spacing w:val="-3"/>
          <w:sz w:val="26"/>
        </w:rPr>
        <w:t> </w:t>
      </w:r>
      <w:r>
        <w:rPr>
          <w:sz w:val="26"/>
        </w:rPr>
        <w:t>Healthy</w:t>
      </w:r>
      <w:r>
        <w:rPr>
          <w:spacing w:val="-5"/>
          <w:sz w:val="26"/>
        </w:rPr>
        <w:t> </w:t>
      </w:r>
      <w:r>
        <w:rPr>
          <w:sz w:val="26"/>
        </w:rPr>
        <w:t>Workplace</w:t>
      </w:r>
      <w:r>
        <w:rPr>
          <w:spacing w:val="-5"/>
          <w:sz w:val="26"/>
        </w:rPr>
        <w:t> </w:t>
      </w:r>
      <w:r>
        <w:rPr>
          <w:sz w:val="26"/>
        </w:rPr>
        <w:t>Framework</w:t>
      </w:r>
      <w:r>
        <w:rPr>
          <w:spacing w:val="-1"/>
          <w:sz w:val="26"/>
        </w:rPr>
        <w:t> </w:t>
      </w:r>
      <w:r>
        <w:rPr>
          <w:sz w:val="26"/>
        </w:rPr>
        <w:t>is</w:t>
      </w:r>
      <w:r>
        <w:rPr>
          <w:spacing w:val="-4"/>
          <w:sz w:val="26"/>
        </w:rPr>
        <w:t> </w:t>
      </w:r>
      <w:r>
        <w:rPr>
          <w:sz w:val="26"/>
        </w:rPr>
        <w:t>produced</w:t>
      </w:r>
      <w:r>
        <w:rPr>
          <w:spacing w:val="-5"/>
          <w:sz w:val="26"/>
        </w:rPr>
        <w:t> </w:t>
      </w:r>
      <w:r>
        <w:rPr>
          <w:sz w:val="26"/>
        </w:rPr>
        <w:t>in accessible formats</w:t>
      </w:r>
    </w:p>
    <w:p>
      <w:pPr>
        <w:pStyle w:val="ListParagraph"/>
        <w:spacing w:after="0" w:line="240" w:lineRule="auto"/>
        <w:jc w:val="left"/>
        <w:rPr>
          <w:sz w:val="26"/>
        </w:rPr>
        <w:sectPr>
          <w:pgSz w:w="11910" w:h="16850"/>
          <w:pgMar w:header="0" w:footer="811" w:top="1880" w:bottom="1000" w:left="283" w:right="992"/>
        </w:sectPr>
      </w:pPr>
    </w:p>
    <w:p>
      <w:pPr>
        <w:pStyle w:val="ListParagraph"/>
        <w:numPr>
          <w:ilvl w:val="0"/>
          <w:numId w:val="3"/>
        </w:numPr>
        <w:tabs>
          <w:tab w:pos="2062" w:val="left" w:leader="none"/>
        </w:tabs>
        <w:spacing w:line="240" w:lineRule="auto" w:before="79" w:after="0"/>
        <w:ind w:left="2062" w:right="1404" w:hanging="360"/>
        <w:jc w:val="left"/>
        <w:rPr>
          <w:sz w:val="26"/>
        </w:rPr>
      </w:pPr>
      <w:r>
        <w:rPr>
          <w:sz w:val="26"/>
        </w:rPr>
        <w:t>That</w:t>
      </w:r>
      <w:r>
        <w:rPr>
          <w:spacing w:val="-5"/>
          <w:sz w:val="26"/>
        </w:rPr>
        <w:t> </w:t>
      </w:r>
      <w:r>
        <w:rPr>
          <w:sz w:val="26"/>
        </w:rPr>
        <w:t>part</w:t>
      </w:r>
      <w:r>
        <w:rPr>
          <w:spacing w:val="-3"/>
          <w:sz w:val="26"/>
        </w:rPr>
        <w:t> </w:t>
      </w:r>
      <w:r>
        <w:rPr>
          <w:sz w:val="26"/>
        </w:rPr>
        <w:t>of</w:t>
      </w:r>
      <w:r>
        <w:rPr>
          <w:spacing w:val="-5"/>
          <w:sz w:val="26"/>
        </w:rPr>
        <w:t> </w:t>
      </w:r>
      <w:r>
        <w:rPr>
          <w:sz w:val="26"/>
        </w:rPr>
        <w:t>the</w:t>
      </w:r>
      <w:r>
        <w:rPr>
          <w:spacing w:val="-3"/>
          <w:sz w:val="26"/>
        </w:rPr>
        <w:t> </w:t>
      </w:r>
      <w:r>
        <w:rPr>
          <w:sz w:val="26"/>
        </w:rPr>
        <w:t>Healthy</w:t>
      </w:r>
      <w:r>
        <w:rPr>
          <w:spacing w:val="-5"/>
          <w:sz w:val="26"/>
        </w:rPr>
        <w:t> </w:t>
      </w:r>
      <w:r>
        <w:rPr>
          <w:sz w:val="26"/>
        </w:rPr>
        <w:t>Workplace</w:t>
      </w:r>
      <w:r>
        <w:rPr>
          <w:spacing w:val="-5"/>
          <w:sz w:val="26"/>
        </w:rPr>
        <w:t> </w:t>
      </w:r>
      <w:r>
        <w:rPr>
          <w:sz w:val="26"/>
        </w:rPr>
        <w:t>Framework</w:t>
      </w:r>
      <w:r>
        <w:rPr>
          <w:spacing w:val="-1"/>
          <w:sz w:val="26"/>
        </w:rPr>
        <w:t> </w:t>
      </w:r>
      <w:r>
        <w:rPr>
          <w:sz w:val="26"/>
        </w:rPr>
        <w:t>should</w:t>
      </w:r>
      <w:r>
        <w:rPr>
          <w:spacing w:val="-5"/>
          <w:sz w:val="26"/>
        </w:rPr>
        <w:t> </w:t>
      </w:r>
      <w:r>
        <w:rPr>
          <w:sz w:val="26"/>
        </w:rPr>
        <w:t>address</w:t>
      </w:r>
      <w:r>
        <w:rPr>
          <w:spacing w:val="-4"/>
          <w:sz w:val="26"/>
        </w:rPr>
        <w:t> </w:t>
      </w:r>
      <w:r>
        <w:rPr>
          <w:sz w:val="26"/>
        </w:rPr>
        <w:t>the issues of the need to support people with an acquired disability or chronic disease to return to work</w:t>
      </w:r>
    </w:p>
    <w:p>
      <w:pPr>
        <w:pStyle w:val="ListParagraph"/>
        <w:numPr>
          <w:ilvl w:val="0"/>
          <w:numId w:val="3"/>
        </w:numPr>
        <w:tabs>
          <w:tab w:pos="2062" w:val="left" w:leader="none"/>
        </w:tabs>
        <w:spacing w:line="240" w:lineRule="auto" w:before="0" w:after="0"/>
        <w:ind w:left="2062" w:right="1499" w:hanging="360"/>
        <w:jc w:val="left"/>
        <w:rPr>
          <w:sz w:val="26"/>
        </w:rPr>
      </w:pPr>
      <w:r>
        <w:rPr>
          <w:sz w:val="26"/>
        </w:rPr>
        <w:t>That</w:t>
      </w:r>
      <w:r>
        <w:rPr>
          <w:spacing w:val="-5"/>
          <w:sz w:val="26"/>
        </w:rPr>
        <w:t> </w:t>
      </w:r>
      <w:r>
        <w:rPr>
          <w:sz w:val="26"/>
        </w:rPr>
        <w:t>part</w:t>
      </w:r>
      <w:r>
        <w:rPr>
          <w:spacing w:val="-2"/>
          <w:sz w:val="26"/>
        </w:rPr>
        <w:t> </w:t>
      </w:r>
      <w:r>
        <w:rPr>
          <w:sz w:val="26"/>
        </w:rPr>
        <w:t>of</w:t>
      </w:r>
      <w:r>
        <w:rPr>
          <w:spacing w:val="-5"/>
          <w:sz w:val="26"/>
        </w:rPr>
        <w:t> </w:t>
      </w:r>
      <w:r>
        <w:rPr>
          <w:sz w:val="26"/>
        </w:rPr>
        <w:t>the</w:t>
      </w:r>
      <w:r>
        <w:rPr>
          <w:spacing w:val="-3"/>
          <w:sz w:val="26"/>
        </w:rPr>
        <w:t> </w:t>
      </w:r>
      <w:r>
        <w:rPr>
          <w:sz w:val="26"/>
        </w:rPr>
        <w:t>Healthy</w:t>
      </w:r>
      <w:r>
        <w:rPr>
          <w:spacing w:val="-5"/>
          <w:sz w:val="26"/>
        </w:rPr>
        <w:t> </w:t>
      </w:r>
      <w:r>
        <w:rPr>
          <w:sz w:val="26"/>
        </w:rPr>
        <w:t>Workplace</w:t>
      </w:r>
      <w:r>
        <w:rPr>
          <w:spacing w:val="-5"/>
          <w:sz w:val="26"/>
        </w:rPr>
        <w:t> </w:t>
      </w:r>
      <w:r>
        <w:rPr>
          <w:sz w:val="26"/>
        </w:rPr>
        <w:t>Framework</w:t>
      </w:r>
      <w:r>
        <w:rPr>
          <w:spacing w:val="40"/>
          <w:sz w:val="26"/>
        </w:rPr>
        <w:t> </w:t>
      </w:r>
      <w:r>
        <w:rPr>
          <w:sz w:val="26"/>
        </w:rPr>
        <w:t>should</w:t>
      </w:r>
      <w:r>
        <w:rPr>
          <w:spacing w:val="-5"/>
          <w:sz w:val="26"/>
        </w:rPr>
        <w:t> </w:t>
      </w:r>
      <w:r>
        <w:rPr>
          <w:sz w:val="26"/>
        </w:rPr>
        <w:t>be</w:t>
      </w:r>
      <w:r>
        <w:rPr>
          <w:spacing w:val="-5"/>
          <w:sz w:val="26"/>
        </w:rPr>
        <w:t> </w:t>
      </w:r>
      <w:r>
        <w:rPr>
          <w:sz w:val="26"/>
        </w:rPr>
        <w:t>aligned with the Comprehensive Employment Strategy for People with Disabilities 2015-2024</w:t>
      </w:r>
    </w:p>
    <w:p>
      <w:pPr>
        <w:pStyle w:val="Heading5"/>
        <w:spacing w:before="238"/>
        <w:ind w:right="988"/>
      </w:pPr>
      <w:r>
        <w:rPr/>
        <w:t>Developing</w:t>
      </w:r>
      <w:r>
        <w:rPr>
          <w:spacing w:val="-5"/>
        </w:rPr>
        <w:t> </w:t>
      </w:r>
      <w:r>
        <w:rPr/>
        <w:t>a</w:t>
      </w:r>
      <w:r>
        <w:rPr>
          <w:spacing w:val="-4"/>
        </w:rPr>
        <w:t> </w:t>
      </w:r>
      <w:r>
        <w:rPr/>
        <w:t>community</w:t>
      </w:r>
      <w:r>
        <w:rPr>
          <w:spacing w:val="-6"/>
        </w:rPr>
        <w:t> </w:t>
      </w:r>
      <w:r>
        <w:rPr/>
        <w:t>nursing</w:t>
      </w:r>
      <w:r>
        <w:rPr>
          <w:spacing w:val="-5"/>
        </w:rPr>
        <w:t> </w:t>
      </w:r>
      <w:r>
        <w:rPr/>
        <w:t>and</w:t>
      </w:r>
      <w:r>
        <w:rPr>
          <w:spacing w:val="-3"/>
        </w:rPr>
        <w:t> </w:t>
      </w:r>
      <w:r>
        <w:rPr/>
        <w:t>midwifery</w:t>
      </w:r>
      <w:r>
        <w:rPr>
          <w:spacing w:val="-6"/>
        </w:rPr>
        <w:t> </w:t>
      </w:r>
      <w:r>
        <w:rPr/>
        <w:t>response</w:t>
      </w:r>
      <w:r>
        <w:rPr>
          <w:spacing w:val="-6"/>
        </w:rPr>
        <w:t> </w:t>
      </w:r>
      <w:r>
        <w:rPr/>
        <w:t>to</w:t>
      </w:r>
      <w:r>
        <w:rPr>
          <w:spacing w:val="-4"/>
        </w:rPr>
        <w:t> </w:t>
      </w:r>
      <w:r>
        <w:rPr/>
        <w:t>an integrated model of care and developing a policy for graduate, specialist and advanced nursing and midwifery practice</w:t>
      </w:r>
    </w:p>
    <w:p>
      <w:pPr>
        <w:pStyle w:val="BodyText"/>
        <w:spacing w:before="41"/>
        <w:ind w:left="1702" w:right="988"/>
      </w:pPr>
      <w:r>
        <w:rPr/>
        <w:t>Key</w:t>
      </w:r>
      <w:r>
        <w:rPr>
          <w:spacing w:val="-4"/>
        </w:rPr>
        <w:t> </w:t>
      </w:r>
      <w:r>
        <w:rPr/>
        <w:t>points</w:t>
      </w:r>
      <w:r>
        <w:rPr>
          <w:spacing w:val="-3"/>
        </w:rPr>
        <w:t> </w:t>
      </w:r>
      <w:r>
        <w:rPr/>
        <w:t>made</w:t>
      </w:r>
      <w:r>
        <w:rPr>
          <w:spacing w:val="-4"/>
        </w:rPr>
        <w:t> </w:t>
      </w:r>
      <w:r>
        <w:rPr/>
        <w:t>by</w:t>
      </w:r>
      <w:r>
        <w:rPr>
          <w:spacing w:val="-4"/>
        </w:rPr>
        <w:t> </w:t>
      </w:r>
      <w:r>
        <w:rPr/>
        <w:t>the</w:t>
      </w:r>
      <w:r>
        <w:rPr>
          <w:spacing w:val="-4"/>
        </w:rPr>
        <w:t> </w:t>
      </w:r>
      <w:r>
        <w:rPr/>
        <w:t>National</w:t>
      </w:r>
      <w:r>
        <w:rPr>
          <w:spacing w:val="-4"/>
        </w:rPr>
        <w:t> </w:t>
      </w:r>
      <w:r>
        <w:rPr/>
        <w:t>Disability</w:t>
      </w:r>
      <w:r>
        <w:rPr>
          <w:spacing w:val="-4"/>
        </w:rPr>
        <w:t> </w:t>
      </w:r>
      <w:r>
        <w:rPr/>
        <w:t>Authority</w:t>
      </w:r>
      <w:r>
        <w:rPr>
          <w:spacing w:val="-4"/>
        </w:rPr>
        <w:t> </w:t>
      </w:r>
      <w:r>
        <w:rPr/>
        <w:t>in</w:t>
      </w:r>
      <w:r>
        <w:rPr>
          <w:spacing w:val="-4"/>
        </w:rPr>
        <w:t> </w:t>
      </w:r>
      <w:r>
        <w:rPr/>
        <w:t>these</w:t>
      </w:r>
      <w:r>
        <w:rPr>
          <w:spacing w:val="-4"/>
        </w:rPr>
        <w:t> </w:t>
      </w:r>
      <w:r>
        <w:rPr/>
        <w:t>submissions, </w:t>
      </w:r>
      <w:r>
        <w:rPr>
          <w:spacing w:val="-2"/>
        </w:rPr>
        <w:t>included:</w:t>
      </w:r>
    </w:p>
    <w:p>
      <w:pPr>
        <w:pStyle w:val="ListParagraph"/>
        <w:numPr>
          <w:ilvl w:val="0"/>
          <w:numId w:val="3"/>
        </w:numPr>
        <w:tabs>
          <w:tab w:pos="2062" w:val="left" w:leader="none"/>
        </w:tabs>
        <w:spacing w:line="240" w:lineRule="auto" w:before="120" w:after="0"/>
        <w:ind w:left="2062" w:right="1231" w:hanging="360"/>
        <w:jc w:val="left"/>
        <w:rPr>
          <w:sz w:val="26"/>
        </w:rPr>
      </w:pPr>
      <w:r>
        <w:rPr>
          <w:sz w:val="26"/>
        </w:rPr>
        <w:t>That</w:t>
      </w:r>
      <w:r>
        <w:rPr>
          <w:spacing w:val="-5"/>
          <w:sz w:val="26"/>
        </w:rPr>
        <w:t> </w:t>
      </w:r>
      <w:r>
        <w:rPr>
          <w:sz w:val="26"/>
        </w:rPr>
        <w:t>all</w:t>
      </w:r>
      <w:r>
        <w:rPr>
          <w:spacing w:val="-4"/>
          <w:sz w:val="26"/>
        </w:rPr>
        <w:t> </w:t>
      </w:r>
      <w:r>
        <w:rPr>
          <w:sz w:val="26"/>
        </w:rPr>
        <w:t>services</w:t>
      </w:r>
      <w:r>
        <w:rPr>
          <w:spacing w:val="-4"/>
          <w:sz w:val="26"/>
        </w:rPr>
        <w:t> </w:t>
      </w:r>
      <w:r>
        <w:rPr>
          <w:sz w:val="26"/>
        </w:rPr>
        <w:t>in</w:t>
      </w:r>
      <w:r>
        <w:rPr>
          <w:spacing w:val="-5"/>
          <w:sz w:val="26"/>
        </w:rPr>
        <w:t> </w:t>
      </w:r>
      <w:r>
        <w:rPr>
          <w:sz w:val="26"/>
        </w:rPr>
        <w:t>the</w:t>
      </w:r>
      <w:r>
        <w:rPr>
          <w:spacing w:val="-2"/>
          <w:sz w:val="26"/>
        </w:rPr>
        <w:t> </w:t>
      </w:r>
      <w:r>
        <w:rPr>
          <w:sz w:val="26"/>
        </w:rPr>
        <w:t>Integrated</w:t>
      </w:r>
      <w:r>
        <w:rPr>
          <w:spacing w:val="-2"/>
          <w:sz w:val="26"/>
        </w:rPr>
        <w:t> </w:t>
      </w:r>
      <w:r>
        <w:rPr>
          <w:sz w:val="26"/>
        </w:rPr>
        <w:t>Care</w:t>
      </w:r>
      <w:r>
        <w:rPr>
          <w:spacing w:val="-4"/>
          <w:sz w:val="26"/>
        </w:rPr>
        <w:t> </w:t>
      </w:r>
      <w:r>
        <w:rPr>
          <w:sz w:val="26"/>
        </w:rPr>
        <w:t>Model</w:t>
      </w:r>
      <w:r>
        <w:rPr>
          <w:spacing w:val="-2"/>
          <w:sz w:val="26"/>
        </w:rPr>
        <w:t> </w:t>
      </w:r>
      <w:r>
        <w:rPr>
          <w:sz w:val="26"/>
        </w:rPr>
        <w:t>should</w:t>
      </w:r>
      <w:r>
        <w:rPr>
          <w:spacing w:val="-5"/>
          <w:sz w:val="26"/>
        </w:rPr>
        <w:t> </w:t>
      </w:r>
      <w:r>
        <w:rPr>
          <w:sz w:val="26"/>
        </w:rPr>
        <w:t>be</w:t>
      </w:r>
      <w:r>
        <w:rPr>
          <w:spacing w:val="-5"/>
          <w:sz w:val="26"/>
        </w:rPr>
        <w:t> </w:t>
      </w:r>
      <w:r>
        <w:rPr>
          <w:sz w:val="26"/>
        </w:rPr>
        <w:t>accessible</w:t>
      </w:r>
      <w:r>
        <w:rPr>
          <w:spacing w:val="-5"/>
          <w:sz w:val="26"/>
        </w:rPr>
        <w:t> </w:t>
      </w:r>
      <w:r>
        <w:rPr>
          <w:sz w:val="26"/>
        </w:rPr>
        <w:t>to persons with disabilities</w:t>
      </w:r>
    </w:p>
    <w:p>
      <w:pPr>
        <w:pStyle w:val="ListParagraph"/>
        <w:numPr>
          <w:ilvl w:val="0"/>
          <w:numId w:val="3"/>
        </w:numPr>
        <w:tabs>
          <w:tab w:pos="2062" w:val="left" w:leader="none"/>
        </w:tabs>
        <w:spacing w:line="240" w:lineRule="auto" w:before="1" w:after="0"/>
        <w:ind w:left="2062" w:right="1013" w:hanging="360"/>
        <w:jc w:val="left"/>
        <w:rPr>
          <w:sz w:val="26"/>
        </w:rPr>
      </w:pPr>
      <w:r>
        <w:rPr>
          <w:sz w:val="26"/>
        </w:rPr>
        <w:t>That</w:t>
      </w:r>
      <w:r>
        <w:rPr>
          <w:spacing w:val="-5"/>
          <w:sz w:val="26"/>
        </w:rPr>
        <w:t> </w:t>
      </w:r>
      <w:r>
        <w:rPr>
          <w:sz w:val="26"/>
        </w:rPr>
        <w:t>the</w:t>
      </w:r>
      <w:r>
        <w:rPr>
          <w:spacing w:val="-2"/>
          <w:sz w:val="26"/>
        </w:rPr>
        <w:t> </w:t>
      </w:r>
      <w:r>
        <w:rPr>
          <w:sz w:val="26"/>
        </w:rPr>
        <w:t>National</w:t>
      </w:r>
      <w:r>
        <w:rPr>
          <w:spacing w:val="-5"/>
          <w:sz w:val="26"/>
        </w:rPr>
        <w:t> </w:t>
      </w:r>
      <w:r>
        <w:rPr>
          <w:sz w:val="26"/>
        </w:rPr>
        <w:t>Disability</w:t>
      </w:r>
      <w:r>
        <w:rPr>
          <w:spacing w:val="-5"/>
          <w:sz w:val="26"/>
        </w:rPr>
        <w:t> </w:t>
      </w:r>
      <w:r>
        <w:rPr>
          <w:sz w:val="26"/>
        </w:rPr>
        <w:t>Authority</w:t>
      </w:r>
      <w:r>
        <w:rPr>
          <w:spacing w:val="-5"/>
          <w:sz w:val="26"/>
        </w:rPr>
        <w:t> </w:t>
      </w:r>
      <w:r>
        <w:rPr>
          <w:sz w:val="26"/>
        </w:rPr>
        <w:t>is</w:t>
      </w:r>
      <w:r>
        <w:rPr>
          <w:spacing w:val="-4"/>
          <w:sz w:val="26"/>
        </w:rPr>
        <w:t> </w:t>
      </w:r>
      <w:r>
        <w:rPr>
          <w:sz w:val="26"/>
        </w:rPr>
        <w:t>working</w:t>
      </w:r>
      <w:r>
        <w:rPr>
          <w:spacing w:val="-5"/>
          <w:sz w:val="26"/>
        </w:rPr>
        <w:t> </w:t>
      </w:r>
      <w:r>
        <w:rPr>
          <w:sz w:val="26"/>
        </w:rPr>
        <w:t>on</w:t>
      </w:r>
      <w:r>
        <w:rPr>
          <w:spacing w:val="-5"/>
          <w:sz w:val="26"/>
        </w:rPr>
        <w:t> </w:t>
      </w:r>
      <w:r>
        <w:rPr>
          <w:sz w:val="26"/>
        </w:rPr>
        <w:t>a</w:t>
      </w:r>
      <w:r>
        <w:rPr>
          <w:spacing w:val="-5"/>
          <w:sz w:val="26"/>
        </w:rPr>
        <w:t> </w:t>
      </w:r>
      <w:r>
        <w:rPr>
          <w:sz w:val="26"/>
        </w:rPr>
        <w:t>Competency</w:t>
      </w:r>
      <w:r>
        <w:rPr>
          <w:spacing w:val="-3"/>
          <w:sz w:val="26"/>
        </w:rPr>
        <w:t> </w:t>
      </w:r>
      <w:r>
        <w:rPr>
          <w:sz w:val="26"/>
        </w:rPr>
        <w:t>and Skills Mix for Community Based Model of Disability Care for the HSE which will have implications for the Integrated Care Model</w:t>
      </w:r>
    </w:p>
    <w:p>
      <w:pPr>
        <w:pStyle w:val="ListParagraph"/>
        <w:numPr>
          <w:ilvl w:val="0"/>
          <w:numId w:val="3"/>
        </w:numPr>
        <w:tabs>
          <w:tab w:pos="2062" w:val="left" w:leader="none"/>
        </w:tabs>
        <w:spacing w:line="240" w:lineRule="auto" w:before="0" w:after="0"/>
        <w:ind w:left="2062" w:right="1279" w:hanging="360"/>
        <w:jc w:val="left"/>
        <w:rPr>
          <w:sz w:val="26"/>
        </w:rPr>
      </w:pPr>
      <w:r>
        <w:rPr>
          <w:sz w:val="26"/>
        </w:rPr>
        <w:t>That</w:t>
      </w:r>
      <w:r>
        <w:rPr>
          <w:spacing w:val="-5"/>
          <w:sz w:val="26"/>
        </w:rPr>
        <w:t> </w:t>
      </w:r>
      <w:r>
        <w:rPr>
          <w:sz w:val="26"/>
        </w:rPr>
        <w:t>disability</w:t>
      </w:r>
      <w:r>
        <w:rPr>
          <w:spacing w:val="-5"/>
          <w:sz w:val="26"/>
        </w:rPr>
        <w:t> </w:t>
      </w:r>
      <w:r>
        <w:rPr>
          <w:sz w:val="26"/>
        </w:rPr>
        <w:t>should</w:t>
      </w:r>
      <w:r>
        <w:rPr>
          <w:spacing w:val="-3"/>
          <w:sz w:val="26"/>
        </w:rPr>
        <w:t> </w:t>
      </w:r>
      <w:r>
        <w:rPr>
          <w:sz w:val="26"/>
        </w:rPr>
        <w:t>be</w:t>
      </w:r>
      <w:r>
        <w:rPr>
          <w:spacing w:val="-5"/>
          <w:sz w:val="26"/>
        </w:rPr>
        <w:t> </w:t>
      </w:r>
      <w:r>
        <w:rPr>
          <w:sz w:val="26"/>
        </w:rPr>
        <w:t>acknowledged</w:t>
      </w:r>
      <w:r>
        <w:rPr>
          <w:spacing w:val="-5"/>
          <w:sz w:val="26"/>
        </w:rPr>
        <w:t> </w:t>
      </w:r>
      <w:r>
        <w:rPr>
          <w:sz w:val="26"/>
        </w:rPr>
        <w:t>as</w:t>
      </w:r>
      <w:r>
        <w:rPr>
          <w:spacing w:val="-5"/>
          <w:sz w:val="26"/>
        </w:rPr>
        <w:t> </w:t>
      </w:r>
      <w:r>
        <w:rPr>
          <w:sz w:val="26"/>
        </w:rPr>
        <w:t>a</w:t>
      </w:r>
      <w:r>
        <w:rPr>
          <w:spacing w:val="-2"/>
          <w:sz w:val="26"/>
        </w:rPr>
        <w:t> </w:t>
      </w:r>
      <w:r>
        <w:rPr>
          <w:sz w:val="26"/>
        </w:rPr>
        <w:t>competency</w:t>
      </w:r>
      <w:r>
        <w:rPr>
          <w:spacing w:val="-3"/>
          <w:sz w:val="26"/>
        </w:rPr>
        <w:t> </w:t>
      </w:r>
      <w:r>
        <w:rPr>
          <w:sz w:val="26"/>
        </w:rPr>
        <w:t>for</w:t>
      </w:r>
      <w:r>
        <w:rPr>
          <w:spacing w:val="-5"/>
          <w:sz w:val="26"/>
        </w:rPr>
        <w:t> </w:t>
      </w:r>
      <w:r>
        <w:rPr>
          <w:sz w:val="26"/>
        </w:rPr>
        <w:t>Advance Practice Nursing and Midwifery</w:t>
      </w:r>
    </w:p>
    <w:p>
      <w:pPr>
        <w:pStyle w:val="Heading5"/>
        <w:spacing w:before="238"/>
      </w:pPr>
      <w:r>
        <w:rPr/>
        <w:t>Health</w:t>
      </w:r>
      <w:r>
        <w:rPr>
          <w:spacing w:val="-7"/>
        </w:rPr>
        <w:t> </w:t>
      </w:r>
      <w:r>
        <w:rPr/>
        <w:t>Service</w:t>
      </w:r>
      <w:r>
        <w:rPr>
          <w:spacing w:val="-8"/>
        </w:rPr>
        <w:t> </w:t>
      </w:r>
      <w:r>
        <w:rPr/>
        <w:t>Capacity</w:t>
      </w:r>
      <w:r>
        <w:rPr>
          <w:spacing w:val="-7"/>
        </w:rPr>
        <w:t> </w:t>
      </w:r>
      <w:r>
        <w:rPr/>
        <w:t>Review</w:t>
      </w:r>
      <w:r>
        <w:rPr>
          <w:spacing w:val="-7"/>
        </w:rPr>
        <w:t> </w:t>
      </w:r>
      <w:r>
        <w:rPr/>
        <w:t>in</w:t>
      </w:r>
      <w:r>
        <w:rPr>
          <w:spacing w:val="-8"/>
        </w:rPr>
        <w:t> </w:t>
      </w:r>
      <w:r>
        <w:rPr>
          <w:spacing w:val="-2"/>
        </w:rPr>
        <w:t>Ireland</w:t>
      </w:r>
    </w:p>
    <w:p>
      <w:pPr>
        <w:pStyle w:val="BodyText"/>
        <w:spacing w:before="42"/>
        <w:ind w:left="1702"/>
      </w:pPr>
      <w:r>
        <w:rPr/>
        <w:t>Key</w:t>
      </w:r>
      <w:r>
        <w:rPr>
          <w:spacing w:val="-7"/>
        </w:rPr>
        <w:t> </w:t>
      </w:r>
      <w:r>
        <w:rPr/>
        <w:t>points</w:t>
      </w:r>
      <w:r>
        <w:rPr>
          <w:spacing w:val="-6"/>
        </w:rPr>
        <w:t> </w:t>
      </w:r>
      <w:r>
        <w:rPr/>
        <w:t>made</w:t>
      </w:r>
      <w:r>
        <w:rPr>
          <w:spacing w:val="-7"/>
        </w:rPr>
        <w:t> </w:t>
      </w:r>
      <w:r>
        <w:rPr>
          <w:spacing w:val="-2"/>
        </w:rPr>
        <w:t>included:</w:t>
      </w:r>
    </w:p>
    <w:p>
      <w:pPr>
        <w:pStyle w:val="ListParagraph"/>
        <w:numPr>
          <w:ilvl w:val="0"/>
          <w:numId w:val="3"/>
        </w:numPr>
        <w:tabs>
          <w:tab w:pos="2062" w:val="left" w:leader="none"/>
        </w:tabs>
        <w:spacing w:line="240" w:lineRule="auto" w:before="241" w:after="0"/>
        <w:ind w:left="2062" w:right="1213" w:hanging="360"/>
        <w:jc w:val="left"/>
        <w:rPr>
          <w:sz w:val="26"/>
        </w:rPr>
      </w:pPr>
      <w:r>
        <w:rPr>
          <w:sz w:val="26"/>
        </w:rPr>
        <w:t>That</w:t>
      </w:r>
      <w:r>
        <w:rPr>
          <w:spacing w:val="-5"/>
          <w:sz w:val="26"/>
        </w:rPr>
        <w:t> </w:t>
      </w:r>
      <w:r>
        <w:rPr>
          <w:sz w:val="26"/>
        </w:rPr>
        <w:t>the</w:t>
      </w:r>
      <w:r>
        <w:rPr>
          <w:spacing w:val="-4"/>
          <w:sz w:val="26"/>
        </w:rPr>
        <w:t> </w:t>
      </w:r>
      <w:r>
        <w:rPr>
          <w:sz w:val="26"/>
        </w:rPr>
        <w:t>Implementation</w:t>
      </w:r>
      <w:r>
        <w:rPr>
          <w:spacing w:val="-5"/>
          <w:sz w:val="26"/>
        </w:rPr>
        <w:t> </w:t>
      </w:r>
      <w:r>
        <w:rPr>
          <w:sz w:val="26"/>
        </w:rPr>
        <w:t>of</w:t>
      </w:r>
      <w:r>
        <w:rPr>
          <w:spacing w:val="-5"/>
          <w:sz w:val="26"/>
        </w:rPr>
        <w:t> </w:t>
      </w:r>
      <w:r>
        <w:rPr>
          <w:sz w:val="26"/>
        </w:rPr>
        <w:t>Sláintecare</w:t>
      </w:r>
      <w:r>
        <w:rPr>
          <w:spacing w:val="-4"/>
          <w:sz w:val="26"/>
        </w:rPr>
        <w:t> </w:t>
      </w:r>
      <w:r>
        <w:rPr>
          <w:sz w:val="26"/>
        </w:rPr>
        <w:t>report</w:t>
      </w:r>
      <w:r>
        <w:rPr>
          <w:spacing w:val="-5"/>
          <w:sz w:val="26"/>
        </w:rPr>
        <w:t> </w:t>
      </w:r>
      <w:r>
        <w:rPr>
          <w:sz w:val="26"/>
        </w:rPr>
        <w:t>to</w:t>
      </w:r>
      <w:r>
        <w:rPr>
          <w:spacing w:val="-4"/>
          <w:sz w:val="26"/>
        </w:rPr>
        <w:t> </w:t>
      </w:r>
      <w:r>
        <w:rPr>
          <w:sz w:val="26"/>
        </w:rPr>
        <w:t>create</w:t>
      </w:r>
      <w:r>
        <w:rPr>
          <w:spacing w:val="-5"/>
          <w:sz w:val="26"/>
        </w:rPr>
        <w:t> </w:t>
      </w:r>
      <w:r>
        <w:rPr>
          <w:sz w:val="26"/>
        </w:rPr>
        <w:t>an</w:t>
      </w:r>
      <w:r>
        <w:rPr>
          <w:spacing w:val="-5"/>
          <w:sz w:val="26"/>
        </w:rPr>
        <w:t> </w:t>
      </w:r>
      <w:r>
        <w:rPr>
          <w:sz w:val="26"/>
        </w:rPr>
        <w:t>integrated health</w:t>
      </w:r>
      <w:r>
        <w:rPr>
          <w:spacing w:val="-2"/>
          <w:sz w:val="26"/>
        </w:rPr>
        <w:t> </w:t>
      </w:r>
      <w:r>
        <w:rPr>
          <w:sz w:val="26"/>
        </w:rPr>
        <w:t>and</w:t>
      </w:r>
      <w:r>
        <w:rPr>
          <w:spacing w:val="-2"/>
          <w:sz w:val="26"/>
        </w:rPr>
        <w:t> </w:t>
      </w:r>
      <w:r>
        <w:rPr>
          <w:sz w:val="26"/>
        </w:rPr>
        <w:t>social</w:t>
      </w:r>
      <w:r>
        <w:rPr>
          <w:spacing w:val="-2"/>
          <w:sz w:val="26"/>
        </w:rPr>
        <w:t> </w:t>
      </w:r>
      <w:r>
        <w:rPr>
          <w:sz w:val="26"/>
        </w:rPr>
        <w:t>care</w:t>
      </w:r>
      <w:r>
        <w:rPr>
          <w:spacing w:val="-1"/>
          <w:sz w:val="26"/>
        </w:rPr>
        <w:t> </w:t>
      </w:r>
      <w:r>
        <w:rPr>
          <w:sz w:val="26"/>
        </w:rPr>
        <w:t>service</w:t>
      </w:r>
      <w:r>
        <w:rPr>
          <w:spacing w:val="-2"/>
          <w:sz w:val="26"/>
        </w:rPr>
        <w:t> </w:t>
      </w:r>
      <w:r>
        <w:rPr>
          <w:sz w:val="26"/>
        </w:rPr>
        <w:t>would</w:t>
      </w:r>
      <w:r>
        <w:rPr>
          <w:spacing w:val="-2"/>
          <w:sz w:val="26"/>
        </w:rPr>
        <w:t> </w:t>
      </w:r>
      <w:r>
        <w:rPr>
          <w:sz w:val="26"/>
        </w:rPr>
        <w:t>reduce</w:t>
      </w:r>
      <w:r>
        <w:rPr>
          <w:spacing w:val="-2"/>
          <w:sz w:val="26"/>
        </w:rPr>
        <w:t> </w:t>
      </w:r>
      <w:r>
        <w:rPr>
          <w:sz w:val="26"/>
        </w:rPr>
        <w:t>the</w:t>
      </w:r>
      <w:r>
        <w:rPr>
          <w:spacing w:val="-2"/>
          <w:sz w:val="26"/>
        </w:rPr>
        <w:t> </w:t>
      </w:r>
      <w:r>
        <w:rPr>
          <w:sz w:val="26"/>
        </w:rPr>
        <w:t>burden</w:t>
      </w:r>
      <w:r>
        <w:rPr>
          <w:spacing w:val="-2"/>
          <w:sz w:val="26"/>
        </w:rPr>
        <w:t> </w:t>
      </w:r>
      <w:r>
        <w:rPr>
          <w:sz w:val="26"/>
        </w:rPr>
        <w:t>on</w:t>
      </w:r>
      <w:r>
        <w:rPr>
          <w:spacing w:val="-2"/>
          <w:sz w:val="26"/>
        </w:rPr>
        <w:t> </w:t>
      </w:r>
      <w:r>
        <w:rPr>
          <w:sz w:val="26"/>
        </w:rPr>
        <w:t>acute</w:t>
      </w:r>
      <w:r>
        <w:rPr>
          <w:spacing w:val="-2"/>
          <w:sz w:val="26"/>
        </w:rPr>
        <w:t> </w:t>
      </w:r>
      <w:r>
        <w:rPr>
          <w:sz w:val="26"/>
        </w:rPr>
        <w:t>care as more people receive early intervention and chronic disease management in community and primary care settings</w:t>
      </w:r>
    </w:p>
    <w:p>
      <w:pPr>
        <w:pStyle w:val="ListParagraph"/>
        <w:numPr>
          <w:ilvl w:val="0"/>
          <w:numId w:val="3"/>
        </w:numPr>
        <w:tabs>
          <w:tab w:pos="2062" w:val="left" w:leader="none"/>
        </w:tabs>
        <w:spacing w:line="240" w:lineRule="auto" w:before="0" w:after="0"/>
        <w:ind w:left="2062" w:right="1071" w:hanging="360"/>
        <w:jc w:val="left"/>
        <w:rPr>
          <w:sz w:val="26"/>
        </w:rPr>
      </w:pPr>
      <w:r>
        <w:rPr>
          <w:sz w:val="26"/>
        </w:rPr>
        <w:t>That</w:t>
      </w:r>
      <w:r>
        <w:rPr>
          <w:spacing w:val="-5"/>
          <w:sz w:val="26"/>
        </w:rPr>
        <w:t> </w:t>
      </w:r>
      <w:r>
        <w:rPr>
          <w:sz w:val="26"/>
        </w:rPr>
        <w:t>the</w:t>
      </w:r>
      <w:r>
        <w:rPr>
          <w:spacing w:val="-4"/>
          <w:sz w:val="26"/>
        </w:rPr>
        <w:t> </w:t>
      </w:r>
      <w:r>
        <w:rPr>
          <w:sz w:val="26"/>
        </w:rPr>
        <w:t>Health</w:t>
      </w:r>
      <w:r>
        <w:rPr>
          <w:spacing w:val="-2"/>
          <w:sz w:val="26"/>
        </w:rPr>
        <w:t> </w:t>
      </w:r>
      <w:r>
        <w:rPr>
          <w:sz w:val="26"/>
        </w:rPr>
        <w:t>Service</w:t>
      </w:r>
      <w:r>
        <w:rPr>
          <w:spacing w:val="-5"/>
          <w:sz w:val="26"/>
        </w:rPr>
        <w:t> </w:t>
      </w:r>
      <w:r>
        <w:rPr>
          <w:sz w:val="26"/>
        </w:rPr>
        <w:t>Capacity</w:t>
      </w:r>
      <w:r>
        <w:rPr>
          <w:spacing w:val="-3"/>
          <w:sz w:val="26"/>
        </w:rPr>
        <w:t> </w:t>
      </w:r>
      <w:r>
        <w:rPr>
          <w:sz w:val="26"/>
        </w:rPr>
        <w:t>Review</w:t>
      </w:r>
      <w:r>
        <w:rPr>
          <w:spacing w:val="-2"/>
          <w:sz w:val="26"/>
        </w:rPr>
        <w:t> </w:t>
      </w:r>
      <w:r>
        <w:rPr>
          <w:sz w:val="26"/>
        </w:rPr>
        <w:t>should</w:t>
      </w:r>
      <w:r>
        <w:rPr>
          <w:spacing w:val="-5"/>
          <w:sz w:val="26"/>
        </w:rPr>
        <w:t> </w:t>
      </w:r>
      <w:r>
        <w:rPr>
          <w:sz w:val="26"/>
        </w:rPr>
        <w:t>take</w:t>
      </w:r>
      <w:r>
        <w:rPr>
          <w:spacing w:val="-4"/>
          <w:sz w:val="26"/>
        </w:rPr>
        <w:t> </w:t>
      </w:r>
      <w:r>
        <w:rPr>
          <w:sz w:val="26"/>
        </w:rPr>
        <w:t>cognisance</w:t>
      </w:r>
      <w:r>
        <w:rPr>
          <w:spacing w:val="-5"/>
          <w:sz w:val="26"/>
        </w:rPr>
        <w:t> </w:t>
      </w:r>
      <w:r>
        <w:rPr>
          <w:sz w:val="26"/>
        </w:rPr>
        <w:t>of</w:t>
      </w:r>
      <w:r>
        <w:rPr>
          <w:spacing w:val="-3"/>
          <w:sz w:val="26"/>
        </w:rPr>
        <w:t> </w:t>
      </w:r>
      <w:r>
        <w:rPr>
          <w:sz w:val="26"/>
        </w:rPr>
        <w:t>the work underway by the National Disability Authority, under Transforming Lives Working Group 1, to estimate future demand for disability services</w:t>
      </w:r>
    </w:p>
    <w:p>
      <w:pPr>
        <w:pStyle w:val="ListParagraph"/>
        <w:numPr>
          <w:ilvl w:val="0"/>
          <w:numId w:val="3"/>
        </w:numPr>
        <w:tabs>
          <w:tab w:pos="2062" w:val="left" w:leader="none"/>
        </w:tabs>
        <w:spacing w:line="240" w:lineRule="auto" w:before="0" w:after="0"/>
        <w:ind w:left="2062" w:right="1599" w:hanging="360"/>
        <w:jc w:val="both"/>
        <w:rPr>
          <w:sz w:val="26"/>
        </w:rPr>
      </w:pPr>
      <w:r>
        <w:rPr>
          <w:sz w:val="26"/>
        </w:rPr>
        <w:t>That</w:t>
      </w:r>
      <w:r>
        <w:rPr>
          <w:spacing w:val="-3"/>
          <w:sz w:val="26"/>
        </w:rPr>
        <w:t> </w:t>
      </w:r>
      <w:r>
        <w:rPr>
          <w:sz w:val="26"/>
        </w:rPr>
        <w:t>Universal</w:t>
      </w:r>
      <w:r>
        <w:rPr>
          <w:spacing w:val="-5"/>
          <w:sz w:val="26"/>
        </w:rPr>
        <w:t> </w:t>
      </w:r>
      <w:r>
        <w:rPr>
          <w:sz w:val="26"/>
        </w:rPr>
        <w:t>Design</w:t>
      </w:r>
      <w:r>
        <w:rPr>
          <w:spacing w:val="-3"/>
          <w:sz w:val="26"/>
        </w:rPr>
        <w:t> </w:t>
      </w:r>
      <w:r>
        <w:rPr>
          <w:sz w:val="26"/>
        </w:rPr>
        <w:t>guidelines</w:t>
      </w:r>
      <w:r>
        <w:rPr>
          <w:spacing w:val="-3"/>
          <w:sz w:val="26"/>
        </w:rPr>
        <w:t> </w:t>
      </w:r>
      <w:r>
        <w:rPr>
          <w:sz w:val="26"/>
        </w:rPr>
        <w:t>should</w:t>
      </w:r>
      <w:r>
        <w:rPr>
          <w:spacing w:val="-5"/>
          <w:sz w:val="26"/>
        </w:rPr>
        <w:t> </w:t>
      </w:r>
      <w:r>
        <w:rPr>
          <w:sz w:val="26"/>
        </w:rPr>
        <w:t>be</w:t>
      </w:r>
      <w:r>
        <w:rPr>
          <w:spacing w:val="-5"/>
          <w:sz w:val="26"/>
        </w:rPr>
        <w:t> </w:t>
      </w:r>
      <w:r>
        <w:rPr>
          <w:sz w:val="26"/>
        </w:rPr>
        <w:t>used</w:t>
      </w:r>
      <w:r>
        <w:rPr>
          <w:spacing w:val="-5"/>
          <w:sz w:val="26"/>
        </w:rPr>
        <w:t> </w:t>
      </w:r>
      <w:r>
        <w:rPr>
          <w:sz w:val="26"/>
        </w:rPr>
        <w:t>for</w:t>
      </w:r>
      <w:r>
        <w:rPr>
          <w:spacing w:val="-5"/>
          <w:sz w:val="26"/>
        </w:rPr>
        <w:t> </w:t>
      </w:r>
      <w:r>
        <w:rPr>
          <w:sz w:val="26"/>
        </w:rPr>
        <w:t>new</w:t>
      </w:r>
      <w:r>
        <w:rPr>
          <w:spacing w:val="-4"/>
          <w:sz w:val="26"/>
        </w:rPr>
        <w:t> </w:t>
      </w:r>
      <w:r>
        <w:rPr>
          <w:sz w:val="26"/>
        </w:rPr>
        <w:t>builds</w:t>
      </w:r>
      <w:r>
        <w:rPr>
          <w:spacing w:val="-4"/>
          <w:sz w:val="26"/>
        </w:rPr>
        <w:t> </w:t>
      </w:r>
      <w:r>
        <w:rPr>
          <w:sz w:val="26"/>
        </w:rPr>
        <w:t>or retrofitting of existing building stock under any capital investment </w:t>
      </w:r>
      <w:r>
        <w:rPr>
          <w:spacing w:val="-2"/>
          <w:sz w:val="26"/>
        </w:rPr>
        <w:t>programme</w:t>
      </w:r>
    </w:p>
    <w:p>
      <w:pPr>
        <w:pStyle w:val="ListParagraph"/>
        <w:numPr>
          <w:ilvl w:val="0"/>
          <w:numId w:val="3"/>
        </w:numPr>
        <w:tabs>
          <w:tab w:pos="2062" w:val="left" w:leader="none"/>
        </w:tabs>
        <w:spacing w:line="240" w:lineRule="auto" w:before="0" w:after="0"/>
        <w:ind w:left="2062" w:right="1356" w:hanging="360"/>
        <w:jc w:val="both"/>
        <w:rPr>
          <w:sz w:val="26"/>
        </w:rPr>
      </w:pPr>
      <w:r>
        <w:rPr>
          <w:sz w:val="26"/>
        </w:rPr>
        <w:t>That</w:t>
      </w:r>
      <w:r>
        <w:rPr>
          <w:spacing w:val="-6"/>
          <w:sz w:val="26"/>
        </w:rPr>
        <w:t> </w:t>
      </w:r>
      <w:r>
        <w:rPr>
          <w:sz w:val="26"/>
        </w:rPr>
        <w:t>a</w:t>
      </w:r>
      <w:r>
        <w:rPr>
          <w:spacing w:val="-4"/>
          <w:sz w:val="26"/>
        </w:rPr>
        <w:t> </w:t>
      </w:r>
      <w:r>
        <w:rPr>
          <w:sz w:val="26"/>
        </w:rPr>
        <w:t>commissioning</w:t>
      </w:r>
      <w:r>
        <w:rPr>
          <w:spacing w:val="-6"/>
          <w:sz w:val="26"/>
        </w:rPr>
        <w:t> </w:t>
      </w:r>
      <w:r>
        <w:rPr>
          <w:sz w:val="26"/>
        </w:rPr>
        <w:t>framework</w:t>
      </w:r>
      <w:r>
        <w:rPr>
          <w:spacing w:val="-5"/>
          <w:sz w:val="26"/>
        </w:rPr>
        <w:t> </w:t>
      </w:r>
      <w:r>
        <w:rPr>
          <w:sz w:val="26"/>
        </w:rPr>
        <w:t>may</w:t>
      </w:r>
      <w:r>
        <w:rPr>
          <w:spacing w:val="-4"/>
          <w:sz w:val="26"/>
        </w:rPr>
        <w:t> </w:t>
      </w:r>
      <w:r>
        <w:rPr>
          <w:sz w:val="26"/>
        </w:rPr>
        <w:t>contribute</w:t>
      </w:r>
      <w:r>
        <w:rPr>
          <w:spacing w:val="-6"/>
          <w:sz w:val="26"/>
        </w:rPr>
        <w:t> </w:t>
      </w:r>
      <w:r>
        <w:rPr>
          <w:sz w:val="26"/>
        </w:rPr>
        <w:t>to</w:t>
      </w:r>
      <w:r>
        <w:rPr>
          <w:spacing w:val="-4"/>
          <w:sz w:val="26"/>
        </w:rPr>
        <w:t> </w:t>
      </w:r>
      <w:r>
        <w:rPr>
          <w:sz w:val="26"/>
        </w:rPr>
        <w:t>a</w:t>
      </w:r>
      <w:r>
        <w:rPr>
          <w:spacing w:val="-6"/>
          <w:sz w:val="26"/>
        </w:rPr>
        <w:t> </w:t>
      </w:r>
      <w:r>
        <w:rPr>
          <w:sz w:val="26"/>
        </w:rPr>
        <w:t>more</w:t>
      </w:r>
      <w:r>
        <w:rPr>
          <w:spacing w:val="-5"/>
          <w:sz w:val="26"/>
        </w:rPr>
        <w:t> </w:t>
      </w:r>
      <w:r>
        <w:rPr>
          <w:sz w:val="26"/>
        </w:rPr>
        <w:t>efficient use of available resources</w:t>
      </w:r>
    </w:p>
    <w:p>
      <w:pPr>
        <w:pStyle w:val="Heading5"/>
        <w:spacing w:before="237"/>
      </w:pPr>
      <w:r>
        <w:rPr/>
        <w:t>National</w:t>
      </w:r>
      <w:r>
        <w:rPr>
          <w:spacing w:val="-14"/>
        </w:rPr>
        <w:t> </w:t>
      </w:r>
      <w:r>
        <w:rPr/>
        <w:t>Biosimilar</w:t>
      </w:r>
      <w:r>
        <w:rPr>
          <w:spacing w:val="-12"/>
        </w:rPr>
        <w:t> </w:t>
      </w:r>
      <w:r>
        <w:rPr/>
        <w:t>Medicine</w:t>
      </w:r>
      <w:r>
        <w:rPr>
          <w:spacing w:val="-12"/>
        </w:rPr>
        <w:t> </w:t>
      </w:r>
      <w:r>
        <w:rPr>
          <w:spacing w:val="-2"/>
        </w:rPr>
        <w:t>Policy</w:t>
      </w:r>
    </w:p>
    <w:p>
      <w:pPr>
        <w:pStyle w:val="BodyText"/>
        <w:spacing w:before="44"/>
        <w:ind w:left="1702"/>
      </w:pPr>
      <w:r>
        <w:rPr/>
        <w:t>Key</w:t>
      </w:r>
      <w:r>
        <w:rPr>
          <w:spacing w:val="-7"/>
        </w:rPr>
        <w:t> </w:t>
      </w:r>
      <w:r>
        <w:rPr/>
        <w:t>points</w:t>
      </w:r>
      <w:r>
        <w:rPr>
          <w:spacing w:val="-6"/>
        </w:rPr>
        <w:t> </w:t>
      </w:r>
      <w:r>
        <w:rPr/>
        <w:t>made</w:t>
      </w:r>
      <w:r>
        <w:rPr>
          <w:spacing w:val="-7"/>
        </w:rPr>
        <w:t> </w:t>
      </w:r>
      <w:r>
        <w:rPr>
          <w:spacing w:val="-2"/>
        </w:rPr>
        <w:t>included:</w:t>
      </w:r>
    </w:p>
    <w:p>
      <w:pPr>
        <w:pStyle w:val="ListParagraph"/>
        <w:numPr>
          <w:ilvl w:val="0"/>
          <w:numId w:val="3"/>
        </w:numPr>
        <w:tabs>
          <w:tab w:pos="2062" w:val="left" w:leader="none"/>
        </w:tabs>
        <w:spacing w:line="240" w:lineRule="auto" w:before="119" w:after="0"/>
        <w:ind w:left="2062" w:right="1071" w:hanging="360"/>
        <w:jc w:val="left"/>
        <w:rPr>
          <w:sz w:val="26"/>
        </w:rPr>
      </w:pPr>
      <w:r>
        <w:rPr>
          <w:sz w:val="26"/>
        </w:rPr>
        <w:t>That</w:t>
      </w:r>
      <w:r>
        <w:rPr>
          <w:spacing w:val="-5"/>
          <w:sz w:val="26"/>
        </w:rPr>
        <w:t> </w:t>
      </w:r>
      <w:r>
        <w:rPr>
          <w:sz w:val="26"/>
        </w:rPr>
        <w:t>persons</w:t>
      </w:r>
      <w:r>
        <w:rPr>
          <w:spacing w:val="-3"/>
          <w:sz w:val="26"/>
        </w:rPr>
        <w:t> </w:t>
      </w:r>
      <w:r>
        <w:rPr>
          <w:sz w:val="26"/>
        </w:rPr>
        <w:t>with</w:t>
      </w:r>
      <w:r>
        <w:rPr>
          <w:spacing w:val="-5"/>
          <w:sz w:val="26"/>
        </w:rPr>
        <w:t> </w:t>
      </w:r>
      <w:r>
        <w:rPr>
          <w:sz w:val="26"/>
        </w:rPr>
        <w:t>disabilities</w:t>
      </w:r>
      <w:r>
        <w:rPr>
          <w:spacing w:val="-3"/>
          <w:sz w:val="26"/>
        </w:rPr>
        <w:t> </w:t>
      </w:r>
      <w:r>
        <w:rPr>
          <w:sz w:val="26"/>
        </w:rPr>
        <w:t>are</w:t>
      </w:r>
      <w:r>
        <w:rPr>
          <w:spacing w:val="-4"/>
          <w:sz w:val="26"/>
        </w:rPr>
        <w:t> </w:t>
      </w:r>
      <w:r>
        <w:rPr>
          <w:sz w:val="26"/>
        </w:rPr>
        <w:t>more</w:t>
      </w:r>
      <w:r>
        <w:rPr>
          <w:spacing w:val="-4"/>
          <w:sz w:val="26"/>
        </w:rPr>
        <w:t> </w:t>
      </w:r>
      <w:r>
        <w:rPr>
          <w:sz w:val="26"/>
        </w:rPr>
        <w:t>likely</w:t>
      </w:r>
      <w:r>
        <w:rPr>
          <w:spacing w:val="-5"/>
          <w:sz w:val="26"/>
        </w:rPr>
        <w:t> </w:t>
      </w:r>
      <w:r>
        <w:rPr>
          <w:sz w:val="26"/>
        </w:rPr>
        <w:t>to</w:t>
      </w:r>
      <w:r>
        <w:rPr>
          <w:spacing w:val="-4"/>
          <w:sz w:val="26"/>
        </w:rPr>
        <w:t> </w:t>
      </w:r>
      <w:r>
        <w:rPr>
          <w:sz w:val="26"/>
        </w:rPr>
        <w:t>have</w:t>
      </w:r>
      <w:r>
        <w:rPr>
          <w:spacing w:val="-5"/>
          <w:sz w:val="26"/>
        </w:rPr>
        <w:t> </w:t>
      </w:r>
      <w:r>
        <w:rPr>
          <w:sz w:val="26"/>
        </w:rPr>
        <w:t>health</w:t>
      </w:r>
      <w:r>
        <w:rPr>
          <w:spacing w:val="-5"/>
          <w:sz w:val="26"/>
        </w:rPr>
        <w:t> </w:t>
      </w:r>
      <w:r>
        <w:rPr>
          <w:sz w:val="26"/>
        </w:rPr>
        <w:t>issues</w:t>
      </w:r>
      <w:r>
        <w:rPr>
          <w:spacing w:val="-3"/>
          <w:sz w:val="26"/>
        </w:rPr>
        <w:t> </w:t>
      </w:r>
      <w:r>
        <w:rPr>
          <w:sz w:val="26"/>
        </w:rPr>
        <w:t>than the rest of the population</w:t>
      </w:r>
    </w:p>
    <w:p>
      <w:pPr>
        <w:pStyle w:val="ListParagraph"/>
        <w:spacing w:after="0" w:line="240" w:lineRule="auto"/>
        <w:jc w:val="left"/>
        <w:rPr>
          <w:sz w:val="26"/>
        </w:rPr>
        <w:sectPr>
          <w:pgSz w:w="11910" w:h="16850"/>
          <w:pgMar w:header="0" w:footer="811" w:top="1880" w:bottom="1000" w:left="283" w:right="992"/>
        </w:sectPr>
      </w:pPr>
    </w:p>
    <w:p>
      <w:pPr>
        <w:pStyle w:val="ListParagraph"/>
        <w:numPr>
          <w:ilvl w:val="0"/>
          <w:numId w:val="3"/>
        </w:numPr>
        <w:tabs>
          <w:tab w:pos="2062" w:val="left" w:leader="none"/>
        </w:tabs>
        <w:spacing w:line="240" w:lineRule="auto" w:before="79" w:after="0"/>
        <w:ind w:left="2062" w:right="1434" w:hanging="360"/>
        <w:jc w:val="left"/>
        <w:rPr>
          <w:sz w:val="26"/>
        </w:rPr>
      </w:pPr>
      <w:r>
        <w:rPr>
          <w:sz w:val="26"/>
        </w:rPr>
        <w:t>That</w:t>
      </w:r>
      <w:r>
        <w:rPr>
          <w:spacing w:val="-5"/>
          <w:sz w:val="26"/>
        </w:rPr>
        <w:t> </w:t>
      </w:r>
      <w:r>
        <w:rPr>
          <w:sz w:val="26"/>
        </w:rPr>
        <w:t>any</w:t>
      </w:r>
      <w:r>
        <w:rPr>
          <w:spacing w:val="-5"/>
          <w:sz w:val="26"/>
        </w:rPr>
        <w:t> </w:t>
      </w:r>
      <w:r>
        <w:rPr>
          <w:sz w:val="26"/>
        </w:rPr>
        <w:t>policy</w:t>
      </w:r>
      <w:r>
        <w:rPr>
          <w:spacing w:val="-6"/>
          <w:sz w:val="26"/>
        </w:rPr>
        <w:t> </w:t>
      </w:r>
      <w:r>
        <w:rPr>
          <w:sz w:val="26"/>
        </w:rPr>
        <w:t>on</w:t>
      </w:r>
      <w:r>
        <w:rPr>
          <w:spacing w:val="-5"/>
          <w:sz w:val="26"/>
        </w:rPr>
        <w:t> </w:t>
      </w:r>
      <w:r>
        <w:rPr>
          <w:sz w:val="26"/>
        </w:rPr>
        <w:t>savings</w:t>
      </w:r>
      <w:r>
        <w:rPr>
          <w:spacing w:val="-5"/>
          <w:sz w:val="26"/>
        </w:rPr>
        <w:t> </w:t>
      </w:r>
      <w:r>
        <w:rPr>
          <w:sz w:val="26"/>
        </w:rPr>
        <w:t>from</w:t>
      </w:r>
      <w:r>
        <w:rPr>
          <w:spacing w:val="-5"/>
          <w:sz w:val="26"/>
        </w:rPr>
        <w:t> </w:t>
      </w:r>
      <w:r>
        <w:rPr>
          <w:sz w:val="26"/>
        </w:rPr>
        <w:t>biosimilar</w:t>
      </w:r>
      <w:r>
        <w:rPr>
          <w:spacing w:val="-5"/>
          <w:sz w:val="26"/>
        </w:rPr>
        <w:t> </w:t>
      </w:r>
      <w:r>
        <w:rPr>
          <w:sz w:val="26"/>
        </w:rPr>
        <w:t>medicines</w:t>
      </w:r>
      <w:r>
        <w:rPr>
          <w:spacing w:val="-3"/>
          <w:sz w:val="26"/>
        </w:rPr>
        <w:t> </w:t>
      </w:r>
      <w:r>
        <w:rPr>
          <w:sz w:val="26"/>
        </w:rPr>
        <w:t>should</w:t>
      </w:r>
      <w:r>
        <w:rPr>
          <w:spacing w:val="-5"/>
          <w:sz w:val="26"/>
        </w:rPr>
        <w:t> </w:t>
      </w:r>
      <w:r>
        <w:rPr>
          <w:sz w:val="26"/>
        </w:rPr>
        <w:t>make</w:t>
      </w:r>
      <w:r>
        <w:rPr>
          <w:spacing w:val="-4"/>
          <w:sz w:val="26"/>
        </w:rPr>
        <w:t> </w:t>
      </w:r>
      <w:r>
        <w:rPr>
          <w:sz w:val="26"/>
        </w:rPr>
        <w:t>it clear that savings on the medicines bill will be put back into other patient care</w:t>
      </w:r>
    </w:p>
    <w:p>
      <w:pPr>
        <w:pStyle w:val="Heading5"/>
        <w:spacing w:before="237"/>
      </w:pPr>
      <w:r>
        <w:rPr/>
        <w:t>Improving</w:t>
      </w:r>
      <w:r>
        <w:rPr>
          <w:spacing w:val="-10"/>
        </w:rPr>
        <w:t> </w:t>
      </w:r>
      <w:r>
        <w:rPr/>
        <w:t>Home</w:t>
      </w:r>
      <w:r>
        <w:rPr>
          <w:spacing w:val="-8"/>
        </w:rPr>
        <w:t> </w:t>
      </w:r>
      <w:r>
        <w:rPr/>
        <w:t>Care</w:t>
      </w:r>
      <w:r>
        <w:rPr>
          <w:spacing w:val="-9"/>
        </w:rPr>
        <w:t> </w:t>
      </w:r>
      <w:r>
        <w:rPr/>
        <w:t>Services</w:t>
      </w:r>
      <w:r>
        <w:rPr>
          <w:spacing w:val="-9"/>
        </w:rPr>
        <w:t> </w:t>
      </w:r>
      <w:r>
        <w:rPr/>
        <w:t>in</w:t>
      </w:r>
      <w:r>
        <w:rPr>
          <w:spacing w:val="-10"/>
        </w:rPr>
        <w:t> </w:t>
      </w:r>
      <w:r>
        <w:rPr>
          <w:spacing w:val="-2"/>
        </w:rPr>
        <w:t>Ireland</w:t>
      </w:r>
    </w:p>
    <w:p>
      <w:pPr>
        <w:pStyle w:val="BodyText"/>
        <w:spacing w:before="42"/>
        <w:ind w:left="1702"/>
      </w:pPr>
      <w:r>
        <w:rPr/>
        <w:t>Key</w:t>
      </w:r>
      <w:r>
        <w:rPr>
          <w:spacing w:val="-7"/>
        </w:rPr>
        <w:t> </w:t>
      </w:r>
      <w:r>
        <w:rPr/>
        <w:t>points</w:t>
      </w:r>
      <w:r>
        <w:rPr>
          <w:spacing w:val="-6"/>
        </w:rPr>
        <w:t> </w:t>
      </w:r>
      <w:r>
        <w:rPr/>
        <w:t>made</w:t>
      </w:r>
      <w:r>
        <w:rPr>
          <w:spacing w:val="-7"/>
        </w:rPr>
        <w:t> </w:t>
      </w:r>
      <w:r>
        <w:rPr>
          <w:spacing w:val="-2"/>
        </w:rPr>
        <w:t>included:</w:t>
      </w:r>
    </w:p>
    <w:p>
      <w:pPr>
        <w:pStyle w:val="ListParagraph"/>
        <w:numPr>
          <w:ilvl w:val="0"/>
          <w:numId w:val="3"/>
        </w:numPr>
        <w:tabs>
          <w:tab w:pos="2062" w:val="left" w:leader="none"/>
        </w:tabs>
        <w:spacing w:line="240" w:lineRule="auto" w:before="121" w:after="0"/>
        <w:ind w:left="2062" w:right="1261" w:hanging="360"/>
        <w:jc w:val="left"/>
        <w:rPr>
          <w:sz w:val="26"/>
        </w:rPr>
      </w:pPr>
      <w:r>
        <w:rPr>
          <w:sz w:val="26"/>
        </w:rPr>
        <w:t>That</w:t>
      </w:r>
      <w:r>
        <w:rPr>
          <w:spacing w:val="-4"/>
          <w:sz w:val="26"/>
        </w:rPr>
        <w:t> </w:t>
      </w:r>
      <w:r>
        <w:rPr>
          <w:sz w:val="26"/>
        </w:rPr>
        <w:t>clarity</w:t>
      </w:r>
      <w:r>
        <w:rPr>
          <w:spacing w:val="-4"/>
          <w:sz w:val="26"/>
        </w:rPr>
        <w:t> </w:t>
      </w:r>
      <w:r>
        <w:rPr>
          <w:sz w:val="26"/>
        </w:rPr>
        <w:t>needs</w:t>
      </w:r>
      <w:r>
        <w:rPr>
          <w:spacing w:val="-3"/>
          <w:sz w:val="26"/>
        </w:rPr>
        <w:t> </w:t>
      </w:r>
      <w:r>
        <w:rPr>
          <w:sz w:val="26"/>
        </w:rPr>
        <w:t>to</w:t>
      </w:r>
      <w:r>
        <w:rPr>
          <w:spacing w:val="-3"/>
          <w:sz w:val="26"/>
        </w:rPr>
        <w:t> </w:t>
      </w:r>
      <w:r>
        <w:rPr>
          <w:sz w:val="26"/>
        </w:rPr>
        <w:t>be</w:t>
      </w:r>
      <w:r>
        <w:rPr>
          <w:spacing w:val="-4"/>
          <w:sz w:val="26"/>
        </w:rPr>
        <w:t> </w:t>
      </w:r>
      <w:r>
        <w:rPr>
          <w:sz w:val="26"/>
        </w:rPr>
        <w:t>established</w:t>
      </w:r>
      <w:r>
        <w:rPr>
          <w:spacing w:val="-4"/>
          <w:sz w:val="26"/>
        </w:rPr>
        <w:t> </w:t>
      </w:r>
      <w:r>
        <w:rPr>
          <w:sz w:val="26"/>
        </w:rPr>
        <w:t>between</w:t>
      </w:r>
      <w:r>
        <w:rPr>
          <w:spacing w:val="-4"/>
          <w:sz w:val="26"/>
        </w:rPr>
        <w:t> </w:t>
      </w:r>
      <w:r>
        <w:rPr>
          <w:sz w:val="26"/>
        </w:rPr>
        <w:t>what</w:t>
      </w:r>
      <w:r>
        <w:rPr>
          <w:spacing w:val="-4"/>
          <w:sz w:val="26"/>
        </w:rPr>
        <w:t> </w:t>
      </w:r>
      <w:r>
        <w:rPr>
          <w:sz w:val="26"/>
        </w:rPr>
        <w:t>is</w:t>
      </w:r>
      <w:r>
        <w:rPr>
          <w:spacing w:val="-2"/>
          <w:sz w:val="26"/>
        </w:rPr>
        <w:t> </w:t>
      </w:r>
      <w:r>
        <w:rPr>
          <w:sz w:val="26"/>
        </w:rPr>
        <w:t>Home</w:t>
      </w:r>
      <w:r>
        <w:rPr>
          <w:spacing w:val="-4"/>
          <w:sz w:val="26"/>
        </w:rPr>
        <w:t> </w:t>
      </w:r>
      <w:r>
        <w:rPr>
          <w:sz w:val="26"/>
        </w:rPr>
        <w:t>Care</w:t>
      </w:r>
      <w:r>
        <w:rPr>
          <w:spacing w:val="-3"/>
          <w:sz w:val="26"/>
        </w:rPr>
        <w:t> </w:t>
      </w:r>
      <w:r>
        <w:rPr>
          <w:sz w:val="26"/>
        </w:rPr>
        <w:t>and what is Personal Assistance and who should be able to avail of these </w:t>
      </w:r>
      <w:r>
        <w:rPr>
          <w:spacing w:val="-2"/>
          <w:sz w:val="26"/>
        </w:rPr>
        <w:t>services</w:t>
      </w:r>
    </w:p>
    <w:p>
      <w:pPr>
        <w:pStyle w:val="ListParagraph"/>
        <w:numPr>
          <w:ilvl w:val="0"/>
          <w:numId w:val="3"/>
        </w:numPr>
        <w:tabs>
          <w:tab w:pos="2062" w:val="left" w:leader="none"/>
        </w:tabs>
        <w:spacing w:line="240" w:lineRule="auto" w:before="0" w:after="0"/>
        <w:ind w:left="2062" w:right="1287" w:hanging="360"/>
        <w:jc w:val="left"/>
        <w:rPr>
          <w:sz w:val="26"/>
        </w:rPr>
      </w:pPr>
      <w:r>
        <w:rPr>
          <w:sz w:val="26"/>
        </w:rPr>
        <w:t>That Home Care, Primary Care and other supports necessary to support</w:t>
      </w:r>
      <w:r>
        <w:rPr>
          <w:spacing w:val="-5"/>
          <w:sz w:val="26"/>
        </w:rPr>
        <w:t> </w:t>
      </w:r>
      <w:r>
        <w:rPr>
          <w:sz w:val="26"/>
        </w:rPr>
        <w:t>independent</w:t>
      </w:r>
      <w:r>
        <w:rPr>
          <w:spacing w:val="-5"/>
          <w:sz w:val="26"/>
        </w:rPr>
        <w:t> </w:t>
      </w:r>
      <w:r>
        <w:rPr>
          <w:sz w:val="26"/>
        </w:rPr>
        <w:t>living,</w:t>
      </w:r>
      <w:r>
        <w:rPr>
          <w:spacing w:val="-5"/>
          <w:sz w:val="26"/>
        </w:rPr>
        <w:t> </w:t>
      </w:r>
      <w:r>
        <w:rPr>
          <w:sz w:val="26"/>
        </w:rPr>
        <w:t>such</w:t>
      </w:r>
      <w:r>
        <w:rPr>
          <w:spacing w:val="-5"/>
          <w:sz w:val="26"/>
        </w:rPr>
        <w:t> </w:t>
      </w:r>
      <w:r>
        <w:rPr>
          <w:sz w:val="26"/>
        </w:rPr>
        <w:t>as</w:t>
      </w:r>
      <w:r>
        <w:rPr>
          <w:spacing w:val="-2"/>
          <w:sz w:val="26"/>
        </w:rPr>
        <w:t> </w:t>
      </w:r>
      <w:r>
        <w:rPr>
          <w:sz w:val="26"/>
        </w:rPr>
        <w:t>Assistive</w:t>
      </w:r>
      <w:r>
        <w:rPr>
          <w:spacing w:val="-5"/>
          <w:sz w:val="26"/>
        </w:rPr>
        <w:t> </w:t>
      </w:r>
      <w:r>
        <w:rPr>
          <w:sz w:val="26"/>
        </w:rPr>
        <w:t>Technology</w:t>
      </w:r>
      <w:r>
        <w:rPr>
          <w:spacing w:val="-6"/>
          <w:sz w:val="26"/>
        </w:rPr>
        <w:t> </w:t>
      </w:r>
      <w:r>
        <w:rPr>
          <w:sz w:val="26"/>
        </w:rPr>
        <w:t>and</w:t>
      </w:r>
      <w:r>
        <w:rPr>
          <w:spacing w:val="-5"/>
          <w:sz w:val="26"/>
        </w:rPr>
        <w:t> </w:t>
      </w:r>
      <w:r>
        <w:rPr>
          <w:sz w:val="26"/>
        </w:rPr>
        <w:t>housing adaptations, need to be delivered in a coordinated way</w:t>
      </w:r>
    </w:p>
    <w:p>
      <w:pPr>
        <w:pStyle w:val="ListParagraph"/>
        <w:numPr>
          <w:ilvl w:val="0"/>
          <w:numId w:val="3"/>
        </w:numPr>
        <w:tabs>
          <w:tab w:pos="2062" w:val="left" w:leader="none"/>
        </w:tabs>
        <w:spacing w:line="240" w:lineRule="auto" w:before="0" w:after="0"/>
        <w:ind w:left="2062" w:right="1176" w:hanging="360"/>
        <w:jc w:val="left"/>
        <w:rPr>
          <w:sz w:val="26"/>
        </w:rPr>
      </w:pPr>
      <w:r>
        <w:rPr>
          <w:sz w:val="26"/>
        </w:rPr>
        <w:t>That</w:t>
      </w:r>
      <w:r>
        <w:rPr>
          <w:spacing w:val="-5"/>
          <w:sz w:val="26"/>
        </w:rPr>
        <w:t> </w:t>
      </w:r>
      <w:r>
        <w:rPr>
          <w:sz w:val="26"/>
        </w:rPr>
        <w:t>regulation</w:t>
      </w:r>
      <w:r>
        <w:rPr>
          <w:spacing w:val="-5"/>
          <w:sz w:val="26"/>
        </w:rPr>
        <w:t> </w:t>
      </w:r>
      <w:r>
        <w:rPr>
          <w:sz w:val="26"/>
        </w:rPr>
        <w:t>should</w:t>
      </w:r>
      <w:r>
        <w:rPr>
          <w:spacing w:val="-3"/>
          <w:sz w:val="26"/>
        </w:rPr>
        <w:t> </w:t>
      </w:r>
      <w:r>
        <w:rPr>
          <w:sz w:val="26"/>
        </w:rPr>
        <w:t>focus</w:t>
      </w:r>
      <w:r>
        <w:rPr>
          <w:spacing w:val="-5"/>
          <w:sz w:val="26"/>
        </w:rPr>
        <w:t> </w:t>
      </w:r>
      <w:r>
        <w:rPr>
          <w:sz w:val="26"/>
        </w:rPr>
        <w:t>on</w:t>
      </w:r>
      <w:r>
        <w:rPr>
          <w:spacing w:val="-2"/>
          <w:sz w:val="26"/>
        </w:rPr>
        <w:t> </w:t>
      </w:r>
      <w:r>
        <w:rPr>
          <w:sz w:val="26"/>
        </w:rPr>
        <w:t>Home</w:t>
      </w:r>
      <w:r>
        <w:rPr>
          <w:spacing w:val="-5"/>
          <w:sz w:val="26"/>
        </w:rPr>
        <w:t> </w:t>
      </w:r>
      <w:r>
        <w:rPr>
          <w:sz w:val="26"/>
        </w:rPr>
        <w:t>Care</w:t>
      </w:r>
      <w:r>
        <w:rPr>
          <w:spacing w:val="-4"/>
          <w:sz w:val="26"/>
        </w:rPr>
        <w:t> </w:t>
      </w:r>
      <w:r>
        <w:rPr>
          <w:sz w:val="26"/>
        </w:rPr>
        <w:t>services</w:t>
      </w:r>
      <w:r>
        <w:rPr>
          <w:spacing w:val="-4"/>
          <w:sz w:val="26"/>
        </w:rPr>
        <w:t> </w:t>
      </w:r>
      <w:r>
        <w:rPr>
          <w:sz w:val="26"/>
        </w:rPr>
        <w:t>providers</w:t>
      </w:r>
      <w:r>
        <w:rPr>
          <w:spacing w:val="-4"/>
          <w:sz w:val="26"/>
        </w:rPr>
        <w:t> </w:t>
      </w:r>
      <w:r>
        <w:rPr>
          <w:sz w:val="26"/>
        </w:rPr>
        <w:t>rather ‘designated centres’</w:t>
      </w:r>
    </w:p>
    <w:p>
      <w:pPr>
        <w:pStyle w:val="Heading5"/>
        <w:spacing w:before="253"/>
        <w:rPr>
          <w:rFonts w:ascii="Rockwell"/>
        </w:rPr>
      </w:pPr>
      <w:r>
        <w:rPr>
          <w:rFonts w:ascii="Rockwell"/>
        </w:rPr>
        <w:t>Patient</w:t>
      </w:r>
      <w:r>
        <w:rPr>
          <w:rFonts w:ascii="Rockwell"/>
          <w:spacing w:val="-10"/>
        </w:rPr>
        <w:t> </w:t>
      </w:r>
      <w:r>
        <w:rPr>
          <w:rFonts w:ascii="Rockwell"/>
        </w:rPr>
        <w:t>Safety</w:t>
      </w:r>
      <w:r>
        <w:rPr>
          <w:rFonts w:ascii="Rockwell"/>
          <w:spacing w:val="-10"/>
        </w:rPr>
        <w:t> </w:t>
      </w:r>
      <w:r>
        <w:rPr>
          <w:rFonts w:ascii="Rockwell"/>
        </w:rPr>
        <w:t>Complaints</w:t>
      </w:r>
      <w:r>
        <w:rPr>
          <w:rFonts w:ascii="Rockwell"/>
          <w:spacing w:val="-11"/>
        </w:rPr>
        <w:t> </w:t>
      </w:r>
      <w:r>
        <w:rPr>
          <w:rFonts w:ascii="Rockwell"/>
        </w:rPr>
        <w:t>and</w:t>
      </w:r>
      <w:r>
        <w:rPr>
          <w:rFonts w:ascii="Rockwell"/>
          <w:spacing w:val="-9"/>
        </w:rPr>
        <w:t> </w:t>
      </w:r>
      <w:r>
        <w:rPr>
          <w:rFonts w:ascii="Rockwell"/>
        </w:rPr>
        <w:t>Advocacy</w:t>
      </w:r>
      <w:r>
        <w:rPr>
          <w:rFonts w:ascii="Rockwell"/>
          <w:spacing w:val="-11"/>
        </w:rPr>
        <w:t> </w:t>
      </w:r>
      <w:r>
        <w:rPr>
          <w:rFonts w:ascii="Rockwell"/>
          <w:spacing w:val="-2"/>
        </w:rPr>
        <w:t>Policy</w:t>
      </w:r>
    </w:p>
    <w:p>
      <w:pPr>
        <w:pStyle w:val="BodyText"/>
        <w:spacing w:before="28"/>
        <w:ind w:left="1702"/>
      </w:pPr>
      <w:r>
        <w:rPr/>
        <w:t>Key</w:t>
      </w:r>
      <w:r>
        <w:rPr>
          <w:spacing w:val="-7"/>
        </w:rPr>
        <w:t> </w:t>
      </w:r>
      <w:r>
        <w:rPr/>
        <w:t>points</w:t>
      </w:r>
      <w:r>
        <w:rPr>
          <w:spacing w:val="-6"/>
        </w:rPr>
        <w:t> </w:t>
      </w:r>
      <w:r>
        <w:rPr/>
        <w:t>made</w:t>
      </w:r>
      <w:r>
        <w:rPr>
          <w:spacing w:val="-7"/>
        </w:rPr>
        <w:t> </w:t>
      </w:r>
      <w:r>
        <w:rPr>
          <w:spacing w:val="-2"/>
        </w:rPr>
        <w:t>included:</w:t>
      </w:r>
    </w:p>
    <w:p>
      <w:pPr>
        <w:pStyle w:val="ListParagraph"/>
        <w:numPr>
          <w:ilvl w:val="0"/>
          <w:numId w:val="3"/>
        </w:numPr>
        <w:tabs>
          <w:tab w:pos="2062" w:val="left" w:leader="none"/>
        </w:tabs>
        <w:spacing w:line="240" w:lineRule="auto" w:before="118" w:after="0"/>
        <w:ind w:left="2062" w:right="1407" w:hanging="360"/>
        <w:jc w:val="left"/>
        <w:rPr>
          <w:sz w:val="26"/>
        </w:rPr>
      </w:pPr>
      <w:r>
        <w:rPr>
          <w:sz w:val="26"/>
        </w:rPr>
        <w:t>That ‘social care’ needs to be included in the name of the policy to ensure</w:t>
      </w:r>
      <w:r>
        <w:rPr>
          <w:spacing w:val="-4"/>
          <w:sz w:val="26"/>
        </w:rPr>
        <w:t> </w:t>
      </w:r>
      <w:r>
        <w:rPr>
          <w:sz w:val="26"/>
        </w:rPr>
        <w:t>that</w:t>
      </w:r>
      <w:r>
        <w:rPr>
          <w:spacing w:val="-5"/>
          <w:sz w:val="26"/>
        </w:rPr>
        <w:t> </w:t>
      </w:r>
      <w:r>
        <w:rPr>
          <w:sz w:val="26"/>
        </w:rPr>
        <w:t>people</w:t>
      </w:r>
      <w:r>
        <w:rPr>
          <w:spacing w:val="-5"/>
          <w:sz w:val="26"/>
        </w:rPr>
        <w:t> </w:t>
      </w:r>
      <w:r>
        <w:rPr>
          <w:sz w:val="26"/>
        </w:rPr>
        <w:t>who</w:t>
      </w:r>
      <w:r>
        <w:rPr>
          <w:spacing w:val="-4"/>
          <w:sz w:val="26"/>
        </w:rPr>
        <w:t> </w:t>
      </w:r>
      <w:r>
        <w:rPr>
          <w:sz w:val="26"/>
        </w:rPr>
        <w:t>avail</w:t>
      </w:r>
      <w:r>
        <w:rPr>
          <w:spacing w:val="-4"/>
          <w:sz w:val="26"/>
        </w:rPr>
        <w:t> </w:t>
      </w:r>
      <w:r>
        <w:rPr>
          <w:sz w:val="26"/>
        </w:rPr>
        <w:t>of</w:t>
      </w:r>
      <w:r>
        <w:rPr>
          <w:spacing w:val="-5"/>
          <w:sz w:val="26"/>
        </w:rPr>
        <w:t> </w:t>
      </w:r>
      <w:r>
        <w:rPr>
          <w:sz w:val="26"/>
        </w:rPr>
        <w:t>social</w:t>
      </w:r>
      <w:r>
        <w:rPr>
          <w:spacing w:val="-5"/>
          <w:sz w:val="26"/>
        </w:rPr>
        <w:t> </w:t>
      </w:r>
      <w:r>
        <w:rPr>
          <w:sz w:val="26"/>
        </w:rPr>
        <w:t>care</w:t>
      </w:r>
      <w:r>
        <w:rPr>
          <w:spacing w:val="-4"/>
          <w:sz w:val="26"/>
        </w:rPr>
        <w:t> </w:t>
      </w:r>
      <w:r>
        <w:rPr>
          <w:sz w:val="26"/>
        </w:rPr>
        <w:t>services</w:t>
      </w:r>
      <w:r>
        <w:rPr>
          <w:spacing w:val="-4"/>
          <w:sz w:val="26"/>
        </w:rPr>
        <w:t> </w:t>
      </w:r>
      <w:r>
        <w:rPr>
          <w:sz w:val="26"/>
        </w:rPr>
        <w:t>realise</w:t>
      </w:r>
      <w:r>
        <w:rPr>
          <w:spacing w:val="-5"/>
          <w:sz w:val="26"/>
        </w:rPr>
        <w:t> </w:t>
      </w:r>
      <w:r>
        <w:rPr>
          <w:sz w:val="26"/>
        </w:rPr>
        <w:t>that</w:t>
      </w:r>
      <w:r>
        <w:rPr>
          <w:spacing w:val="-5"/>
          <w:sz w:val="26"/>
        </w:rPr>
        <w:t> </w:t>
      </w:r>
      <w:r>
        <w:rPr>
          <w:sz w:val="26"/>
        </w:rPr>
        <w:t>they can use the complaints policy</w:t>
      </w:r>
    </w:p>
    <w:p>
      <w:pPr>
        <w:pStyle w:val="ListParagraph"/>
        <w:numPr>
          <w:ilvl w:val="0"/>
          <w:numId w:val="3"/>
        </w:numPr>
        <w:tabs>
          <w:tab w:pos="2062" w:val="left" w:leader="none"/>
        </w:tabs>
        <w:spacing w:line="240" w:lineRule="auto" w:before="1" w:after="0"/>
        <w:ind w:left="2062" w:right="1123" w:hanging="360"/>
        <w:jc w:val="left"/>
        <w:rPr>
          <w:sz w:val="26"/>
        </w:rPr>
      </w:pPr>
      <w:r>
        <w:rPr>
          <w:sz w:val="26"/>
        </w:rPr>
        <w:t>That</w:t>
      </w:r>
      <w:r>
        <w:rPr>
          <w:spacing w:val="-6"/>
          <w:sz w:val="26"/>
        </w:rPr>
        <w:t> </w:t>
      </w:r>
      <w:r>
        <w:rPr>
          <w:sz w:val="26"/>
        </w:rPr>
        <w:t>all</w:t>
      </w:r>
      <w:r>
        <w:rPr>
          <w:spacing w:val="-5"/>
          <w:sz w:val="26"/>
        </w:rPr>
        <w:t> </w:t>
      </w:r>
      <w:r>
        <w:rPr>
          <w:sz w:val="26"/>
        </w:rPr>
        <w:t>complaints</w:t>
      </w:r>
      <w:r>
        <w:rPr>
          <w:spacing w:val="-5"/>
          <w:sz w:val="26"/>
        </w:rPr>
        <w:t> </w:t>
      </w:r>
      <w:r>
        <w:rPr>
          <w:sz w:val="26"/>
        </w:rPr>
        <w:t>policy</w:t>
      </w:r>
      <w:r>
        <w:rPr>
          <w:spacing w:val="-5"/>
          <w:sz w:val="26"/>
        </w:rPr>
        <w:t> </w:t>
      </w:r>
      <w:r>
        <w:rPr>
          <w:sz w:val="26"/>
        </w:rPr>
        <w:t>material</w:t>
      </w:r>
      <w:r>
        <w:rPr>
          <w:spacing w:val="-6"/>
          <w:sz w:val="26"/>
        </w:rPr>
        <w:t> </w:t>
      </w:r>
      <w:r>
        <w:rPr>
          <w:sz w:val="26"/>
        </w:rPr>
        <w:t>and</w:t>
      </w:r>
      <w:r>
        <w:rPr>
          <w:spacing w:val="-6"/>
          <w:sz w:val="26"/>
        </w:rPr>
        <w:t> </w:t>
      </w:r>
      <w:r>
        <w:rPr>
          <w:sz w:val="26"/>
        </w:rPr>
        <w:t>processes</w:t>
      </w:r>
      <w:r>
        <w:rPr>
          <w:spacing w:val="-4"/>
          <w:sz w:val="26"/>
        </w:rPr>
        <w:t> </w:t>
      </w:r>
      <w:r>
        <w:rPr>
          <w:sz w:val="26"/>
        </w:rPr>
        <w:t>are</w:t>
      </w:r>
      <w:r>
        <w:rPr>
          <w:spacing w:val="-5"/>
          <w:sz w:val="26"/>
        </w:rPr>
        <w:t> </w:t>
      </w:r>
      <w:r>
        <w:rPr>
          <w:sz w:val="26"/>
        </w:rPr>
        <w:t>disability</w:t>
      </w:r>
      <w:r>
        <w:rPr>
          <w:spacing w:val="-6"/>
          <w:sz w:val="26"/>
        </w:rPr>
        <w:t> </w:t>
      </w:r>
      <w:r>
        <w:rPr>
          <w:sz w:val="26"/>
        </w:rPr>
        <w:t>proofed and made accessible to people with disabilities</w:t>
      </w:r>
    </w:p>
    <w:p>
      <w:pPr>
        <w:pStyle w:val="ListParagraph"/>
        <w:numPr>
          <w:ilvl w:val="0"/>
          <w:numId w:val="3"/>
        </w:numPr>
        <w:tabs>
          <w:tab w:pos="2062" w:val="left" w:leader="none"/>
        </w:tabs>
        <w:spacing w:line="240" w:lineRule="auto" w:before="0" w:after="0"/>
        <w:ind w:left="2062" w:right="1213" w:hanging="360"/>
        <w:jc w:val="left"/>
        <w:rPr>
          <w:sz w:val="26"/>
        </w:rPr>
      </w:pPr>
      <w:r>
        <w:rPr>
          <w:sz w:val="26"/>
        </w:rPr>
        <w:t>That the National Advocacy Service still does not have the statutory powers</w:t>
      </w:r>
      <w:r>
        <w:rPr>
          <w:spacing w:val="-4"/>
          <w:sz w:val="26"/>
        </w:rPr>
        <w:t> </w:t>
      </w:r>
      <w:r>
        <w:rPr>
          <w:sz w:val="26"/>
        </w:rPr>
        <w:t>to</w:t>
      </w:r>
      <w:r>
        <w:rPr>
          <w:spacing w:val="-4"/>
          <w:sz w:val="26"/>
        </w:rPr>
        <w:t> </w:t>
      </w:r>
      <w:r>
        <w:rPr>
          <w:sz w:val="26"/>
        </w:rPr>
        <w:t>enter</w:t>
      </w:r>
      <w:r>
        <w:rPr>
          <w:spacing w:val="-5"/>
          <w:sz w:val="26"/>
        </w:rPr>
        <w:t> </w:t>
      </w:r>
      <w:r>
        <w:rPr>
          <w:sz w:val="26"/>
        </w:rPr>
        <w:t>a</w:t>
      </w:r>
      <w:r>
        <w:rPr>
          <w:spacing w:val="-5"/>
          <w:sz w:val="26"/>
        </w:rPr>
        <w:t> </w:t>
      </w:r>
      <w:r>
        <w:rPr>
          <w:sz w:val="26"/>
        </w:rPr>
        <w:t>facility</w:t>
      </w:r>
      <w:r>
        <w:rPr>
          <w:spacing w:val="-5"/>
          <w:sz w:val="26"/>
        </w:rPr>
        <w:t> </w:t>
      </w:r>
      <w:r>
        <w:rPr>
          <w:sz w:val="26"/>
        </w:rPr>
        <w:t>and</w:t>
      </w:r>
      <w:r>
        <w:rPr>
          <w:spacing w:val="-5"/>
          <w:sz w:val="26"/>
        </w:rPr>
        <w:t> </w:t>
      </w:r>
      <w:r>
        <w:rPr>
          <w:sz w:val="26"/>
        </w:rPr>
        <w:t>that</w:t>
      </w:r>
      <w:r>
        <w:rPr>
          <w:spacing w:val="-5"/>
          <w:sz w:val="26"/>
        </w:rPr>
        <w:t> </w:t>
      </w:r>
      <w:r>
        <w:rPr>
          <w:sz w:val="26"/>
        </w:rPr>
        <w:t>advocacy</w:t>
      </w:r>
      <w:r>
        <w:rPr>
          <w:spacing w:val="-6"/>
          <w:sz w:val="26"/>
        </w:rPr>
        <w:t> </w:t>
      </w:r>
      <w:r>
        <w:rPr>
          <w:sz w:val="26"/>
        </w:rPr>
        <w:t>remains</w:t>
      </w:r>
      <w:r>
        <w:rPr>
          <w:spacing w:val="-3"/>
          <w:sz w:val="26"/>
        </w:rPr>
        <w:t> </w:t>
      </w:r>
      <w:r>
        <w:rPr>
          <w:sz w:val="26"/>
        </w:rPr>
        <w:t>under-resourced</w:t>
      </w:r>
    </w:p>
    <w:p>
      <w:pPr>
        <w:pStyle w:val="BodyText"/>
        <w:spacing w:before="241"/>
        <w:ind w:left="1702" w:right="1099"/>
      </w:pPr>
      <w:r>
        <w:rPr/>
        <w:t>In 2017 the National Disability Authority also made a submission to the Health</w:t>
      </w:r>
      <w:r>
        <w:rPr>
          <w:spacing w:val="-5"/>
        </w:rPr>
        <w:t> </w:t>
      </w:r>
      <w:r>
        <w:rPr/>
        <w:t>Service</w:t>
      </w:r>
      <w:r>
        <w:rPr>
          <w:spacing w:val="-5"/>
        </w:rPr>
        <w:t> </w:t>
      </w:r>
      <w:r>
        <w:rPr/>
        <w:t>Executive</w:t>
      </w:r>
      <w:r>
        <w:rPr>
          <w:spacing w:val="-5"/>
        </w:rPr>
        <w:t> </w:t>
      </w:r>
      <w:r>
        <w:rPr/>
        <w:t>(HSE)</w:t>
      </w:r>
      <w:r>
        <w:rPr>
          <w:spacing w:val="-2"/>
        </w:rPr>
        <w:t> </w:t>
      </w:r>
      <w:r>
        <w:rPr/>
        <w:t>and</w:t>
      </w:r>
      <w:r>
        <w:rPr>
          <w:spacing w:val="-5"/>
        </w:rPr>
        <w:t> </w:t>
      </w:r>
      <w:r>
        <w:rPr/>
        <w:t>its</w:t>
      </w:r>
      <w:r>
        <w:rPr>
          <w:spacing w:val="-4"/>
        </w:rPr>
        <w:t> </w:t>
      </w:r>
      <w:r>
        <w:rPr/>
        <w:t>Autism</w:t>
      </w:r>
      <w:r>
        <w:rPr>
          <w:spacing w:val="-5"/>
        </w:rPr>
        <w:t> </w:t>
      </w:r>
      <w:r>
        <w:rPr/>
        <w:t>Review</w:t>
      </w:r>
      <w:r>
        <w:rPr>
          <w:spacing w:val="-4"/>
        </w:rPr>
        <w:t> </w:t>
      </w:r>
      <w:r>
        <w:rPr/>
        <w:t>Working</w:t>
      </w:r>
      <w:r>
        <w:rPr>
          <w:spacing w:val="-5"/>
        </w:rPr>
        <w:t> </w:t>
      </w:r>
      <w:r>
        <w:rPr/>
        <w:t>group. In this submission we reiterated previous advice, based on consultation and research on approaches in other jurisdictions, that specific actions could be progressed under a programme of autism actions, rather than development of a separate condition-specific strategy. The new National Disability Inclusion Strategy 2017-2021 retains a commitment to full implementation of this programme of actions. We also highlighted</w:t>
      </w:r>
    </w:p>
    <w:p>
      <w:pPr>
        <w:pStyle w:val="BodyText"/>
        <w:ind w:left="1702" w:right="988"/>
      </w:pPr>
      <w:r>
        <w:rPr/>
        <w:t>research</w:t>
      </w:r>
      <w:r>
        <w:rPr>
          <w:spacing w:val="-5"/>
        </w:rPr>
        <w:t> </w:t>
      </w:r>
      <w:r>
        <w:rPr/>
        <w:t>conducted</w:t>
      </w:r>
      <w:r>
        <w:rPr>
          <w:spacing w:val="-5"/>
        </w:rPr>
        <w:t> </w:t>
      </w:r>
      <w:r>
        <w:rPr/>
        <w:t>by</w:t>
      </w:r>
      <w:r>
        <w:rPr>
          <w:spacing w:val="-3"/>
        </w:rPr>
        <w:t> </w:t>
      </w:r>
      <w:r>
        <w:rPr/>
        <w:t>the</w:t>
      </w:r>
      <w:r>
        <w:rPr>
          <w:spacing w:val="-5"/>
        </w:rPr>
        <w:t> </w:t>
      </w:r>
      <w:r>
        <w:rPr/>
        <w:t>NDA</w:t>
      </w:r>
      <w:r>
        <w:rPr>
          <w:spacing w:val="-3"/>
        </w:rPr>
        <w:t> </w:t>
      </w:r>
      <w:r>
        <w:rPr/>
        <w:t>on</w:t>
      </w:r>
      <w:r>
        <w:rPr>
          <w:spacing w:val="-5"/>
        </w:rPr>
        <w:t> </w:t>
      </w:r>
      <w:r>
        <w:rPr/>
        <w:t>‘Models</w:t>
      </w:r>
      <w:r>
        <w:rPr>
          <w:spacing w:val="-4"/>
        </w:rPr>
        <w:t> </w:t>
      </w:r>
      <w:r>
        <w:rPr/>
        <w:t>of</w:t>
      </w:r>
      <w:r>
        <w:rPr>
          <w:spacing w:val="-5"/>
        </w:rPr>
        <w:t> </w:t>
      </w:r>
      <w:r>
        <w:rPr/>
        <w:t>good</w:t>
      </w:r>
      <w:r>
        <w:rPr>
          <w:spacing w:val="-5"/>
        </w:rPr>
        <w:t> </w:t>
      </w:r>
      <w:r>
        <w:rPr/>
        <w:t>practice</w:t>
      </w:r>
      <w:r>
        <w:rPr>
          <w:spacing w:val="-5"/>
        </w:rPr>
        <w:t> </w:t>
      </w:r>
      <w:r>
        <w:rPr/>
        <w:t>in</w:t>
      </w:r>
      <w:r>
        <w:rPr>
          <w:spacing w:val="-5"/>
        </w:rPr>
        <w:t> </w:t>
      </w:r>
      <w:r>
        <w:rPr/>
        <w:t>effectively supporting the needs of adults with autism, without a concurrent intellectual disability, living in the community’. This work has been shared with the HSE working group to inform their thinking.</w:t>
      </w:r>
    </w:p>
    <w:p>
      <w:pPr>
        <w:pStyle w:val="Heading5"/>
        <w:spacing w:before="252"/>
        <w:rPr>
          <w:rFonts w:ascii="Rockwell"/>
        </w:rPr>
      </w:pPr>
      <w:r>
        <w:rPr>
          <w:rFonts w:ascii="Rockwell"/>
          <w:color w:val="BE2195"/>
        </w:rPr>
        <w:t>Department</w:t>
      </w:r>
      <w:r>
        <w:rPr>
          <w:rFonts w:ascii="Rockwell"/>
          <w:color w:val="BE2195"/>
          <w:spacing w:val="-10"/>
        </w:rPr>
        <w:t> </w:t>
      </w:r>
      <w:r>
        <w:rPr>
          <w:rFonts w:ascii="Rockwell"/>
          <w:color w:val="BE2195"/>
        </w:rPr>
        <w:t>of</w:t>
      </w:r>
      <w:r>
        <w:rPr>
          <w:rFonts w:ascii="Rockwell"/>
          <w:color w:val="BE2195"/>
          <w:spacing w:val="-10"/>
        </w:rPr>
        <w:t> </w:t>
      </w:r>
      <w:r>
        <w:rPr>
          <w:rFonts w:ascii="Rockwell"/>
          <w:color w:val="BE2195"/>
        </w:rPr>
        <w:t>Transport,</w:t>
      </w:r>
      <w:r>
        <w:rPr>
          <w:rFonts w:ascii="Rockwell"/>
          <w:color w:val="BE2195"/>
          <w:spacing w:val="-9"/>
        </w:rPr>
        <w:t> </w:t>
      </w:r>
      <w:r>
        <w:rPr>
          <w:rFonts w:ascii="Rockwell"/>
          <w:color w:val="BE2195"/>
        </w:rPr>
        <w:t>Tourism</w:t>
      </w:r>
      <w:r>
        <w:rPr>
          <w:rFonts w:ascii="Rockwell"/>
          <w:color w:val="BE2195"/>
          <w:spacing w:val="-10"/>
        </w:rPr>
        <w:t> </w:t>
      </w:r>
      <w:r>
        <w:rPr>
          <w:rFonts w:ascii="Rockwell"/>
          <w:color w:val="BE2195"/>
        </w:rPr>
        <w:t>and</w:t>
      </w:r>
      <w:r>
        <w:rPr>
          <w:rFonts w:ascii="Rockwell"/>
          <w:color w:val="BE2195"/>
          <w:spacing w:val="-8"/>
        </w:rPr>
        <w:t> </w:t>
      </w:r>
      <w:r>
        <w:rPr>
          <w:rFonts w:ascii="Rockwell"/>
          <w:color w:val="BE2195"/>
          <w:spacing w:val="-2"/>
        </w:rPr>
        <w:t>Sport</w:t>
      </w:r>
    </w:p>
    <w:p>
      <w:pPr>
        <w:pStyle w:val="BodyText"/>
        <w:spacing w:before="28"/>
        <w:ind w:left="1702" w:right="988"/>
      </w:pPr>
      <w:r>
        <w:rPr/>
        <w:t>The</w:t>
      </w:r>
      <w:r>
        <w:rPr>
          <w:spacing w:val="-5"/>
        </w:rPr>
        <w:t> </w:t>
      </w:r>
      <w:r>
        <w:rPr/>
        <w:t>NDA</w:t>
      </w:r>
      <w:r>
        <w:rPr>
          <w:spacing w:val="-5"/>
        </w:rPr>
        <w:t> </w:t>
      </w:r>
      <w:r>
        <w:rPr/>
        <w:t>provides</w:t>
      </w:r>
      <w:r>
        <w:rPr>
          <w:spacing w:val="-3"/>
        </w:rPr>
        <w:t> </w:t>
      </w:r>
      <w:r>
        <w:rPr/>
        <w:t>the</w:t>
      </w:r>
      <w:r>
        <w:rPr>
          <w:spacing w:val="-2"/>
        </w:rPr>
        <w:t> </w:t>
      </w:r>
      <w:r>
        <w:rPr/>
        <w:t>Department</w:t>
      </w:r>
      <w:r>
        <w:rPr>
          <w:spacing w:val="-5"/>
        </w:rPr>
        <w:t> </w:t>
      </w:r>
      <w:r>
        <w:rPr/>
        <w:t>of</w:t>
      </w:r>
      <w:r>
        <w:rPr>
          <w:spacing w:val="-3"/>
        </w:rPr>
        <w:t> </w:t>
      </w:r>
      <w:r>
        <w:rPr/>
        <w:t>Transport,</w:t>
      </w:r>
      <w:r>
        <w:rPr>
          <w:spacing w:val="-3"/>
        </w:rPr>
        <w:t> </w:t>
      </w:r>
      <w:r>
        <w:rPr/>
        <w:t>Tourism</w:t>
      </w:r>
      <w:r>
        <w:rPr>
          <w:spacing w:val="-5"/>
        </w:rPr>
        <w:t> </w:t>
      </w:r>
      <w:r>
        <w:rPr/>
        <w:t>and</w:t>
      </w:r>
      <w:r>
        <w:rPr>
          <w:spacing w:val="-5"/>
        </w:rPr>
        <w:t> </w:t>
      </w:r>
      <w:r>
        <w:rPr/>
        <w:t>Sport,</w:t>
      </w:r>
      <w:r>
        <w:rPr>
          <w:spacing w:val="-3"/>
        </w:rPr>
        <w:t> </w:t>
      </w:r>
      <w:r>
        <w:rPr/>
        <w:t>the National Transport Authority and related agencies with policy advice on key disability issues and to support the delivery actions in the National</w:t>
      </w:r>
    </w:p>
    <w:p>
      <w:pPr>
        <w:pStyle w:val="BodyText"/>
        <w:spacing w:after="0"/>
        <w:sectPr>
          <w:pgSz w:w="11910" w:h="16850"/>
          <w:pgMar w:header="0" w:footer="811" w:top="1880" w:bottom="1000" w:left="283" w:right="992"/>
        </w:sectPr>
      </w:pPr>
    </w:p>
    <w:p>
      <w:pPr>
        <w:pStyle w:val="BodyText"/>
        <w:spacing w:before="79"/>
        <w:ind w:left="1702" w:right="988"/>
      </w:pPr>
      <w:r>
        <w:rPr/>
        <w:t>Disability Inclusion Strategy 2017-2021 and in the Comprehensive Employment</w:t>
      </w:r>
      <w:r>
        <w:rPr>
          <w:spacing w:val="-5"/>
        </w:rPr>
        <w:t> </w:t>
      </w:r>
      <w:r>
        <w:rPr/>
        <w:t>Strategy</w:t>
      </w:r>
      <w:r>
        <w:rPr>
          <w:spacing w:val="-5"/>
        </w:rPr>
        <w:t> </w:t>
      </w:r>
      <w:r>
        <w:rPr/>
        <w:t>2015</w:t>
      </w:r>
      <w:r>
        <w:rPr>
          <w:spacing w:val="-4"/>
        </w:rPr>
        <w:t> </w:t>
      </w:r>
      <w:r>
        <w:rPr/>
        <w:t>-</w:t>
      </w:r>
      <w:r>
        <w:rPr>
          <w:spacing w:val="-5"/>
        </w:rPr>
        <w:t> </w:t>
      </w:r>
      <w:r>
        <w:rPr/>
        <w:t>2024.</w:t>
      </w:r>
      <w:r>
        <w:rPr>
          <w:spacing w:val="-4"/>
        </w:rPr>
        <w:t> </w:t>
      </w:r>
      <w:r>
        <w:rPr/>
        <w:t>In</w:t>
      </w:r>
      <w:r>
        <w:rPr>
          <w:spacing w:val="-5"/>
        </w:rPr>
        <w:t> </w:t>
      </w:r>
      <w:r>
        <w:rPr/>
        <w:t>this</w:t>
      </w:r>
      <w:r>
        <w:rPr>
          <w:spacing w:val="-4"/>
        </w:rPr>
        <w:t> </w:t>
      </w:r>
      <w:r>
        <w:rPr/>
        <w:t>context,</w:t>
      </w:r>
      <w:r>
        <w:rPr>
          <w:spacing w:val="-3"/>
        </w:rPr>
        <w:t> </w:t>
      </w:r>
      <w:r>
        <w:rPr/>
        <w:t>the</w:t>
      </w:r>
      <w:r>
        <w:rPr>
          <w:spacing w:val="-5"/>
        </w:rPr>
        <w:t> </w:t>
      </w:r>
      <w:r>
        <w:rPr/>
        <w:t>NDA</w:t>
      </w:r>
      <w:r>
        <w:rPr>
          <w:spacing w:val="-3"/>
        </w:rPr>
        <w:t> </w:t>
      </w:r>
      <w:r>
        <w:rPr/>
        <w:t>made</w:t>
      </w:r>
      <w:r>
        <w:rPr>
          <w:spacing w:val="-2"/>
        </w:rPr>
        <w:t> </w:t>
      </w:r>
      <w:r>
        <w:rPr/>
        <w:t>a</w:t>
      </w:r>
    </w:p>
    <w:p>
      <w:pPr>
        <w:pStyle w:val="BodyText"/>
        <w:ind w:left="1702" w:right="1354"/>
      </w:pPr>
      <w:r>
        <w:rPr/>
        <w:t>submission</w:t>
      </w:r>
      <w:r>
        <w:rPr>
          <w:spacing w:val="-6"/>
        </w:rPr>
        <w:t> </w:t>
      </w:r>
      <w:r>
        <w:rPr/>
        <w:t>to</w:t>
      </w:r>
      <w:r>
        <w:rPr>
          <w:spacing w:val="-5"/>
        </w:rPr>
        <w:t> </w:t>
      </w:r>
      <w:r>
        <w:rPr/>
        <w:t>the</w:t>
      </w:r>
      <w:r>
        <w:rPr>
          <w:spacing w:val="-6"/>
        </w:rPr>
        <w:t> </w:t>
      </w:r>
      <w:r>
        <w:rPr/>
        <w:t>National</w:t>
      </w:r>
      <w:r>
        <w:rPr>
          <w:spacing w:val="-6"/>
        </w:rPr>
        <w:t> </w:t>
      </w:r>
      <w:r>
        <w:rPr/>
        <w:t>Transport</w:t>
      </w:r>
      <w:r>
        <w:rPr>
          <w:spacing w:val="-6"/>
        </w:rPr>
        <w:t> </w:t>
      </w:r>
      <w:r>
        <w:rPr/>
        <w:t>Authority’s</w:t>
      </w:r>
      <w:r>
        <w:rPr>
          <w:spacing w:val="-2"/>
        </w:rPr>
        <w:t> </w:t>
      </w:r>
      <w:r>
        <w:rPr/>
        <w:t>Statement</w:t>
      </w:r>
      <w:r>
        <w:rPr>
          <w:spacing w:val="-3"/>
        </w:rPr>
        <w:t> </w:t>
      </w:r>
      <w:r>
        <w:rPr/>
        <w:t>of</w:t>
      </w:r>
      <w:r>
        <w:rPr>
          <w:spacing w:val="-6"/>
        </w:rPr>
        <w:t> </w:t>
      </w:r>
      <w:r>
        <w:rPr/>
        <w:t>Strategy 2018-2022 advising that it focuses on progressing accessible transport.</w:t>
      </w:r>
    </w:p>
    <w:p>
      <w:pPr>
        <w:pStyle w:val="Heading5"/>
        <w:spacing w:before="238"/>
      </w:pPr>
      <w:r>
        <w:rPr/>
        <w:t>Monitoring</w:t>
      </w:r>
      <w:r>
        <w:rPr>
          <w:spacing w:val="-11"/>
        </w:rPr>
        <w:t> </w:t>
      </w:r>
      <w:r>
        <w:rPr/>
        <w:t>the</w:t>
      </w:r>
      <w:r>
        <w:rPr>
          <w:spacing w:val="-8"/>
        </w:rPr>
        <w:t> </w:t>
      </w:r>
      <w:r>
        <w:rPr/>
        <w:t>Accessibility</w:t>
      </w:r>
      <w:r>
        <w:rPr>
          <w:spacing w:val="-9"/>
        </w:rPr>
        <w:t> </w:t>
      </w:r>
      <w:r>
        <w:rPr/>
        <w:t>of</w:t>
      </w:r>
      <w:r>
        <w:rPr>
          <w:spacing w:val="-10"/>
        </w:rPr>
        <w:t> </w:t>
      </w:r>
      <w:r>
        <w:rPr/>
        <w:t>Public</w:t>
      </w:r>
      <w:r>
        <w:rPr>
          <w:spacing w:val="-11"/>
        </w:rPr>
        <w:t> </w:t>
      </w:r>
      <w:r>
        <w:rPr/>
        <w:t>Transport</w:t>
      </w:r>
      <w:r>
        <w:rPr>
          <w:spacing w:val="-10"/>
        </w:rPr>
        <w:t> </w:t>
      </w:r>
      <w:r>
        <w:rPr>
          <w:spacing w:val="-2"/>
        </w:rPr>
        <w:t>Services</w:t>
      </w:r>
    </w:p>
    <w:p>
      <w:pPr>
        <w:pStyle w:val="BodyText"/>
        <w:spacing w:before="42"/>
        <w:ind w:left="1702" w:right="1099"/>
      </w:pPr>
      <w:r>
        <w:rPr/>
        <w:t>The NDA contracted work to assist in devising an effective monitoring system</w:t>
      </w:r>
      <w:r>
        <w:rPr>
          <w:spacing w:val="-5"/>
        </w:rPr>
        <w:t> </w:t>
      </w:r>
      <w:r>
        <w:rPr/>
        <w:t>for</w:t>
      </w:r>
      <w:r>
        <w:rPr>
          <w:spacing w:val="-5"/>
        </w:rPr>
        <w:t> </w:t>
      </w:r>
      <w:r>
        <w:rPr/>
        <w:t>an</w:t>
      </w:r>
      <w:r>
        <w:rPr>
          <w:spacing w:val="-4"/>
        </w:rPr>
        <w:t> </w:t>
      </w:r>
      <w:r>
        <w:rPr/>
        <w:t>in-depth</w:t>
      </w:r>
      <w:r>
        <w:rPr>
          <w:spacing w:val="-1"/>
        </w:rPr>
        <w:t> </w:t>
      </w:r>
      <w:r>
        <w:rPr/>
        <w:t>analysis</w:t>
      </w:r>
      <w:r>
        <w:rPr>
          <w:spacing w:val="-4"/>
        </w:rPr>
        <w:t> </w:t>
      </w:r>
      <w:r>
        <w:rPr/>
        <w:t>and</w:t>
      </w:r>
      <w:r>
        <w:rPr>
          <w:spacing w:val="-5"/>
        </w:rPr>
        <w:t> </w:t>
      </w:r>
      <w:r>
        <w:rPr/>
        <w:t>measurement</w:t>
      </w:r>
      <w:r>
        <w:rPr>
          <w:spacing w:val="-5"/>
        </w:rPr>
        <w:t> </w:t>
      </w:r>
      <w:r>
        <w:rPr/>
        <w:t>of</w:t>
      </w:r>
      <w:r>
        <w:rPr>
          <w:spacing w:val="-5"/>
        </w:rPr>
        <w:t> </w:t>
      </w:r>
      <w:r>
        <w:rPr/>
        <w:t>transport</w:t>
      </w:r>
      <w:r>
        <w:rPr>
          <w:spacing w:val="-5"/>
        </w:rPr>
        <w:t> </w:t>
      </w:r>
      <w:r>
        <w:rPr/>
        <w:t>accessibility in Ireland. The objective of this project is that it would identify the issues that</w:t>
      </w:r>
      <w:r>
        <w:rPr>
          <w:spacing w:val="-2"/>
        </w:rPr>
        <w:t> </w:t>
      </w:r>
      <w:r>
        <w:rPr/>
        <w:t>require</w:t>
      </w:r>
      <w:r>
        <w:rPr>
          <w:spacing w:val="-1"/>
        </w:rPr>
        <w:t> </w:t>
      </w:r>
      <w:r>
        <w:rPr/>
        <w:t>attention; guide</w:t>
      </w:r>
      <w:r>
        <w:rPr>
          <w:spacing w:val="-1"/>
        </w:rPr>
        <w:t> </w:t>
      </w:r>
      <w:r>
        <w:rPr/>
        <w:t>on</w:t>
      </w:r>
      <w:r>
        <w:rPr>
          <w:spacing w:val="-2"/>
        </w:rPr>
        <w:t> </w:t>
      </w:r>
      <w:r>
        <w:rPr/>
        <w:t>an</w:t>
      </w:r>
      <w:r>
        <w:rPr>
          <w:spacing w:val="-2"/>
        </w:rPr>
        <w:t> </w:t>
      </w:r>
      <w:r>
        <w:rPr/>
        <w:t>action</w:t>
      </w:r>
      <w:r>
        <w:rPr>
          <w:spacing w:val="-2"/>
        </w:rPr>
        <w:t> </w:t>
      </w:r>
      <w:r>
        <w:rPr/>
        <w:t>plan for</w:t>
      </w:r>
      <w:r>
        <w:rPr>
          <w:spacing w:val="-2"/>
        </w:rPr>
        <w:t> </w:t>
      </w:r>
      <w:r>
        <w:rPr/>
        <w:t>improvement</w:t>
      </w:r>
      <w:r>
        <w:rPr>
          <w:spacing w:val="-2"/>
        </w:rPr>
        <w:t> </w:t>
      </w:r>
      <w:r>
        <w:rPr/>
        <w:t>and allow the measurement of progress over time. A key element of this project is the assessment of public transport services against specific criteria in addition to customer feedback. The NDA has been engaging with the Department</w:t>
      </w:r>
      <w:r>
        <w:rPr>
          <w:spacing w:val="-3"/>
        </w:rPr>
        <w:t> </w:t>
      </w:r>
      <w:r>
        <w:rPr/>
        <w:t>of</w:t>
      </w:r>
      <w:r>
        <w:rPr>
          <w:spacing w:val="-1"/>
        </w:rPr>
        <w:t> </w:t>
      </w:r>
      <w:r>
        <w:rPr/>
        <w:t>Transport,</w:t>
      </w:r>
      <w:r>
        <w:rPr>
          <w:spacing w:val="-1"/>
        </w:rPr>
        <w:t> </w:t>
      </w:r>
      <w:r>
        <w:rPr/>
        <w:t>Tourism</w:t>
      </w:r>
      <w:r>
        <w:rPr>
          <w:spacing w:val="-3"/>
        </w:rPr>
        <w:t> </w:t>
      </w:r>
      <w:r>
        <w:rPr/>
        <w:t>and</w:t>
      </w:r>
      <w:r>
        <w:rPr>
          <w:spacing w:val="-3"/>
        </w:rPr>
        <w:t> </w:t>
      </w:r>
      <w:r>
        <w:rPr/>
        <w:t>Sport</w:t>
      </w:r>
      <w:r>
        <w:rPr>
          <w:spacing w:val="-3"/>
        </w:rPr>
        <w:t> </w:t>
      </w:r>
      <w:r>
        <w:rPr/>
        <w:t>and</w:t>
      </w:r>
      <w:r>
        <w:rPr>
          <w:spacing w:val="-3"/>
        </w:rPr>
        <w:t> </w:t>
      </w:r>
      <w:r>
        <w:rPr/>
        <w:t>the National</w:t>
      </w:r>
      <w:r>
        <w:rPr>
          <w:spacing w:val="-3"/>
        </w:rPr>
        <w:t> </w:t>
      </w:r>
      <w:r>
        <w:rPr/>
        <w:t>Transport Authority, as well as other stakeholders in testing various approaches. In 2018, the NDA will further trial the most appropriate tools to provide a baseline data regarding the accessibility of public transport in Ireland.</w:t>
      </w:r>
    </w:p>
    <w:p>
      <w:pPr>
        <w:pStyle w:val="Heading5"/>
        <w:spacing w:before="238"/>
      </w:pPr>
      <w:r>
        <w:rPr/>
        <w:t>Universally</w:t>
      </w:r>
      <w:r>
        <w:rPr>
          <w:spacing w:val="-10"/>
        </w:rPr>
        <w:t> </w:t>
      </w:r>
      <w:r>
        <w:rPr/>
        <w:t>Designed</w:t>
      </w:r>
      <w:r>
        <w:rPr>
          <w:spacing w:val="-9"/>
        </w:rPr>
        <w:t> </w:t>
      </w:r>
      <w:r>
        <w:rPr/>
        <w:t>Audit</w:t>
      </w:r>
      <w:r>
        <w:rPr>
          <w:spacing w:val="-10"/>
        </w:rPr>
        <w:t> </w:t>
      </w:r>
      <w:r>
        <w:rPr/>
        <w:t>Tool</w:t>
      </w:r>
      <w:r>
        <w:rPr>
          <w:spacing w:val="-9"/>
        </w:rPr>
        <w:t> </w:t>
      </w:r>
      <w:r>
        <w:rPr/>
        <w:t>for</w:t>
      </w:r>
      <w:r>
        <w:rPr>
          <w:spacing w:val="-8"/>
        </w:rPr>
        <w:t> </w:t>
      </w:r>
      <w:r>
        <w:rPr/>
        <w:t>Bus</w:t>
      </w:r>
      <w:r>
        <w:rPr>
          <w:spacing w:val="-10"/>
        </w:rPr>
        <w:t> </w:t>
      </w:r>
      <w:r>
        <w:rPr>
          <w:spacing w:val="-2"/>
        </w:rPr>
        <w:t>Stops</w:t>
      </w:r>
    </w:p>
    <w:p>
      <w:pPr>
        <w:pStyle w:val="BodyText"/>
        <w:spacing w:before="42"/>
        <w:ind w:left="1702" w:right="1080"/>
      </w:pPr>
      <w:r>
        <w:rPr/>
        <w:t>The</w:t>
      </w:r>
      <w:r>
        <w:rPr>
          <w:spacing w:val="-4"/>
        </w:rPr>
        <w:t> </w:t>
      </w:r>
      <w:r>
        <w:rPr/>
        <w:t>NDA</w:t>
      </w:r>
      <w:r>
        <w:rPr>
          <w:spacing w:val="-4"/>
        </w:rPr>
        <w:t> </w:t>
      </w:r>
      <w:r>
        <w:rPr/>
        <w:t>is</w:t>
      </w:r>
      <w:r>
        <w:rPr>
          <w:spacing w:val="-2"/>
        </w:rPr>
        <w:t> </w:t>
      </w:r>
      <w:r>
        <w:rPr/>
        <w:t>working</w:t>
      </w:r>
      <w:r>
        <w:rPr>
          <w:spacing w:val="-4"/>
        </w:rPr>
        <w:t> </w:t>
      </w:r>
      <w:r>
        <w:rPr/>
        <w:t>with</w:t>
      </w:r>
      <w:r>
        <w:rPr>
          <w:spacing w:val="-4"/>
        </w:rPr>
        <w:t> </w:t>
      </w:r>
      <w:r>
        <w:rPr/>
        <w:t>the</w:t>
      </w:r>
      <w:r>
        <w:rPr>
          <w:spacing w:val="-4"/>
        </w:rPr>
        <w:t> </w:t>
      </w:r>
      <w:r>
        <w:rPr/>
        <w:t>National</w:t>
      </w:r>
      <w:r>
        <w:rPr>
          <w:spacing w:val="-4"/>
        </w:rPr>
        <w:t> </w:t>
      </w:r>
      <w:r>
        <w:rPr/>
        <w:t>Transport</w:t>
      </w:r>
      <w:r>
        <w:rPr>
          <w:spacing w:val="-4"/>
        </w:rPr>
        <w:t> </w:t>
      </w:r>
      <w:r>
        <w:rPr/>
        <w:t>Authority</w:t>
      </w:r>
      <w:r>
        <w:rPr>
          <w:spacing w:val="-4"/>
        </w:rPr>
        <w:t> </w:t>
      </w:r>
      <w:r>
        <w:rPr/>
        <w:t>to guide</w:t>
      </w:r>
      <w:r>
        <w:rPr>
          <w:spacing w:val="-4"/>
        </w:rPr>
        <w:t> </w:t>
      </w:r>
      <w:r>
        <w:rPr/>
        <w:t>the development of a Universally Designed audit tool for bus stops. Bus Éireann will be using this tool when they are conducting an audit of approximately 12,000 bus stops around the country in Q1 2018.</w:t>
      </w:r>
    </w:p>
    <w:p>
      <w:pPr>
        <w:pStyle w:val="BodyText"/>
      </w:pPr>
    </w:p>
    <w:p>
      <w:pPr>
        <w:pStyle w:val="BodyText"/>
        <w:spacing w:before="191"/>
      </w:pPr>
    </w:p>
    <w:p>
      <w:pPr>
        <w:pStyle w:val="Heading5"/>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rPr>
        <w:t>Housing,</w:t>
      </w:r>
      <w:r>
        <w:rPr>
          <w:rFonts w:ascii="Rockwell"/>
          <w:color w:val="BE2195"/>
          <w:spacing w:val="-9"/>
        </w:rPr>
        <w:t> </w:t>
      </w:r>
      <w:r>
        <w:rPr>
          <w:rFonts w:ascii="Rockwell"/>
          <w:color w:val="BE2195"/>
        </w:rPr>
        <w:t>Planning</w:t>
      </w:r>
      <w:r>
        <w:rPr>
          <w:rFonts w:ascii="Rockwell"/>
          <w:color w:val="BE2195"/>
          <w:spacing w:val="-5"/>
        </w:rPr>
        <w:t> </w:t>
      </w:r>
      <w:r>
        <w:rPr>
          <w:rFonts w:ascii="Rockwell"/>
          <w:color w:val="BE2195"/>
        </w:rPr>
        <w:t>and</w:t>
      </w:r>
      <w:r>
        <w:rPr>
          <w:rFonts w:ascii="Rockwell"/>
          <w:color w:val="BE2195"/>
          <w:spacing w:val="-8"/>
        </w:rPr>
        <w:t> </w:t>
      </w:r>
      <w:r>
        <w:rPr>
          <w:rFonts w:ascii="Rockwell"/>
          <w:color w:val="BE2195"/>
        </w:rPr>
        <w:t>Local</w:t>
      </w:r>
      <w:r>
        <w:rPr>
          <w:rFonts w:ascii="Rockwell"/>
          <w:color w:val="BE2195"/>
          <w:spacing w:val="-9"/>
        </w:rPr>
        <w:t> </w:t>
      </w:r>
      <w:r>
        <w:rPr>
          <w:rFonts w:ascii="Rockwell"/>
          <w:color w:val="BE2195"/>
          <w:spacing w:val="-2"/>
        </w:rPr>
        <w:t>Government</w:t>
      </w:r>
    </w:p>
    <w:p>
      <w:pPr>
        <w:spacing w:before="28"/>
        <w:ind w:left="1702" w:right="1059" w:firstLine="0"/>
        <w:jc w:val="left"/>
        <w:rPr>
          <w:sz w:val="26"/>
        </w:rPr>
      </w:pPr>
      <w:r>
        <w:rPr>
          <w:sz w:val="26"/>
        </w:rPr>
        <w:t>In</w:t>
      </w:r>
      <w:r>
        <w:rPr>
          <w:spacing w:val="-5"/>
          <w:sz w:val="26"/>
        </w:rPr>
        <w:t> </w:t>
      </w:r>
      <w:r>
        <w:rPr>
          <w:sz w:val="26"/>
        </w:rPr>
        <w:t>2017,</w:t>
      </w:r>
      <w:r>
        <w:rPr>
          <w:spacing w:val="-5"/>
          <w:sz w:val="26"/>
        </w:rPr>
        <w:t> </w:t>
      </w:r>
      <w:r>
        <w:rPr>
          <w:sz w:val="26"/>
        </w:rPr>
        <w:t>the</w:t>
      </w:r>
      <w:r>
        <w:rPr>
          <w:spacing w:val="-2"/>
          <w:sz w:val="26"/>
        </w:rPr>
        <w:t> </w:t>
      </w:r>
      <w:r>
        <w:rPr>
          <w:sz w:val="26"/>
        </w:rPr>
        <w:t>NDA</w:t>
      </w:r>
      <w:r>
        <w:rPr>
          <w:spacing w:val="-3"/>
          <w:sz w:val="26"/>
        </w:rPr>
        <w:t> </w:t>
      </w:r>
      <w:r>
        <w:rPr>
          <w:sz w:val="26"/>
        </w:rPr>
        <w:t>made</w:t>
      </w:r>
      <w:r>
        <w:rPr>
          <w:spacing w:val="-5"/>
          <w:sz w:val="26"/>
        </w:rPr>
        <w:t> </w:t>
      </w:r>
      <w:r>
        <w:rPr>
          <w:sz w:val="26"/>
        </w:rPr>
        <w:t>submissions</w:t>
      </w:r>
      <w:r>
        <w:rPr>
          <w:spacing w:val="-4"/>
          <w:sz w:val="26"/>
        </w:rPr>
        <w:t> </w:t>
      </w:r>
      <w:r>
        <w:rPr>
          <w:sz w:val="26"/>
        </w:rPr>
        <w:t>to</w:t>
      </w:r>
      <w:r>
        <w:rPr>
          <w:spacing w:val="-4"/>
          <w:sz w:val="26"/>
        </w:rPr>
        <w:t> </w:t>
      </w:r>
      <w:r>
        <w:rPr>
          <w:sz w:val="26"/>
        </w:rPr>
        <w:t>the</w:t>
      </w:r>
      <w:r>
        <w:rPr>
          <w:spacing w:val="-5"/>
          <w:sz w:val="26"/>
        </w:rPr>
        <w:t> </w:t>
      </w:r>
      <w:r>
        <w:rPr>
          <w:sz w:val="26"/>
        </w:rPr>
        <w:t>Housing</w:t>
      </w:r>
      <w:r>
        <w:rPr>
          <w:spacing w:val="-5"/>
          <w:sz w:val="26"/>
        </w:rPr>
        <w:t> </w:t>
      </w:r>
      <w:r>
        <w:rPr>
          <w:sz w:val="26"/>
        </w:rPr>
        <w:t>Agency’s</w:t>
      </w:r>
      <w:r>
        <w:rPr>
          <w:spacing w:val="-4"/>
          <w:sz w:val="26"/>
        </w:rPr>
        <w:t> </w:t>
      </w:r>
      <w:r>
        <w:rPr>
          <w:sz w:val="26"/>
        </w:rPr>
        <w:t>consultation on their </w:t>
      </w:r>
      <w:r>
        <w:rPr>
          <w:b/>
          <w:sz w:val="26"/>
        </w:rPr>
        <w:t>National Guidelines for the Assessment and Allocation Process</w:t>
      </w:r>
      <w:r>
        <w:rPr>
          <w:b/>
          <w:spacing w:val="-2"/>
          <w:sz w:val="26"/>
        </w:rPr>
        <w:t> </w:t>
      </w:r>
      <w:r>
        <w:rPr>
          <w:b/>
          <w:sz w:val="26"/>
        </w:rPr>
        <w:t>for</w:t>
      </w:r>
      <w:r>
        <w:rPr>
          <w:b/>
          <w:spacing w:val="-5"/>
          <w:sz w:val="26"/>
        </w:rPr>
        <w:t> </w:t>
      </w:r>
      <w:r>
        <w:rPr>
          <w:b/>
          <w:sz w:val="26"/>
        </w:rPr>
        <w:t>Housing</w:t>
      </w:r>
      <w:r>
        <w:rPr>
          <w:b/>
          <w:spacing w:val="-1"/>
          <w:sz w:val="26"/>
        </w:rPr>
        <w:t> </w:t>
      </w:r>
      <w:r>
        <w:rPr>
          <w:b/>
          <w:sz w:val="26"/>
        </w:rPr>
        <w:t>Provisions</w:t>
      </w:r>
      <w:r>
        <w:rPr>
          <w:b/>
          <w:spacing w:val="-4"/>
          <w:sz w:val="26"/>
        </w:rPr>
        <w:t> </w:t>
      </w:r>
      <w:r>
        <w:rPr>
          <w:b/>
          <w:sz w:val="26"/>
        </w:rPr>
        <w:t>for</w:t>
      </w:r>
      <w:r>
        <w:rPr>
          <w:b/>
          <w:spacing w:val="-5"/>
          <w:sz w:val="26"/>
        </w:rPr>
        <w:t> </w:t>
      </w:r>
      <w:r>
        <w:rPr>
          <w:b/>
          <w:sz w:val="26"/>
        </w:rPr>
        <w:t>People</w:t>
      </w:r>
      <w:r>
        <w:rPr>
          <w:b/>
          <w:spacing w:val="-4"/>
          <w:sz w:val="26"/>
        </w:rPr>
        <w:t> </w:t>
      </w:r>
      <w:r>
        <w:rPr>
          <w:b/>
          <w:sz w:val="26"/>
        </w:rPr>
        <w:t>with</w:t>
      </w:r>
      <w:r>
        <w:rPr>
          <w:b/>
          <w:spacing w:val="-1"/>
          <w:sz w:val="26"/>
        </w:rPr>
        <w:t> </w:t>
      </w:r>
      <w:r>
        <w:rPr>
          <w:b/>
          <w:sz w:val="26"/>
        </w:rPr>
        <w:t>a</w:t>
      </w:r>
      <w:r>
        <w:rPr>
          <w:b/>
          <w:spacing w:val="-4"/>
          <w:sz w:val="26"/>
        </w:rPr>
        <w:t> </w:t>
      </w:r>
      <w:r>
        <w:rPr>
          <w:b/>
          <w:sz w:val="26"/>
        </w:rPr>
        <w:t>Disability</w:t>
      </w:r>
      <w:r>
        <w:rPr>
          <w:sz w:val="26"/>
        </w:rPr>
        <w:t>,</w:t>
      </w:r>
      <w:r>
        <w:rPr>
          <w:spacing w:val="-3"/>
          <w:sz w:val="26"/>
        </w:rPr>
        <w:t> </w:t>
      </w:r>
      <w:r>
        <w:rPr>
          <w:sz w:val="26"/>
        </w:rPr>
        <w:t>to</w:t>
      </w:r>
      <w:r>
        <w:rPr>
          <w:spacing w:val="-3"/>
          <w:sz w:val="26"/>
        </w:rPr>
        <w:t> </w:t>
      </w:r>
      <w:r>
        <w:rPr>
          <w:sz w:val="26"/>
        </w:rPr>
        <w:t>the Department’s review of </w:t>
      </w:r>
      <w:r>
        <w:rPr>
          <w:b/>
          <w:sz w:val="26"/>
        </w:rPr>
        <w:t>Rebuilding Ireland, </w:t>
      </w:r>
      <w:r>
        <w:rPr>
          <w:sz w:val="26"/>
        </w:rPr>
        <w:t>and to the Department’s consultation on the Draft </w:t>
      </w:r>
      <w:r>
        <w:rPr>
          <w:b/>
          <w:sz w:val="26"/>
        </w:rPr>
        <w:t>National Planning Framework 2040</w:t>
      </w:r>
      <w:r>
        <w:rPr>
          <w:sz w:val="26"/>
        </w:rPr>
        <w:t>.</w:t>
      </w:r>
      <w:r>
        <w:rPr>
          <w:spacing w:val="40"/>
          <w:sz w:val="26"/>
        </w:rPr>
        <w:t> </w:t>
      </w:r>
      <w:r>
        <w:rPr>
          <w:sz w:val="26"/>
        </w:rPr>
        <w:t>In addition we also wrote directly to the newly-appointed Minister for Housing, Planning and Local Government on the issues of housing, planning, Universal Design, the electoral process and assisted decision-</w:t>
      </w:r>
      <w:r>
        <w:rPr>
          <w:spacing w:val="-2"/>
          <w:sz w:val="26"/>
        </w:rPr>
        <w:t>making.</w:t>
      </w:r>
    </w:p>
    <w:p>
      <w:pPr>
        <w:pStyle w:val="BodyText"/>
        <w:spacing w:before="239"/>
        <w:ind w:left="1702" w:right="988"/>
      </w:pPr>
      <w:r>
        <w:rPr/>
        <w:t>In each of these submissions, the NDA emphasised the importance of considering Universal Design principles in planning and housing design. A Universal</w:t>
      </w:r>
      <w:r>
        <w:rPr>
          <w:spacing w:val="-5"/>
        </w:rPr>
        <w:t> </w:t>
      </w:r>
      <w:r>
        <w:rPr/>
        <w:t>Design</w:t>
      </w:r>
      <w:r>
        <w:rPr>
          <w:spacing w:val="-5"/>
        </w:rPr>
        <w:t> </w:t>
      </w:r>
      <w:r>
        <w:rPr/>
        <w:t>approach</w:t>
      </w:r>
      <w:r>
        <w:rPr>
          <w:spacing w:val="-5"/>
        </w:rPr>
        <w:t> </w:t>
      </w:r>
      <w:r>
        <w:rPr/>
        <w:t>to</w:t>
      </w:r>
      <w:r>
        <w:rPr>
          <w:spacing w:val="-4"/>
        </w:rPr>
        <w:t> </w:t>
      </w:r>
      <w:r>
        <w:rPr/>
        <w:t>the</w:t>
      </w:r>
      <w:r>
        <w:rPr>
          <w:spacing w:val="-5"/>
        </w:rPr>
        <w:t> </w:t>
      </w:r>
      <w:r>
        <w:rPr/>
        <w:t>built</w:t>
      </w:r>
      <w:r>
        <w:rPr>
          <w:spacing w:val="-5"/>
        </w:rPr>
        <w:t> </w:t>
      </w:r>
      <w:r>
        <w:rPr/>
        <w:t>environment</w:t>
      </w:r>
      <w:r>
        <w:rPr>
          <w:spacing w:val="-1"/>
        </w:rPr>
        <w:t> </w:t>
      </w:r>
      <w:r>
        <w:rPr/>
        <w:t>supports</w:t>
      </w:r>
      <w:r>
        <w:rPr>
          <w:spacing w:val="-3"/>
        </w:rPr>
        <w:t> </w:t>
      </w:r>
      <w:r>
        <w:rPr/>
        <w:t>persons</w:t>
      </w:r>
      <w:r>
        <w:rPr>
          <w:spacing w:val="-3"/>
        </w:rPr>
        <w:t> </w:t>
      </w:r>
      <w:r>
        <w:rPr/>
        <w:t>with disabilities to lead self-directed and independent lives. We also highlighted the positive impact this would have in relation to the decongregation of people with disabilities from institutions and the provision of appropriate</w:t>
      </w:r>
    </w:p>
    <w:p>
      <w:pPr>
        <w:pStyle w:val="BodyText"/>
        <w:spacing w:after="0"/>
        <w:sectPr>
          <w:pgSz w:w="11910" w:h="16850"/>
          <w:pgMar w:header="0" w:footer="811" w:top="1880" w:bottom="1000" w:left="283" w:right="992"/>
        </w:sectPr>
      </w:pPr>
    </w:p>
    <w:p>
      <w:pPr>
        <w:spacing w:before="79"/>
        <w:ind w:left="1702" w:right="1035" w:firstLine="0"/>
        <w:jc w:val="left"/>
        <w:rPr>
          <w:sz w:val="26"/>
        </w:rPr>
      </w:pPr>
      <w:r>
        <w:rPr>
          <w:sz w:val="26"/>
        </w:rPr>
        <w:t>housing as set out in the </w:t>
      </w:r>
      <w:r>
        <w:rPr>
          <w:b/>
          <w:sz w:val="26"/>
        </w:rPr>
        <w:t>National Housing Strategy for People with a Disability</w:t>
      </w:r>
      <w:r>
        <w:rPr>
          <w:sz w:val="26"/>
        </w:rPr>
        <w:t>. The NDA also reminded the Department of its current commitments</w:t>
      </w:r>
      <w:r>
        <w:rPr>
          <w:spacing w:val="-5"/>
          <w:sz w:val="26"/>
        </w:rPr>
        <w:t> </w:t>
      </w:r>
      <w:r>
        <w:rPr>
          <w:sz w:val="26"/>
        </w:rPr>
        <w:t>under</w:t>
      </w:r>
      <w:r>
        <w:rPr>
          <w:spacing w:val="-5"/>
          <w:sz w:val="26"/>
        </w:rPr>
        <w:t> </w:t>
      </w:r>
      <w:r>
        <w:rPr>
          <w:sz w:val="26"/>
        </w:rPr>
        <w:t>the</w:t>
      </w:r>
      <w:r>
        <w:rPr>
          <w:spacing w:val="-4"/>
          <w:sz w:val="26"/>
        </w:rPr>
        <w:t> </w:t>
      </w:r>
      <w:r>
        <w:rPr>
          <w:b/>
          <w:sz w:val="26"/>
        </w:rPr>
        <w:t>National</w:t>
      </w:r>
      <w:r>
        <w:rPr>
          <w:b/>
          <w:spacing w:val="-6"/>
          <w:sz w:val="26"/>
        </w:rPr>
        <w:t> </w:t>
      </w:r>
      <w:r>
        <w:rPr>
          <w:b/>
          <w:sz w:val="26"/>
        </w:rPr>
        <w:t>Disability</w:t>
      </w:r>
      <w:r>
        <w:rPr>
          <w:b/>
          <w:spacing w:val="-3"/>
          <w:sz w:val="26"/>
        </w:rPr>
        <w:t> </w:t>
      </w:r>
      <w:r>
        <w:rPr>
          <w:b/>
          <w:sz w:val="26"/>
        </w:rPr>
        <w:t>Inclusion</w:t>
      </w:r>
      <w:r>
        <w:rPr>
          <w:b/>
          <w:spacing w:val="-4"/>
          <w:sz w:val="26"/>
        </w:rPr>
        <w:t> </w:t>
      </w:r>
      <w:r>
        <w:rPr>
          <w:b/>
          <w:sz w:val="26"/>
        </w:rPr>
        <w:t>Strategy</w:t>
      </w:r>
      <w:r>
        <w:rPr>
          <w:b/>
          <w:spacing w:val="-4"/>
          <w:sz w:val="26"/>
        </w:rPr>
        <w:t> </w:t>
      </w:r>
      <w:r>
        <w:rPr>
          <w:b/>
          <w:sz w:val="26"/>
        </w:rPr>
        <w:t>2017-2021 </w:t>
      </w:r>
      <w:r>
        <w:rPr>
          <w:sz w:val="26"/>
        </w:rPr>
        <w:t>and their potential commitments under the </w:t>
      </w:r>
      <w:r>
        <w:rPr>
          <w:b/>
          <w:sz w:val="26"/>
        </w:rPr>
        <w:t>UN Convention on the Rights of Persons with Disabilities</w:t>
      </w:r>
      <w:r>
        <w:rPr>
          <w:sz w:val="26"/>
        </w:rPr>
        <w:t>.</w:t>
      </w:r>
    </w:p>
    <w:p>
      <w:pPr>
        <w:pStyle w:val="BodyText"/>
        <w:spacing w:before="239"/>
        <w:ind w:left="1702" w:right="1099"/>
      </w:pPr>
      <w:r>
        <w:rPr/>
        <w:t>The</w:t>
      </w:r>
      <w:r>
        <w:rPr>
          <w:spacing w:val="-5"/>
        </w:rPr>
        <w:t> </w:t>
      </w:r>
      <w:r>
        <w:rPr/>
        <w:t>NDA</w:t>
      </w:r>
      <w:r>
        <w:rPr>
          <w:spacing w:val="-5"/>
        </w:rPr>
        <w:t> </w:t>
      </w:r>
      <w:r>
        <w:rPr/>
        <w:t>welcomed</w:t>
      </w:r>
      <w:r>
        <w:rPr>
          <w:spacing w:val="-1"/>
        </w:rPr>
        <w:t> </w:t>
      </w:r>
      <w:r>
        <w:rPr/>
        <w:t>assurances</w:t>
      </w:r>
      <w:r>
        <w:rPr>
          <w:spacing w:val="-4"/>
        </w:rPr>
        <w:t> </w:t>
      </w:r>
      <w:r>
        <w:rPr/>
        <w:t>from</w:t>
      </w:r>
      <w:r>
        <w:rPr>
          <w:spacing w:val="-5"/>
        </w:rPr>
        <w:t> </w:t>
      </w:r>
      <w:r>
        <w:rPr/>
        <w:t>the</w:t>
      </w:r>
      <w:r>
        <w:rPr>
          <w:spacing w:val="-5"/>
        </w:rPr>
        <w:t> </w:t>
      </w:r>
      <w:r>
        <w:rPr/>
        <w:t>Department</w:t>
      </w:r>
      <w:r>
        <w:rPr>
          <w:spacing w:val="-5"/>
        </w:rPr>
        <w:t> </w:t>
      </w:r>
      <w:r>
        <w:rPr/>
        <w:t>that</w:t>
      </w:r>
      <w:r>
        <w:rPr>
          <w:spacing w:val="-5"/>
        </w:rPr>
        <w:t> </w:t>
      </w:r>
      <w:r>
        <w:rPr/>
        <w:t>they</w:t>
      </w:r>
      <w:r>
        <w:rPr>
          <w:spacing w:val="-3"/>
        </w:rPr>
        <w:t> </w:t>
      </w:r>
      <w:r>
        <w:rPr/>
        <w:t>will</w:t>
      </w:r>
      <w:r>
        <w:rPr>
          <w:spacing w:val="-4"/>
        </w:rPr>
        <w:t> </w:t>
      </w:r>
      <w:r>
        <w:rPr/>
        <w:t>only be providing funding under their Capital Assistance Scheme for new community dwelling houses up to the recommended limit of four</w:t>
      </w:r>
    </w:p>
    <w:p>
      <w:pPr>
        <w:spacing w:before="1"/>
        <w:ind w:left="1702" w:right="1034" w:firstLine="0"/>
        <w:jc w:val="left"/>
        <w:rPr>
          <w:sz w:val="26"/>
        </w:rPr>
      </w:pPr>
      <w:r>
        <w:rPr>
          <w:sz w:val="26"/>
        </w:rPr>
        <w:t>residents. This was emphasised in the Department’s new </w:t>
      </w:r>
      <w:r>
        <w:rPr>
          <w:b/>
          <w:sz w:val="26"/>
        </w:rPr>
        <w:t>Code of Practice for Fire Safety in New and Existing Community Dwelling</w:t>
      </w:r>
      <w:r>
        <w:rPr>
          <w:b/>
          <w:spacing w:val="-2"/>
          <w:sz w:val="26"/>
        </w:rPr>
        <w:t> </w:t>
      </w:r>
      <w:r>
        <w:rPr>
          <w:b/>
          <w:sz w:val="26"/>
        </w:rPr>
        <w:t>Houses.</w:t>
      </w:r>
      <w:r>
        <w:rPr>
          <w:b/>
          <w:spacing w:val="-4"/>
          <w:sz w:val="26"/>
        </w:rPr>
        <w:t> </w:t>
      </w:r>
      <w:r>
        <w:rPr>
          <w:sz w:val="26"/>
        </w:rPr>
        <w:t>The</w:t>
      </w:r>
      <w:r>
        <w:rPr>
          <w:spacing w:val="-5"/>
          <w:sz w:val="26"/>
        </w:rPr>
        <w:t> </w:t>
      </w:r>
      <w:r>
        <w:rPr>
          <w:sz w:val="26"/>
        </w:rPr>
        <w:t>NDA</w:t>
      </w:r>
      <w:r>
        <w:rPr>
          <w:spacing w:val="-5"/>
          <w:sz w:val="26"/>
        </w:rPr>
        <w:t> </w:t>
      </w:r>
      <w:r>
        <w:rPr>
          <w:sz w:val="26"/>
        </w:rPr>
        <w:t>also</w:t>
      </w:r>
      <w:r>
        <w:rPr>
          <w:spacing w:val="-4"/>
          <w:sz w:val="26"/>
        </w:rPr>
        <w:t> </w:t>
      </w:r>
      <w:r>
        <w:rPr>
          <w:sz w:val="26"/>
        </w:rPr>
        <w:t>made</w:t>
      </w:r>
      <w:r>
        <w:rPr>
          <w:spacing w:val="-5"/>
          <w:sz w:val="26"/>
        </w:rPr>
        <w:t> </w:t>
      </w:r>
      <w:r>
        <w:rPr>
          <w:sz w:val="26"/>
        </w:rPr>
        <w:t>a</w:t>
      </w:r>
      <w:r>
        <w:rPr>
          <w:spacing w:val="-5"/>
          <w:sz w:val="26"/>
        </w:rPr>
        <w:t> </w:t>
      </w:r>
      <w:r>
        <w:rPr>
          <w:sz w:val="26"/>
        </w:rPr>
        <w:t>submission</w:t>
      </w:r>
      <w:r>
        <w:rPr>
          <w:spacing w:val="-5"/>
          <w:sz w:val="26"/>
        </w:rPr>
        <w:t> </w:t>
      </w:r>
      <w:r>
        <w:rPr>
          <w:sz w:val="26"/>
        </w:rPr>
        <w:t>regarding</w:t>
      </w:r>
      <w:r>
        <w:rPr>
          <w:spacing w:val="-5"/>
          <w:sz w:val="26"/>
        </w:rPr>
        <w:t> </w:t>
      </w:r>
      <w:r>
        <w:rPr>
          <w:sz w:val="26"/>
        </w:rPr>
        <w:t>this</w:t>
      </w:r>
      <w:r>
        <w:rPr>
          <w:spacing w:val="-4"/>
          <w:sz w:val="26"/>
        </w:rPr>
        <w:t> </w:t>
      </w:r>
      <w:r>
        <w:rPr>
          <w:sz w:val="26"/>
        </w:rPr>
        <w:t>Code of Practice emphasising the need to follow person-centred planning principles and to amend/remove words and phrases that were too institutional in nature.</w:t>
      </w:r>
    </w:p>
    <w:p>
      <w:pPr>
        <w:pStyle w:val="BodyText"/>
        <w:spacing w:before="241"/>
        <w:ind w:left="1702" w:right="988"/>
      </w:pPr>
      <w:r>
        <w:rPr/>
        <w:t>The NDA also advised the Department of Housing, Planning, Community and Local Government’s Housing Adaptations Grant Unit on how to make their</w:t>
      </w:r>
      <w:r>
        <w:rPr>
          <w:spacing w:val="-5"/>
        </w:rPr>
        <w:t> </w:t>
      </w:r>
      <w:r>
        <w:rPr/>
        <w:t>application</w:t>
      </w:r>
      <w:r>
        <w:rPr>
          <w:spacing w:val="-5"/>
        </w:rPr>
        <w:t> </w:t>
      </w:r>
      <w:r>
        <w:rPr/>
        <w:t>process</w:t>
      </w:r>
      <w:r>
        <w:rPr>
          <w:spacing w:val="-4"/>
        </w:rPr>
        <w:t> </w:t>
      </w:r>
      <w:r>
        <w:rPr/>
        <w:t>more</w:t>
      </w:r>
      <w:r>
        <w:rPr>
          <w:spacing w:val="-4"/>
        </w:rPr>
        <w:t> </w:t>
      </w:r>
      <w:r>
        <w:rPr/>
        <w:t>accessible.</w:t>
      </w:r>
      <w:r>
        <w:rPr>
          <w:spacing w:val="40"/>
        </w:rPr>
        <w:t> </w:t>
      </w:r>
      <w:r>
        <w:rPr/>
        <w:t>The</w:t>
      </w:r>
      <w:r>
        <w:rPr>
          <w:spacing w:val="-5"/>
        </w:rPr>
        <w:t> </w:t>
      </w:r>
      <w:r>
        <w:rPr/>
        <w:t>NDA</w:t>
      </w:r>
      <w:r>
        <w:rPr>
          <w:spacing w:val="-5"/>
        </w:rPr>
        <w:t> </w:t>
      </w:r>
      <w:r>
        <w:rPr/>
        <w:t>provided</w:t>
      </w:r>
      <w:r>
        <w:rPr>
          <w:spacing w:val="-5"/>
        </w:rPr>
        <w:t> </w:t>
      </w:r>
      <w:r>
        <w:rPr/>
        <w:t>examples</w:t>
      </w:r>
      <w:r>
        <w:rPr>
          <w:spacing w:val="-3"/>
        </w:rPr>
        <w:t> </w:t>
      </w:r>
      <w:r>
        <w:rPr/>
        <w:t>of where Universal Design has been applied to customer service settings.</w:t>
      </w:r>
    </w:p>
    <w:p>
      <w:pPr>
        <w:pStyle w:val="BodyText"/>
        <w:spacing w:before="239"/>
        <w:ind w:left="1702" w:right="1099"/>
      </w:pPr>
      <w:r>
        <w:rPr/>
        <w:t>Guidelines</w:t>
      </w:r>
      <w:r>
        <w:rPr>
          <w:spacing w:val="-3"/>
        </w:rPr>
        <w:t> </w:t>
      </w:r>
      <w:r>
        <w:rPr/>
        <w:t>for</w:t>
      </w:r>
      <w:r>
        <w:rPr>
          <w:spacing w:val="-5"/>
        </w:rPr>
        <w:t> </w:t>
      </w:r>
      <w:r>
        <w:rPr/>
        <w:t>Housing</w:t>
      </w:r>
      <w:r>
        <w:rPr>
          <w:spacing w:val="-7"/>
        </w:rPr>
        <w:t> </w:t>
      </w:r>
      <w:r>
        <w:rPr/>
        <w:t>Officers</w:t>
      </w:r>
      <w:r>
        <w:rPr>
          <w:spacing w:val="-3"/>
        </w:rPr>
        <w:t> </w:t>
      </w:r>
      <w:r>
        <w:rPr/>
        <w:t>on</w:t>
      </w:r>
      <w:r>
        <w:rPr>
          <w:spacing w:val="-5"/>
        </w:rPr>
        <w:t> </w:t>
      </w:r>
      <w:r>
        <w:rPr/>
        <w:t>how</w:t>
      </w:r>
      <w:r>
        <w:rPr>
          <w:spacing w:val="-4"/>
        </w:rPr>
        <w:t> </w:t>
      </w:r>
      <w:r>
        <w:rPr/>
        <w:t>to</w:t>
      </w:r>
      <w:r>
        <w:rPr>
          <w:spacing w:val="-4"/>
        </w:rPr>
        <w:t> </w:t>
      </w:r>
      <w:r>
        <w:rPr/>
        <w:t>support applicants</w:t>
      </w:r>
      <w:r>
        <w:rPr>
          <w:spacing w:val="-4"/>
        </w:rPr>
        <w:t> </w:t>
      </w:r>
      <w:r>
        <w:rPr/>
        <w:t>with</w:t>
      </w:r>
      <w:r>
        <w:rPr>
          <w:spacing w:val="-5"/>
        </w:rPr>
        <w:t> </w:t>
      </w:r>
      <w:r>
        <w:rPr/>
        <w:t>autism were also finalised during 2017 and will be published and circulated in 2018. These guidelines will assist those who manage applications for housing at the local authority level, to be more aware of the needs of persons with autism spectrum disorder, when going through this application process.</w:t>
      </w:r>
    </w:p>
    <w:p>
      <w:pPr>
        <w:pStyle w:val="Heading3"/>
        <w:ind w:right="1255"/>
      </w:pPr>
      <w:r>
        <w:rPr>
          <w:color w:val="BE2195"/>
        </w:rPr>
        <w:t>Assist</w:t>
      </w:r>
      <w:r>
        <w:rPr>
          <w:color w:val="BE2195"/>
          <w:spacing w:val="-6"/>
        </w:rPr>
        <w:t> </w:t>
      </w:r>
      <w:r>
        <w:rPr>
          <w:color w:val="BE2195"/>
        </w:rPr>
        <w:t>the</w:t>
      </w:r>
      <w:r>
        <w:rPr>
          <w:color w:val="BE2195"/>
          <w:spacing w:val="-6"/>
        </w:rPr>
        <w:t> </w:t>
      </w:r>
      <w:r>
        <w:rPr>
          <w:color w:val="BE2195"/>
        </w:rPr>
        <w:t>Minister</w:t>
      </w:r>
      <w:r>
        <w:rPr>
          <w:color w:val="BE2195"/>
          <w:spacing w:val="-6"/>
        </w:rPr>
        <w:t> </w:t>
      </w:r>
      <w:r>
        <w:rPr>
          <w:color w:val="BE2195"/>
        </w:rPr>
        <w:t>for</w:t>
      </w:r>
      <w:r>
        <w:rPr>
          <w:color w:val="BE2195"/>
          <w:spacing w:val="-6"/>
        </w:rPr>
        <w:t> </w:t>
      </w:r>
      <w:r>
        <w:rPr>
          <w:color w:val="BE2195"/>
        </w:rPr>
        <w:t>Justice</w:t>
      </w:r>
      <w:r>
        <w:rPr>
          <w:color w:val="BE2195"/>
          <w:spacing w:val="-2"/>
        </w:rPr>
        <w:t> </w:t>
      </w:r>
      <w:r>
        <w:rPr>
          <w:color w:val="BE2195"/>
        </w:rPr>
        <w:t>and</w:t>
      </w:r>
      <w:r>
        <w:rPr>
          <w:color w:val="BE2195"/>
          <w:spacing w:val="-7"/>
        </w:rPr>
        <w:t> </w:t>
      </w:r>
      <w:r>
        <w:rPr>
          <w:color w:val="BE2195"/>
        </w:rPr>
        <w:t>Equality</w:t>
      </w:r>
      <w:r>
        <w:rPr>
          <w:color w:val="BE2195"/>
          <w:spacing w:val="-6"/>
        </w:rPr>
        <w:t> </w:t>
      </w:r>
      <w:r>
        <w:rPr>
          <w:color w:val="BE2195"/>
        </w:rPr>
        <w:t>in the co-ordination of policies and services for people with disabilities</w:t>
      </w:r>
    </w:p>
    <w:p>
      <w:pPr>
        <w:pStyle w:val="Heading5"/>
        <w:spacing w:before="266"/>
      </w:pPr>
      <w:r>
        <w:rPr/>
        <w:t>National</w:t>
      </w:r>
      <w:r>
        <w:rPr>
          <w:spacing w:val="-13"/>
        </w:rPr>
        <w:t> </w:t>
      </w:r>
      <w:r>
        <w:rPr/>
        <w:t>Disability</w:t>
      </w:r>
      <w:r>
        <w:rPr>
          <w:spacing w:val="-12"/>
        </w:rPr>
        <w:t> </w:t>
      </w:r>
      <w:r>
        <w:rPr/>
        <w:t>Inclusion</w:t>
      </w:r>
      <w:r>
        <w:rPr>
          <w:spacing w:val="-11"/>
        </w:rPr>
        <w:t> </w:t>
      </w:r>
      <w:r>
        <w:rPr/>
        <w:t>Strategy</w:t>
      </w:r>
      <w:r>
        <w:rPr>
          <w:spacing w:val="-12"/>
        </w:rPr>
        <w:t> </w:t>
      </w:r>
      <w:r>
        <w:rPr/>
        <w:t>2017-</w:t>
      </w:r>
      <w:r>
        <w:rPr>
          <w:spacing w:val="-4"/>
        </w:rPr>
        <w:t>2021</w:t>
      </w:r>
    </w:p>
    <w:p>
      <w:pPr>
        <w:pStyle w:val="BodyText"/>
        <w:spacing w:before="282"/>
        <w:ind w:left="1702" w:right="1080"/>
      </w:pPr>
      <w:r>
        <w:rPr/>
        <w:t>This Strategy was launched by the Minister in July 2017, following an extensive</w:t>
      </w:r>
      <w:r>
        <w:rPr>
          <w:spacing w:val="-5"/>
        </w:rPr>
        <w:t> </w:t>
      </w:r>
      <w:r>
        <w:rPr/>
        <w:t>period</w:t>
      </w:r>
      <w:r>
        <w:rPr>
          <w:spacing w:val="-5"/>
        </w:rPr>
        <w:t> </w:t>
      </w:r>
      <w:r>
        <w:rPr/>
        <w:t>of</w:t>
      </w:r>
      <w:r>
        <w:rPr>
          <w:spacing w:val="-5"/>
        </w:rPr>
        <w:t> </w:t>
      </w:r>
      <w:r>
        <w:rPr/>
        <w:t>public</w:t>
      </w:r>
      <w:r>
        <w:rPr>
          <w:spacing w:val="-5"/>
        </w:rPr>
        <w:t> </w:t>
      </w:r>
      <w:r>
        <w:rPr/>
        <w:t>consultation.</w:t>
      </w:r>
      <w:r>
        <w:rPr>
          <w:spacing w:val="-4"/>
        </w:rPr>
        <w:t> </w:t>
      </w:r>
      <w:r>
        <w:rPr/>
        <w:t>The</w:t>
      </w:r>
      <w:r>
        <w:rPr>
          <w:spacing w:val="-3"/>
        </w:rPr>
        <w:t> </w:t>
      </w:r>
      <w:r>
        <w:rPr/>
        <w:t>NDA</w:t>
      </w:r>
      <w:r>
        <w:rPr>
          <w:spacing w:val="-5"/>
        </w:rPr>
        <w:t> </w:t>
      </w:r>
      <w:r>
        <w:rPr/>
        <w:t>delivered</w:t>
      </w:r>
      <w:r>
        <w:rPr>
          <w:spacing w:val="-3"/>
        </w:rPr>
        <w:t> </w:t>
      </w:r>
      <w:r>
        <w:rPr/>
        <w:t>advice</w:t>
      </w:r>
      <w:r>
        <w:rPr>
          <w:spacing w:val="-3"/>
        </w:rPr>
        <w:t> </w:t>
      </w:r>
      <w:r>
        <w:rPr/>
        <w:t>to</w:t>
      </w:r>
      <w:r>
        <w:rPr>
          <w:spacing w:val="-4"/>
        </w:rPr>
        <w:t> </w:t>
      </w:r>
      <w:r>
        <w:rPr/>
        <w:t>the Minister and officials within the Department of Justice and Equality on an approach to monitoring the implementation of the Strategy. This advice emphasised the importance of the role of departmental Disability Consultative Committees in considering the actions assigned to each department, and the opportunities for solution-finding in a collaborative manner. The NDA also prepared a suite of draft indicators for the</w:t>
      </w:r>
    </w:p>
    <w:p>
      <w:pPr>
        <w:pStyle w:val="BodyText"/>
        <w:spacing w:after="0"/>
        <w:sectPr>
          <w:pgSz w:w="11910" w:h="16850"/>
          <w:pgMar w:header="0" w:footer="811" w:top="1880" w:bottom="1000" w:left="283" w:right="992"/>
        </w:sectPr>
      </w:pPr>
    </w:p>
    <w:p>
      <w:pPr>
        <w:pStyle w:val="BodyText"/>
        <w:spacing w:before="79"/>
        <w:ind w:left="1702" w:right="988"/>
      </w:pPr>
      <w:r>
        <w:rPr/>
        <w:t>monitoring of the overall impact of the Strategy over its lifetime. These indicators will be applied to measure progress in key areas, e.g. employment,</w:t>
      </w:r>
      <w:r>
        <w:rPr>
          <w:spacing w:val="-4"/>
        </w:rPr>
        <w:t> </w:t>
      </w:r>
      <w:r>
        <w:rPr/>
        <w:t>levels</w:t>
      </w:r>
      <w:r>
        <w:rPr>
          <w:spacing w:val="-4"/>
        </w:rPr>
        <w:t> </w:t>
      </w:r>
      <w:r>
        <w:rPr/>
        <w:t>of</w:t>
      </w:r>
      <w:r>
        <w:rPr>
          <w:spacing w:val="-4"/>
        </w:rPr>
        <w:t> </w:t>
      </w:r>
      <w:r>
        <w:rPr/>
        <w:t>educational</w:t>
      </w:r>
      <w:r>
        <w:rPr>
          <w:spacing w:val="-6"/>
        </w:rPr>
        <w:t> </w:t>
      </w:r>
      <w:r>
        <w:rPr/>
        <w:t>attainment,</w:t>
      </w:r>
      <w:r>
        <w:rPr>
          <w:spacing w:val="-3"/>
        </w:rPr>
        <w:t> </w:t>
      </w:r>
      <w:r>
        <w:rPr/>
        <w:t>access</w:t>
      </w:r>
      <w:r>
        <w:rPr>
          <w:spacing w:val="-5"/>
        </w:rPr>
        <w:t> </w:t>
      </w:r>
      <w:r>
        <w:rPr/>
        <w:t>to</w:t>
      </w:r>
      <w:r>
        <w:rPr>
          <w:spacing w:val="-5"/>
        </w:rPr>
        <w:t> </w:t>
      </w:r>
      <w:r>
        <w:rPr/>
        <w:t>health</w:t>
      </w:r>
      <w:r>
        <w:rPr>
          <w:spacing w:val="-6"/>
        </w:rPr>
        <w:t> </w:t>
      </w:r>
      <w:r>
        <w:rPr/>
        <w:t>and</w:t>
      </w:r>
      <w:r>
        <w:rPr>
          <w:spacing w:val="-6"/>
        </w:rPr>
        <w:t> </w:t>
      </w:r>
      <w:r>
        <w:rPr/>
        <w:t>social care services etc., and will provide an overview of the difference this Strategy has made to the lives of persons with disabilities.</w:t>
      </w:r>
    </w:p>
    <w:p>
      <w:pPr>
        <w:pStyle w:val="Heading5"/>
        <w:spacing w:before="278"/>
      </w:pPr>
      <w:r>
        <w:rPr/>
        <w:t>National</w:t>
      </w:r>
      <w:r>
        <w:rPr>
          <w:spacing w:val="-9"/>
        </w:rPr>
        <w:t> </w:t>
      </w:r>
      <w:r>
        <w:rPr/>
        <w:t>Survey</w:t>
      </w:r>
      <w:r>
        <w:rPr>
          <w:spacing w:val="-6"/>
        </w:rPr>
        <w:t> </w:t>
      </w:r>
      <w:r>
        <w:rPr/>
        <w:t>of</w:t>
      </w:r>
      <w:r>
        <w:rPr>
          <w:spacing w:val="-9"/>
        </w:rPr>
        <w:t> </w:t>
      </w:r>
      <w:r>
        <w:rPr/>
        <w:t>Public</w:t>
      </w:r>
      <w:r>
        <w:rPr>
          <w:spacing w:val="-7"/>
        </w:rPr>
        <w:t> </w:t>
      </w:r>
      <w:r>
        <w:rPr/>
        <w:t>Attitudes</w:t>
      </w:r>
      <w:r>
        <w:rPr>
          <w:spacing w:val="-9"/>
        </w:rPr>
        <w:t> </w:t>
      </w:r>
      <w:r>
        <w:rPr/>
        <w:t>to</w:t>
      </w:r>
      <w:r>
        <w:rPr>
          <w:spacing w:val="-7"/>
        </w:rPr>
        <w:t> </w:t>
      </w:r>
      <w:r>
        <w:rPr/>
        <w:t>Disability</w:t>
      </w:r>
      <w:r>
        <w:rPr>
          <w:spacing w:val="-6"/>
        </w:rPr>
        <w:t> </w:t>
      </w:r>
      <w:r>
        <w:rPr/>
        <w:t>in</w:t>
      </w:r>
      <w:r>
        <w:rPr>
          <w:spacing w:val="-9"/>
        </w:rPr>
        <w:t> </w:t>
      </w:r>
      <w:r>
        <w:rPr>
          <w:spacing w:val="-2"/>
        </w:rPr>
        <w:t>Ireland</w:t>
      </w:r>
    </w:p>
    <w:p>
      <w:pPr>
        <w:pStyle w:val="BodyText"/>
        <w:spacing w:before="281"/>
        <w:ind w:left="1702" w:right="988"/>
      </w:pPr>
      <w:r>
        <w:rPr/>
        <w:t>In November 2017, Minister of State with Special Responsibility for Disability, Mr. Finian McGrath, launched the NDA’s report on a National Survey of Public Attitudes to Disability in Ireland. This is the fourth such survey conducted by the NDA since 2001, and presents a rich portrait of public attitudes to disability and how they have changed over time. The NDA</w:t>
      </w:r>
      <w:r>
        <w:rPr>
          <w:spacing w:val="-2"/>
        </w:rPr>
        <w:t> </w:t>
      </w:r>
      <w:r>
        <w:rPr/>
        <w:t>commissioned</w:t>
      </w:r>
      <w:r>
        <w:rPr>
          <w:spacing w:val="-4"/>
        </w:rPr>
        <w:t> </w:t>
      </w:r>
      <w:r>
        <w:rPr/>
        <w:t>a</w:t>
      </w:r>
      <w:r>
        <w:rPr>
          <w:spacing w:val="-4"/>
        </w:rPr>
        <w:t> </w:t>
      </w:r>
      <w:r>
        <w:rPr/>
        <w:t>nationally</w:t>
      </w:r>
      <w:r>
        <w:rPr>
          <w:spacing w:val="-4"/>
        </w:rPr>
        <w:t> </w:t>
      </w:r>
      <w:r>
        <w:rPr/>
        <w:t>representative</w:t>
      </w:r>
      <w:r>
        <w:rPr>
          <w:spacing w:val="-4"/>
        </w:rPr>
        <w:t> </w:t>
      </w:r>
      <w:r>
        <w:rPr/>
        <w:t>survey</w:t>
      </w:r>
      <w:r>
        <w:rPr>
          <w:spacing w:val="-4"/>
        </w:rPr>
        <w:t> </w:t>
      </w:r>
      <w:r>
        <w:rPr/>
        <w:t>of</w:t>
      </w:r>
      <w:r>
        <w:rPr>
          <w:spacing w:val="-4"/>
        </w:rPr>
        <w:t> </w:t>
      </w:r>
      <w:r>
        <w:rPr/>
        <w:t>1,294</w:t>
      </w:r>
      <w:r>
        <w:rPr>
          <w:spacing w:val="-4"/>
        </w:rPr>
        <w:t> </w:t>
      </w:r>
      <w:r>
        <w:rPr/>
        <w:t>adults.</w:t>
      </w:r>
      <w:r>
        <w:rPr>
          <w:spacing w:val="-3"/>
        </w:rPr>
        <w:t> </w:t>
      </w:r>
      <w:r>
        <w:rPr/>
        <w:t>The aim was to explore how the general public understands disability, and to measure attitudes across types of disability and areas of life e.g. in education, working, living in the community, relationships and social well-being of people with and without disabilities.</w:t>
      </w:r>
    </w:p>
    <w:p>
      <w:pPr>
        <w:pStyle w:val="BodyText"/>
        <w:spacing w:before="281"/>
        <w:ind w:left="1702" w:right="1035"/>
      </w:pPr>
      <w:r>
        <w:rPr/>
        <w:t>The survey found that positive attitudes towards those disabilities in all of the categories covered by the survey increased when compared to the 2011</w:t>
      </w:r>
      <w:r>
        <w:rPr>
          <w:spacing w:val="-5"/>
        </w:rPr>
        <w:t> </w:t>
      </w:r>
      <w:r>
        <w:rPr/>
        <w:t>findings,</w:t>
      </w:r>
      <w:r>
        <w:rPr>
          <w:spacing w:val="-3"/>
        </w:rPr>
        <w:t> </w:t>
      </w:r>
      <w:r>
        <w:rPr/>
        <w:t>and</w:t>
      </w:r>
      <w:r>
        <w:rPr>
          <w:spacing w:val="-3"/>
        </w:rPr>
        <w:t> </w:t>
      </w:r>
      <w:r>
        <w:rPr/>
        <w:t>have</w:t>
      </w:r>
      <w:r>
        <w:rPr>
          <w:spacing w:val="-2"/>
        </w:rPr>
        <w:t> </w:t>
      </w:r>
      <w:r>
        <w:rPr/>
        <w:t>largely</w:t>
      </w:r>
      <w:r>
        <w:rPr>
          <w:spacing w:val="-5"/>
        </w:rPr>
        <w:t> </w:t>
      </w:r>
      <w:r>
        <w:rPr/>
        <w:t>returned</w:t>
      </w:r>
      <w:r>
        <w:rPr>
          <w:spacing w:val="-5"/>
        </w:rPr>
        <w:t> </w:t>
      </w:r>
      <w:r>
        <w:rPr/>
        <w:t>to,</w:t>
      </w:r>
      <w:r>
        <w:rPr>
          <w:spacing w:val="-3"/>
        </w:rPr>
        <w:t> </w:t>
      </w:r>
      <w:r>
        <w:rPr/>
        <w:t>or</w:t>
      </w:r>
      <w:r>
        <w:rPr>
          <w:spacing w:val="-5"/>
        </w:rPr>
        <w:t> </w:t>
      </w:r>
      <w:r>
        <w:rPr/>
        <w:t>exceeded,</w:t>
      </w:r>
      <w:r>
        <w:rPr>
          <w:spacing w:val="-4"/>
        </w:rPr>
        <w:t> </w:t>
      </w:r>
      <w:r>
        <w:rPr/>
        <w:t>the</w:t>
      </w:r>
      <w:r>
        <w:rPr>
          <w:spacing w:val="-5"/>
        </w:rPr>
        <w:t> </w:t>
      </w:r>
      <w:r>
        <w:rPr/>
        <w:t>2006</w:t>
      </w:r>
      <w:r>
        <w:rPr>
          <w:spacing w:val="-4"/>
        </w:rPr>
        <w:t> </w:t>
      </w:r>
      <w:r>
        <w:rPr/>
        <w:t>attitude levels. However, while attitudes to people with mental health difficulties are more positive, mental illness continues to invite more negative attitudes than other disabilities and this is in keeping with international surveys. The survey also highlighted the need to continue increasing employment opportunities and promoting inclusive education for people with disabilities.</w:t>
      </w:r>
    </w:p>
    <w:p>
      <w:pPr>
        <w:pStyle w:val="BodyText"/>
        <w:spacing w:before="280"/>
        <w:ind w:left="1702" w:right="988"/>
      </w:pPr>
      <w:r>
        <w:rPr/>
        <w:t>The</w:t>
      </w:r>
      <w:r>
        <w:rPr>
          <w:spacing w:val="-4"/>
        </w:rPr>
        <w:t> </w:t>
      </w:r>
      <w:r>
        <w:rPr/>
        <w:t>survey</w:t>
      </w:r>
      <w:r>
        <w:rPr>
          <w:spacing w:val="-4"/>
        </w:rPr>
        <w:t> </w:t>
      </w:r>
      <w:r>
        <w:rPr/>
        <w:t>data</w:t>
      </w:r>
      <w:r>
        <w:rPr>
          <w:spacing w:val="-4"/>
        </w:rPr>
        <w:t> </w:t>
      </w:r>
      <w:r>
        <w:rPr/>
        <w:t>has</w:t>
      </w:r>
      <w:r>
        <w:rPr>
          <w:spacing w:val="-4"/>
        </w:rPr>
        <w:t> </w:t>
      </w:r>
      <w:r>
        <w:rPr/>
        <w:t>been</w:t>
      </w:r>
      <w:r>
        <w:rPr>
          <w:spacing w:val="-4"/>
        </w:rPr>
        <w:t> </w:t>
      </w:r>
      <w:r>
        <w:rPr/>
        <w:t>deposited</w:t>
      </w:r>
      <w:r>
        <w:rPr>
          <w:spacing w:val="-4"/>
        </w:rPr>
        <w:t> </w:t>
      </w:r>
      <w:r>
        <w:rPr/>
        <w:t>with</w:t>
      </w:r>
      <w:r>
        <w:rPr>
          <w:spacing w:val="-4"/>
        </w:rPr>
        <w:t> </w:t>
      </w:r>
      <w:r>
        <w:rPr/>
        <w:t>the</w:t>
      </w:r>
      <w:r>
        <w:rPr>
          <w:spacing w:val="-4"/>
        </w:rPr>
        <w:t> </w:t>
      </w:r>
      <w:r>
        <w:rPr/>
        <w:t>Irish</w:t>
      </w:r>
      <w:r>
        <w:rPr>
          <w:spacing w:val="-4"/>
        </w:rPr>
        <w:t> </w:t>
      </w:r>
      <w:r>
        <w:rPr/>
        <w:t>Social</w:t>
      </w:r>
      <w:r>
        <w:rPr>
          <w:spacing w:val="-3"/>
        </w:rPr>
        <w:t> </w:t>
      </w:r>
      <w:r>
        <w:rPr/>
        <w:t>Sciences</w:t>
      </w:r>
      <w:r>
        <w:rPr>
          <w:spacing w:val="-3"/>
        </w:rPr>
        <w:t> </w:t>
      </w:r>
      <w:r>
        <w:rPr/>
        <w:t>Data Archive, and can serve as a valuable resource for other researchers interested in this area.</w:t>
      </w:r>
    </w:p>
    <w:p>
      <w:pPr>
        <w:pStyle w:val="Heading5"/>
        <w:spacing w:before="294"/>
        <w:rPr>
          <w:rFonts w:ascii="Rockwell"/>
        </w:rPr>
      </w:pPr>
      <w:r>
        <w:rPr>
          <w:rFonts w:ascii="Rockwell"/>
          <w:color w:val="BE2195"/>
        </w:rPr>
        <w:t>Review</w:t>
      </w:r>
      <w:r>
        <w:rPr>
          <w:rFonts w:ascii="Rockwell"/>
          <w:color w:val="BE2195"/>
          <w:spacing w:val="-7"/>
        </w:rPr>
        <w:t> </w:t>
      </w:r>
      <w:r>
        <w:rPr>
          <w:rFonts w:ascii="Rockwell"/>
          <w:color w:val="BE2195"/>
        </w:rPr>
        <w:t>of</w:t>
      </w:r>
      <w:r>
        <w:rPr>
          <w:rFonts w:ascii="Rockwell"/>
          <w:color w:val="BE2195"/>
          <w:spacing w:val="-5"/>
        </w:rPr>
        <w:t> </w:t>
      </w:r>
      <w:r>
        <w:rPr>
          <w:rFonts w:ascii="Rockwell"/>
          <w:color w:val="BE2195"/>
        </w:rPr>
        <w:t>the</w:t>
      </w:r>
      <w:r>
        <w:rPr>
          <w:rFonts w:ascii="Rockwell"/>
          <w:color w:val="BE2195"/>
          <w:spacing w:val="-7"/>
        </w:rPr>
        <w:t> </w:t>
      </w:r>
      <w:r>
        <w:rPr>
          <w:rFonts w:ascii="Rockwell"/>
          <w:color w:val="BE2195"/>
        </w:rPr>
        <w:t>Operation</w:t>
      </w:r>
      <w:r>
        <w:rPr>
          <w:rFonts w:ascii="Rockwell"/>
          <w:color w:val="BE2195"/>
          <w:spacing w:val="-5"/>
        </w:rPr>
        <w:t> </w:t>
      </w:r>
      <w:r>
        <w:rPr>
          <w:rFonts w:ascii="Rockwell"/>
          <w:color w:val="BE2195"/>
        </w:rPr>
        <w:t>of</w:t>
      </w:r>
      <w:r>
        <w:rPr>
          <w:rFonts w:ascii="Rockwell"/>
          <w:color w:val="BE2195"/>
          <w:spacing w:val="-5"/>
        </w:rPr>
        <w:t> </w:t>
      </w:r>
      <w:r>
        <w:rPr>
          <w:rFonts w:ascii="Rockwell"/>
          <w:color w:val="BE2195"/>
        </w:rPr>
        <w:t>Part</w:t>
      </w:r>
      <w:r>
        <w:rPr>
          <w:rFonts w:ascii="Rockwell"/>
          <w:color w:val="BE2195"/>
          <w:spacing w:val="-7"/>
        </w:rPr>
        <w:t> </w:t>
      </w:r>
      <w:r>
        <w:rPr>
          <w:rFonts w:ascii="Rockwell"/>
          <w:color w:val="BE2195"/>
        </w:rPr>
        <w:t>4</w:t>
      </w:r>
      <w:r>
        <w:rPr>
          <w:rFonts w:ascii="Rockwell"/>
          <w:color w:val="BE2195"/>
          <w:spacing w:val="-7"/>
        </w:rPr>
        <w:t> </w:t>
      </w:r>
      <w:r>
        <w:rPr>
          <w:rFonts w:ascii="Rockwell"/>
          <w:color w:val="BE2195"/>
        </w:rPr>
        <w:t>of</w:t>
      </w:r>
      <w:r>
        <w:rPr>
          <w:rFonts w:ascii="Rockwell"/>
          <w:color w:val="BE2195"/>
          <w:spacing w:val="-6"/>
        </w:rPr>
        <w:t> </w:t>
      </w:r>
      <w:r>
        <w:rPr>
          <w:rFonts w:ascii="Rockwell"/>
          <w:color w:val="BE2195"/>
        </w:rPr>
        <w:t>the</w:t>
      </w:r>
      <w:r>
        <w:rPr>
          <w:rFonts w:ascii="Rockwell"/>
          <w:color w:val="BE2195"/>
          <w:spacing w:val="-7"/>
        </w:rPr>
        <w:t> </w:t>
      </w:r>
      <w:r>
        <w:rPr>
          <w:rFonts w:ascii="Rockwell"/>
          <w:color w:val="BE2195"/>
        </w:rPr>
        <w:t>Disability</w:t>
      </w:r>
      <w:r>
        <w:rPr>
          <w:rFonts w:ascii="Rockwell"/>
          <w:color w:val="BE2195"/>
          <w:spacing w:val="-6"/>
        </w:rPr>
        <w:t> </w:t>
      </w:r>
      <w:r>
        <w:rPr>
          <w:rFonts w:ascii="Rockwell"/>
          <w:color w:val="BE2195"/>
          <w:spacing w:val="-5"/>
        </w:rPr>
        <w:t>Act</w:t>
      </w:r>
    </w:p>
    <w:p>
      <w:pPr>
        <w:pStyle w:val="BodyText"/>
        <w:spacing w:before="27"/>
        <w:ind w:left="1702" w:right="1099"/>
      </w:pPr>
      <w:r>
        <w:rPr/>
        <w:t>In December 2013, the Minister for Justice and Equality requested the National</w:t>
      </w:r>
      <w:r>
        <w:rPr>
          <w:spacing w:val="-3"/>
        </w:rPr>
        <w:t> </w:t>
      </w:r>
      <w:r>
        <w:rPr/>
        <w:t>Disability</w:t>
      </w:r>
      <w:r>
        <w:rPr>
          <w:spacing w:val="-3"/>
        </w:rPr>
        <w:t> </w:t>
      </w:r>
      <w:r>
        <w:rPr/>
        <w:t>Authority</w:t>
      </w:r>
      <w:r>
        <w:rPr>
          <w:spacing w:val="-3"/>
        </w:rPr>
        <w:t> </w:t>
      </w:r>
      <w:r>
        <w:rPr/>
        <w:t>to</w:t>
      </w:r>
      <w:r>
        <w:rPr>
          <w:spacing w:val="-3"/>
        </w:rPr>
        <w:t> </w:t>
      </w:r>
      <w:r>
        <w:rPr/>
        <w:t>conduct</w:t>
      </w:r>
      <w:r>
        <w:rPr>
          <w:spacing w:val="-3"/>
        </w:rPr>
        <w:t> </w:t>
      </w:r>
      <w:r>
        <w:rPr/>
        <w:t>a</w:t>
      </w:r>
      <w:r>
        <w:rPr>
          <w:spacing w:val="-3"/>
        </w:rPr>
        <w:t> </w:t>
      </w:r>
      <w:r>
        <w:rPr/>
        <w:t>review</w:t>
      </w:r>
      <w:r>
        <w:rPr>
          <w:spacing w:val="-1"/>
        </w:rPr>
        <w:t> </w:t>
      </w:r>
      <w:r>
        <w:rPr/>
        <w:t>of</w:t>
      </w:r>
      <w:r>
        <w:rPr>
          <w:spacing w:val="-3"/>
        </w:rPr>
        <w:t> </w:t>
      </w:r>
      <w:r>
        <w:rPr/>
        <w:t>the</w:t>
      </w:r>
      <w:r>
        <w:rPr>
          <w:spacing w:val="-3"/>
        </w:rPr>
        <w:t> </w:t>
      </w:r>
      <w:r>
        <w:rPr/>
        <w:t>operation</w:t>
      </w:r>
      <w:r>
        <w:rPr>
          <w:spacing w:val="-3"/>
        </w:rPr>
        <w:t> </w:t>
      </w:r>
      <w:r>
        <w:rPr/>
        <w:t>of</w:t>
      </w:r>
      <w:r>
        <w:rPr>
          <w:spacing w:val="-3"/>
        </w:rPr>
        <w:t> </w:t>
      </w:r>
      <w:r>
        <w:rPr/>
        <w:t>Part 4</w:t>
      </w:r>
      <w:r>
        <w:rPr>
          <w:spacing w:val="-4"/>
        </w:rPr>
        <w:t> </w:t>
      </w:r>
      <w:r>
        <w:rPr/>
        <w:t>of</w:t>
      </w:r>
      <w:r>
        <w:rPr>
          <w:spacing w:val="-4"/>
        </w:rPr>
        <w:t> </w:t>
      </w:r>
      <w:r>
        <w:rPr/>
        <w:t>the</w:t>
      </w:r>
      <w:r>
        <w:rPr>
          <w:spacing w:val="-4"/>
        </w:rPr>
        <w:t> </w:t>
      </w:r>
      <w:r>
        <w:rPr/>
        <w:t>Disability</w:t>
      </w:r>
      <w:r>
        <w:rPr>
          <w:spacing w:val="-4"/>
        </w:rPr>
        <w:t> </w:t>
      </w:r>
      <w:r>
        <w:rPr/>
        <w:t>Act</w:t>
      </w:r>
      <w:r>
        <w:rPr>
          <w:spacing w:val="-2"/>
        </w:rPr>
        <w:t> </w:t>
      </w:r>
      <w:r>
        <w:rPr/>
        <w:t>2005,</w:t>
      </w:r>
      <w:r>
        <w:rPr>
          <w:spacing w:val="-3"/>
        </w:rPr>
        <w:t> </w:t>
      </w:r>
      <w:r>
        <w:rPr/>
        <w:t>as</w:t>
      </w:r>
      <w:r>
        <w:rPr>
          <w:spacing w:val="-4"/>
        </w:rPr>
        <w:t> </w:t>
      </w:r>
      <w:r>
        <w:rPr/>
        <w:t>mandated</w:t>
      </w:r>
      <w:r>
        <w:rPr>
          <w:spacing w:val="-4"/>
        </w:rPr>
        <w:t> </w:t>
      </w:r>
      <w:r>
        <w:rPr/>
        <w:t>by</w:t>
      </w:r>
      <w:r>
        <w:rPr>
          <w:spacing w:val="-2"/>
        </w:rPr>
        <w:t> </w:t>
      </w:r>
      <w:r>
        <w:rPr/>
        <w:t>Section</w:t>
      </w:r>
      <w:r>
        <w:rPr>
          <w:spacing w:val="-4"/>
        </w:rPr>
        <w:t> </w:t>
      </w:r>
      <w:r>
        <w:rPr/>
        <w:t>44</w:t>
      </w:r>
      <w:r>
        <w:rPr>
          <w:spacing w:val="-4"/>
        </w:rPr>
        <w:t> </w:t>
      </w:r>
      <w:r>
        <w:rPr/>
        <w:t>of</w:t>
      </w:r>
      <w:r>
        <w:rPr>
          <w:spacing w:val="-4"/>
        </w:rPr>
        <w:t> </w:t>
      </w:r>
      <w:r>
        <w:rPr/>
        <w:t>that</w:t>
      </w:r>
      <w:r>
        <w:rPr>
          <w:spacing w:val="-4"/>
        </w:rPr>
        <w:t> </w:t>
      </w:r>
      <w:r>
        <w:rPr/>
        <w:t>Act.</w:t>
      </w:r>
      <w:r>
        <w:rPr>
          <w:spacing w:val="-1"/>
        </w:rPr>
        <w:t> </w:t>
      </w:r>
      <w:r>
        <w:rPr/>
        <w:t>Part</w:t>
      </w:r>
      <w:r>
        <w:rPr>
          <w:spacing w:val="-4"/>
        </w:rPr>
        <w:t> </w:t>
      </w:r>
      <w:r>
        <w:rPr/>
        <w:t>4 of the Disability Act regulates genetic testing in a number of areas, including insurance, employment and the mortgaging of property, by prohibiting the processing of genetic data in these areas. The provisions aim to ensure that people who may be affected by genetic disorders will</w:t>
      </w:r>
    </w:p>
    <w:p>
      <w:pPr>
        <w:pStyle w:val="BodyText"/>
        <w:spacing w:after="0"/>
        <w:sectPr>
          <w:pgSz w:w="11910" w:h="16850"/>
          <w:pgMar w:header="0" w:footer="811" w:top="1880" w:bottom="1000" w:left="283" w:right="992"/>
        </w:sectPr>
      </w:pPr>
    </w:p>
    <w:p>
      <w:pPr>
        <w:pStyle w:val="BodyText"/>
        <w:spacing w:before="79"/>
        <w:ind w:left="1702" w:right="1080"/>
      </w:pPr>
      <w:r>
        <w:rPr/>
        <w:t>not</w:t>
      </w:r>
      <w:r>
        <w:rPr>
          <w:spacing w:val="-4"/>
        </w:rPr>
        <w:t> </w:t>
      </w:r>
      <w:r>
        <w:rPr/>
        <w:t>be</w:t>
      </w:r>
      <w:r>
        <w:rPr>
          <w:spacing w:val="-4"/>
        </w:rPr>
        <w:t> </w:t>
      </w:r>
      <w:r>
        <w:rPr/>
        <w:t>subject</w:t>
      </w:r>
      <w:r>
        <w:rPr>
          <w:spacing w:val="-4"/>
        </w:rPr>
        <w:t> </w:t>
      </w:r>
      <w:r>
        <w:rPr/>
        <w:t>to</w:t>
      </w:r>
      <w:r>
        <w:rPr>
          <w:spacing w:val="-3"/>
        </w:rPr>
        <w:t> </w:t>
      </w:r>
      <w:r>
        <w:rPr/>
        <w:t>any</w:t>
      </w:r>
      <w:r>
        <w:rPr>
          <w:spacing w:val="-3"/>
        </w:rPr>
        <w:t> </w:t>
      </w:r>
      <w:r>
        <w:rPr/>
        <w:t>unreasonable</w:t>
      </w:r>
      <w:r>
        <w:rPr>
          <w:spacing w:val="-3"/>
        </w:rPr>
        <w:t> </w:t>
      </w:r>
      <w:r>
        <w:rPr/>
        <w:t>requirements</w:t>
      </w:r>
      <w:r>
        <w:rPr>
          <w:spacing w:val="-3"/>
        </w:rPr>
        <w:t> </w:t>
      </w:r>
      <w:r>
        <w:rPr/>
        <w:t>from</w:t>
      </w:r>
      <w:r>
        <w:rPr>
          <w:spacing w:val="-4"/>
        </w:rPr>
        <w:t> </w:t>
      </w:r>
      <w:r>
        <w:rPr/>
        <w:t>an</w:t>
      </w:r>
      <w:r>
        <w:rPr>
          <w:spacing w:val="-4"/>
        </w:rPr>
        <w:t> </w:t>
      </w:r>
      <w:r>
        <w:rPr/>
        <w:t>employer</w:t>
      </w:r>
      <w:r>
        <w:rPr>
          <w:spacing w:val="-4"/>
        </w:rPr>
        <w:t> </w:t>
      </w:r>
      <w:r>
        <w:rPr/>
        <w:t>or</w:t>
      </w:r>
      <w:r>
        <w:rPr>
          <w:spacing w:val="-4"/>
        </w:rPr>
        <w:t> </w:t>
      </w:r>
      <w:r>
        <w:rPr/>
        <w:t>an insurance or mortgage provider.</w:t>
      </w:r>
    </w:p>
    <w:p>
      <w:pPr>
        <w:pStyle w:val="BodyText"/>
        <w:spacing w:before="239"/>
        <w:ind w:left="1702" w:right="1099"/>
      </w:pPr>
      <w:r>
        <w:rPr/>
        <w:t>The NDA held a seminar and consultation on Part 4 of the Act in September 2014. A number of the consultation submissions raised complex</w:t>
      </w:r>
      <w:r>
        <w:rPr>
          <w:spacing w:val="-5"/>
        </w:rPr>
        <w:t> </w:t>
      </w:r>
      <w:r>
        <w:rPr/>
        <w:t>legal</w:t>
      </w:r>
      <w:r>
        <w:rPr>
          <w:spacing w:val="-4"/>
        </w:rPr>
        <w:t> </w:t>
      </w:r>
      <w:r>
        <w:rPr/>
        <w:t>issues,</w:t>
      </w:r>
      <w:r>
        <w:rPr>
          <w:spacing w:val="-4"/>
        </w:rPr>
        <w:t> </w:t>
      </w:r>
      <w:r>
        <w:rPr/>
        <w:t>related</w:t>
      </w:r>
      <w:r>
        <w:rPr>
          <w:spacing w:val="-5"/>
        </w:rPr>
        <w:t> </w:t>
      </w:r>
      <w:r>
        <w:rPr/>
        <w:t>to</w:t>
      </w:r>
      <w:r>
        <w:rPr>
          <w:spacing w:val="-4"/>
        </w:rPr>
        <w:t> </w:t>
      </w:r>
      <w:r>
        <w:rPr/>
        <w:t>discrimination,</w:t>
      </w:r>
      <w:r>
        <w:rPr>
          <w:spacing w:val="-4"/>
        </w:rPr>
        <w:t> </w:t>
      </w:r>
      <w:r>
        <w:rPr/>
        <w:t>the</w:t>
      </w:r>
      <w:r>
        <w:rPr>
          <w:spacing w:val="-5"/>
        </w:rPr>
        <w:t> </w:t>
      </w:r>
      <w:r>
        <w:rPr/>
        <w:t>UNCRPD,</w:t>
      </w:r>
      <w:r>
        <w:rPr>
          <w:spacing w:val="-5"/>
        </w:rPr>
        <w:t> </w:t>
      </w:r>
      <w:r>
        <w:rPr/>
        <w:t>and</w:t>
      </w:r>
      <w:r>
        <w:rPr>
          <w:spacing w:val="-5"/>
        </w:rPr>
        <w:t> </w:t>
      </w:r>
      <w:r>
        <w:rPr/>
        <w:t>the</w:t>
      </w:r>
      <w:r>
        <w:rPr>
          <w:spacing w:val="-5"/>
        </w:rPr>
        <w:t> </w:t>
      </w:r>
      <w:r>
        <w:rPr/>
        <w:t>use of family history information by insurance companies. The NDA sought extensive legal advice in order to consider these issues as part of the </w:t>
      </w:r>
      <w:r>
        <w:rPr>
          <w:spacing w:val="-2"/>
        </w:rPr>
        <w:t>review.</w:t>
      </w:r>
    </w:p>
    <w:p>
      <w:pPr>
        <w:pStyle w:val="BodyText"/>
        <w:spacing w:before="241"/>
        <w:ind w:left="1702" w:right="1119"/>
      </w:pPr>
      <w:r>
        <w:rPr/>
        <w:t>In April 2016, the General Data Protection Regulation (GDPR) was adopted by the EU. It will enter into application on 25 May 2018, after a two-year transition period. The GDPR includes provisions in relation to the</w:t>
      </w:r>
      <w:r>
        <w:rPr>
          <w:spacing w:val="-1"/>
        </w:rPr>
        <w:t> </w:t>
      </w:r>
      <w:r>
        <w:rPr/>
        <w:t>protection</w:t>
      </w:r>
      <w:r>
        <w:rPr>
          <w:spacing w:val="-1"/>
        </w:rPr>
        <w:t> </w:t>
      </w:r>
      <w:r>
        <w:rPr/>
        <w:t>of</w:t>
      </w:r>
      <w:r>
        <w:rPr>
          <w:spacing w:val="-1"/>
        </w:rPr>
        <w:t> </w:t>
      </w:r>
      <w:r>
        <w:rPr/>
        <w:t>genetic</w:t>
      </w:r>
      <w:r>
        <w:rPr>
          <w:spacing w:val="-1"/>
        </w:rPr>
        <w:t> </w:t>
      </w:r>
      <w:r>
        <w:rPr/>
        <w:t>data</w:t>
      </w:r>
      <w:r>
        <w:rPr>
          <w:spacing w:val="-1"/>
        </w:rPr>
        <w:t> </w:t>
      </w:r>
      <w:r>
        <w:rPr/>
        <w:t>that</w:t>
      </w:r>
      <w:r>
        <w:rPr>
          <w:spacing w:val="-1"/>
        </w:rPr>
        <w:t> </w:t>
      </w:r>
      <w:r>
        <w:rPr/>
        <w:t>are</w:t>
      </w:r>
      <w:r>
        <w:rPr>
          <w:spacing w:val="-1"/>
        </w:rPr>
        <w:t> </w:t>
      </w:r>
      <w:r>
        <w:rPr/>
        <w:t>relevant</w:t>
      </w:r>
      <w:r>
        <w:rPr>
          <w:spacing w:val="-1"/>
        </w:rPr>
        <w:t> </w:t>
      </w:r>
      <w:r>
        <w:rPr/>
        <w:t>to the operation</w:t>
      </w:r>
      <w:r>
        <w:rPr>
          <w:spacing w:val="-1"/>
        </w:rPr>
        <w:t> </w:t>
      </w:r>
      <w:r>
        <w:rPr/>
        <w:t>of</w:t>
      </w:r>
      <w:r>
        <w:rPr>
          <w:spacing w:val="-1"/>
        </w:rPr>
        <w:t> </w:t>
      </w:r>
      <w:r>
        <w:rPr/>
        <w:t>Part</w:t>
      </w:r>
      <w:r>
        <w:rPr>
          <w:spacing w:val="-1"/>
        </w:rPr>
        <w:t> </w:t>
      </w:r>
      <w:r>
        <w:rPr/>
        <w:t>4 of the Act. The NDA sought and considered legal advice on the possible implications of these provisions for protections in Part 4 of the Act. The Department</w:t>
      </w:r>
      <w:r>
        <w:rPr>
          <w:spacing w:val="-4"/>
        </w:rPr>
        <w:t> </w:t>
      </w:r>
      <w:r>
        <w:rPr/>
        <w:t>of</w:t>
      </w:r>
      <w:r>
        <w:rPr>
          <w:spacing w:val="-4"/>
        </w:rPr>
        <w:t> </w:t>
      </w:r>
      <w:r>
        <w:rPr/>
        <w:t>Justice</w:t>
      </w:r>
      <w:r>
        <w:rPr>
          <w:spacing w:val="-2"/>
        </w:rPr>
        <w:t> </w:t>
      </w:r>
      <w:r>
        <w:rPr/>
        <w:t>and</w:t>
      </w:r>
      <w:r>
        <w:rPr>
          <w:spacing w:val="-4"/>
        </w:rPr>
        <w:t> </w:t>
      </w:r>
      <w:r>
        <w:rPr/>
        <w:t>Equality</w:t>
      </w:r>
      <w:r>
        <w:rPr>
          <w:spacing w:val="-4"/>
        </w:rPr>
        <w:t> </w:t>
      </w:r>
      <w:r>
        <w:rPr/>
        <w:t>is</w:t>
      </w:r>
      <w:r>
        <w:rPr>
          <w:spacing w:val="-3"/>
        </w:rPr>
        <w:t> </w:t>
      </w:r>
      <w:r>
        <w:rPr/>
        <w:t>working</w:t>
      </w:r>
      <w:r>
        <w:rPr>
          <w:spacing w:val="-4"/>
        </w:rPr>
        <w:t> </w:t>
      </w:r>
      <w:r>
        <w:rPr/>
        <w:t>on</w:t>
      </w:r>
      <w:r>
        <w:rPr>
          <w:spacing w:val="-4"/>
        </w:rPr>
        <w:t> </w:t>
      </w:r>
      <w:r>
        <w:rPr/>
        <w:t>a</w:t>
      </w:r>
      <w:r>
        <w:rPr>
          <w:spacing w:val="-4"/>
        </w:rPr>
        <w:t> </w:t>
      </w:r>
      <w:r>
        <w:rPr/>
        <w:t>Data</w:t>
      </w:r>
      <w:r>
        <w:rPr>
          <w:spacing w:val="-2"/>
        </w:rPr>
        <w:t> </w:t>
      </w:r>
      <w:r>
        <w:rPr/>
        <w:t>Protection</w:t>
      </w:r>
      <w:r>
        <w:rPr>
          <w:spacing w:val="-2"/>
        </w:rPr>
        <w:t> </w:t>
      </w:r>
      <w:r>
        <w:rPr/>
        <w:t>Bill to implement the Regulation.</w:t>
      </w:r>
    </w:p>
    <w:p>
      <w:pPr>
        <w:pStyle w:val="BodyText"/>
        <w:spacing w:before="240"/>
        <w:ind w:left="1702" w:right="1918"/>
        <w:jc w:val="both"/>
      </w:pPr>
      <w:r>
        <w:rPr/>
        <w:t>The</w:t>
      </w:r>
      <w:r>
        <w:rPr>
          <w:spacing w:val="-4"/>
        </w:rPr>
        <w:t> </w:t>
      </w:r>
      <w:r>
        <w:rPr/>
        <w:t>NDA’s</w:t>
      </w:r>
      <w:r>
        <w:rPr>
          <w:spacing w:val="-4"/>
        </w:rPr>
        <w:t> </w:t>
      </w:r>
      <w:r>
        <w:rPr/>
        <w:t>findings</w:t>
      </w:r>
      <w:r>
        <w:rPr>
          <w:spacing w:val="-4"/>
        </w:rPr>
        <w:t> </w:t>
      </w:r>
      <w:r>
        <w:rPr/>
        <w:t>and</w:t>
      </w:r>
      <w:r>
        <w:rPr>
          <w:spacing w:val="-4"/>
        </w:rPr>
        <w:t> </w:t>
      </w:r>
      <w:r>
        <w:rPr/>
        <w:t>advice</w:t>
      </w:r>
      <w:r>
        <w:rPr>
          <w:spacing w:val="-3"/>
        </w:rPr>
        <w:t> </w:t>
      </w:r>
      <w:r>
        <w:rPr/>
        <w:t>further</w:t>
      </w:r>
      <w:r>
        <w:rPr>
          <w:spacing w:val="-4"/>
        </w:rPr>
        <w:t> </w:t>
      </w:r>
      <w:r>
        <w:rPr/>
        <w:t>to</w:t>
      </w:r>
      <w:r>
        <w:rPr>
          <w:spacing w:val="-3"/>
        </w:rPr>
        <w:t> </w:t>
      </w:r>
      <w:r>
        <w:rPr/>
        <w:t>the review</w:t>
      </w:r>
      <w:r>
        <w:rPr>
          <w:spacing w:val="-3"/>
        </w:rPr>
        <w:t> </w:t>
      </w:r>
      <w:r>
        <w:rPr/>
        <w:t>of</w:t>
      </w:r>
      <w:r>
        <w:rPr>
          <w:spacing w:val="-4"/>
        </w:rPr>
        <w:t> </w:t>
      </w:r>
      <w:r>
        <w:rPr/>
        <w:t>Part</w:t>
      </w:r>
      <w:r>
        <w:rPr>
          <w:spacing w:val="-4"/>
        </w:rPr>
        <w:t> </w:t>
      </w:r>
      <w:r>
        <w:rPr/>
        <w:t>4</w:t>
      </w:r>
      <w:r>
        <w:rPr>
          <w:spacing w:val="-4"/>
        </w:rPr>
        <w:t> </w:t>
      </w:r>
      <w:r>
        <w:rPr/>
        <w:t>was submitted</w:t>
      </w:r>
      <w:r>
        <w:rPr>
          <w:spacing w:val="-5"/>
        </w:rPr>
        <w:t> </w:t>
      </w:r>
      <w:r>
        <w:rPr/>
        <w:t>to</w:t>
      </w:r>
      <w:r>
        <w:rPr>
          <w:spacing w:val="-5"/>
        </w:rPr>
        <w:t> </w:t>
      </w:r>
      <w:r>
        <w:rPr/>
        <w:t>Mr</w:t>
      </w:r>
      <w:r>
        <w:rPr>
          <w:spacing w:val="-4"/>
        </w:rPr>
        <w:t> </w:t>
      </w:r>
      <w:r>
        <w:rPr/>
        <w:t>Finian</w:t>
      </w:r>
      <w:r>
        <w:rPr>
          <w:spacing w:val="-3"/>
        </w:rPr>
        <w:t> </w:t>
      </w:r>
      <w:r>
        <w:rPr/>
        <w:t>McGrath</w:t>
      </w:r>
      <w:r>
        <w:rPr>
          <w:spacing w:val="-3"/>
        </w:rPr>
        <w:t> </w:t>
      </w:r>
      <w:r>
        <w:rPr/>
        <w:t>TD,</w:t>
      </w:r>
      <w:r>
        <w:rPr>
          <w:spacing w:val="-4"/>
        </w:rPr>
        <w:t> </w:t>
      </w:r>
      <w:r>
        <w:rPr/>
        <w:t>Minister</w:t>
      </w:r>
      <w:r>
        <w:rPr>
          <w:spacing w:val="-2"/>
        </w:rPr>
        <w:t> </w:t>
      </w:r>
      <w:r>
        <w:rPr/>
        <w:t>of</w:t>
      </w:r>
      <w:r>
        <w:rPr>
          <w:spacing w:val="-5"/>
        </w:rPr>
        <w:t> </w:t>
      </w:r>
      <w:r>
        <w:rPr/>
        <w:t>State</w:t>
      </w:r>
      <w:r>
        <w:rPr>
          <w:spacing w:val="-4"/>
        </w:rPr>
        <w:t> </w:t>
      </w:r>
      <w:r>
        <w:rPr/>
        <w:t>with</w:t>
      </w:r>
      <w:r>
        <w:rPr>
          <w:spacing w:val="-5"/>
        </w:rPr>
        <w:t> </w:t>
      </w:r>
      <w:r>
        <w:rPr/>
        <w:t>special responsibility for disability in 2017.</w:t>
      </w:r>
    </w:p>
    <w:p>
      <w:pPr>
        <w:pStyle w:val="Heading3"/>
        <w:ind w:right="988"/>
      </w:pPr>
      <w:r>
        <w:rPr>
          <w:color w:val="BE2195"/>
        </w:rPr>
        <w:t>Research</w:t>
      </w:r>
      <w:r>
        <w:rPr>
          <w:color w:val="BE2195"/>
          <w:spacing w:val="-7"/>
        </w:rPr>
        <w:t> </w:t>
      </w:r>
      <w:r>
        <w:rPr>
          <w:color w:val="BE2195"/>
        </w:rPr>
        <w:t>carried</w:t>
      </w:r>
      <w:r>
        <w:rPr>
          <w:color w:val="BE2195"/>
          <w:spacing w:val="-6"/>
        </w:rPr>
        <w:t> </w:t>
      </w:r>
      <w:r>
        <w:rPr>
          <w:color w:val="BE2195"/>
        </w:rPr>
        <w:t>out</w:t>
      </w:r>
      <w:r>
        <w:rPr>
          <w:color w:val="BE2195"/>
          <w:spacing w:val="-5"/>
        </w:rPr>
        <w:t> </w:t>
      </w:r>
      <w:r>
        <w:rPr>
          <w:color w:val="BE2195"/>
        </w:rPr>
        <w:t>on</w:t>
      </w:r>
      <w:r>
        <w:rPr>
          <w:color w:val="BE2195"/>
          <w:spacing w:val="-6"/>
        </w:rPr>
        <w:t> </w:t>
      </w:r>
      <w:r>
        <w:rPr>
          <w:color w:val="BE2195"/>
        </w:rPr>
        <w:t>good</w:t>
      </w:r>
      <w:r>
        <w:rPr>
          <w:color w:val="BE2195"/>
          <w:spacing w:val="-5"/>
        </w:rPr>
        <w:t> </w:t>
      </w:r>
      <w:r>
        <w:rPr>
          <w:color w:val="BE2195"/>
        </w:rPr>
        <w:t>practice</w:t>
      </w:r>
      <w:r>
        <w:rPr>
          <w:color w:val="BE2195"/>
          <w:spacing w:val="-8"/>
        </w:rPr>
        <w:t> </w:t>
      </w:r>
      <w:r>
        <w:rPr>
          <w:color w:val="BE2195"/>
        </w:rPr>
        <w:t>to</w:t>
      </w:r>
      <w:r>
        <w:rPr>
          <w:color w:val="BE2195"/>
          <w:spacing w:val="-5"/>
        </w:rPr>
        <w:t> </w:t>
      </w:r>
      <w:r>
        <w:rPr>
          <w:color w:val="BE2195"/>
        </w:rPr>
        <w:t>inform advice and implementation</w:t>
      </w:r>
    </w:p>
    <w:p>
      <w:pPr>
        <w:pStyle w:val="Heading5"/>
        <w:spacing w:before="265"/>
        <w:jc w:val="both"/>
      </w:pPr>
      <w:r>
        <w:rPr/>
        <w:t>Annual</w:t>
      </w:r>
      <w:r>
        <w:rPr>
          <w:spacing w:val="-13"/>
        </w:rPr>
        <w:t> </w:t>
      </w:r>
      <w:r>
        <w:rPr/>
        <w:t>Conference</w:t>
      </w:r>
      <w:r>
        <w:rPr>
          <w:spacing w:val="-12"/>
        </w:rPr>
        <w:t> </w:t>
      </w:r>
      <w:r>
        <w:rPr>
          <w:spacing w:val="-4"/>
        </w:rPr>
        <w:t>2017</w:t>
      </w:r>
    </w:p>
    <w:p>
      <w:pPr>
        <w:pStyle w:val="BodyText"/>
        <w:spacing w:before="281"/>
        <w:ind w:left="1702" w:right="1038"/>
      </w:pPr>
      <w:r>
        <w:rPr/>
        <w:t>The</w:t>
      </w:r>
      <w:r>
        <w:rPr>
          <w:spacing w:val="-4"/>
        </w:rPr>
        <w:t> </w:t>
      </w:r>
      <w:r>
        <w:rPr/>
        <w:t>NDA’s</w:t>
      </w:r>
      <w:r>
        <w:rPr>
          <w:spacing w:val="-2"/>
        </w:rPr>
        <w:t> </w:t>
      </w:r>
      <w:r>
        <w:rPr/>
        <w:t>2017</w:t>
      </w:r>
      <w:r>
        <w:rPr>
          <w:spacing w:val="-4"/>
        </w:rPr>
        <w:t> </w:t>
      </w:r>
      <w:r>
        <w:rPr/>
        <w:t>annual</w:t>
      </w:r>
      <w:r>
        <w:rPr>
          <w:spacing w:val="-4"/>
        </w:rPr>
        <w:t> </w:t>
      </w:r>
      <w:r>
        <w:rPr/>
        <w:t>conference</w:t>
      </w:r>
      <w:r>
        <w:rPr>
          <w:spacing w:val="-4"/>
        </w:rPr>
        <w:t> </w:t>
      </w:r>
      <w:r>
        <w:rPr/>
        <w:t>was</w:t>
      </w:r>
      <w:r>
        <w:rPr>
          <w:spacing w:val="-3"/>
        </w:rPr>
        <w:t> </w:t>
      </w:r>
      <w:r>
        <w:rPr/>
        <w:t>held</w:t>
      </w:r>
      <w:r>
        <w:rPr>
          <w:spacing w:val="-2"/>
        </w:rPr>
        <w:t> </w:t>
      </w:r>
      <w:r>
        <w:rPr/>
        <w:t>on</w:t>
      </w:r>
      <w:r>
        <w:rPr>
          <w:spacing w:val="-4"/>
        </w:rPr>
        <w:t> </w:t>
      </w:r>
      <w:r>
        <w:rPr/>
        <w:t>25</w:t>
      </w:r>
      <w:r>
        <w:rPr>
          <w:spacing w:val="-4"/>
        </w:rPr>
        <w:t> </w:t>
      </w:r>
      <w:r>
        <w:rPr/>
        <w:t>October in</w:t>
      </w:r>
      <w:r>
        <w:rPr>
          <w:spacing w:val="-3"/>
        </w:rPr>
        <w:t> </w:t>
      </w:r>
      <w:r>
        <w:rPr/>
        <w:t>Dublin,</w:t>
      </w:r>
      <w:r>
        <w:rPr>
          <w:spacing w:val="-3"/>
        </w:rPr>
        <w:t> </w:t>
      </w:r>
      <w:r>
        <w:rPr/>
        <w:t>on the theme of ‘Making my own way: supporting self-directed living in the</w:t>
      </w:r>
    </w:p>
    <w:p>
      <w:pPr>
        <w:pStyle w:val="BodyText"/>
        <w:ind w:left="1702" w:right="1080"/>
      </w:pPr>
      <w:r>
        <w:rPr/>
        <w:t>community’.</w:t>
      </w:r>
      <w:r>
        <w:rPr>
          <w:spacing w:val="-4"/>
        </w:rPr>
        <w:t> </w:t>
      </w:r>
      <w:r>
        <w:rPr/>
        <w:t>The</w:t>
      </w:r>
      <w:r>
        <w:rPr>
          <w:spacing w:val="-4"/>
        </w:rPr>
        <w:t> </w:t>
      </w:r>
      <w:r>
        <w:rPr/>
        <w:t>conference</w:t>
      </w:r>
      <w:r>
        <w:rPr>
          <w:spacing w:val="-5"/>
        </w:rPr>
        <w:t> </w:t>
      </w:r>
      <w:r>
        <w:rPr/>
        <w:t>was</w:t>
      </w:r>
      <w:r>
        <w:rPr>
          <w:spacing w:val="-3"/>
        </w:rPr>
        <w:t> </w:t>
      </w:r>
      <w:r>
        <w:rPr/>
        <w:t>opened</w:t>
      </w:r>
      <w:r>
        <w:rPr>
          <w:spacing w:val="-5"/>
        </w:rPr>
        <w:t> </w:t>
      </w:r>
      <w:r>
        <w:rPr/>
        <w:t>by</w:t>
      </w:r>
      <w:r>
        <w:rPr>
          <w:spacing w:val="-4"/>
        </w:rPr>
        <w:t> </w:t>
      </w:r>
      <w:r>
        <w:rPr/>
        <w:t>Mr.</w:t>
      </w:r>
      <w:r>
        <w:rPr>
          <w:spacing w:val="-4"/>
        </w:rPr>
        <w:t> </w:t>
      </w:r>
      <w:r>
        <w:rPr/>
        <w:t>Finian</w:t>
      </w:r>
      <w:r>
        <w:rPr>
          <w:spacing w:val="-5"/>
        </w:rPr>
        <w:t> </w:t>
      </w:r>
      <w:r>
        <w:rPr/>
        <w:t>McGrath,</w:t>
      </w:r>
      <w:r>
        <w:rPr>
          <w:spacing w:val="-2"/>
        </w:rPr>
        <w:t> </w:t>
      </w:r>
      <w:r>
        <w:rPr/>
        <w:t>Minister of State, with special responsibility for disabilities.</w:t>
      </w:r>
    </w:p>
    <w:p>
      <w:pPr>
        <w:pStyle w:val="BodyText"/>
        <w:spacing w:before="240"/>
        <w:ind w:left="1702" w:right="1099"/>
      </w:pPr>
      <w:r>
        <w:rPr/>
        <w:t>The conference considered a range of approaches to providing tailored and individualised supports for persons with disabilities living in the community,</w:t>
      </w:r>
      <w:r>
        <w:rPr>
          <w:spacing w:val="-5"/>
        </w:rPr>
        <w:t> </w:t>
      </w:r>
      <w:r>
        <w:rPr/>
        <w:t>including</w:t>
      </w:r>
      <w:r>
        <w:rPr>
          <w:spacing w:val="-3"/>
        </w:rPr>
        <w:t> </w:t>
      </w:r>
      <w:r>
        <w:rPr/>
        <w:t>through</w:t>
      </w:r>
      <w:r>
        <w:rPr>
          <w:spacing w:val="-6"/>
        </w:rPr>
        <w:t> </w:t>
      </w:r>
      <w:r>
        <w:rPr/>
        <w:t>personalised</w:t>
      </w:r>
      <w:r>
        <w:rPr>
          <w:spacing w:val="-6"/>
        </w:rPr>
        <w:t> </w:t>
      </w:r>
      <w:r>
        <w:rPr/>
        <w:t>budgets</w:t>
      </w:r>
      <w:r>
        <w:rPr>
          <w:spacing w:val="-4"/>
        </w:rPr>
        <w:t> </w:t>
      </w:r>
      <w:r>
        <w:rPr/>
        <w:t>for</w:t>
      </w:r>
      <w:r>
        <w:rPr>
          <w:spacing w:val="-2"/>
        </w:rPr>
        <w:t> </w:t>
      </w:r>
      <w:r>
        <w:rPr/>
        <w:t>those</w:t>
      </w:r>
      <w:r>
        <w:rPr>
          <w:spacing w:val="-6"/>
        </w:rPr>
        <w:t> </w:t>
      </w:r>
      <w:r>
        <w:rPr/>
        <w:t>who</w:t>
      </w:r>
      <w:r>
        <w:rPr>
          <w:spacing w:val="-5"/>
        </w:rPr>
        <w:t> </w:t>
      </w:r>
      <w:r>
        <w:rPr/>
        <w:t>might choose these to fund supports of their choice. Approaches considered included local area coordination, micro-boards and circles of support.</w:t>
      </w:r>
    </w:p>
    <w:p>
      <w:pPr>
        <w:pStyle w:val="BodyText"/>
        <w:ind w:left="1702" w:right="1023"/>
      </w:pPr>
      <w:r>
        <w:rPr/>
        <w:t>International speakers included:</w:t>
      </w:r>
      <w:r>
        <w:rPr>
          <w:spacing w:val="40"/>
        </w:rPr>
        <w:t> </w:t>
      </w:r>
      <w:r>
        <w:rPr/>
        <w:t>Caroline Tomlinson, Associate of In-Control</w:t>
      </w:r>
      <w:r>
        <w:rPr>
          <w:spacing w:val="-4"/>
        </w:rPr>
        <w:t> </w:t>
      </w:r>
      <w:r>
        <w:rPr/>
        <w:t>(UK);</w:t>
      </w:r>
      <w:r>
        <w:rPr>
          <w:spacing w:val="-3"/>
        </w:rPr>
        <w:t> </w:t>
      </w:r>
      <w:r>
        <w:rPr/>
        <w:t>Mary-Lou</w:t>
      </w:r>
      <w:r>
        <w:rPr>
          <w:spacing w:val="-5"/>
        </w:rPr>
        <w:t> </w:t>
      </w:r>
      <w:r>
        <w:rPr/>
        <w:t>Bourne,</w:t>
      </w:r>
      <w:r>
        <w:rPr>
          <w:spacing w:val="-4"/>
        </w:rPr>
        <w:t> </w:t>
      </w:r>
      <w:r>
        <w:rPr/>
        <w:t>Director</w:t>
      </w:r>
      <w:r>
        <w:rPr>
          <w:spacing w:val="-5"/>
        </w:rPr>
        <w:t> </w:t>
      </w:r>
      <w:r>
        <w:rPr/>
        <w:t>of</w:t>
      </w:r>
      <w:r>
        <w:rPr>
          <w:spacing w:val="-4"/>
        </w:rPr>
        <w:t> </w:t>
      </w:r>
      <w:r>
        <w:rPr/>
        <w:t>National</w:t>
      </w:r>
      <w:r>
        <w:rPr>
          <w:spacing w:val="-5"/>
        </w:rPr>
        <w:t> </w:t>
      </w:r>
      <w:r>
        <w:rPr/>
        <w:t>Association</w:t>
      </w:r>
      <w:r>
        <w:rPr>
          <w:spacing w:val="-4"/>
        </w:rPr>
        <w:t> </w:t>
      </w:r>
      <w:r>
        <w:rPr/>
        <w:t>of</w:t>
      </w:r>
      <w:r>
        <w:rPr>
          <w:spacing w:val="-5"/>
        </w:rPr>
        <w:t> </w:t>
      </w:r>
      <w:r>
        <w:rPr/>
        <w:t>State Directors of Developmental Disabilities Services (USA); Ralph Broad, Director of Inclusive Neighbourhoods Ltd (UK); and Linda Perry, Executive Director of Vela Micro-boards (Canada).</w:t>
      </w:r>
    </w:p>
    <w:p>
      <w:pPr>
        <w:pStyle w:val="BodyText"/>
        <w:spacing w:after="0"/>
        <w:sectPr>
          <w:pgSz w:w="11910" w:h="16850"/>
          <w:pgMar w:header="0" w:footer="811" w:top="1880" w:bottom="1000" w:left="283" w:right="992"/>
        </w:sectPr>
      </w:pPr>
    </w:p>
    <w:p>
      <w:pPr>
        <w:pStyle w:val="BodyText"/>
        <w:spacing w:before="79"/>
        <w:ind w:left="1702" w:right="1383"/>
      </w:pPr>
      <w:r>
        <w:rPr/>
        <w:t>As</w:t>
      </w:r>
      <w:r>
        <w:rPr>
          <w:spacing w:val="-4"/>
        </w:rPr>
        <w:t> </w:t>
      </w:r>
      <w:r>
        <w:rPr/>
        <w:t>well</w:t>
      </w:r>
      <w:r>
        <w:rPr>
          <w:spacing w:val="-4"/>
        </w:rPr>
        <w:t> </w:t>
      </w:r>
      <w:r>
        <w:rPr/>
        <w:t>as</w:t>
      </w:r>
      <w:r>
        <w:rPr>
          <w:spacing w:val="-4"/>
        </w:rPr>
        <w:t> </w:t>
      </w:r>
      <w:r>
        <w:rPr/>
        <w:t>the</w:t>
      </w:r>
      <w:r>
        <w:rPr>
          <w:spacing w:val="-4"/>
        </w:rPr>
        <w:t> </w:t>
      </w:r>
      <w:r>
        <w:rPr/>
        <w:t>keynote</w:t>
      </w:r>
      <w:r>
        <w:rPr>
          <w:spacing w:val="-4"/>
        </w:rPr>
        <w:t> </w:t>
      </w:r>
      <w:r>
        <w:rPr/>
        <w:t>presentations,</w:t>
      </w:r>
      <w:r>
        <w:rPr>
          <w:spacing w:val="-4"/>
        </w:rPr>
        <w:t> </w:t>
      </w:r>
      <w:r>
        <w:rPr/>
        <w:t>a</w:t>
      </w:r>
      <w:r>
        <w:rPr>
          <w:spacing w:val="-4"/>
        </w:rPr>
        <w:t> </w:t>
      </w:r>
      <w:r>
        <w:rPr/>
        <w:t>series</w:t>
      </w:r>
      <w:r>
        <w:rPr>
          <w:spacing w:val="-4"/>
        </w:rPr>
        <w:t> </w:t>
      </w:r>
      <w:r>
        <w:rPr/>
        <w:t>of</w:t>
      </w:r>
      <w:r>
        <w:rPr>
          <w:spacing w:val="-4"/>
        </w:rPr>
        <w:t> </w:t>
      </w:r>
      <w:r>
        <w:rPr/>
        <w:t>workshops</w:t>
      </w:r>
      <w:r>
        <w:rPr>
          <w:spacing w:val="-4"/>
        </w:rPr>
        <w:t> </w:t>
      </w:r>
      <w:r>
        <w:rPr/>
        <w:t>focused</w:t>
      </w:r>
      <w:r>
        <w:rPr>
          <w:spacing w:val="-6"/>
        </w:rPr>
        <w:t> </w:t>
      </w:r>
      <w:r>
        <w:rPr/>
        <w:t>on each strand of support in further detail, with input from persons with disabilities on the lived experience of these types of support, as well as policy-makers and service providers.</w:t>
      </w:r>
    </w:p>
    <w:p>
      <w:pPr>
        <w:pStyle w:val="BodyText"/>
        <w:spacing w:before="238"/>
        <w:ind w:left="1702" w:right="1002"/>
      </w:pPr>
      <w:r>
        <w:rPr/>
        <w:t>Over 140 people attended the event, with representation from government departments and agencies, service providers, practitioners,</w:t>
      </w:r>
      <w:r>
        <w:rPr>
          <w:spacing w:val="40"/>
        </w:rPr>
        <w:t> </w:t>
      </w:r>
      <w:r>
        <w:rPr/>
        <w:t>and</w:t>
      </w:r>
      <w:r>
        <w:rPr>
          <w:spacing w:val="-5"/>
        </w:rPr>
        <w:t> </w:t>
      </w:r>
      <w:r>
        <w:rPr/>
        <w:t>persons</w:t>
      </w:r>
      <w:r>
        <w:rPr>
          <w:spacing w:val="-4"/>
        </w:rPr>
        <w:t> </w:t>
      </w:r>
      <w:r>
        <w:rPr/>
        <w:t>with</w:t>
      </w:r>
      <w:r>
        <w:rPr>
          <w:spacing w:val="-5"/>
        </w:rPr>
        <w:t> </w:t>
      </w:r>
      <w:r>
        <w:rPr/>
        <w:t>disabilities.</w:t>
      </w:r>
      <w:r>
        <w:rPr>
          <w:spacing w:val="-5"/>
        </w:rPr>
        <w:t> </w:t>
      </w:r>
      <w:r>
        <w:rPr/>
        <w:t>Conference</w:t>
      </w:r>
      <w:r>
        <w:rPr>
          <w:spacing w:val="-5"/>
        </w:rPr>
        <w:t> </w:t>
      </w:r>
      <w:r>
        <w:rPr/>
        <w:t>presentations</w:t>
      </w:r>
      <w:r>
        <w:rPr>
          <w:spacing w:val="-4"/>
        </w:rPr>
        <w:t> </w:t>
      </w:r>
      <w:r>
        <w:rPr/>
        <w:t>are</w:t>
      </w:r>
      <w:r>
        <w:rPr>
          <w:spacing w:val="-4"/>
        </w:rPr>
        <w:t> </w:t>
      </w:r>
      <w:r>
        <w:rPr/>
        <w:t>available</w:t>
      </w:r>
      <w:r>
        <w:rPr>
          <w:spacing w:val="-2"/>
        </w:rPr>
        <w:t> </w:t>
      </w:r>
      <w:r>
        <w:rPr/>
        <w:t>on</w:t>
      </w:r>
      <w:r>
        <w:rPr>
          <w:spacing w:val="-5"/>
        </w:rPr>
        <w:t> </w:t>
      </w:r>
      <w:r>
        <w:rPr/>
        <w:t>the NDA website, and the event has been of benefit in informing the considerations of the National Task Force on Personalised Budgets, which is due to present its report to the Minister in Q1 2018.</w:t>
      </w:r>
    </w:p>
    <w:p>
      <w:pPr>
        <w:pStyle w:val="Heading5"/>
        <w:spacing w:before="280"/>
        <w:ind w:right="988"/>
      </w:pPr>
      <w:r>
        <w:rPr/>
        <w:t>Models of good practice in effectively supporting the Needs of Adults</w:t>
      </w:r>
      <w:r>
        <w:rPr>
          <w:spacing w:val="-5"/>
        </w:rPr>
        <w:t> </w:t>
      </w:r>
      <w:r>
        <w:rPr/>
        <w:t>with</w:t>
      </w:r>
      <w:r>
        <w:rPr>
          <w:spacing w:val="-6"/>
        </w:rPr>
        <w:t> </w:t>
      </w:r>
      <w:r>
        <w:rPr/>
        <w:t>Autism</w:t>
      </w:r>
      <w:r>
        <w:rPr>
          <w:spacing w:val="-6"/>
        </w:rPr>
        <w:t> </w:t>
      </w:r>
      <w:r>
        <w:rPr/>
        <w:t>without</w:t>
      </w:r>
      <w:r>
        <w:rPr>
          <w:spacing w:val="-6"/>
        </w:rPr>
        <w:t> </w:t>
      </w:r>
      <w:r>
        <w:rPr/>
        <w:t>a</w:t>
      </w:r>
      <w:r>
        <w:rPr>
          <w:spacing w:val="-5"/>
        </w:rPr>
        <w:t> </w:t>
      </w:r>
      <w:r>
        <w:rPr/>
        <w:t>Concurrent</w:t>
      </w:r>
      <w:r>
        <w:rPr>
          <w:spacing w:val="-6"/>
        </w:rPr>
        <w:t> </w:t>
      </w:r>
      <w:r>
        <w:rPr/>
        <w:t>Intellectual</w:t>
      </w:r>
      <w:r>
        <w:rPr>
          <w:spacing w:val="-6"/>
        </w:rPr>
        <w:t> </w:t>
      </w:r>
      <w:r>
        <w:rPr/>
        <w:t>Disability, Living in the Community</w:t>
      </w:r>
    </w:p>
    <w:p>
      <w:pPr>
        <w:pStyle w:val="BodyText"/>
        <w:spacing w:before="281"/>
        <w:ind w:left="1702" w:right="1035"/>
      </w:pPr>
      <w:r>
        <w:rPr/>
        <w:t>The NDA carried out exploratory research to find evidence of good practice, from Ireland and internationally, in effectively supporting the needs of adults with autism, without a concurrent intellectual disability (ID),</w:t>
      </w:r>
      <w:r>
        <w:rPr>
          <w:spacing w:val="-4"/>
        </w:rPr>
        <w:t> </w:t>
      </w:r>
      <w:r>
        <w:rPr/>
        <w:t>living</w:t>
      </w:r>
      <w:r>
        <w:rPr>
          <w:spacing w:val="-4"/>
        </w:rPr>
        <w:t> </w:t>
      </w:r>
      <w:r>
        <w:rPr/>
        <w:t>in</w:t>
      </w:r>
      <w:r>
        <w:rPr>
          <w:spacing w:val="-4"/>
        </w:rPr>
        <w:t> </w:t>
      </w:r>
      <w:r>
        <w:rPr/>
        <w:t>the</w:t>
      </w:r>
      <w:r>
        <w:rPr>
          <w:spacing w:val="-4"/>
        </w:rPr>
        <w:t> </w:t>
      </w:r>
      <w:r>
        <w:rPr/>
        <w:t>community.</w:t>
      </w:r>
      <w:r>
        <w:rPr>
          <w:spacing w:val="-4"/>
        </w:rPr>
        <w:t> </w:t>
      </w:r>
      <w:r>
        <w:rPr/>
        <w:t>The</w:t>
      </w:r>
      <w:r>
        <w:rPr>
          <w:spacing w:val="-4"/>
        </w:rPr>
        <w:t> </w:t>
      </w:r>
      <w:r>
        <w:rPr/>
        <w:t>report</w:t>
      </w:r>
      <w:r>
        <w:rPr>
          <w:spacing w:val="-1"/>
        </w:rPr>
        <w:t> </w:t>
      </w:r>
      <w:r>
        <w:rPr/>
        <w:t>was</w:t>
      </w:r>
      <w:r>
        <w:rPr>
          <w:spacing w:val="-4"/>
        </w:rPr>
        <w:t> </w:t>
      </w:r>
      <w:r>
        <w:rPr/>
        <w:t>shared</w:t>
      </w:r>
      <w:r>
        <w:rPr>
          <w:spacing w:val="-4"/>
        </w:rPr>
        <w:t> </w:t>
      </w:r>
      <w:r>
        <w:rPr/>
        <w:t>with</w:t>
      </w:r>
      <w:r>
        <w:rPr>
          <w:spacing w:val="-4"/>
        </w:rPr>
        <w:t> </w:t>
      </w:r>
      <w:r>
        <w:rPr/>
        <w:t>the</w:t>
      </w:r>
      <w:r>
        <w:rPr>
          <w:spacing w:val="-4"/>
        </w:rPr>
        <w:t> </w:t>
      </w:r>
      <w:r>
        <w:rPr/>
        <w:t>Department of Health to help inform the HSE’s review of autism services and was published in 2017.</w:t>
      </w:r>
    </w:p>
    <w:p>
      <w:pPr>
        <w:pStyle w:val="BodyText"/>
        <w:spacing w:before="282"/>
        <w:ind w:left="1702" w:right="1099"/>
      </w:pPr>
      <w:r>
        <w:rPr/>
        <w:t>The</w:t>
      </w:r>
      <w:r>
        <w:rPr>
          <w:spacing w:val="-1"/>
        </w:rPr>
        <w:t> </w:t>
      </w:r>
      <w:r>
        <w:rPr/>
        <w:t>report</w:t>
      </w:r>
      <w:r>
        <w:rPr>
          <w:spacing w:val="-1"/>
        </w:rPr>
        <w:t> </w:t>
      </w:r>
      <w:r>
        <w:rPr/>
        <w:t>examined</w:t>
      </w:r>
      <w:r>
        <w:rPr>
          <w:spacing w:val="-1"/>
        </w:rPr>
        <w:t> </w:t>
      </w:r>
      <w:r>
        <w:rPr/>
        <w:t>the</w:t>
      </w:r>
      <w:r>
        <w:rPr>
          <w:spacing w:val="-1"/>
        </w:rPr>
        <w:t> </w:t>
      </w:r>
      <w:r>
        <w:rPr/>
        <w:t>findings of various stakeholder consultations on autism in Ireland that were conducted over the last number of years, which identified several gaps in availability of, and access to, services for adults with autism without an intellectual disability. It also identified the specific</w:t>
      </w:r>
      <w:r>
        <w:rPr>
          <w:spacing w:val="-4"/>
        </w:rPr>
        <w:t> </w:t>
      </w:r>
      <w:r>
        <w:rPr/>
        <w:t>needs</w:t>
      </w:r>
      <w:r>
        <w:rPr>
          <w:spacing w:val="-3"/>
        </w:rPr>
        <w:t> </w:t>
      </w:r>
      <w:r>
        <w:rPr/>
        <w:t>of</w:t>
      </w:r>
      <w:r>
        <w:rPr>
          <w:spacing w:val="-4"/>
        </w:rPr>
        <w:t> </w:t>
      </w:r>
      <w:r>
        <w:rPr/>
        <w:t>adults</w:t>
      </w:r>
      <w:r>
        <w:rPr>
          <w:spacing w:val="-3"/>
        </w:rPr>
        <w:t> </w:t>
      </w:r>
      <w:r>
        <w:rPr/>
        <w:t>with</w:t>
      </w:r>
      <w:r>
        <w:rPr>
          <w:spacing w:val="-4"/>
        </w:rPr>
        <w:t> </w:t>
      </w:r>
      <w:r>
        <w:rPr/>
        <w:t>autism</w:t>
      </w:r>
      <w:r>
        <w:rPr>
          <w:spacing w:val="-4"/>
        </w:rPr>
        <w:t> </w:t>
      </w:r>
      <w:r>
        <w:rPr/>
        <w:t>that</w:t>
      </w:r>
      <w:r>
        <w:rPr>
          <w:spacing w:val="-2"/>
        </w:rPr>
        <w:t> </w:t>
      </w:r>
      <w:r>
        <w:rPr/>
        <w:t>are</w:t>
      </w:r>
      <w:r>
        <w:rPr>
          <w:spacing w:val="-3"/>
        </w:rPr>
        <w:t> </w:t>
      </w:r>
      <w:r>
        <w:rPr/>
        <w:t>often</w:t>
      </w:r>
      <w:r>
        <w:rPr>
          <w:spacing w:val="-4"/>
        </w:rPr>
        <w:t> </w:t>
      </w:r>
      <w:r>
        <w:rPr/>
        <w:t>not</w:t>
      </w:r>
      <w:r>
        <w:rPr>
          <w:spacing w:val="-4"/>
        </w:rPr>
        <w:t> </w:t>
      </w:r>
      <w:r>
        <w:rPr/>
        <w:t>met</w:t>
      </w:r>
      <w:r>
        <w:rPr>
          <w:spacing w:val="-4"/>
        </w:rPr>
        <w:t> </w:t>
      </w:r>
      <w:r>
        <w:rPr/>
        <w:t>due</w:t>
      </w:r>
      <w:r>
        <w:rPr>
          <w:spacing w:val="-1"/>
        </w:rPr>
        <w:t> </w:t>
      </w:r>
      <w:r>
        <w:rPr/>
        <w:t>to</w:t>
      </w:r>
      <w:r>
        <w:rPr>
          <w:spacing w:val="-3"/>
        </w:rPr>
        <w:t> </w:t>
      </w:r>
      <w:r>
        <w:rPr/>
        <w:t>the</w:t>
      </w:r>
      <w:r>
        <w:rPr>
          <w:spacing w:val="-4"/>
        </w:rPr>
        <w:t> </w:t>
      </w:r>
      <w:r>
        <w:rPr/>
        <w:t>lack of awareness or lack of competence on autism among service providers resulting in many adults with autism without ID not reaching their full </w:t>
      </w:r>
      <w:r>
        <w:rPr>
          <w:spacing w:val="-2"/>
        </w:rPr>
        <w:t>potential.</w:t>
      </w:r>
    </w:p>
    <w:p>
      <w:pPr>
        <w:pStyle w:val="BodyText"/>
        <w:spacing w:before="240"/>
        <w:ind w:left="1702" w:right="1018"/>
      </w:pPr>
      <w:r>
        <w:rPr/>
        <w:t>This report found that in general, there is a lack of research, and a consequent lack of evidence, around the optimal configuration of services and the most effective and efficient supports that are required to ensure that adults with autism without an ID, can live as independent and fulfilling a life as possible. Possible models that have worked well in the UK include specialist autism teams and ‘One-Stop-Shops’. The specialist teams aim to provide local specialist expertise to mainstream services. One-Stop-Shops aim to prevent unnecessary referrals of people with autism to more specialist</w:t>
      </w:r>
      <w:r>
        <w:rPr>
          <w:spacing w:val="-4"/>
        </w:rPr>
        <w:t> </w:t>
      </w:r>
      <w:r>
        <w:rPr/>
        <w:t>settings</w:t>
      </w:r>
      <w:r>
        <w:rPr>
          <w:spacing w:val="-4"/>
        </w:rPr>
        <w:t> </w:t>
      </w:r>
      <w:r>
        <w:rPr/>
        <w:t>by</w:t>
      </w:r>
      <w:r>
        <w:rPr>
          <w:spacing w:val="-4"/>
        </w:rPr>
        <w:t> </w:t>
      </w:r>
      <w:r>
        <w:rPr/>
        <w:t>providing</w:t>
      </w:r>
      <w:r>
        <w:rPr>
          <w:spacing w:val="-4"/>
        </w:rPr>
        <w:t> </w:t>
      </w:r>
      <w:r>
        <w:rPr/>
        <w:t>support</w:t>
      </w:r>
      <w:r>
        <w:rPr>
          <w:spacing w:val="-4"/>
        </w:rPr>
        <w:t> </w:t>
      </w:r>
      <w:r>
        <w:rPr/>
        <w:t>and</w:t>
      </w:r>
      <w:r>
        <w:rPr>
          <w:spacing w:val="-4"/>
        </w:rPr>
        <w:t> </w:t>
      </w:r>
      <w:r>
        <w:rPr/>
        <w:t>linking</w:t>
      </w:r>
      <w:r>
        <w:rPr>
          <w:spacing w:val="-4"/>
        </w:rPr>
        <w:t> </w:t>
      </w:r>
      <w:r>
        <w:rPr/>
        <w:t>service</w:t>
      </w:r>
      <w:r>
        <w:rPr>
          <w:spacing w:val="-4"/>
        </w:rPr>
        <w:t> </w:t>
      </w:r>
      <w:r>
        <w:rPr/>
        <w:t>users</w:t>
      </w:r>
      <w:r>
        <w:rPr>
          <w:spacing w:val="-4"/>
        </w:rPr>
        <w:t> </w:t>
      </w:r>
      <w:r>
        <w:rPr/>
        <w:t>to</w:t>
      </w:r>
      <w:r>
        <w:rPr>
          <w:spacing w:val="-4"/>
        </w:rPr>
        <w:t> </w:t>
      </w:r>
      <w:r>
        <w:rPr/>
        <w:t>relevant mainstream services.</w:t>
      </w:r>
    </w:p>
    <w:p>
      <w:pPr>
        <w:pStyle w:val="BodyText"/>
        <w:spacing w:after="0"/>
        <w:sectPr>
          <w:pgSz w:w="11910" w:h="16850"/>
          <w:pgMar w:header="0" w:footer="811" w:top="1880" w:bottom="1000" w:left="283" w:right="992"/>
        </w:sectPr>
      </w:pPr>
    </w:p>
    <w:p>
      <w:pPr>
        <w:pStyle w:val="BodyText"/>
        <w:spacing w:before="79"/>
        <w:ind w:left="1702" w:right="1080"/>
      </w:pPr>
      <w:r>
        <w:rPr/>
        <w:t>Although the data is limited, evidence suggests that adults with autism without</w:t>
      </w:r>
      <w:r>
        <w:rPr>
          <w:spacing w:val="-1"/>
        </w:rPr>
        <w:t> </w:t>
      </w:r>
      <w:r>
        <w:rPr/>
        <w:t>an</w:t>
      </w:r>
      <w:r>
        <w:rPr>
          <w:spacing w:val="-1"/>
        </w:rPr>
        <w:t> </w:t>
      </w:r>
      <w:r>
        <w:rPr/>
        <w:t>ID</w:t>
      </w:r>
      <w:r>
        <w:rPr>
          <w:spacing w:val="-1"/>
        </w:rPr>
        <w:t> </w:t>
      </w:r>
      <w:r>
        <w:rPr/>
        <w:t>who have</w:t>
      </w:r>
      <w:r>
        <w:rPr>
          <w:spacing w:val="-1"/>
        </w:rPr>
        <w:t> </w:t>
      </w:r>
      <w:r>
        <w:rPr/>
        <w:t>access to specialist</w:t>
      </w:r>
      <w:r>
        <w:rPr>
          <w:spacing w:val="-1"/>
        </w:rPr>
        <w:t> </w:t>
      </w:r>
      <w:r>
        <w:rPr/>
        <w:t>teams have better outcomes. There</w:t>
      </w:r>
      <w:r>
        <w:rPr>
          <w:spacing w:val="-1"/>
        </w:rPr>
        <w:t> </w:t>
      </w:r>
      <w:r>
        <w:rPr/>
        <w:t>is also</w:t>
      </w:r>
      <w:r>
        <w:rPr>
          <w:spacing w:val="-1"/>
        </w:rPr>
        <w:t> </w:t>
      </w:r>
      <w:r>
        <w:rPr/>
        <w:t>some</w:t>
      </w:r>
      <w:r>
        <w:rPr>
          <w:spacing w:val="-2"/>
        </w:rPr>
        <w:t> </w:t>
      </w:r>
      <w:r>
        <w:rPr/>
        <w:t>evidence</w:t>
      </w:r>
      <w:r>
        <w:rPr>
          <w:spacing w:val="-2"/>
        </w:rPr>
        <w:t> </w:t>
      </w:r>
      <w:r>
        <w:rPr/>
        <w:t>that a</w:t>
      </w:r>
      <w:r>
        <w:rPr>
          <w:spacing w:val="-2"/>
        </w:rPr>
        <w:t> </w:t>
      </w:r>
      <w:r>
        <w:rPr/>
        <w:t>relatively</w:t>
      </w:r>
      <w:r>
        <w:rPr>
          <w:spacing w:val="-2"/>
        </w:rPr>
        <w:t> </w:t>
      </w:r>
      <w:r>
        <w:rPr/>
        <w:t>low</w:t>
      </w:r>
      <w:r>
        <w:rPr>
          <w:spacing w:val="-1"/>
        </w:rPr>
        <w:t> </w:t>
      </w:r>
      <w:r>
        <w:rPr/>
        <w:t>level</w:t>
      </w:r>
      <w:r>
        <w:rPr>
          <w:spacing w:val="-2"/>
        </w:rPr>
        <w:t> </w:t>
      </w:r>
      <w:r>
        <w:rPr/>
        <w:t>of</w:t>
      </w:r>
      <w:r>
        <w:rPr>
          <w:spacing w:val="-2"/>
        </w:rPr>
        <w:t> </w:t>
      </w:r>
      <w:r>
        <w:rPr/>
        <w:t>ongoing</w:t>
      </w:r>
      <w:r>
        <w:rPr>
          <w:spacing w:val="-2"/>
        </w:rPr>
        <w:t> </w:t>
      </w:r>
      <w:r>
        <w:rPr/>
        <w:t>support for</w:t>
      </w:r>
      <w:r>
        <w:rPr>
          <w:spacing w:val="-4"/>
        </w:rPr>
        <w:t> </w:t>
      </w:r>
      <w:r>
        <w:rPr/>
        <w:t>adults</w:t>
      </w:r>
      <w:r>
        <w:rPr>
          <w:spacing w:val="-3"/>
        </w:rPr>
        <w:t> </w:t>
      </w:r>
      <w:r>
        <w:rPr/>
        <w:t>with</w:t>
      </w:r>
      <w:r>
        <w:rPr>
          <w:spacing w:val="-4"/>
        </w:rPr>
        <w:t> </w:t>
      </w:r>
      <w:r>
        <w:rPr/>
        <w:t>autism</w:t>
      </w:r>
      <w:r>
        <w:rPr>
          <w:spacing w:val="-2"/>
        </w:rPr>
        <w:t> </w:t>
      </w:r>
      <w:r>
        <w:rPr/>
        <w:t>without</w:t>
      </w:r>
      <w:r>
        <w:rPr>
          <w:spacing w:val="-4"/>
        </w:rPr>
        <w:t> </w:t>
      </w:r>
      <w:r>
        <w:rPr/>
        <w:t>an</w:t>
      </w:r>
      <w:r>
        <w:rPr>
          <w:spacing w:val="-4"/>
        </w:rPr>
        <w:t> </w:t>
      </w:r>
      <w:r>
        <w:rPr/>
        <w:t>ID</w:t>
      </w:r>
      <w:r>
        <w:rPr>
          <w:spacing w:val="-4"/>
        </w:rPr>
        <w:t> </w:t>
      </w:r>
      <w:r>
        <w:rPr/>
        <w:t>can</w:t>
      </w:r>
      <w:r>
        <w:rPr>
          <w:spacing w:val="-4"/>
        </w:rPr>
        <w:t> </w:t>
      </w:r>
      <w:r>
        <w:rPr/>
        <w:t>prevent</w:t>
      </w:r>
      <w:r>
        <w:rPr>
          <w:spacing w:val="-4"/>
        </w:rPr>
        <w:t> </w:t>
      </w:r>
      <w:r>
        <w:rPr/>
        <w:t>anxiety</w:t>
      </w:r>
      <w:r>
        <w:rPr>
          <w:spacing w:val="-4"/>
        </w:rPr>
        <w:t> </w:t>
      </w:r>
      <w:r>
        <w:rPr/>
        <w:t>and</w:t>
      </w:r>
      <w:r>
        <w:rPr>
          <w:spacing w:val="-4"/>
        </w:rPr>
        <w:t> </w:t>
      </w:r>
      <w:r>
        <w:rPr/>
        <w:t>distress,</w:t>
      </w:r>
      <w:r>
        <w:rPr>
          <w:spacing w:val="-3"/>
        </w:rPr>
        <w:t> </w:t>
      </w:r>
      <w:r>
        <w:rPr/>
        <w:t>and negate the need for more expensive crisis support later.</w:t>
      </w:r>
    </w:p>
    <w:p>
      <w:pPr>
        <w:pStyle w:val="BodyText"/>
        <w:spacing w:before="239"/>
        <w:ind w:left="1702" w:right="1099"/>
      </w:pPr>
      <w:r>
        <w:rPr/>
        <w:t>The research has given rise to recommendations for further work to understand the effectiveness of different service models, and a clearer understanding of what services need to be available and who should provide them. The work also highlighted the need for more training of public service workers on autism, both awareness raising and more intensive</w:t>
      </w:r>
      <w:r>
        <w:rPr>
          <w:spacing w:val="-5"/>
        </w:rPr>
        <w:t> </w:t>
      </w:r>
      <w:r>
        <w:rPr/>
        <w:t>training</w:t>
      </w:r>
      <w:r>
        <w:rPr>
          <w:spacing w:val="-5"/>
        </w:rPr>
        <w:t> </w:t>
      </w:r>
      <w:r>
        <w:rPr/>
        <w:t>for</w:t>
      </w:r>
      <w:r>
        <w:rPr>
          <w:spacing w:val="-4"/>
        </w:rPr>
        <w:t> </w:t>
      </w:r>
      <w:r>
        <w:rPr/>
        <w:t>people</w:t>
      </w:r>
      <w:r>
        <w:rPr>
          <w:spacing w:val="-5"/>
        </w:rPr>
        <w:t> </w:t>
      </w:r>
      <w:r>
        <w:rPr/>
        <w:t>interacting</w:t>
      </w:r>
      <w:r>
        <w:rPr>
          <w:spacing w:val="-5"/>
        </w:rPr>
        <w:t> </w:t>
      </w:r>
      <w:r>
        <w:rPr/>
        <w:t>regularly</w:t>
      </w:r>
      <w:r>
        <w:rPr>
          <w:spacing w:val="-5"/>
        </w:rPr>
        <w:t> </w:t>
      </w:r>
      <w:r>
        <w:rPr/>
        <w:t>with</w:t>
      </w:r>
      <w:r>
        <w:rPr>
          <w:spacing w:val="-5"/>
        </w:rPr>
        <w:t> </w:t>
      </w:r>
      <w:r>
        <w:rPr/>
        <w:t>people</w:t>
      </w:r>
      <w:r>
        <w:rPr>
          <w:spacing w:val="-5"/>
        </w:rPr>
        <w:t> </w:t>
      </w:r>
      <w:r>
        <w:rPr/>
        <w:t>with</w:t>
      </w:r>
      <w:r>
        <w:rPr>
          <w:spacing w:val="-5"/>
        </w:rPr>
        <w:t> </w:t>
      </w:r>
      <w:r>
        <w:rPr/>
        <w:t>autism.</w:t>
      </w:r>
    </w:p>
    <w:p>
      <w:pPr>
        <w:pStyle w:val="Heading5"/>
        <w:spacing w:before="280"/>
      </w:pPr>
      <w:r>
        <w:rPr/>
        <w:t>Disability</w:t>
      </w:r>
      <w:r>
        <w:rPr>
          <w:spacing w:val="-10"/>
        </w:rPr>
        <w:t> </w:t>
      </w:r>
      <w:r>
        <w:rPr/>
        <w:t>research</w:t>
      </w:r>
      <w:r>
        <w:rPr>
          <w:spacing w:val="-9"/>
        </w:rPr>
        <w:t> </w:t>
      </w:r>
      <w:r>
        <w:rPr/>
        <w:t>gold</w:t>
      </w:r>
      <w:r>
        <w:rPr>
          <w:spacing w:val="-10"/>
        </w:rPr>
        <w:t> </w:t>
      </w:r>
      <w:r>
        <w:rPr/>
        <w:t>medal</w:t>
      </w:r>
      <w:r>
        <w:rPr>
          <w:spacing w:val="-11"/>
        </w:rPr>
        <w:t> </w:t>
      </w:r>
      <w:r>
        <w:rPr>
          <w:spacing w:val="-4"/>
        </w:rPr>
        <w:t>award</w:t>
      </w:r>
    </w:p>
    <w:p>
      <w:pPr>
        <w:pStyle w:val="BodyText"/>
        <w:spacing w:before="281"/>
        <w:ind w:left="1702" w:right="988"/>
      </w:pPr>
      <w:r>
        <w:rPr/>
        <w:t>The NDA developed a scheme to encourage and reward high quality quantitative</w:t>
      </w:r>
      <w:r>
        <w:rPr>
          <w:spacing w:val="-5"/>
        </w:rPr>
        <w:t> </w:t>
      </w:r>
      <w:r>
        <w:rPr/>
        <w:t>research</w:t>
      </w:r>
      <w:r>
        <w:rPr>
          <w:spacing w:val="-5"/>
        </w:rPr>
        <w:t> </w:t>
      </w:r>
      <w:r>
        <w:rPr/>
        <w:t>on</w:t>
      </w:r>
      <w:r>
        <w:rPr>
          <w:spacing w:val="-5"/>
        </w:rPr>
        <w:t> </w:t>
      </w:r>
      <w:r>
        <w:rPr/>
        <w:t>disability</w:t>
      </w:r>
      <w:r>
        <w:rPr>
          <w:spacing w:val="-5"/>
        </w:rPr>
        <w:t> </w:t>
      </w:r>
      <w:r>
        <w:rPr/>
        <w:t>in</w:t>
      </w:r>
      <w:r>
        <w:rPr>
          <w:spacing w:val="-5"/>
        </w:rPr>
        <w:t> </w:t>
      </w:r>
      <w:r>
        <w:rPr/>
        <w:t>Ireland.</w:t>
      </w:r>
      <w:r>
        <w:rPr>
          <w:spacing w:val="-1"/>
        </w:rPr>
        <w:t> </w:t>
      </w:r>
      <w:r>
        <w:rPr/>
        <w:t>However,</w:t>
      </w:r>
      <w:r>
        <w:rPr>
          <w:spacing w:val="-4"/>
        </w:rPr>
        <w:t> </w:t>
      </w:r>
      <w:r>
        <w:rPr/>
        <w:t>no</w:t>
      </w:r>
      <w:r>
        <w:rPr>
          <w:spacing w:val="-4"/>
        </w:rPr>
        <w:t> </w:t>
      </w:r>
      <w:r>
        <w:rPr/>
        <w:t>awards</w:t>
      </w:r>
      <w:r>
        <w:rPr>
          <w:spacing w:val="-4"/>
        </w:rPr>
        <w:t> </w:t>
      </w:r>
      <w:r>
        <w:rPr/>
        <w:t>were made in 2017 and it is considered that a review would be necessary to guide any further roll out.</w:t>
      </w:r>
    </w:p>
    <w:p>
      <w:pPr>
        <w:pStyle w:val="Heading5"/>
        <w:spacing w:before="242"/>
      </w:pPr>
      <w:r>
        <w:rPr/>
        <w:t>Research</w:t>
      </w:r>
      <w:r>
        <w:rPr>
          <w:spacing w:val="-14"/>
        </w:rPr>
        <w:t> </w:t>
      </w:r>
      <w:r>
        <w:rPr/>
        <w:t>Promotion</w:t>
      </w:r>
      <w:r>
        <w:rPr>
          <w:spacing w:val="-13"/>
        </w:rPr>
        <w:t> </w:t>
      </w:r>
      <w:r>
        <w:rPr/>
        <w:t>Scheme</w:t>
      </w:r>
      <w:r>
        <w:rPr>
          <w:spacing w:val="-13"/>
        </w:rPr>
        <w:t> </w:t>
      </w:r>
      <w:r>
        <w:rPr>
          <w:spacing w:val="-2"/>
        </w:rPr>
        <w:t>2017/18</w:t>
      </w:r>
    </w:p>
    <w:p>
      <w:pPr>
        <w:pStyle w:val="BodyText"/>
        <w:spacing w:before="238"/>
        <w:ind w:left="1702" w:right="1080"/>
      </w:pPr>
      <w:r>
        <w:rPr/>
        <w:t>Through its Research Promotion Scheme, the NDA encourages research activity and excellence in the sector and provides support to advance research under selected themes. In 2017, applications were invited in respect of two themes, and this year was the first time that the scheme included a theme related to Universal Design. The themes selected were ‘Progressing lifetime communities through Universal Design’ and ‘The effective</w:t>
      </w:r>
      <w:r>
        <w:rPr>
          <w:spacing w:val="-5"/>
        </w:rPr>
        <w:t> </w:t>
      </w:r>
      <w:r>
        <w:rPr/>
        <w:t>promotion</w:t>
      </w:r>
      <w:r>
        <w:rPr>
          <w:spacing w:val="-5"/>
        </w:rPr>
        <w:t> </w:t>
      </w:r>
      <w:r>
        <w:rPr/>
        <w:t>and</w:t>
      </w:r>
      <w:r>
        <w:rPr>
          <w:spacing w:val="-5"/>
        </w:rPr>
        <w:t> </w:t>
      </w:r>
      <w:r>
        <w:rPr/>
        <w:t>support</w:t>
      </w:r>
      <w:r>
        <w:rPr>
          <w:spacing w:val="-5"/>
        </w:rPr>
        <w:t> </w:t>
      </w:r>
      <w:r>
        <w:rPr/>
        <w:t>of</w:t>
      </w:r>
      <w:r>
        <w:rPr>
          <w:spacing w:val="-5"/>
        </w:rPr>
        <w:t> </w:t>
      </w:r>
      <w:r>
        <w:rPr/>
        <w:t>community</w:t>
      </w:r>
      <w:r>
        <w:rPr>
          <w:spacing w:val="-5"/>
        </w:rPr>
        <w:t> </w:t>
      </w:r>
      <w:r>
        <w:rPr/>
        <w:t>integration</w:t>
      </w:r>
      <w:r>
        <w:rPr>
          <w:spacing w:val="-5"/>
        </w:rPr>
        <w:t> </w:t>
      </w:r>
      <w:r>
        <w:rPr/>
        <w:t>of</w:t>
      </w:r>
      <w:r>
        <w:rPr>
          <w:spacing w:val="-5"/>
        </w:rPr>
        <w:t> </w:t>
      </w:r>
      <w:r>
        <w:rPr/>
        <w:t>people</w:t>
      </w:r>
      <w:r>
        <w:rPr>
          <w:spacing w:val="-5"/>
        </w:rPr>
        <w:t> </w:t>
      </w:r>
      <w:r>
        <w:rPr/>
        <w:t>with </w:t>
      </w:r>
      <w:r>
        <w:rPr>
          <w:spacing w:val="-2"/>
        </w:rPr>
        <w:t>disabilities’.</w:t>
      </w:r>
    </w:p>
    <w:p>
      <w:pPr>
        <w:pStyle w:val="BodyText"/>
        <w:spacing w:before="241"/>
        <w:ind w:left="1702" w:right="1099"/>
      </w:pPr>
      <w:r>
        <w:rPr/>
        <w:t>A diverse array of research proposals were received in respect of the theme</w:t>
      </w:r>
      <w:r>
        <w:rPr>
          <w:spacing w:val="-5"/>
        </w:rPr>
        <w:t> </w:t>
      </w:r>
      <w:r>
        <w:rPr/>
        <w:t>‘progressing</w:t>
      </w:r>
      <w:r>
        <w:rPr>
          <w:spacing w:val="-6"/>
        </w:rPr>
        <w:t> </w:t>
      </w:r>
      <w:r>
        <w:rPr/>
        <w:t>lifetime</w:t>
      </w:r>
      <w:r>
        <w:rPr>
          <w:spacing w:val="-6"/>
        </w:rPr>
        <w:t> </w:t>
      </w:r>
      <w:r>
        <w:rPr/>
        <w:t>communities</w:t>
      </w:r>
      <w:r>
        <w:rPr>
          <w:spacing w:val="-4"/>
        </w:rPr>
        <w:t> </w:t>
      </w:r>
      <w:r>
        <w:rPr/>
        <w:t>through</w:t>
      </w:r>
      <w:r>
        <w:rPr>
          <w:spacing w:val="-6"/>
        </w:rPr>
        <w:t> </w:t>
      </w:r>
      <w:r>
        <w:rPr/>
        <w:t>Universal</w:t>
      </w:r>
      <w:r>
        <w:rPr>
          <w:spacing w:val="-6"/>
        </w:rPr>
        <w:t> </w:t>
      </w:r>
      <w:r>
        <w:rPr/>
        <w:t>Design’</w:t>
      </w:r>
      <w:r>
        <w:rPr>
          <w:spacing w:val="-4"/>
        </w:rPr>
        <w:t> </w:t>
      </w:r>
      <w:r>
        <w:rPr/>
        <w:t>and two projects were selected for funding:</w:t>
      </w:r>
    </w:p>
    <w:p>
      <w:pPr>
        <w:pStyle w:val="ListParagraph"/>
        <w:numPr>
          <w:ilvl w:val="0"/>
          <w:numId w:val="4"/>
        </w:numPr>
        <w:tabs>
          <w:tab w:pos="2422" w:val="left" w:leader="none"/>
        </w:tabs>
        <w:spacing w:line="240" w:lineRule="auto" w:before="240" w:after="0"/>
        <w:ind w:left="2422" w:right="1894" w:hanging="360"/>
        <w:jc w:val="left"/>
        <w:rPr>
          <w:sz w:val="26"/>
        </w:rPr>
      </w:pPr>
      <w:r>
        <w:rPr>
          <w:sz w:val="26"/>
        </w:rPr>
        <w:t>An investigation of the Universal Design of fall detection technologies</w:t>
      </w:r>
      <w:r>
        <w:rPr>
          <w:spacing w:val="-4"/>
          <w:sz w:val="26"/>
        </w:rPr>
        <w:t> </w:t>
      </w:r>
      <w:r>
        <w:rPr>
          <w:sz w:val="26"/>
        </w:rPr>
        <w:t>in</w:t>
      </w:r>
      <w:r>
        <w:rPr>
          <w:spacing w:val="-5"/>
          <w:sz w:val="26"/>
        </w:rPr>
        <w:t> </w:t>
      </w:r>
      <w:r>
        <w:rPr>
          <w:sz w:val="26"/>
        </w:rPr>
        <w:t>the</w:t>
      </w:r>
      <w:r>
        <w:rPr>
          <w:spacing w:val="-5"/>
          <w:sz w:val="26"/>
        </w:rPr>
        <w:t> </w:t>
      </w:r>
      <w:r>
        <w:rPr>
          <w:sz w:val="26"/>
        </w:rPr>
        <w:t>smart</w:t>
      </w:r>
      <w:r>
        <w:rPr>
          <w:spacing w:val="-5"/>
          <w:sz w:val="26"/>
        </w:rPr>
        <w:t> </w:t>
      </w:r>
      <w:r>
        <w:rPr>
          <w:sz w:val="26"/>
        </w:rPr>
        <w:t>home</w:t>
      </w:r>
      <w:r>
        <w:rPr>
          <w:spacing w:val="-5"/>
          <w:sz w:val="26"/>
        </w:rPr>
        <w:t> </w:t>
      </w:r>
      <w:r>
        <w:rPr>
          <w:sz w:val="26"/>
        </w:rPr>
        <w:t>and</w:t>
      </w:r>
      <w:r>
        <w:rPr>
          <w:spacing w:val="-3"/>
          <w:sz w:val="26"/>
        </w:rPr>
        <w:t> </w:t>
      </w:r>
      <w:r>
        <w:rPr>
          <w:sz w:val="26"/>
        </w:rPr>
        <w:t>their</w:t>
      </w:r>
      <w:r>
        <w:rPr>
          <w:spacing w:val="-5"/>
          <w:sz w:val="26"/>
        </w:rPr>
        <w:t> </w:t>
      </w:r>
      <w:r>
        <w:rPr>
          <w:sz w:val="26"/>
        </w:rPr>
        <w:t>impact</w:t>
      </w:r>
      <w:r>
        <w:rPr>
          <w:spacing w:val="-5"/>
          <w:sz w:val="26"/>
        </w:rPr>
        <w:t> </w:t>
      </w:r>
      <w:r>
        <w:rPr>
          <w:sz w:val="26"/>
        </w:rPr>
        <w:t>on</w:t>
      </w:r>
      <w:r>
        <w:rPr>
          <w:spacing w:val="-5"/>
          <w:sz w:val="26"/>
        </w:rPr>
        <w:t> </w:t>
      </w:r>
      <w:r>
        <w:rPr>
          <w:sz w:val="26"/>
        </w:rPr>
        <w:t>lifetime communities, Cork Institute of Technology and Amictia</w:t>
      </w:r>
    </w:p>
    <w:p>
      <w:pPr>
        <w:pStyle w:val="ListParagraph"/>
        <w:numPr>
          <w:ilvl w:val="0"/>
          <w:numId w:val="4"/>
        </w:numPr>
        <w:tabs>
          <w:tab w:pos="2422" w:val="left" w:leader="none"/>
        </w:tabs>
        <w:spacing w:line="240" w:lineRule="auto" w:before="0" w:after="0"/>
        <w:ind w:left="2422" w:right="1584" w:hanging="360"/>
        <w:jc w:val="left"/>
        <w:rPr>
          <w:sz w:val="26"/>
        </w:rPr>
      </w:pPr>
      <w:r>
        <w:rPr>
          <w:sz w:val="26"/>
        </w:rPr>
        <w:t>An exploration of family experiences of local play provision in public/community</w:t>
      </w:r>
      <w:r>
        <w:rPr>
          <w:spacing w:val="-6"/>
          <w:sz w:val="26"/>
        </w:rPr>
        <w:t> </w:t>
      </w:r>
      <w:r>
        <w:rPr>
          <w:sz w:val="26"/>
        </w:rPr>
        <w:t>parks</w:t>
      </w:r>
      <w:r>
        <w:rPr>
          <w:spacing w:val="-5"/>
          <w:sz w:val="26"/>
        </w:rPr>
        <w:t> </w:t>
      </w:r>
      <w:r>
        <w:rPr>
          <w:sz w:val="26"/>
        </w:rPr>
        <w:t>and</w:t>
      </w:r>
      <w:r>
        <w:rPr>
          <w:spacing w:val="-6"/>
          <w:sz w:val="26"/>
        </w:rPr>
        <w:t> </w:t>
      </w:r>
      <w:r>
        <w:rPr>
          <w:sz w:val="26"/>
        </w:rPr>
        <w:t>playgrounds</w:t>
      </w:r>
      <w:r>
        <w:rPr>
          <w:spacing w:val="-5"/>
          <w:sz w:val="26"/>
        </w:rPr>
        <w:t> </w:t>
      </w:r>
      <w:r>
        <w:rPr>
          <w:sz w:val="26"/>
        </w:rPr>
        <w:t>and</w:t>
      </w:r>
      <w:r>
        <w:rPr>
          <w:spacing w:val="-4"/>
          <w:sz w:val="26"/>
        </w:rPr>
        <w:t> </w:t>
      </w:r>
      <w:r>
        <w:rPr>
          <w:sz w:val="26"/>
        </w:rPr>
        <w:t>the</w:t>
      </w:r>
      <w:r>
        <w:rPr>
          <w:spacing w:val="-6"/>
          <w:sz w:val="26"/>
        </w:rPr>
        <w:t> </w:t>
      </w:r>
      <w:r>
        <w:rPr>
          <w:sz w:val="26"/>
        </w:rPr>
        <w:t>application</w:t>
      </w:r>
      <w:r>
        <w:rPr>
          <w:spacing w:val="-6"/>
          <w:sz w:val="26"/>
        </w:rPr>
        <w:t> </w:t>
      </w:r>
      <w:r>
        <w:rPr>
          <w:sz w:val="26"/>
        </w:rPr>
        <w:t>of Universal Design principles to outdoor parks and playgrounds, University College Cork</w:t>
      </w:r>
    </w:p>
    <w:p>
      <w:pPr>
        <w:pStyle w:val="ListParagraph"/>
        <w:spacing w:after="0" w:line="240" w:lineRule="auto"/>
        <w:jc w:val="left"/>
        <w:rPr>
          <w:sz w:val="26"/>
        </w:rPr>
        <w:sectPr>
          <w:pgSz w:w="11910" w:h="16850"/>
          <w:pgMar w:header="0" w:footer="811" w:top="1880" w:bottom="1000" w:left="283" w:right="992"/>
        </w:sectPr>
      </w:pPr>
    </w:p>
    <w:p>
      <w:pPr>
        <w:pStyle w:val="BodyText"/>
        <w:spacing w:line="301" w:lineRule="exact" w:before="79"/>
        <w:ind w:left="1702"/>
      </w:pPr>
      <w:r>
        <w:rPr/>
        <w:t>The</w:t>
      </w:r>
      <w:r>
        <w:rPr>
          <w:spacing w:val="-7"/>
        </w:rPr>
        <w:t> </w:t>
      </w:r>
      <w:r>
        <w:rPr/>
        <w:t>projects</w:t>
      </w:r>
      <w:r>
        <w:rPr>
          <w:spacing w:val="-6"/>
        </w:rPr>
        <w:t> </w:t>
      </w:r>
      <w:r>
        <w:rPr/>
        <w:t>funded</w:t>
      </w:r>
      <w:r>
        <w:rPr>
          <w:spacing w:val="-6"/>
        </w:rPr>
        <w:t> </w:t>
      </w:r>
      <w:r>
        <w:rPr/>
        <w:t>in</w:t>
      </w:r>
      <w:r>
        <w:rPr>
          <w:spacing w:val="-5"/>
        </w:rPr>
        <w:t> </w:t>
      </w:r>
      <w:r>
        <w:rPr/>
        <w:t>relation</w:t>
      </w:r>
      <w:r>
        <w:rPr>
          <w:spacing w:val="-7"/>
        </w:rPr>
        <w:t> </w:t>
      </w:r>
      <w:r>
        <w:rPr/>
        <w:t>to</w:t>
      </w:r>
      <w:r>
        <w:rPr>
          <w:spacing w:val="-5"/>
        </w:rPr>
        <w:t> </w:t>
      </w:r>
      <w:r>
        <w:rPr/>
        <w:t>the</w:t>
      </w:r>
      <w:r>
        <w:rPr>
          <w:spacing w:val="-7"/>
        </w:rPr>
        <w:t> </w:t>
      </w:r>
      <w:r>
        <w:rPr/>
        <w:t>theme</w:t>
      </w:r>
      <w:r>
        <w:rPr>
          <w:spacing w:val="-5"/>
        </w:rPr>
        <w:t> </w:t>
      </w:r>
      <w:r>
        <w:rPr/>
        <w:t>‘promoting</w:t>
      </w:r>
      <w:r>
        <w:rPr>
          <w:spacing w:val="-6"/>
        </w:rPr>
        <w:t> </w:t>
      </w:r>
      <w:r>
        <w:rPr/>
        <w:t>and</w:t>
      </w:r>
      <w:r>
        <w:rPr>
          <w:spacing w:val="-7"/>
        </w:rPr>
        <w:t> </w:t>
      </w:r>
      <w:r>
        <w:rPr>
          <w:spacing w:val="-2"/>
        </w:rPr>
        <w:t>supporting</w:t>
      </w:r>
    </w:p>
    <w:p>
      <w:pPr>
        <w:pStyle w:val="BodyText"/>
        <w:ind w:left="1702" w:right="988"/>
      </w:pPr>
      <w:r>
        <w:rPr/>
        <w:t>community</w:t>
      </w:r>
      <w:r>
        <w:rPr>
          <w:spacing w:val="-6"/>
        </w:rPr>
        <w:t> </w:t>
      </w:r>
      <w:r>
        <w:rPr/>
        <w:t>integration’</w:t>
      </w:r>
      <w:r>
        <w:rPr>
          <w:spacing w:val="-3"/>
        </w:rPr>
        <w:t> </w:t>
      </w:r>
      <w:r>
        <w:rPr/>
        <w:t>reflect</w:t>
      </w:r>
      <w:r>
        <w:rPr>
          <w:spacing w:val="-6"/>
        </w:rPr>
        <w:t> </w:t>
      </w:r>
      <w:r>
        <w:rPr/>
        <w:t>the</w:t>
      </w:r>
      <w:r>
        <w:rPr>
          <w:spacing w:val="-6"/>
        </w:rPr>
        <w:t> </w:t>
      </w:r>
      <w:r>
        <w:rPr/>
        <w:t>changing</w:t>
      </w:r>
      <w:r>
        <w:rPr>
          <w:spacing w:val="-6"/>
        </w:rPr>
        <w:t> </w:t>
      </w:r>
      <w:r>
        <w:rPr/>
        <w:t>context</w:t>
      </w:r>
      <w:r>
        <w:rPr>
          <w:spacing w:val="-5"/>
        </w:rPr>
        <w:t> </w:t>
      </w:r>
      <w:r>
        <w:rPr/>
        <w:t>within</w:t>
      </w:r>
      <w:r>
        <w:rPr>
          <w:spacing w:val="-6"/>
        </w:rPr>
        <w:t> </w:t>
      </w:r>
      <w:r>
        <w:rPr/>
        <w:t>which</w:t>
      </w:r>
      <w:r>
        <w:rPr>
          <w:spacing w:val="-6"/>
        </w:rPr>
        <w:t> </w:t>
      </w:r>
      <w:r>
        <w:rPr/>
        <w:t>disability services are based as well as providing positive examples of persons with disabilities living inclusively in the community. They include:</w:t>
      </w:r>
    </w:p>
    <w:p>
      <w:pPr>
        <w:pStyle w:val="ListParagraph"/>
        <w:numPr>
          <w:ilvl w:val="0"/>
          <w:numId w:val="4"/>
        </w:numPr>
        <w:tabs>
          <w:tab w:pos="2422" w:val="left" w:leader="none"/>
        </w:tabs>
        <w:spacing w:line="240" w:lineRule="auto" w:before="238" w:after="0"/>
        <w:ind w:left="2422" w:right="1027" w:hanging="360"/>
        <w:jc w:val="left"/>
        <w:rPr>
          <w:sz w:val="26"/>
        </w:rPr>
      </w:pPr>
      <w:r>
        <w:rPr>
          <w:sz w:val="26"/>
        </w:rPr>
        <w:t>A</w:t>
      </w:r>
      <w:r>
        <w:rPr>
          <w:spacing w:val="-5"/>
          <w:sz w:val="26"/>
        </w:rPr>
        <w:t> </w:t>
      </w:r>
      <w:r>
        <w:rPr>
          <w:sz w:val="26"/>
        </w:rPr>
        <w:t>study</w:t>
      </w:r>
      <w:r>
        <w:rPr>
          <w:spacing w:val="-5"/>
          <w:sz w:val="26"/>
        </w:rPr>
        <w:t> </w:t>
      </w:r>
      <w:r>
        <w:rPr>
          <w:sz w:val="26"/>
        </w:rPr>
        <w:t>examining</w:t>
      </w:r>
      <w:r>
        <w:rPr>
          <w:spacing w:val="-4"/>
          <w:sz w:val="26"/>
        </w:rPr>
        <w:t> </w:t>
      </w:r>
      <w:r>
        <w:rPr>
          <w:sz w:val="26"/>
        </w:rPr>
        <w:t>the</w:t>
      </w:r>
      <w:r>
        <w:rPr>
          <w:spacing w:val="-2"/>
          <w:sz w:val="26"/>
        </w:rPr>
        <w:t> </w:t>
      </w:r>
      <w:r>
        <w:rPr>
          <w:sz w:val="26"/>
        </w:rPr>
        <w:t>delivery</w:t>
      </w:r>
      <w:r>
        <w:rPr>
          <w:spacing w:val="-5"/>
          <w:sz w:val="26"/>
        </w:rPr>
        <w:t> </w:t>
      </w:r>
      <w:r>
        <w:rPr>
          <w:sz w:val="26"/>
        </w:rPr>
        <w:t>of</w:t>
      </w:r>
      <w:r>
        <w:rPr>
          <w:spacing w:val="-5"/>
          <w:sz w:val="26"/>
        </w:rPr>
        <w:t> </w:t>
      </w:r>
      <w:r>
        <w:rPr>
          <w:sz w:val="26"/>
        </w:rPr>
        <w:t>day</w:t>
      </w:r>
      <w:r>
        <w:rPr>
          <w:spacing w:val="-5"/>
          <w:sz w:val="26"/>
        </w:rPr>
        <w:t> </w:t>
      </w:r>
      <w:r>
        <w:rPr>
          <w:sz w:val="26"/>
        </w:rPr>
        <w:t>services</w:t>
      </w:r>
      <w:r>
        <w:rPr>
          <w:spacing w:val="-4"/>
          <w:sz w:val="26"/>
        </w:rPr>
        <w:t> </w:t>
      </w:r>
      <w:r>
        <w:rPr>
          <w:sz w:val="26"/>
        </w:rPr>
        <w:t>using</w:t>
      </w:r>
      <w:r>
        <w:rPr>
          <w:spacing w:val="-5"/>
          <w:sz w:val="26"/>
        </w:rPr>
        <w:t> </w:t>
      </w:r>
      <w:r>
        <w:rPr>
          <w:sz w:val="26"/>
        </w:rPr>
        <w:t>a</w:t>
      </w:r>
      <w:r>
        <w:rPr>
          <w:spacing w:val="-5"/>
          <w:sz w:val="26"/>
        </w:rPr>
        <w:t> </w:t>
      </w:r>
      <w:r>
        <w:rPr>
          <w:sz w:val="26"/>
        </w:rPr>
        <w:t>service</w:t>
      </w:r>
      <w:r>
        <w:rPr>
          <w:spacing w:val="-5"/>
          <w:sz w:val="26"/>
        </w:rPr>
        <w:t> </w:t>
      </w:r>
      <w:r>
        <w:rPr>
          <w:sz w:val="26"/>
        </w:rPr>
        <w:t>model based on the </w:t>
      </w:r>
      <w:r>
        <w:rPr>
          <w:i/>
          <w:sz w:val="26"/>
        </w:rPr>
        <w:t>New Directions </w:t>
      </w:r>
      <w:r>
        <w:rPr>
          <w:sz w:val="26"/>
        </w:rPr>
        <w:t>programme, National University of Ireland Galway</w:t>
      </w:r>
    </w:p>
    <w:p>
      <w:pPr>
        <w:pStyle w:val="ListParagraph"/>
        <w:numPr>
          <w:ilvl w:val="0"/>
          <w:numId w:val="4"/>
        </w:numPr>
        <w:tabs>
          <w:tab w:pos="2422" w:val="left" w:leader="none"/>
        </w:tabs>
        <w:spacing w:line="240" w:lineRule="auto" w:before="2" w:after="0"/>
        <w:ind w:left="2422" w:right="1295" w:hanging="360"/>
        <w:jc w:val="left"/>
        <w:rPr>
          <w:sz w:val="26"/>
        </w:rPr>
      </w:pPr>
      <w:r>
        <w:rPr>
          <w:sz w:val="26"/>
        </w:rPr>
        <w:t>An</w:t>
      </w:r>
      <w:r>
        <w:rPr>
          <w:spacing w:val="-5"/>
          <w:sz w:val="26"/>
        </w:rPr>
        <w:t> </w:t>
      </w:r>
      <w:r>
        <w:rPr>
          <w:sz w:val="26"/>
        </w:rPr>
        <w:t>exploration</w:t>
      </w:r>
      <w:r>
        <w:rPr>
          <w:spacing w:val="-5"/>
          <w:sz w:val="26"/>
        </w:rPr>
        <w:t> </w:t>
      </w:r>
      <w:r>
        <w:rPr>
          <w:sz w:val="26"/>
        </w:rPr>
        <w:t>of</w:t>
      </w:r>
      <w:r>
        <w:rPr>
          <w:spacing w:val="-4"/>
          <w:sz w:val="26"/>
        </w:rPr>
        <w:t> </w:t>
      </w:r>
      <w:r>
        <w:rPr>
          <w:sz w:val="26"/>
        </w:rPr>
        <w:t>the</w:t>
      </w:r>
      <w:r>
        <w:rPr>
          <w:spacing w:val="-2"/>
          <w:sz w:val="26"/>
        </w:rPr>
        <w:t> </w:t>
      </w:r>
      <w:r>
        <w:rPr>
          <w:sz w:val="26"/>
        </w:rPr>
        <w:t>degree</w:t>
      </w:r>
      <w:r>
        <w:rPr>
          <w:spacing w:val="-5"/>
          <w:sz w:val="26"/>
        </w:rPr>
        <w:t> </w:t>
      </w:r>
      <w:r>
        <w:rPr>
          <w:sz w:val="26"/>
        </w:rPr>
        <w:t>to</w:t>
      </w:r>
      <w:r>
        <w:rPr>
          <w:spacing w:val="-3"/>
          <w:sz w:val="26"/>
        </w:rPr>
        <w:t> </w:t>
      </w:r>
      <w:r>
        <w:rPr>
          <w:sz w:val="26"/>
        </w:rPr>
        <w:t>which</w:t>
      </w:r>
      <w:r>
        <w:rPr>
          <w:spacing w:val="-5"/>
          <w:sz w:val="26"/>
        </w:rPr>
        <w:t> </w:t>
      </w:r>
      <w:r>
        <w:rPr>
          <w:sz w:val="26"/>
        </w:rPr>
        <w:t>person</w:t>
      </w:r>
      <w:r>
        <w:rPr>
          <w:spacing w:val="-3"/>
          <w:sz w:val="26"/>
        </w:rPr>
        <w:t> </w:t>
      </w:r>
      <w:r>
        <w:rPr>
          <w:sz w:val="26"/>
        </w:rPr>
        <w:t>centred</w:t>
      </w:r>
      <w:r>
        <w:rPr>
          <w:spacing w:val="-5"/>
          <w:sz w:val="26"/>
        </w:rPr>
        <w:t> </w:t>
      </w:r>
      <w:r>
        <w:rPr>
          <w:sz w:val="26"/>
        </w:rPr>
        <w:t>plans</w:t>
      </w:r>
      <w:r>
        <w:rPr>
          <w:spacing w:val="-4"/>
          <w:sz w:val="26"/>
        </w:rPr>
        <w:t> </w:t>
      </w:r>
      <w:r>
        <w:rPr>
          <w:sz w:val="26"/>
        </w:rPr>
        <w:t>have promoted community integration for people with intellectual disabilities, Trinity College Dublin</w:t>
      </w:r>
    </w:p>
    <w:p>
      <w:pPr>
        <w:pStyle w:val="ListParagraph"/>
        <w:numPr>
          <w:ilvl w:val="0"/>
          <w:numId w:val="4"/>
        </w:numPr>
        <w:tabs>
          <w:tab w:pos="2422" w:val="left" w:leader="none"/>
        </w:tabs>
        <w:spacing w:line="240" w:lineRule="auto" w:before="1" w:after="0"/>
        <w:ind w:left="2422" w:right="1001" w:hanging="360"/>
        <w:jc w:val="left"/>
        <w:rPr>
          <w:sz w:val="26"/>
        </w:rPr>
      </w:pPr>
      <w:r>
        <w:rPr>
          <w:sz w:val="26"/>
        </w:rPr>
        <w:t>Presentation</w:t>
      </w:r>
      <w:r>
        <w:rPr>
          <w:spacing w:val="-5"/>
          <w:sz w:val="26"/>
        </w:rPr>
        <w:t> </w:t>
      </w:r>
      <w:r>
        <w:rPr>
          <w:sz w:val="26"/>
        </w:rPr>
        <w:t>of</w:t>
      </w:r>
      <w:r>
        <w:rPr>
          <w:spacing w:val="-4"/>
          <w:sz w:val="26"/>
        </w:rPr>
        <w:t> </w:t>
      </w:r>
      <w:r>
        <w:rPr>
          <w:sz w:val="26"/>
        </w:rPr>
        <w:t>19</w:t>
      </w:r>
      <w:r>
        <w:rPr>
          <w:spacing w:val="-5"/>
          <w:sz w:val="26"/>
        </w:rPr>
        <w:t> </w:t>
      </w:r>
      <w:r>
        <w:rPr>
          <w:sz w:val="26"/>
        </w:rPr>
        <w:t>case</w:t>
      </w:r>
      <w:r>
        <w:rPr>
          <w:spacing w:val="-5"/>
          <w:sz w:val="26"/>
        </w:rPr>
        <w:t> </w:t>
      </w:r>
      <w:r>
        <w:rPr>
          <w:sz w:val="26"/>
        </w:rPr>
        <w:t>studies</w:t>
      </w:r>
      <w:r>
        <w:rPr>
          <w:spacing w:val="-4"/>
          <w:sz w:val="26"/>
        </w:rPr>
        <w:t> </w:t>
      </w:r>
      <w:r>
        <w:rPr>
          <w:sz w:val="26"/>
        </w:rPr>
        <w:t>of</w:t>
      </w:r>
      <w:r>
        <w:rPr>
          <w:spacing w:val="-5"/>
          <w:sz w:val="26"/>
        </w:rPr>
        <w:t> </w:t>
      </w:r>
      <w:r>
        <w:rPr>
          <w:sz w:val="26"/>
        </w:rPr>
        <w:t>people</w:t>
      </w:r>
      <w:r>
        <w:rPr>
          <w:spacing w:val="-5"/>
          <w:sz w:val="26"/>
        </w:rPr>
        <w:t> </w:t>
      </w:r>
      <w:r>
        <w:rPr>
          <w:sz w:val="26"/>
        </w:rPr>
        <w:t>with</w:t>
      </w:r>
      <w:r>
        <w:rPr>
          <w:spacing w:val="-5"/>
          <w:sz w:val="26"/>
        </w:rPr>
        <w:t> </w:t>
      </w:r>
      <w:r>
        <w:rPr>
          <w:sz w:val="26"/>
        </w:rPr>
        <w:t>intellectual</w:t>
      </w:r>
      <w:r>
        <w:rPr>
          <w:spacing w:val="-5"/>
          <w:sz w:val="26"/>
        </w:rPr>
        <w:t> </w:t>
      </w:r>
      <w:r>
        <w:rPr>
          <w:sz w:val="26"/>
        </w:rPr>
        <w:t>disabilities living in Ireland which provide examples of the lived experience of social inclusion and the identification of key policy messages to promote social inclusion from the analysis of the case studies presented, Inclusion Ireland</w:t>
      </w:r>
    </w:p>
    <w:p>
      <w:pPr>
        <w:pStyle w:val="BodyText"/>
        <w:spacing w:before="239"/>
        <w:ind w:left="1702" w:right="988"/>
      </w:pPr>
      <w:r>
        <w:rPr/>
        <w:t>Research</w:t>
      </w:r>
      <w:r>
        <w:rPr>
          <w:spacing w:val="-4"/>
        </w:rPr>
        <w:t> </w:t>
      </w:r>
      <w:r>
        <w:rPr/>
        <w:t>reports</w:t>
      </w:r>
      <w:r>
        <w:rPr>
          <w:spacing w:val="-2"/>
        </w:rPr>
        <w:t> </w:t>
      </w:r>
      <w:r>
        <w:rPr/>
        <w:t>on</w:t>
      </w:r>
      <w:r>
        <w:rPr>
          <w:spacing w:val="-3"/>
        </w:rPr>
        <w:t> </w:t>
      </w:r>
      <w:r>
        <w:rPr/>
        <w:t>all</w:t>
      </w:r>
      <w:r>
        <w:rPr>
          <w:spacing w:val="-2"/>
        </w:rPr>
        <w:t> </w:t>
      </w:r>
      <w:r>
        <w:rPr/>
        <w:t>the</w:t>
      </w:r>
      <w:r>
        <w:rPr>
          <w:spacing w:val="-4"/>
        </w:rPr>
        <w:t> </w:t>
      </w:r>
      <w:r>
        <w:rPr/>
        <w:t>above</w:t>
      </w:r>
      <w:r>
        <w:rPr>
          <w:spacing w:val="-4"/>
        </w:rPr>
        <w:t> </w:t>
      </w:r>
      <w:r>
        <w:rPr/>
        <w:t>projects</w:t>
      </w:r>
      <w:r>
        <w:rPr>
          <w:spacing w:val="-3"/>
        </w:rPr>
        <w:t> </w:t>
      </w:r>
      <w:r>
        <w:rPr/>
        <w:t>will</w:t>
      </w:r>
      <w:r>
        <w:rPr>
          <w:spacing w:val="-3"/>
        </w:rPr>
        <w:t> </w:t>
      </w:r>
      <w:r>
        <w:rPr/>
        <w:t>be</w:t>
      </w:r>
      <w:r>
        <w:rPr>
          <w:spacing w:val="-4"/>
        </w:rPr>
        <w:t> </w:t>
      </w:r>
      <w:r>
        <w:rPr/>
        <w:t>published</w:t>
      </w:r>
      <w:r>
        <w:rPr>
          <w:spacing w:val="-4"/>
        </w:rPr>
        <w:t> </w:t>
      </w:r>
      <w:r>
        <w:rPr/>
        <w:t>in</w:t>
      </w:r>
      <w:r>
        <w:rPr>
          <w:spacing w:val="-4"/>
        </w:rPr>
        <w:t> </w:t>
      </w:r>
      <w:r>
        <w:rPr/>
        <w:t>2018</w:t>
      </w:r>
      <w:r>
        <w:rPr>
          <w:spacing w:val="-2"/>
        </w:rPr>
        <w:t> </w:t>
      </w:r>
      <w:r>
        <w:rPr/>
        <w:t>and researchers will present their findings to the NDA and relevant </w:t>
      </w:r>
      <w:r>
        <w:rPr>
          <w:spacing w:val="-2"/>
        </w:rPr>
        <w:t>stakeholders.</w:t>
      </w:r>
    </w:p>
    <w:p>
      <w:pPr>
        <w:pStyle w:val="BodyText"/>
      </w:pPr>
    </w:p>
    <w:p>
      <w:pPr>
        <w:pStyle w:val="BodyText"/>
        <w:spacing w:before="191"/>
      </w:pPr>
    </w:p>
    <w:p>
      <w:pPr>
        <w:pStyle w:val="Heading3"/>
        <w:spacing w:before="0"/>
        <w:ind w:right="988"/>
      </w:pPr>
      <w:r>
        <w:rPr>
          <w:color w:val="BE2195"/>
        </w:rPr>
        <w:t>Promote</w:t>
      </w:r>
      <w:r>
        <w:rPr>
          <w:color w:val="BE2195"/>
          <w:spacing w:val="-7"/>
        </w:rPr>
        <w:t> </w:t>
      </w:r>
      <w:r>
        <w:rPr>
          <w:color w:val="BE2195"/>
        </w:rPr>
        <w:t>employment</w:t>
      </w:r>
      <w:r>
        <w:rPr>
          <w:color w:val="BE2195"/>
          <w:spacing w:val="-7"/>
        </w:rPr>
        <w:t> </w:t>
      </w:r>
      <w:r>
        <w:rPr>
          <w:color w:val="BE2195"/>
        </w:rPr>
        <w:t>of</w:t>
      </w:r>
      <w:r>
        <w:rPr>
          <w:color w:val="BE2195"/>
          <w:spacing w:val="-8"/>
        </w:rPr>
        <w:t> </w:t>
      </w:r>
      <w:r>
        <w:rPr>
          <w:color w:val="BE2195"/>
        </w:rPr>
        <w:t>people</w:t>
      </w:r>
      <w:r>
        <w:rPr>
          <w:color w:val="BE2195"/>
          <w:spacing w:val="-10"/>
        </w:rPr>
        <w:t> </w:t>
      </w:r>
      <w:r>
        <w:rPr>
          <w:color w:val="BE2195"/>
        </w:rPr>
        <w:t>with</w:t>
      </w:r>
      <w:r>
        <w:rPr>
          <w:color w:val="BE2195"/>
          <w:spacing w:val="-9"/>
        </w:rPr>
        <w:t> </w:t>
      </w:r>
      <w:r>
        <w:rPr>
          <w:color w:val="BE2195"/>
        </w:rPr>
        <w:t>disabilities and monitor employment of people with disabilities in the public service</w:t>
      </w:r>
    </w:p>
    <w:p>
      <w:pPr>
        <w:pStyle w:val="Heading5"/>
        <w:spacing w:before="108"/>
        <w:ind w:right="1099"/>
      </w:pPr>
      <w:r>
        <w:rPr/>
        <w:t>Comprehensive</w:t>
      </w:r>
      <w:r>
        <w:rPr>
          <w:spacing w:val="-7"/>
        </w:rPr>
        <w:t> </w:t>
      </w:r>
      <w:r>
        <w:rPr/>
        <w:t>Employment</w:t>
      </w:r>
      <w:r>
        <w:rPr>
          <w:spacing w:val="-7"/>
        </w:rPr>
        <w:t> </w:t>
      </w:r>
      <w:r>
        <w:rPr/>
        <w:t>Strategy</w:t>
      </w:r>
      <w:r>
        <w:rPr>
          <w:spacing w:val="-7"/>
        </w:rPr>
        <w:t> </w:t>
      </w:r>
      <w:r>
        <w:rPr/>
        <w:t>for</w:t>
      </w:r>
      <w:r>
        <w:rPr>
          <w:spacing w:val="-8"/>
        </w:rPr>
        <w:t> </w:t>
      </w:r>
      <w:r>
        <w:rPr/>
        <w:t>People</w:t>
      </w:r>
      <w:r>
        <w:rPr>
          <w:spacing w:val="-7"/>
        </w:rPr>
        <w:t> </w:t>
      </w:r>
      <w:r>
        <w:rPr/>
        <w:t>with </w:t>
      </w:r>
      <w:r>
        <w:rPr>
          <w:spacing w:val="-2"/>
        </w:rPr>
        <w:t>Disabilities</w:t>
      </w:r>
    </w:p>
    <w:p>
      <w:pPr>
        <w:pStyle w:val="BodyText"/>
        <w:spacing w:before="240"/>
        <w:ind w:left="1702" w:right="988"/>
      </w:pPr>
      <w:r>
        <w:rPr/>
        <w:t>The National Disability Authority (NDA) continued to support and guide on the implementation of the Comprehensive Employment Strategy for People with Disabilities in 2017. This included engagement with departments</w:t>
      </w:r>
      <w:r>
        <w:rPr>
          <w:spacing w:val="-4"/>
        </w:rPr>
        <w:t> </w:t>
      </w:r>
      <w:r>
        <w:rPr/>
        <w:t>and</w:t>
      </w:r>
      <w:r>
        <w:rPr>
          <w:spacing w:val="-5"/>
        </w:rPr>
        <w:t> </w:t>
      </w:r>
      <w:r>
        <w:rPr/>
        <w:t>agencies</w:t>
      </w:r>
      <w:r>
        <w:rPr>
          <w:spacing w:val="-3"/>
        </w:rPr>
        <w:t> </w:t>
      </w:r>
      <w:r>
        <w:rPr/>
        <w:t>as</w:t>
      </w:r>
      <w:r>
        <w:rPr>
          <w:spacing w:val="-5"/>
        </w:rPr>
        <w:t> </w:t>
      </w:r>
      <w:r>
        <w:rPr/>
        <w:t>well</w:t>
      </w:r>
      <w:r>
        <w:rPr>
          <w:spacing w:val="-4"/>
        </w:rPr>
        <w:t> </w:t>
      </w:r>
      <w:r>
        <w:rPr/>
        <w:t>as</w:t>
      </w:r>
      <w:r>
        <w:rPr>
          <w:spacing w:val="-5"/>
        </w:rPr>
        <w:t> </w:t>
      </w:r>
      <w:r>
        <w:rPr/>
        <w:t>advice</w:t>
      </w:r>
      <w:r>
        <w:rPr>
          <w:spacing w:val="-5"/>
        </w:rPr>
        <w:t> </w:t>
      </w:r>
      <w:r>
        <w:rPr/>
        <w:t>through</w:t>
      </w:r>
      <w:r>
        <w:rPr>
          <w:spacing w:val="-5"/>
        </w:rPr>
        <w:t> </w:t>
      </w:r>
      <w:r>
        <w:rPr/>
        <w:t>its</w:t>
      </w:r>
      <w:r>
        <w:rPr>
          <w:spacing w:val="-3"/>
        </w:rPr>
        <w:t> </w:t>
      </w:r>
      <w:r>
        <w:rPr/>
        <w:t>membership of</w:t>
      </w:r>
      <w:r>
        <w:rPr>
          <w:spacing w:val="-5"/>
        </w:rPr>
        <w:t> </w:t>
      </w:r>
      <w:r>
        <w:rPr/>
        <w:t>the Comprehensive Employment Strategy Implementation Group (CESIG).</w:t>
      </w:r>
    </w:p>
    <w:p>
      <w:pPr>
        <w:pStyle w:val="BodyText"/>
        <w:spacing w:before="2"/>
        <w:ind w:left="1702" w:right="988"/>
      </w:pPr>
      <w:r>
        <w:rPr/>
        <w:t>The</w:t>
      </w:r>
      <w:r>
        <w:rPr>
          <w:spacing w:val="-5"/>
        </w:rPr>
        <w:t> </w:t>
      </w:r>
      <w:r>
        <w:rPr/>
        <w:t>group</w:t>
      </w:r>
      <w:r>
        <w:rPr>
          <w:spacing w:val="-5"/>
        </w:rPr>
        <w:t> </w:t>
      </w:r>
      <w:r>
        <w:rPr/>
        <w:t>is</w:t>
      </w:r>
      <w:r>
        <w:rPr>
          <w:spacing w:val="-4"/>
        </w:rPr>
        <w:t> </w:t>
      </w:r>
      <w:r>
        <w:rPr/>
        <w:t>tasked</w:t>
      </w:r>
      <w:r>
        <w:rPr>
          <w:spacing w:val="-5"/>
        </w:rPr>
        <w:t> </w:t>
      </w:r>
      <w:r>
        <w:rPr/>
        <w:t>with</w:t>
      </w:r>
      <w:r>
        <w:rPr>
          <w:spacing w:val="-5"/>
        </w:rPr>
        <w:t> </w:t>
      </w:r>
      <w:r>
        <w:rPr/>
        <w:t>monitoring</w:t>
      </w:r>
      <w:r>
        <w:rPr>
          <w:spacing w:val="-5"/>
        </w:rPr>
        <w:t> </w:t>
      </w:r>
      <w:r>
        <w:rPr/>
        <w:t>progress</w:t>
      </w:r>
      <w:r>
        <w:rPr>
          <w:spacing w:val="-4"/>
        </w:rPr>
        <w:t> </w:t>
      </w:r>
      <w:r>
        <w:rPr/>
        <w:t>on</w:t>
      </w:r>
      <w:r>
        <w:rPr>
          <w:spacing w:val="-5"/>
        </w:rPr>
        <w:t> </w:t>
      </w:r>
      <w:r>
        <w:rPr/>
        <w:t>implementation of</w:t>
      </w:r>
      <w:r>
        <w:rPr>
          <w:spacing w:val="-3"/>
        </w:rPr>
        <w:t> </w:t>
      </w:r>
      <w:r>
        <w:rPr/>
        <w:t>the strategy and has an independent chairperson, Fergus Finlay.</w:t>
      </w:r>
    </w:p>
    <w:p>
      <w:pPr>
        <w:pStyle w:val="BodyText"/>
        <w:spacing w:before="239"/>
        <w:ind w:left="1702" w:right="988"/>
      </w:pPr>
      <w:r>
        <w:rPr/>
        <w:t>The NDA’s advice papers to the group in 2017 identified approaches to review progress and consider ways of addressing delays or difficulties that have arisen over the course of the implementation process. The opportunity</w:t>
      </w:r>
      <w:r>
        <w:rPr>
          <w:spacing w:val="-4"/>
        </w:rPr>
        <w:t> </w:t>
      </w:r>
      <w:r>
        <w:rPr/>
        <w:t>to</w:t>
      </w:r>
      <w:r>
        <w:rPr>
          <w:spacing w:val="-4"/>
        </w:rPr>
        <w:t> </w:t>
      </w:r>
      <w:r>
        <w:rPr/>
        <w:t>adopt</w:t>
      </w:r>
      <w:r>
        <w:rPr>
          <w:spacing w:val="-3"/>
        </w:rPr>
        <w:t> </w:t>
      </w:r>
      <w:r>
        <w:rPr/>
        <w:t>a</w:t>
      </w:r>
      <w:r>
        <w:rPr>
          <w:spacing w:val="-2"/>
        </w:rPr>
        <w:t> </w:t>
      </w:r>
      <w:r>
        <w:rPr/>
        <w:t>thematic</w:t>
      </w:r>
      <w:r>
        <w:rPr>
          <w:spacing w:val="-2"/>
        </w:rPr>
        <w:t> </w:t>
      </w:r>
      <w:r>
        <w:rPr/>
        <w:t>approach</w:t>
      </w:r>
      <w:r>
        <w:rPr>
          <w:spacing w:val="-4"/>
        </w:rPr>
        <w:t> </w:t>
      </w:r>
      <w:r>
        <w:rPr/>
        <w:t>to</w:t>
      </w:r>
      <w:r>
        <w:rPr>
          <w:spacing w:val="-2"/>
        </w:rPr>
        <w:t> </w:t>
      </w:r>
      <w:r>
        <w:rPr/>
        <w:t>the</w:t>
      </w:r>
      <w:r>
        <w:rPr>
          <w:spacing w:val="-4"/>
        </w:rPr>
        <w:t> </w:t>
      </w:r>
      <w:r>
        <w:rPr/>
        <w:t>meetings</w:t>
      </w:r>
      <w:r>
        <w:rPr>
          <w:spacing w:val="-4"/>
        </w:rPr>
        <w:t> </w:t>
      </w:r>
      <w:r>
        <w:rPr/>
        <w:t>of</w:t>
      </w:r>
      <w:r>
        <w:rPr>
          <w:spacing w:val="-4"/>
        </w:rPr>
        <w:t> </w:t>
      </w:r>
      <w:r>
        <w:rPr/>
        <w:t>this</w:t>
      </w:r>
      <w:r>
        <w:rPr>
          <w:spacing w:val="-3"/>
        </w:rPr>
        <w:t> </w:t>
      </w:r>
      <w:r>
        <w:rPr/>
        <w:t>group</w:t>
      </w:r>
      <w:r>
        <w:rPr>
          <w:spacing w:val="-4"/>
        </w:rPr>
        <w:t> </w:t>
      </w:r>
      <w:r>
        <w:rPr/>
        <w:t>in 2017 ensured a clear focus on key areas within the Strategy, including:</w:t>
      </w:r>
    </w:p>
    <w:p>
      <w:pPr>
        <w:pStyle w:val="BodyText"/>
        <w:spacing w:after="0"/>
        <w:sectPr>
          <w:pgSz w:w="11910" w:h="16850"/>
          <w:pgMar w:header="0" w:footer="811" w:top="1880" w:bottom="1000" w:left="283" w:right="992"/>
        </w:sectPr>
      </w:pPr>
    </w:p>
    <w:p>
      <w:pPr>
        <w:pStyle w:val="BodyText"/>
        <w:spacing w:before="79"/>
        <w:ind w:left="1702" w:right="1080"/>
      </w:pPr>
      <w:r>
        <w:rPr/>
        <w:t>issues around managing the transition process, ways of increasing employer</w:t>
      </w:r>
      <w:r>
        <w:rPr>
          <w:spacing w:val="-5"/>
        </w:rPr>
        <w:t> </w:t>
      </w:r>
      <w:r>
        <w:rPr/>
        <w:t>engagement,</w:t>
      </w:r>
      <w:r>
        <w:rPr>
          <w:spacing w:val="-2"/>
        </w:rPr>
        <w:t> </w:t>
      </w:r>
      <w:r>
        <w:rPr/>
        <w:t>and</w:t>
      </w:r>
      <w:r>
        <w:rPr>
          <w:spacing w:val="-5"/>
        </w:rPr>
        <w:t> </w:t>
      </w:r>
      <w:r>
        <w:rPr/>
        <w:t>the</w:t>
      </w:r>
      <w:r>
        <w:rPr>
          <w:spacing w:val="-5"/>
        </w:rPr>
        <w:t> </w:t>
      </w:r>
      <w:r>
        <w:rPr/>
        <w:t>report</w:t>
      </w:r>
      <w:r>
        <w:rPr>
          <w:spacing w:val="-5"/>
        </w:rPr>
        <w:t> </w:t>
      </w:r>
      <w:r>
        <w:rPr/>
        <w:t>of</w:t>
      </w:r>
      <w:r>
        <w:rPr>
          <w:spacing w:val="-5"/>
        </w:rPr>
        <w:t> </w:t>
      </w:r>
      <w:r>
        <w:rPr/>
        <w:t>the</w:t>
      </w:r>
      <w:r>
        <w:rPr>
          <w:spacing w:val="-2"/>
        </w:rPr>
        <w:t> </w:t>
      </w:r>
      <w:r>
        <w:rPr/>
        <w:t>Make</w:t>
      </w:r>
      <w:r>
        <w:rPr>
          <w:spacing w:val="-4"/>
        </w:rPr>
        <w:t> </w:t>
      </w:r>
      <w:r>
        <w:rPr/>
        <w:t>Work</w:t>
      </w:r>
      <w:r>
        <w:rPr>
          <w:spacing w:val="-4"/>
        </w:rPr>
        <w:t> </w:t>
      </w:r>
      <w:r>
        <w:rPr/>
        <w:t>Pay</w:t>
      </w:r>
      <w:r>
        <w:rPr>
          <w:spacing w:val="-4"/>
        </w:rPr>
        <w:t> </w:t>
      </w:r>
      <w:r>
        <w:rPr/>
        <w:t>group. The NDA also conducted an independent assessment of progress in implementing the Strategy and to identify areas for attention in the final year of the 3 year action plan.</w:t>
      </w:r>
    </w:p>
    <w:p>
      <w:pPr>
        <w:pStyle w:val="Heading5"/>
        <w:spacing w:before="239"/>
      </w:pPr>
      <w:r>
        <w:rPr/>
        <w:t>Alternative</w:t>
      </w:r>
      <w:r>
        <w:rPr>
          <w:spacing w:val="-8"/>
        </w:rPr>
        <w:t> </w:t>
      </w:r>
      <w:r>
        <w:rPr/>
        <w:t>routes</w:t>
      </w:r>
      <w:r>
        <w:rPr>
          <w:spacing w:val="-9"/>
        </w:rPr>
        <w:t> </w:t>
      </w:r>
      <w:r>
        <w:rPr/>
        <w:t>to</w:t>
      </w:r>
      <w:r>
        <w:rPr>
          <w:spacing w:val="-10"/>
        </w:rPr>
        <w:t> </w:t>
      </w:r>
      <w:r>
        <w:rPr/>
        <w:t>recruiting</w:t>
      </w:r>
      <w:r>
        <w:rPr>
          <w:spacing w:val="-9"/>
        </w:rPr>
        <w:t> </w:t>
      </w:r>
      <w:r>
        <w:rPr/>
        <w:t>persons</w:t>
      </w:r>
      <w:r>
        <w:rPr>
          <w:spacing w:val="-6"/>
        </w:rPr>
        <w:t> </w:t>
      </w:r>
      <w:r>
        <w:rPr/>
        <w:t>with</w:t>
      </w:r>
      <w:r>
        <w:rPr>
          <w:spacing w:val="-10"/>
        </w:rPr>
        <w:t> </w:t>
      </w:r>
      <w:r>
        <w:rPr>
          <w:spacing w:val="-2"/>
        </w:rPr>
        <w:t>disabilities</w:t>
      </w:r>
    </w:p>
    <w:p>
      <w:pPr>
        <w:pStyle w:val="BodyText"/>
        <w:spacing w:before="239"/>
        <w:ind w:left="1702" w:right="988"/>
      </w:pPr>
      <w:r>
        <w:rPr/>
        <w:t>In 2017, the NDA progressed research on good practice in public sector employment and also on the potential of work placements and internships as a recruitment route for both public and private sectors. It worked closely with the Department of Finance and Public Expenditure and the Public Appointments Service to advise learning to inform future considerations regarding workforce planning and public service competitions. The NDA emphasised the importance of considering recruitment campaigns carefully so that they do not exclude persons with disabilities.</w:t>
      </w:r>
      <w:r>
        <w:rPr>
          <w:spacing w:val="-5"/>
        </w:rPr>
        <w:t> </w:t>
      </w:r>
      <w:r>
        <w:rPr/>
        <w:t>As</w:t>
      </w:r>
      <w:r>
        <w:rPr>
          <w:spacing w:val="-4"/>
        </w:rPr>
        <w:t> </w:t>
      </w:r>
      <w:r>
        <w:rPr/>
        <w:t>the</w:t>
      </w:r>
      <w:r>
        <w:rPr>
          <w:spacing w:val="-5"/>
        </w:rPr>
        <w:t> </w:t>
      </w:r>
      <w:r>
        <w:rPr/>
        <w:t>economy</w:t>
      </w:r>
      <w:r>
        <w:rPr>
          <w:spacing w:val="-4"/>
        </w:rPr>
        <w:t> </w:t>
      </w:r>
      <w:r>
        <w:rPr/>
        <w:t>has</w:t>
      </w:r>
      <w:r>
        <w:rPr>
          <w:spacing w:val="-2"/>
        </w:rPr>
        <w:t> </w:t>
      </w:r>
      <w:r>
        <w:rPr/>
        <w:t>continued</w:t>
      </w:r>
      <w:r>
        <w:rPr>
          <w:spacing w:val="-5"/>
        </w:rPr>
        <w:t> </w:t>
      </w:r>
      <w:r>
        <w:rPr/>
        <w:t>to</w:t>
      </w:r>
      <w:r>
        <w:rPr>
          <w:spacing w:val="-1"/>
        </w:rPr>
        <w:t> </w:t>
      </w:r>
      <w:r>
        <w:rPr/>
        <w:t>improve,</w:t>
      </w:r>
      <w:r>
        <w:rPr>
          <w:spacing w:val="-3"/>
        </w:rPr>
        <w:t> </w:t>
      </w:r>
      <w:r>
        <w:rPr/>
        <w:t>the</w:t>
      </w:r>
      <w:r>
        <w:rPr>
          <w:spacing w:val="-5"/>
        </w:rPr>
        <w:t> </w:t>
      </w:r>
      <w:r>
        <w:rPr/>
        <w:t>NDA</w:t>
      </w:r>
      <w:r>
        <w:rPr>
          <w:spacing w:val="-5"/>
        </w:rPr>
        <w:t> </w:t>
      </w:r>
      <w:r>
        <w:rPr/>
        <w:t>considers that that there could be scope to develop the concept of internships and apprenticeships so that they can become routes to longer term contracts where appropriate. In May 2017, the NDA hosted a seminar on these issues, featuring good practice highlights from Belfast City Council and the AHEAD WAM (Willing and Able mentoring) programme.</w:t>
      </w:r>
    </w:p>
    <w:p>
      <w:pPr>
        <w:pStyle w:val="Heading5"/>
        <w:spacing w:before="243"/>
      </w:pPr>
      <w:r>
        <w:rPr/>
        <w:t>Employer</w:t>
      </w:r>
      <w:r>
        <w:rPr>
          <w:spacing w:val="-16"/>
        </w:rPr>
        <w:t> </w:t>
      </w:r>
      <w:r>
        <w:rPr/>
        <w:t>Disability</w:t>
      </w:r>
      <w:r>
        <w:rPr>
          <w:spacing w:val="-15"/>
        </w:rPr>
        <w:t> </w:t>
      </w:r>
      <w:r>
        <w:rPr/>
        <w:t>Information</w:t>
      </w:r>
      <w:r>
        <w:rPr>
          <w:spacing w:val="-14"/>
        </w:rPr>
        <w:t> </w:t>
      </w:r>
      <w:r>
        <w:rPr>
          <w:spacing w:val="-2"/>
        </w:rPr>
        <w:t>Service</w:t>
      </w:r>
    </w:p>
    <w:p>
      <w:pPr>
        <w:pStyle w:val="BodyText"/>
        <w:spacing w:before="239"/>
        <w:ind w:left="1702" w:right="1068"/>
      </w:pPr>
      <w:r>
        <w:rPr/>
        <w:t>2017 was the second full year of this pilot employer initiative funded by the NDA. The service is a peer-to-peer advice and information service, managed by a consortium of employer bodies comprising ISME, IBEC and Irish</w:t>
      </w:r>
      <w:r>
        <w:rPr>
          <w:spacing w:val="-3"/>
        </w:rPr>
        <w:t> </w:t>
      </w:r>
      <w:r>
        <w:rPr/>
        <w:t>Chambers</w:t>
      </w:r>
      <w:r>
        <w:rPr>
          <w:spacing w:val="-3"/>
        </w:rPr>
        <w:t> </w:t>
      </w:r>
      <w:r>
        <w:rPr/>
        <w:t>of</w:t>
      </w:r>
      <w:r>
        <w:rPr>
          <w:spacing w:val="-4"/>
        </w:rPr>
        <w:t> </w:t>
      </w:r>
      <w:r>
        <w:rPr/>
        <w:t>Commerce.</w:t>
      </w:r>
      <w:r>
        <w:rPr>
          <w:spacing w:val="-1"/>
        </w:rPr>
        <w:t> </w:t>
      </w:r>
      <w:r>
        <w:rPr/>
        <w:t>The</w:t>
      </w:r>
      <w:r>
        <w:rPr>
          <w:spacing w:val="-4"/>
        </w:rPr>
        <w:t> </w:t>
      </w:r>
      <w:r>
        <w:rPr/>
        <w:t>aim</w:t>
      </w:r>
      <w:r>
        <w:rPr>
          <w:spacing w:val="-4"/>
        </w:rPr>
        <w:t> </w:t>
      </w:r>
      <w:r>
        <w:rPr/>
        <w:t>of</w:t>
      </w:r>
      <w:r>
        <w:rPr>
          <w:spacing w:val="-4"/>
        </w:rPr>
        <w:t> </w:t>
      </w:r>
      <w:r>
        <w:rPr/>
        <w:t>the</w:t>
      </w:r>
      <w:r>
        <w:rPr>
          <w:spacing w:val="-4"/>
        </w:rPr>
        <w:t> </w:t>
      </w:r>
      <w:r>
        <w:rPr/>
        <w:t>service</w:t>
      </w:r>
      <w:r>
        <w:rPr>
          <w:spacing w:val="-4"/>
        </w:rPr>
        <w:t> </w:t>
      </w:r>
      <w:r>
        <w:rPr/>
        <w:t>is</w:t>
      </w:r>
      <w:r>
        <w:rPr>
          <w:spacing w:val="-3"/>
        </w:rPr>
        <w:t> </w:t>
      </w:r>
      <w:r>
        <w:rPr/>
        <w:t>to help</w:t>
      </w:r>
      <w:r>
        <w:rPr>
          <w:spacing w:val="-4"/>
        </w:rPr>
        <w:t> </w:t>
      </w:r>
      <w:r>
        <w:rPr/>
        <w:t>employers become more aware and confident regarding the employment of persons with disabilities. In 2017, the network recruited a new project manager and agreed a work programme for the remainder of the pilot term.</w:t>
      </w:r>
    </w:p>
    <w:p>
      <w:pPr>
        <w:pStyle w:val="BodyText"/>
        <w:ind w:left="1702" w:right="1005"/>
      </w:pPr>
      <w:r>
        <w:rPr/>
        <w:t>Awareness of the initiative continues to grow, with over 7,300 website visitors in 2017 and a steady increase in followers on social media. The consortium is also working to grow employer peer networks to facilitate the sharing of advice, information and experiences. By end of 2017, 24 employers had committed to being involved in a peer network. The consortium is planning an event to highlight the opportunities for employers</w:t>
      </w:r>
      <w:r>
        <w:rPr>
          <w:spacing w:val="-3"/>
        </w:rPr>
        <w:t> </w:t>
      </w:r>
      <w:r>
        <w:rPr/>
        <w:t>to</w:t>
      </w:r>
      <w:r>
        <w:rPr>
          <w:spacing w:val="-4"/>
        </w:rPr>
        <w:t> </w:t>
      </w:r>
      <w:r>
        <w:rPr/>
        <w:t>recruit</w:t>
      </w:r>
      <w:r>
        <w:rPr>
          <w:spacing w:val="-5"/>
        </w:rPr>
        <w:t> </w:t>
      </w:r>
      <w:r>
        <w:rPr/>
        <w:t>people</w:t>
      </w:r>
      <w:r>
        <w:rPr>
          <w:spacing w:val="-5"/>
        </w:rPr>
        <w:t> </w:t>
      </w:r>
      <w:r>
        <w:rPr/>
        <w:t>with</w:t>
      </w:r>
      <w:r>
        <w:rPr>
          <w:spacing w:val="-5"/>
        </w:rPr>
        <w:t> </w:t>
      </w:r>
      <w:r>
        <w:rPr/>
        <w:t>disabilities</w:t>
      </w:r>
      <w:r>
        <w:rPr>
          <w:spacing w:val="-4"/>
        </w:rPr>
        <w:t> </w:t>
      </w:r>
      <w:r>
        <w:rPr/>
        <w:t>which</w:t>
      </w:r>
      <w:r>
        <w:rPr>
          <w:spacing w:val="-5"/>
        </w:rPr>
        <w:t> </w:t>
      </w:r>
      <w:r>
        <w:rPr/>
        <w:t>will</w:t>
      </w:r>
      <w:r>
        <w:rPr>
          <w:spacing w:val="-4"/>
        </w:rPr>
        <w:t> </w:t>
      </w:r>
      <w:r>
        <w:rPr/>
        <w:t>take</w:t>
      </w:r>
      <w:r>
        <w:rPr>
          <w:spacing w:val="-4"/>
        </w:rPr>
        <w:t> </w:t>
      </w:r>
      <w:r>
        <w:rPr/>
        <w:t>place</w:t>
      </w:r>
      <w:r>
        <w:rPr>
          <w:spacing w:val="-5"/>
        </w:rPr>
        <w:t> </w:t>
      </w:r>
      <w:r>
        <w:rPr/>
        <w:t>in</w:t>
      </w:r>
      <w:r>
        <w:rPr>
          <w:spacing w:val="-3"/>
        </w:rPr>
        <w:t> </w:t>
      </w:r>
      <w:r>
        <w:rPr/>
        <w:t>March 2018 and these network members will participate.</w:t>
      </w:r>
    </w:p>
    <w:p>
      <w:pPr>
        <w:pStyle w:val="BodyText"/>
        <w:spacing w:before="240"/>
        <w:ind w:left="1702" w:right="1080"/>
      </w:pPr>
      <w:r>
        <w:rPr/>
        <w:t>The NDA was pleased to facilitate a knowledge-sharing event in April 2017,</w:t>
      </w:r>
      <w:r>
        <w:rPr>
          <w:spacing w:val="-4"/>
        </w:rPr>
        <w:t> </w:t>
      </w:r>
      <w:r>
        <w:rPr/>
        <w:t>hosted</w:t>
      </w:r>
      <w:r>
        <w:rPr>
          <w:spacing w:val="-5"/>
        </w:rPr>
        <w:t> </w:t>
      </w:r>
      <w:r>
        <w:rPr/>
        <w:t>by</w:t>
      </w:r>
      <w:r>
        <w:rPr>
          <w:spacing w:val="-5"/>
        </w:rPr>
        <w:t> </w:t>
      </w:r>
      <w:r>
        <w:rPr/>
        <w:t>Enterprise</w:t>
      </w:r>
      <w:r>
        <w:rPr>
          <w:spacing w:val="-5"/>
        </w:rPr>
        <w:t> </w:t>
      </w:r>
      <w:r>
        <w:rPr/>
        <w:t>Ireland,</w:t>
      </w:r>
      <w:r>
        <w:rPr>
          <w:spacing w:val="-5"/>
        </w:rPr>
        <w:t> </w:t>
      </w:r>
      <w:r>
        <w:rPr/>
        <w:t>in</w:t>
      </w:r>
      <w:r>
        <w:rPr>
          <w:spacing w:val="-5"/>
        </w:rPr>
        <w:t> </w:t>
      </w:r>
      <w:r>
        <w:rPr/>
        <w:t>which</w:t>
      </w:r>
      <w:r>
        <w:rPr>
          <w:spacing w:val="-5"/>
        </w:rPr>
        <w:t> </w:t>
      </w:r>
      <w:r>
        <w:rPr/>
        <w:t>the</w:t>
      </w:r>
      <w:r>
        <w:rPr>
          <w:spacing w:val="-5"/>
        </w:rPr>
        <w:t> </w:t>
      </w:r>
      <w:r>
        <w:rPr/>
        <w:t>UK</w:t>
      </w:r>
      <w:r>
        <w:rPr>
          <w:spacing w:val="-5"/>
        </w:rPr>
        <w:t> </w:t>
      </w:r>
      <w:r>
        <w:rPr/>
        <w:t>Business</w:t>
      </w:r>
      <w:r>
        <w:rPr>
          <w:spacing w:val="-4"/>
        </w:rPr>
        <w:t> </w:t>
      </w:r>
      <w:r>
        <w:rPr/>
        <w:t>Disability</w:t>
      </w:r>
    </w:p>
    <w:p>
      <w:pPr>
        <w:pStyle w:val="BodyText"/>
        <w:spacing w:after="0"/>
        <w:sectPr>
          <w:pgSz w:w="11910" w:h="16850"/>
          <w:pgMar w:header="0" w:footer="811" w:top="1880" w:bottom="1000" w:left="283" w:right="992"/>
        </w:sectPr>
      </w:pPr>
    </w:p>
    <w:p>
      <w:pPr>
        <w:pStyle w:val="BodyText"/>
        <w:spacing w:before="79"/>
        <w:ind w:left="1702" w:right="988"/>
      </w:pPr>
      <w:r>
        <w:rPr/>
        <w:t>Forum</w:t>
      </w:r>
      <w:r>
        <w:rPr>
          <w:spacing w:val="-5"/>
        </w:rPr>
        <w:t> </w:t>
      </w:r>
      <w:r>
        <w:rPr/>
        <w:t>offered</w:t>
      </w:r>
      <w:r>
        <w:rPr>
          <w:spacing w:val="-5"/>
        </w:rPr>
        <w:t> </w:t>
      </w:r>
      <w:r>
        <w:rPr/>
        <w:t>insights</w:t>
      </w:r>
      <w:r>
        <w:rPr>
          <w:spacing w:val="-4"/>
        </w:rPr>
        <w:t> </w:t>
      </w:r>
      <w:r>
        <w:rPr/>
        <w:t>from</w:t>
      </w:r>
      <w:r>
        <w:rPr>
          <w:spacing w:val="-5"/>
        </w:rPr>
        <w:t> </w:t>
      </w:r>
      <w:r>
        <w:rPr/>
        <w:t>their</w:t>
      </w:r>
      <w:r>
        <w:rPr>
          <w:spacing w:val="-5"/>
        </w:rPr>
        <w:t> </w:t>
      </w:r>
      <w:r>
        <w:rPr/>
        <w:t>experiences</w:t>
      </w:r>
      <w:r>
        <w:rPr>
          <w:spacing w:val="-3"/>
        </w:rPr>
        <w:t> </w:t>
      </w:r>
      <w:r>
        <w:rPr/>
        <w:t>in</w:t>
      </w:r>
      <w:r>
        <w:rPr>
          <w:spacing w:val="-5"/>
        </w:rPr>
        <w:t> </w:t>
      </w:r>
      <w:r>
        <w:rPr/>
        <w:t>supporting</w:t>
      </w:r>
      <w:r>
        <w:rPr>
          <w:spacing w:val="-5"/>
        </w:rPr>
        <w:t> </w:t>
      </w:r>
      <w:r>
        <w:rPr/>
        <w:t>employers</w:t>
      </w:r>
      <w:r>
        <w:rPr>
          <w:spacing w:val="-3"/>
        </w:rPr>
        <w:t> </w:t>
      </w:r>
      <w:r>
        <w:rPr/>
        <w:t>to adopt good practice, and be proactive in recruiting and retaining persons with disabilities within their work-force.</w:t>
      </w:r>
    </w:p>
    <w:p>
      <w:pPr>
        <w:pStyle w:val="BodyText"/>
        <w:spacing w:before="240"/>
        <w:ind w:left="1702" w:right="988"/>
      </w:pPr>
      <w:r>
        <w:rPr/>
        <w:t>In</w:t>
      </w:r>
      <w:r>
        <w:rPr>
          <w:spacing w:val="-4"/>
        </w:rPr>
        <w:t> </w:t>
      </w:r>
      <w:r>
        <w:rPr/>
        <w:t>the</w:t>
      </w:r>
      <w:r>
        <w:rPr>
          <w:spacing w:val="-4"/>
        </w:rPr>
        <w:t> </w:t>
      </w:r>
      <w:r>
        <w:rPr/>
        <w:t>final</w:t>
      </w:r>
      <w:r>
        <w:rPr>
          <w:spacing w:val="-4"/>
        </w:rPr>
        <w:t> </w:t>
      </w:r>
      <w:r>
        <w:rPr/>
        <w:t>quarter</w:t>
      </w:r>
      <w:r>
        <w:rPr>
          <w:spacing w:val="-3"/>
        </w:rPr>
        <w:t> </w:t>
      </w:r>
      <w:r>
        <w:rPr/>
        <w:t>of</w:t>
      </w:r>
      <w:r>
        <w:rPr>
          <w:spacing w:val="-4"/>
        </w:rPr>
        <w:t> </w:t>
      </w:r>
      <w:r>
        <w:rPr/>
        <w:t>2017,</w:t>
      </w:r>
      <w:r>
        <w:rPr>
          <w:spacing w:val="-1"/>
        </w:rPr>
        <w:t> </w:t>
      </w:r>
      <w:r>
        <w:rPr/>
        <w:t>the</w:t>
      </w:r>
      <w:r>
        <w:rPr>
          <w:spacing w:val="-4"/>
        </w:rPr>
        <w:t> </w:t>
      </w:r>
      <w:r>
        <w:rPr/>
        <w:t>NDA</w:t>
      </w:r>
      <w:r>
        <w:rPr>
          <w:spacing w:val="-4"/>
        </w:rPr>
        <w:t> </w:t>
      </w:r>
      <w:r>
        <w:rPr/>
        <w:t>commissioned</w:t>
      </w:r>
      <w:r>
        <w:rPr>
          <w:spacing w:val="-4"/>
        </w:rPr>
        <w:t> </w:t>
      </w:r>
      <w:r>
        <w:rPr/>
        <w:t>an</w:t>
      </w:r>
      <w:r>
        <w:rPr>
          <w:spacing w:val="-4"/>
        </w:rPr>
        <w:t> </w:t>
      </w:r>
      <w:r>
        <w:rPr/>
        <w:t>independent</w:t>
      </w:r>
      <w:r>
        <w:rPr>
          <w:spacing w:val="-1"/>
        </w:rPr>
        <w:t> </w:t>
      </w:r>
      <w:r>
        <w:rPr/>
        <w:t>peer review of the Initiative in order to inform planning for any development after the pilot phase. The report of this review will be available in early </w:t>
      </w:r>
      <w:r>
        <w:rPr>
          <w:spacing w:val="-2"/>
        </w:rPr>
        <w:t>2018.</w:t>
      </w:r>
    </w:p>
    <w:p>
      <w:pPr>
        <w:pStyle w:val="Heading5"/>
        <w:spacing w:before="239"/>
      </w:pPr>
      <w:r>
        <w:rPr/>
        <w:t>Vocational</w:t>
      </w:r>
      <w:r>
        <w:rPr>
          <w:spacing w:val="-14"/>
        </w:rPr>
        <w:t> </w:t>
      </w:r>
      <w:r>
        <w:rPr>
          <w:spacing w:val="-2"/>
        </w:rPr>
        <w:t>Rehabilitation</w:t>
      </w:r>
    </w:p>
    <w:p>
      <w:pPr>
        <w:pStyle w:val="BodyText"/>
        <w:spacing w:before="241"/>
        <w:ind w:left="1702" w:right="1007"/>
      </w:pPr>
      <w:r>
        <w:rPr/>
        <w:t>The NDA published its commissioned study of ‘Good Practice on Vocational Rehabilitation’ in 2017 and disseminated the detailed report on practices across 12 jurisdictions to 70 key stakeholders, including</w:t>
      </w:r>
      <w:r>
        <w:rPr>
          <w:spacing w:val="40"/>
        </w:rPr>
        <w:t> </w:t>
      </w:r>
      <w:r>
        <w:rPr/>
        <w:t>members of the Healthy Ireland initiative. We welcomed the inclusion of a specific action to develop policy advice on a national model of vocational rehabilitation</w:t>
      </w:r>
      <w:r>
        <w:rPr>
          <w:spacing w:val="-6"/>
        </w:rPr>
        <w:t> </w:t>
      </w:r>
      <w:r>
        <w:rPr/>
        <w:t>for</w:t>
      </w:r>
      <w:r>
        <w:rPr>
          <w:spacing w:val="-6"/>
        </w:rPr>
        <w:t> </w:t>
      </w:r>
      <w:r>
        <w:rPr/>
        <w:t>consideration</w:t>
      </w:r>
      <w:r>
        <w:rPr>
          <w:spacing w:val="-6"/>
        </w:rPr>
        <w:t> </w:t>
      </w:r>
      <w:r>
        <w:rPr/>
        <w:t>by</w:t>
      </w:r>
      <w:r>
        <w:rPr>
          <w:spacing w:val="-6"/>
        </w:rPr>
        <w:t> </w:t>
      </w:r>
      <w:r>
        <w:rPr/>
        <w:t>relevant</w:t>
      </w:r>
      <w:r>
        <w:rPr>
          <w:spacing w:val="-4"/>
        </w:rPr>
        <w:t> </w:t>
      </w:r>
      <w:r>
        <w:rPr/>
        <w:t>government</w:t>
      </w:r>
      <w:r>
        <w:rPr>
          <w:spacing w:val="-6"/>
        </w:rPr>
        <w:t> </w:t>
      </w:r>
      <w:r>
        <w:rPr/>
        <w:t>departments</w:t>
      </w:r>
      <w:r>
        <w:rPr>
          <w:spacing w:val="-2"/>
        </w:rPr>
        <w:t> </w:t>
      </w:r>
      <w:r>
        <w:rPr/>
        <w:t>in</w:t>
      </w:r>
      <w:r>
        <w:rPr>
          <w:spacing w:val="-6"/>
        </w:rPr>
        <w:t> </w:t>
      </w:r>
      <w:r>
        <w:rPr/>
        <w:t>the National Disability Inclusion Strategy. Our work to develop this policy advice has begun with a series of discussions with allied health professions with roles relevant to vocational rehabilitation including the medical and neuro-rehabilitation systems, and the process of engagement will continue into 2018.</w:t>
      </w:r>
    </w:p>
    <w:p>
      <w:pPr>
        <w:pStyle w:val="Heading5"/>
        <w:spacing w:before="241"/>
      </w:pPr>
      <w:r>
        <w:rPr>
          <w:spacing w:val="-2"/>
        </w:rPr>
        <w:t>Employment Transitions</w:t>
      </w:r>
    </w:p>
    <w:p>
      <w:pPr>
        <w:pStyle w:val="BodyText"/>
        <w:spacing w:before="238"/>
        <w:ind w:left="1702" w:right="988"/>
      </w:pPr>
      <w:r>
        <w:rPr/>
        <w:t>Recognising the importance of seamless transitions at key life-stages in supporting persons with disabilities to find and retain employment, the NDA organised a seminar event on this theme in April 2017. Opened by Minister of State for Disabilities, Mr Finian McGrath, the event showcased research</w:t>
      </w:r>
      <w:r>
        <w:rPr>
          <w:spacing w:val="-1"/>
        </w:rPr>
        <w:t> </w:t>
      </w:r>
      <w:r>
        <w:rPr/>
        <w:t>commissioned</w:t>
      </w:r>
      <w:r>
        <w:rPr>
          <w:spacing w:val="-1"/>
        </w:rPr>
        <w:t> </w:t>
      </w:r>
      <w:r>
        <w:rPr/>
        <w:t>by</w:t>
      </w:r>
      <w:r>
        <w:rPr>
          <w:spacing w:val="-2"/>
        </w:rPr>
        <w:t> </w:t>
      </w:r>
      <w:r>
        <w:rPr/>
        <w:t>the NDA on</w:t>
      </w:r>
      <w:r>
        <w:rPr>
          <w:spacing w:val="-1"/>
        </w:rPr>
        <w:t> </w:t>
      </w:r>
      <w:r>
        <w:rPr/>
        <w:t>employment</w:t>
      </w:r>
      <w:r>
        <w:rPr>
          <w:spacing w:val="-1"/>
        </w:rPr>
        <w:t> </w:t>
      </w:r>
      <w:r>
        <w:rPr/>
        <w:t>transitions, based</w:t>
      </w:r>
      <w:r>
        <w:rPr>
          <w:spacing w:val="-1"/>
        </w:rPr>
        <w:t> </w:t>
      </w:r>
      <w:r>
        <w:rPr/>
        <w:t>on data available in the Quarterly National Household Survey between 2010 and 2015. The research, carried out by the ESRI, highlighted the extent to which persons with disabilities are more likely</w:t>
      </w:r>
      <w:r>
        <w:rPr>
          <w:spacing w:val="-2"/>
        </w:rPr>
        <w:t> </w:t>
      </w:r>
      <w:r>
        <w:rPr/>
        <w:t>to leave employment in any quarter than their non-disabled counterparts, and equally are less likely to enter into employment than those without disabilities. The availability of this data is essential in informing considerations among relevant departments</w:t>
      </w:r>
      <w:r>
        <w:rPr>
          <w:spacing w:val="-4"/>
        </w:rPr>
        <w:t> </w:t>
      </w:r>
      <w:r>
        <w:rPr/>
        <w:t>and</w:t>
      </w:r>
      <w:r>
        <w:rPr>
          <w:spacing w:val="-5"/>
        </w:rPr>
        <w:t> </w:t>
      </w:r>
      <w:r>
        <w:rPr/>
        <w:t>agencies</w:t>
      </w:r>
      <w:r>
        <w:rPr>
          <w:spacing w:val="-3"/>
        </w:rPr>
        <w:t> </w:t>
      </w:r>
      <w:r>
        <w:rPr/>
        <w:t>to</w:t>
      </w:r>
      <w:r>
        <w:rPr>
          <w:spacing w:val="-4"/>
        </w:rPr>
        <w:t> </w:t>
      </w:r>
      <w:r>
        <w:rPr/>
        <w:t>address</w:t>
      </w:r>
      <w:r>
        <w:rPr>
          <w:spacing w:val="-4"/>
        </w:rPr>
        <w:t> </w:t>
      </w:r>
      <w:r>
        <w:rPr/>
        <w:t>this</w:t>
      </w:r>
      <w:r>
        <w:rPr>
          <w:spacing w:val="-4"/>
        </w:rPr>
        <w:t> </w:t>
      </w:r>
      <w:r>
        <w:rPr/>
        <w:t>disparity.</w:t>
      </w:r>
      <w:r>
        <w:rPr>
          <w:spacing w:val="-5"/>
        </w:rPr>
        <w:t> </w:t>
      </w:r>
      <w:r>
        <w:rPr/>
        <w:t>The</w:t>
      </w:r>
      <w:r>
        <w:rPr>
          <w:spacing w:val="-5"/>
        </w:rPr>
        <w:t> </w:t>
      </w:r>
      <w:r>
        <w:rPr/>
        <w:t>seminar event</w:t>
      </w:r>
      <w:r>
        <w:rPr>
          <w:spacing w:val="-5"/>
        </w:rPr>
        <w:t> </w:t>
      </w:r>
      <w:r>
        <w:rPr/>
        <w:t>also included a presentation of a qualitative study on transitions between education and employment, carried out by a DCU-based research team</w:t>
      </w:r>
    </w:p>
    <w:p>
      <w:pPr>
        <w:pStyle w:val="BodyText"/>
        <w:spacing w:before="1"/>
        <w:ind w:left="1702" w:right="1080"/>
      </w:pPr>
      <w:r>
        <w:rPr/>
        <w:t>under the NDA’s Research Promotion Scheme in 2014. Finally, the Department of Employment Affairs and Social Protection presented findings</w:t>
      </w:r>
      <w:r>
        <w:rPr>
          <w:spacing w:val="-4"/>
        </w:rPr>
        <w:t> </w:t>
      </w:r>
      <w:r>
        <w:rPr/>
        <w:t>of</w:t>
      </w:r>
      <w:r>
        <w:rPr>
          <w:spacing w:val="-5"/>
        </w:rPr>
        <w:t> </w:t>
      </w:r>
      <w:r>
        <w:rPr/>
        <w:t>a</w:t>
      </w:r>
      <w:r>
        <w:rPr>
          <w:spacing w:val="-4"/>
        </w:rPr>
        <w:t> </w:t>
      </w:r>
      <w:r>
        <w:rPr/>
        <w:t>2015</w:t>
      </w:r>
      <w:r>
        <w:rPr>
          <w:spacing w:val="-4"/>
        </w:rPr>
        <w:t> </w:t>
      </w:r>
      <w:r>
        <w:rPr/>
        <w:t>survey</w:t>
      </w:r>
      <w:r>
        <w:rPr>
          <w:spacing w:val="-5"/>
        </w:rPr>
        <w:t> </w:t>
      </w:r>
      <w:r>
        <w:rPr/>
        <w:t>they</w:t>
      </w:r>
      <w:r>
        <w:rPr>
          <w:spacing w:val="-3"/>
        </w:rPr>
        <w:t> </w:t>
      </w:r>
      <w:r>
        <w:rPr/>
        <w:t>conducted</w:t>
      </w:r>
      <w:r>
        <w:rPr>
          <w:spacing w:val="-5"/>
        </w:rPr>
        <w:t> </w:t>
      </w:r>
      <w:r>
        <w:rPr/>
        <w:t>on</w:t>
      </w:r>
      <w:r>
        <w:rPr>
          <w:spacing w:val="-2"/>
        </w:rPr>
        <w:t> </w:t>
      </w:r>
      <w:r>
        <w:rPr/>
        <w:t>recipients</w:t>
      </w:r>
      <w:r>
        <w:rPr>
          <w:spacing w:val="-3"/>
        </w:rPr>
        <w:t> </w:t>
      </w:r>
      <w:r>
        <w:rPr/>
        <w:t>of</w:t>
      </w:r>
      <w:r>
        <w:rPr>
          <w:spacing w:val="-5"/>
        </w:rPr>
        <w:t> </w:t>
      </w:r>
      <w:r>
        <w:rPr/>
        <w:t>the</w:t>
      </w:r>
      <w:r>
        <w:rPr>
          <w:spacing w:val="-5"/>
        </w:rPr>
        <w:t> </w:t>
      </w:r>
      <w:r>
        <w:rPr/>
        <w:t>Disability</w:t>
      </w:r>
    </w:p>
    <w:p>
      <w:pPr>
        <w:pStyle w:val="BodyText"/>
        <w:spacing w:after="0"/>
        <w:sectPr>
          <w:pgSz w:w="11910" w:h="16850"/>
          <w:pgMar w:header="0" w:footer="811" w:top="1880" w:bottom="1000" w:left="283" w:right="992"/>
        </w:sectPr>
      </w:pPr>
    </w:p>
    <w:p>
      <w:pPr>
        <w:pStyle w:val="BodyText"/>
        <w:spacing w:before="79"/>
        <w:ind w:left="1702" w:right="988"/>
      </w:pPr>
      <w:r>
        <w:rPr/>
        <w:t>Allowance,</w:t>
      </w:r>
      <w:r>
        <w:rPr>
          <w:spacing w:val="-3"/>
        </w:rPr>
        <w:t> </w:t>
      </w:r>
      <w:r>
        <w:rPr/>
        <w:t>showing</w:t>
      </w:r>
      <w:r>
        <w:rPr>
          <w:spacing w:val="-5"/>
        </w:rPr>
        <w:t> </w:t>
      </w:r>
      <w:r>
        <w:rPr/>
        <w:t>that</w:t>
      </w:r>
      <w:r>
        <w:rPr>
          <w:spacing w:val="-3"/>
        </w:rPr>
        <w:t> </w:t>
      </w:r>
      <w:r>
        <w:rPr/>
        <w:t>more</w:t>
      </w:r>
      <w:r>
        <w:rPr>
          <w:spacing w:val="-5"/>
        </w:rPr>
        <w:t> </w:t>
      </w:r>
      <w:r>
        <w:rPr/>
        <w:t>than</w:t>
      </w:r>
      <w:r>
        <w:rPr>
          <w:spacing w:val="-2"/>
        </w:rPr>
        <w:t> </w:t>
      </w:r>
      <w:r>
        <w:rPr/>
        <w:t>a</w:t>
      </w:r>
      <w:r>
        <w:rPr>
          <w:spacing w:val="-5"/>
        </w:rPr>
        <w:t> </w:t>
      </w:r>
      <w:r>
        <w:rPr/>
        <w:t>third</w:t>
      </w:r>
      <w:r>
        <w:rPr>
          <w:spacing w:val="-5"/>
        </w:rPr>
        <w:t> </w:t>
      </w:r>
      <w:r>
        <w:rPr/>
        <w:t>of</w:t>
      </w:r>
      <w:r>
        <w:rPr>
          <w:spacing w:val="-2"/>
        </w:rPr>
        <w:t> </w:t>
      </w:r>
      <w:r>
        <w:rPr/>
        <w:t>those</w:t>
      </w:r>
      <w:r>
        <w:rPr>
          <w:spacing w:val="-5"/>
        </w:rPr>
        <w:t> </w:t>
      </w:r>
      <w:r>
        <w:rPr/>
        <w:t>surveyed</w:t>
      </w:r>
      <w:r>
        <w:rPr>
          <w:spacing w:val="-5"/>
        </w:rPr>
        <w:t> </w:t>
      </w:r>
      <w:r>
        <w:rPr/>
        <w:t>would</w:t>
      </w:r>
      <w:r>
        <w:rPr>
          <w:spacing w:val="-5"/>
        </w:rPr>
        <w:t> </w:t>
      </w:r>
      <w:r>
        <w:rPr/>
        <w:t>be interested in taking up work if the circumstances were right for them.</w:t>
      </w:r>
    </w:p>
    <w:p>
      <w:pPr>
        <w:pStyle w:val="Heading5"/>
        <w:spacing w:before="239"/>
      </w:pPr>
      <w:r>
        <w:rPr/>
        <w:t>Supported</w:t>
      </w:r>
      <w:r>
        <w:rPr>
          <w:spacing w:val="-18"/>
        </w:rPr>
        <w:t> </w:t>
      </w:r>
      <w:r>
        <w:rPr>
          <w:spacing w:val="-2"/>
        </w:rPr>
        <w:t>Employment</w:t>
      </w:r>
    </w:p>
    <w:p>
      <w:pPr>
        <w:pStyle w:val="BodyText"/>
        <w:spacing w:before="241"/>
        <w:ind w:left="1702" w:right="1035"/>
      </w:pPr>
      <w:r>
        <w:rPr/>
        <w:t>In 2017, the NDA continued to facilitate the inter-departmental working group</w:t>
      </w:r>
      <w:r>
        <w:rPr>
          <w:spacing w:val="-5"/>
        </w:rPr>
        <w:t> </w:t>
      </w:r>
      <w:r>
        <w:rPr/>
        <w:t>to</w:t>
      </w:r>
      <w:r>
        <w:rPr>
          <w:spacing w:val="-4"/>
        </w:rPr>
        <w:t> </w:t>
      </w:r>
      <w:r>
        <w:rPr/>
        <w:t>progress</w:t>
      </w:r>
      <w:r>
        <w:rPr>
          <w:spacing w:val="-4"/>
        </w:rPr>
        <w:t> </w:t>
      </w:r>
      <w:r>
        <w:rPr/>
        <w:t>Action</w:t>
      </w:r>
      <w:r>
        <w:rPr>
          <w:spacing w:val="-5"/>
        </w:rPr>
        <w:t> </w:t>
      </w:r>
      <w:r>
        <w:rPr/>
        <w:t>5.1</w:t>
      </w:r>
      <w:r>
        <w:rPr>
          <w:spacing w:val="-5"/>
        </w:rPr>
        <w:t> </w:t>
      </w:r>
      <w:r>
        <w:rPr/>
        <w:t>of</w:t>
      </w:r>
      <w:r>
        <w:rPr>
          <w:spacing w:val="-5"/>
        </w:rPr>
        <w:t> </w:t>
      </w:r>
      <w:r>
        <w:rPr/>
        <w:t>the</w:t>
      </w:r>
      <w:r>
        <w:rPr>
          <w:spacing w:val="-5"/>
        </w:rPr>
        <w:t> </w:t>
      </w:r>
      <w:r>
        <w:rPr/>
        <w:t>Comprehensive</w:t>
      </w:r>
      <w:r>
        <w:rPr>
          <w:spacing w:val="-5"/>
        </w:rPr>
        <w:t> </w:t>
      </w:r>
      <w:r>
        <w:rPr/>
        <w:t>Employment</w:t>
      </w:r>
      <w:r>
        <w:rPr>
          <w:spacing w:val="-3"/>
        </w:rPr>
        <w:t> </w:t>
      </w:r>
      <w:r>
        <w:rPr/>
        <w:t>Strategy. This action required government departments and the HSE to work together with the HSE to develop a coordinated policy approach and associated implementation plan to assist people with disabilities, including those with high support needs, to find and retain employment. The working group comprises officials from the Department of Employment Affairs</w:t>
      </w:r>
      <w:r>
        <w:rPr>
          <w:spacing w:val="-4"/>
        </w:rPr>
        <w:t> </w:t>
      </w:r>
      <w:r>
        <w:rPr/>
        <w:t>and</w:t>
      </w:r>
      <w:r>
        <w:rPr>
          <w:spacing w:val="-5"/>
        </w:rPr>
        <w:t> </w:t>
      </w:r>
      <w:r>
        <w:rPr/>
        <w:t>Social</w:t>
      </w:r>
      <w:r>
        <w:rPr>
          <w:spacing w:val="-5"/>
        </w:rPr>
        <w:t> </w:t>
      </w:r>
      <w:r>
        <w:rPr/>
        <w:t>Protection</w:t>
      </w:r>
      <w:r>
        <w:rPr>
          <w:spacing w:val="-5"/>
        </w:rPr>
        <w:t> </w:t>
      </w:r>
      <w:r>
        <w:rPr/>
        <w:t>(DEASP),</w:t>
      </w:r>
      <w:r>
        <w:rPr>
          <w:spacing w:val="-4"/>
        </w:rPr>
        <w:t> </w:t>
      </w:r>
      <w:r>
        <w:rPr/>
        <w:t>Department</w:t>
      </w:r>
      <w:r>
        <w:rPr>
          <w:spacing w:val="-5"/>
        </w:rPr>
        <w:t> </w:t>
      </w:r>
      <w:r>
        <w:rPr/>
        <w:t>of</w:t>
      </w:r>
      <w:r>
        <w:rPr>
          <w:spacing w:val="-5"/>
        </w:rPr>
        <w:t> </w:t>
      </w:r>
      <w:r>
        <w:rPr/>
        <w:t>Education</w:t>
      </w:r>
      <w:r>
        <w:rPr>
          <w:spacing w:val="-5"/>
        </w:rPr>
        <w:t> </w:t>
      </w:r>
      <w:r>
        <w:rPr/>
        <w:t>and</w:t>
      </w:r>
      <w:r>
        <w:rPr>
          <w:spacing w:val="-3"/>
        </w:rPr>
        <w:t> </w:t>
      </w:r>
      <w:r>
        <w:rPr/>
        <w:t>Skills, Department of Health and the HSE.</w:t>
      </w:r>
      <w:r>
        <w:rPr>
          <w:spacing w:val="40"/>
        </w:rPr>
        <w:t> </w:t>
      </w:r>
      <w:r>
        <w:rPr/>
        <w:t>During 2017, the elements of the policy were finalised and agreed as follows:</w:t>
      </w:r>
    </w:p>
    <w:p>
      <w:pPr>
        <w:pStyle w:val="ListParagraph"/>
        <w:numPr>
          <w:ilvl w:val="0"/>
          <w:numId w:val="5"/>
        </w:numPr>
        <w:tabs>
          <w:tab w:pos="2422" w:val="left" w:leader="none"/>
        </w:tabs>
        <w:spacing w:line="240" w:lineRule="auto" w:before="239" w:after="0"/>
        <w:ind w:left="2422" w:right="1402" w:hanging="360"/>
        <w:jc w:val="left"/>
        <w:rPr>
          <w:sz w:val="26"/>
        </w:rPr>
      </w:pPr>
      <w:r>
        <w:rPr>
          <w:sz w:val="26"/>
        </w:rPr>
        <w:t>Coordinated</w:t>
      </w:r>
      <w:r>
        <w:rPr>
          <w:spacing w:val="-5"/>
          <w:sz w:val="26"/>
        </w:rPr>
        <w:t> </w:t>
      </w:r>
      <w:r>
        <w:rPr>
          <w:sz w:val="26"/>
        </w:rPr>
        <w:t>and</w:t>
      </w:r>
      <w:r>
        <w:rPr>
          <w:spacing w:val="-3"/>
          <w:sz w:val="26"/>
        </w:rPr>
        <w:t> </w:t>
      </w:r>
      <w:r>
        <w:rPr>
          <w:sz w:val="26"/>
        </w:rPr>
        <w:t>effective</w:t>
      </w:r>
      <w:r>
        <w:rPr>
          <w:spacing w:val="-5"/>
          <w:sz w:val="26"/>
        </w:rPr>
        <w:t> </w:t>
      </w:r>
      <w:r>
        <w:rPr>
          <w:sz w:val="26"/>
        </w:rPr>
        <w:t>phase</w:t>
      </w:r>
      <w:r>
        <w:rPr>
          <w:spacing w:val="-4"/>
          <w:sz w:val="26"/>
        </w:rPr>
        <w:t> </w:t>
      </w:r>
      <w:r>
        <w:rPr>
          <w:sz w:val="26"/>
        </w:rPr>
        <w:t>of</w:t>
      </w:r>
      <w:r>
        <w:rPr>
          <w:spacing w:val="-5"/>
          <w:sz w:val="26"/>
        </w:rPr>
        <w:t> </w:t>
      </w:r>
      <w:r>
        <w:rPr>
          <w:sz w:val="26"/>
        </w:rPr>
        <w:t>preparation</w:t>
      </w:r>
      <w:r>
        <w:rPr>
          <w:spacing w:val="-5"/>
          <w:sz w:val="26"/>
        </w:rPr>
        <w:t> </w:t>
      </w:r>
      <w:r>
        <w:rPr>
          <w:sz w:val="26"/>
        </w:rPr>
        <w:t>for</w:t>
      </w:r>
      <w:r>
        <w:rPr>
          <w:spacing w:val="-5"/>
          <w:sz w:val="26"/>
        </w:rPr>
        <w:t> </w:t>
      </w:r>
      <w:r>
        <w:rPr>
          <w:sz w:val="26"/>
        </w:rPr>
        <w:t>work</w:t>
      </w:r>
      <w:r>
        <w:rPr>
          <w:spacing w:val="-4"/>
          <w:sz w:val="26"/>
        </w:rPr>
        <w:t> </w:t>
      </w:r>
      <w:r>
        <w:rPr>
          <w:sz w:val="26"/>
        </w:rPr>
        <w:t>so</w:t>
      </w:r>
      <w:r>
        <w:rPr>
          <w:spacing w:val="-4"/>
          <w:sz w:val="26"/>
        </w:rPr>
        <w:t> </w:t>
      </w:r>
      <w:r>
        <w:rPr>
          <w:sz w:val="26"/>
        </w:rPr>
        <w:t>that individuals will be better placed to access employment, through implementation</w:t>
      </w:r>
      <w:r>
        <w:rPr>
          <w:spacing w:val="-4"/>
          <w:sz w:val="26"/>
        </w:rPr>
        <w:t> </w:t>
      </w:r>
      <w:r>
        <w:rPr>
          <w:sz w:val="26"/>
        </w:rPr>
        <w:t>of</w:t>
      </w:r>
      <w:r>
        <w:rPr>
          <w:spacing w:val="-4"/>
          <w:sz w:val="26"/>
        </w:rPr>
        <w:t> </w:t>
      </w:r>
      <w:r>
        <w:rPr>
          <w:sz w:val="26"/>
        </w:rPr>
        <w:t>relevant</w:t>
      </w:r>
      <w:r>
        <w:rPr>
          <w:spacing w:val="-2"/>
          <w:sz w:val="26"/>
        </w:rPr>
        <w:t> </w:t>
      </w:r>
      <w:r>
        <w:rPr>
          <w:sz w:val="26"/>
        </w:rPr>
        <w:t>CES</w:t>
      </w:r>
      <w:r>
        <w:rPr>
          <w:spacing w:val="-5"/>
          <w:sz w:val="26"/>
        </w:rPr>
        <w:t> </w:t>
      </w:r>
      <w:r>
        <w:rPr>
          <w:sz w:val="26"/>
        </w:rPr>
        <w:t>actions</w:t>
      </w:r>
      <w:r>
        <w:rPr>
          <w:spacing w:val="-3"/>
          <w:sz w:val="26"/>
        </w:rPr>
        <w:t> </w:t>
      </w:r>
      <w:r>
        <w:rPr>
          <w:sz w:val="26"/>
        </w:rPr>
        <w:t>and</w:t>
      </w:r>
      <w:r>
        <w:rPr>
          <w:spacing w:val="-4"/>
          <w:sz w:val="26"/>
        </w:rPr>
        <w:t> </w:t>
      </w:r>
      <w:r>
        <w:rPr>
          <w:sz w:val="26"/>
        </w:rPr>
        <w:t>successful</w:t>
      </w:r>
      <w:r>
        <w:rPr>
          <w:spacing w:val="-3"/>
          <w:sz w:val="26"/>
        </w:rPr>
        <w:t> </w:t>
      </w:r>
      <w:r>
        <w:rPr>
          <w:sz w:val="26"/>
        </w:rPr>
        <w:t>transition processes identified through the new Ability Programme;</w:t>
      </w:r>
      <w:r>
        <w:rPr>
          <w:spacing w:val="-5"/>
          <w:sz w:val="26"/>
        </w:rPr>
        <w:t> </w:t>
      </w:r>
      <w:r>
        <w:rPr>
          <w:sz w:val="26"/>
          <w:vertAlign w:val="superscript"/>
        </w:rPr>
        <w:t>1</w:t>
      </w:r>
    </w:p>
    <w:p>
      <w:pPr>
        <w:pStyle w:val="ListParagraph"/>
        <w:numPr>
          <w:ilvl w:val="0"/>
          <w:numId w:val="5"/>
        </w:numPr>
        <w:tabs>
          <w:tab w:pos="2422" w:val="left" w:leader="none"/>
        </w:tabs>
        <w:spacing w:line="240" w:lineRule="auto" w:before="241" w:after="0"/>
        <w:ind w:left="2422" w:right="1534" w:hanging="360"/>
        <w:jc w:val="left"/>
        <w:rPr>
          <w:sz w:val="26"/>
        </w:rPr>
      </w:pPr>
      <w:r>
        <w:rPr>
          <w:sz w:val="26"/>
        </w:rPr>
        <w:t>Development</w:t>
      </w:r>
      <w:r>
        <w:rPr>
          <w:spacing w:val="-6"/>
          <w:sz w:val="26"/>
        </w:rPr>
        <w:t> </w:t>
      </w:r>
      <w:r>
        <w:rPr>
          <w:sz w:val="26"/>
        </w:rPr>
        <w:t>of</w:t>
      </w:r>
      <w:r>
        <w:rPr>
          <w:spacing w:val="-6"/>
          <w:sz w:val="26"/>
        </w:rPr>
        <w:t> </w:t>
      </w:r>
      <w:r>
        <w:rPr>
          <w:sz w:val="26"/>
        </w:rPr>
        <w:t>a</w:t>
      </w:r>
      <w:r>
        <w:rPr>
          <w:spacing w:val="-5"/>
          <w:sz w:val="26"/>
        </w:rPr>
        <w:t> </w:t>
      </w:r>
      <w:r>
        <w:rPr>
          <w:sz w:val="26"/>
        </w:rPr>
        <w:t>complementary</w:t>
      </w:r>
      <w:r>
        <w:rPr>
          <w:spacing w:val="-6"/>
          <w:sz w:val="26"/>
        </w:rPr>
        <w:t> </w:t>
      </w:r>
      <w:r>
        <w:rPr>
          <w:sz w:val="26"/>
        </w:rPr>
        <w:t>policy</w:t>
      </w:r>
      <w:r>
        <w:rPr>
          <w:spacing w:val="-6"/>
          <w:sz w:val="26"/>
        </w:rPr>
        <w:t> </w:t>
      </w:r>
      <w:r>
        <w:rPr>
          <w:sz w:val="26"/>
        </w:rPr>
        <w:t>regarding</w:t>
      </w:r>
      <w:r>
        <w:rPr>
          <w:spacing w:val="-6"/>
          <w:sz w:val="26"/>
        </w:rPr>
        <w:t> </w:t>
      </w:r>
      <w:r>
        <w:rPr>
          <w:sz w:val="26"/>
        </w:rPr>
        <w:t>provision</w:t>
      </w:r>
      <w:r>
        <w:rPr>
          <w:spacing w:val="-6"/>
          <w:sz w:val="26"/>
        </w:rPr>
        <w:t> </w:t>
      </w:r>
      <w:r>
        <w:rPr>
          <w:sz w:val="26"/>
        </w:rPr>
        <w:t>of supports to find and keep employment;</w:t>
      </w:r>
    </w:p>
    <w:p>
      <w:pPr>
        <w:pStyle w:val="ListParagraph"/>
        <w:numPr>
          <w:ilvl w:val="0"/>
          <w:numId w:val="5"/>
        </w:numPr>
        <w:tabs>
          <w:tab w:pos="2422" w:val="left" w:leader="none"/>
        </w:tabs>
        <w:spacing w:line="240" w:lineRule="auto" w:before="239" w:after="0"/>
        <w:ind w:left="2422" w:right="1364" w:hanging="360"/>
        <w:jc w:val="left"/>
        <w:rPr>
          <w:sz w:val="26"/>
        </w:rPr>
      </w:pPr>
      <w:r>
        <w:rPr>
          <w:sz w:val="26"/>
        </w:rPr>
        <w:t>Development of effective protocols for cooperation between Departments</w:t>
      </w:r>
      <w:r>
        <w:rPr>
          <w:spacing w:val="-5"/>
          <w:sz w:val="26"/>
        </w:rPr>
        <w:t> </w:t>
      </w:r>
      <w:r>
        <w:rPr>
          <w:sz w:val="26"/>
        </w:rPr>
        <w:t>and</w:t>
      </w:r>
      <w:r>
        <w:rPr>
          <w:spacing w:val="-6"/>
          <w:sz w:val="26"/>
        </w:rPr>
        <w:t> </w:t>
      </w:r>
      <w:r>
        <w:rPr>
          <w:sz w:val="26"/>
        </w:rPr>
        <w:t>Agencies</w:t>
      </w:r>
      <w:r>
        <w:rPr>
          <w:spacing w:val="-4"/>
          <w:sz w:val="26"/>
        </w:rPr>
        <w:t> </w:t>
      </w:r>
      <w:r>
        <w:rPr>
          <w:sz w:val="26"/>
        </w:rPr>
        <w:t>to</w:t>
      </w:r>
      <w:r>
        <w:rPr>
          <w:spacing w:val="-5"/>
          <w:sz w:val="26"/>
        </w:rPr>
        <w:t> </w:t>
      </w:r>
      <w:r>
        <w:rPr>
          <w:sz w:val="26"/>
        </w:rPr>
        <w:t>support</w:t>
      </w:r>
      <w:r>
        <w:rPr>
          <w:spacing w:val="-6"/>
          <w:sz w:val="26"/>
        </w:rPr>
        <w:t> </w:t>
      </w:r>
      <w:r>
        <w:rPr>
          <w:sz w:val="26"/>
        </w:rPr>
        <w:t>people</w:t>
      </w:r>
      <w:r>
        <w:rPr>
          <w:spacing w:val="-6"/>
          <w:sz w:val="26"/>
        </w:rPr>
        <w:t> </w:t>
      </w:r>
      <w:r>
        <w:rPr>
          <w:sz w:val="26"/>
        </w:rPr>
        <w:t>with</w:t>
      </w:r>
      <w:r>
        <w:rPr>
          <w:spacing w:val="-6"/>
          <w:sz w:val="26"/>
        </w:rPr>
        <w:t> </w:t>
      </w:r>
      <w:r>
        <w:rPr>
          <w:sz w:val="26"/>
        </w:rPr>
        <w:t>disabilities</w:t>
      </w:r>
      <w:r>
        <w:rPr>
          <w:spacing w:val="-4"/>
          <w:sz w:val="26"/>
        </w:rPr>
        <w:t> </w:t>
      </w:r>
      <w:r>
        <w:rPr>
          <w:sz w:val="26"/>
        </w:rPr>
        <w:t>on their path to work, both now and as the coordinated policy is </w:t>
      </w:r>
      <w:r>
        <w:rPr>
          <w:spacing w:val="-2"/>
          <w:sz w:val="26"/>
        </w:rPr>
        <w:t>implemented.</w:t>
      </w:r>
    </w:p>
    <w:p>
      <w:pPr>
        <w:pStyle w:val="BodyText"/>
        <w:spacing w:before="241"/>
        <w:ind w:left="1702"/>
      </w:pPr>
      <w:r>
        <w:rPr/>
        <w:t>The</w:t>
      </w:r>
      <w:r>
        <w:rPr>
          <w:spacing w:val="-9"/>
        </w:rPr>
        <w:t> </w:t>
      </w:r>
      <w:r>
        <w:rPr/>
        <w:t>report</w:t>
      </w:r>
      <w:r>
        <w:rPr>
          <w:spacing w:val="-8"/>
        </w:rPr>
        <w:t> </w:t>
      </w:r>
      <w:r>
        <w:rPr/>
        <w:t>and</w:t>
      </w:r>
      <w:r>
        <w:rPr>
          <w:spacing w:val="-8"/>
        </w:rPr>
        <w:t> </w:t>
      </w:r>
      <w:r>
        <w:rPr/>
        <w:t>implementation</w:t>
      </w:r>
      <w:r>
        <w:rPr>
          <w:spacing w:val="-8"/>
        </w:rPr>
        <w:t> </w:t>
      </w:r>
      <w:r>
        <w:rPr/>
        <w:t>plan</w:t>
      </w:r>
      <w:r>
        <w:rPr>
          <w:spacing w:val="-8"/>
        </w:rPr>
        <w:t> </w:t>
      </w:r>
      <w:r>
        <w:rPr/>
        <w:t>will</w:t>
      </w:r>
      <w:r>
        <w:rPr>
          <w:spacing w:val="-7"/>
        </w:rPr>
        <w:t> </w:t>
      </w:r>
      <w:r>
        <w:rPr/>
        <w:t>be</w:t>
      </w:r>
      <w:r>
        <w:rPr>
          <w:spacing w:val="-6"/>
        </w:rPr>
        <w:t> </w:t>
      </w:r>
      <w:r>
        <w:rPr/>
        <w:t>published</w:t>
      </w:r>
      <w:r>
        <w:rPr>
          <w:spacing w:val="-8"/>
        </w:rPr>
        <w:t> </w:t>
      </w:r>
      <w:r>
        <w:rPr/>
        <w:t>in</w:t>
      </w:r>
      <w:r>
        <w:rPr>
          <w:spacing w:val="-8"/>
        </w:rPr>
        <w:t> </w:t>
      </w:r>
      <w:r>
        <w:rPr>
          <w:spacing w:val="-2"/>
        </w:rPr>
        <w:t>2018.</w:t>
      </w:r>
    </w:p>
    <w:p>
      <w:pPr>
        <w:pStyle w:val="Heading5"/>
        <w:spacing w:before="241"/>
      </w:pPr>
      <w:r>
        <w:rPr/>
        <w:t>Make</w:t>
      </w:r>
      <w:r>
        <w:rPr>
          <w:spacing w:val="-10"/>
        </w:rPr>
        <w:t> </w:t>
      </w:r>
      <w:r>
        <w:rPr/>
        <w:t>Work</w:t>
      </w:r>
      <w:r>
        <w:rPr>
          <w:spacing w:val="-9"/>
        </w:rPr>
        <w:t> </w:t>
      </w:r>
      <w:r>
        <w:rPr>
          <w:spacing w:val="-5"/>
        </w:rPr>
        <w:t>Pay</w:t>
      </w:r>
    </w:p>
    <w:p>
      <w:pPr>
        <w:pStyle w:val="BodyText"/>
        <w:spacing w:before="239"/>
        <w:ind w:left="1702" w:right="988"/>
      </w:pPr>
      <w:r>
        <w:rPr/>
        <w:t>The inter-departmental working group on Make Work Pay published its report</w:t>
      </w:r>
      <w:r>
        <w:rPr>
          <w:spacing w:val="-5"/>
        </w:rPr>
        <w:t> </w:t>
      </w:r>
      <w:r>
        <w:rPr/>
        <w:t>in</w:t>
      </w:r>
      <w:r>
        <w:rPr>
          <w:spacing w:val="-4"/>
        </w:rPr>
        <w:t> </w:t>
      </w:r>
      <w:r>
        <w:rPr/>
        <w:t>April</w:t>
      </w:r>
      <w:r>
        <w:rPr>
          <w:spacing w:val="-4"/>
        </w:rPr>
        <w:t> </w:t>
      </w:r>
      <w:r>
        <w:rPr/>
        <w:t>2017,</w:t>
      </w:r>
      <w:r>
        <w:rPr>
          <w:spacing w:val="-2"/>
        </w:rPr>
        <w:t> </w:t>
      </w:r>
      <w:r>
        <w:rPr/>
        <w:t>containing</w:t>
      </w:r>
      <w:r>
        <w:rPr>
          <w:spacing w:val="-4"/>
        </w:rPr>
        <w:t> </w:t>
      </w:r>
      <w:r>
        <w:rPr/>
        <w:t>a</w:t>
      </w:r>
      <w:r>
        <w:rPr>
          <w:spacing w:val="-5"/>
        </w:rPr>
        <w:t> </w:t>
      </w:r>
      <w:r>
        <w:rPr/>
        <w:t>suite</w:t>
      </w:r>
      <w:r>
        <w:rPr>
          <w:spacing w:val="-5"/>
        </w:rPr>
        <w:t> </w:t>
      </w:r>
      <w:r>
        <w:rPr/>
        <w:t>of</w:t>
      </w:r>
      <w:r>
        <w:rPr>
          <w:spacing w:val="-5"/>
        </w:rPr>
        <w:t> </w:t>
      </w:r>
      <w:r>
        <w:rPr/>
        <w:t>24</w:t>
      </w:r>
      <w:r>
        <w:rPr>
          <w:spacing w:val="-3"/>
        </w:rPr>
        <w:t> </w:t>
      </w:r>
      <w:r>
        <w:rPr/>
        <w:t>recommendations</w:t>
      </w:r>
      <w:r>
        <w:rPr>
          <w:spacing w:val="-4"/>
        </w:rPr>
        <w:t> </w:t>
      </w:r>
      <w:r>
        <w:rPr/>
        <w:t>developed to</w:t>
      </w:r>
      <w:r>
        <w:rPr>
          <w:spacing w:val="-6"/>
        </w:rPr>
        <w:t> </w:t>
      </w:r>
      <w:r>
        <w:rPr/>
        <w:t>address</w:t>
      </w:r>
      <w:r>
        <w:rPr>
          <w:spacing w:val="-6"/>
        </w:rPr>
        <w:t> </w:t>
      </w:r>
      <w:r>
        <w:rPr/>
        <w:t>fears</w:t>
      </w:r>
      <w:r>
        <w:rPr>
          <w:spacing w:val="-5"/>
        </w:rPr>
        <w:t> </w:t>
      </w:r>
      <w:r>
        <w:rPr/>
        <w:t>on</w:t>
      </w:r>
      <w:r>
        <w:rPr>
          <w:spacing w:val="-7"/>
        </w:rPr>
        <w:t> </w:t>
      </w:r>
      <w:r>
        <w:rPr/>
        <w:t>the</w:t>
      </w:r>
      <w:r>
        <w:rPr>
          <w:spacing w:val="-6"/>
        </w:rPr>
        <w:t> </w:t>
      </w:r>
      <w:r>
        <w:rPr/>
        <w:t>part</w:t>
      </w:r>
      <w:r>
        <w:rPr>
          <w:spacing w:val="-6"/>
        </w:rPr>
        <w:t> </w:t>
      </w:r>
      <w:r>
        <w:rPr/>
        <w:t>of</w:t>
      </w:r>
      <w:r>
        <w:rPr>
          <w:spacing w:val="-7"/>
        </w:rPr>
        <w:t> </w:t>
      </w:r>
      <w:r>
        <w:rPr/>
        <w:t>some</w:t>
      </w:r>
      <w:r>
        <w:rPr>
          <w:spacing w:val="-6"/>
        </w:rPr>
        <w:t> </w:t>
      </w:r>
      <w:r>
        <w:rPr/>
        <w:t>people</w:t>
      </w:r>
      <w:r>
        <w:rPr>
          <w:spacing w:val="-7"/>
        </w:rPr>
        <w:t> </w:t>
      </w:r>
      <w:r>
        <w:rPr/>
        <w:t>with</w:t>
      </w:r>
      <w:r>
        <w:rPr>
          <w:spacing w:val="-6"/>
        </w:rPr>
        <w:t> </w:t>
      </w:r>
      <w:r>
        <w:rPr/>
        <w:t>disabilities</w:t>
      </w:r>
      <w:r>
        <w:rPr>
          <w:spacing w:val="-5"/>
        </w:rPr>
        <w:t> </w:t>
      </w:r>
      <w:r>
        <w:rPr/>
        <w:t>that</w:t>
      </w:r>
      <w:r>
        <w:rPr>
          <w:spacing w:val="-6"/>
        </w:rPr>
        <w:t> </w:t>
      </w:r>
      <w:r>
        <w:rPr/>
        <w:t>taking</w:t>
      </w:r>
      <w:r>
        <w:rPr>
          <w:spacing w:val="-7"/>
        </w:rPr>
        <w:t> </w:t>
      </w:r>
      <w:r>
        <w:rPr>
          <w:spacing w:val="-5"/>
        </w:rPr>
        <w:t>up</w:t>
      </w:r>
    </w:p>
    <w:p>
      <w:pPr>
        <w:pStyle w:val="BodyText"/>
        <w:spacing w:before="168"/>
        <w:rPr>
          <w:sz w:val="20"/>
        </w:rPr>
      </w:pPr>
      <w:r>
        <w:rPr>
          <w:sz w:val="20"/>
        </w:rPr>
        <mc:AlternateContent>
          <mc:Choice Requires="wps">
            <w:drawing>
              <wp:anchor distT="0" distB="0" distL="0" distR="0" allowOverlap="1" layoutInCell="1" locked="0" behindDoc="1" simplePos="0" relativeHeight="487588864">
                <wp:simplePos x="0" y="0"/>
                <wp:positionH relativeFrom="page">
                  <wp:posOffset>1260652</wp:posOffset>
                </wp:positionH>
                <wp:positionV relativeFrom="paragraph">
                  <wp:posOffset>269496</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21.220177pt;width:144.020pt;height:.599980pt;mso-position-horizontal-relative:page;mso-position-vertical-relative:paragraph;z-index:-15727616;mso-wrap-distance-left:0;mso-wrap-distance-right:0" id="docshape2" filled="true" fillcolor="#000000" stroked="false">
                <v:fill type="solid"/>
                <w10:wrap type="topAndBottom"/>
              </v:rect>
            </w:pict>
          </mc:Fallback>
        </mc:AlternateContent>
      </w:r>
    </w:p>
    <w:p>
      <w:pPr>
        <w:pStyle w:val="BodyText"/>
        <w:spacing w:before="138"/>
        <w:rPr>
          <w:sz w:val="22"/>
        </w:rPr>
      </w:pPr>
    </w:p>
    <w:p>
      <w:pPr>
        <w:spacing w:line="242" w:lineRule="auto" w:before="0"/>
        <w:ind w:left="1702" w:right="1028" w:firstLine="0"/>
        <w:jc w:val="left"/>
        <w:rPr>
          <w:sz w:val="22"/>
        </w:rPr>
      </w:pPr>
      <w:r>
        <w:rPr>
          <w:sz w:val="22"/>
          <w:vertAlign w:val="superscript"/>
        </w:rPr>
        <w:t>1</w:t>
      </w:r>
      <w:r>
        <w:rPr>
          <w:sz w:val="22"/>
          <w:vertAlign w:val="baseline"/>
        </w:rPr>
        <w:t> The Ability Programme is a new programme funded by the Department of</w:t>
      </w:r>
      <w:r>
        <w:rPr>
          <w:spacing w:val="40"/>
          <w:sz w:val="22"/>
          <w:vertAlign w:val="baseline"/>
        </w:rPr>
        <w:t> </w:t>
      </w:r>
      <w:r>
        <w:rPr>
          <w:sz w:val="22"/>
          <w:vertAlign w:val="baseline"/>
        </w:rPr>
        <w:t>Employment Affairs and Social Protection and the European Social Fund. The Programme will support young people with disabilities (15-29 years of age) to improve their employability through a range of person-centred supports. Organisations are currently</w:t>
      </w:r>
      <w:r>
        <w:rPr>
          <w:spacing w:val="-2"/>
          <w:sz w:val="22"/>
          <w:vertAlign w:val="baseline"/>
        </w:rPr>
        <w:t> </w:t>
      </w:r>
      <w:r>
        <w:rPr>
          <w:sz w:val="22"/>
          <w:vertAlign w:val="baseline"/>
        </w:rPr>
        <w:t>invited</w:t>
      </w:r>
      <w:r>
        <w:rPr>
          <w:spacing w:val="-3"/>
          <w:sz w:val="22"/>
          <w:vertAlign w:val="baseline"/>
        </w:rPr>
        <w:t> </w:t>
      </w:r>
      <w:r>
        <w:rPr>
          <w:sz w:val="22"/>
          <w:vertAlign w:val="baseline"/>
        </w:rPr>
        <w:t>to</w:t>
      </w:r>
      <w:r>
        <w:rPr>
          <w:spacing w:val="-3"/>
          <w:sz w:val="22"/>
          <w:vertAlign w:val="baseline"/>
        </w:rPr>
        <w:t> </w:t>
      </w:r>
      <w:r>
        <w:rPr>
          <w:sz w:val="22"/>
          <w:vertAlign w:val="baseline"/>
        </w:rPr>
        <w:t>submit</w:t>
      </w:r>
      <w:r>
        <w:rPr>
          <w:spacing w:val="-3"/>
          <w:sz w:val="22"/>
          <w:vertAlign w:val="baseline"/>
        </w:rPr>
        <w:t> </w:t>
      </w:r>
      <w:r>
        <w:rPr>
          <w:sz w:val="22"/>
          <w:vertAlign w:val="baseline"/>
        </w:rPr>
        <w:t>applications</w:t>
      </w:r>
      <w:r>
        <w:rPr>
          <w:spacing w:val="-2"/>
          <w:sz w:val="22"/>
          <w:vertAlign w:val="baseline"/>
        </w:rPr>
        <w:t> </w:t>
      </w:r>
      <w:r>
        <w:rPr>
          <w:sz w:val="22"/>
          <w:vertAlign w:val="baseline"/>
        </w:rPr>
        <w:t>for</w:t>
      </w:r>
      <w:r>
        <w:rPr>
          <w:spacing w:val="-4"/>
          <w:sz w:val="22"/>
          <w:vertAlign w:val="baseline"/>
        </w:rPr>
        <w:t> </w:t>
      </w:r>
      <w:r>
        <w:rPr>
          <w:sz w:val="22"/>
          <w:vertAlign w:val="baseline"/>
        </w:rPr>
        <w:t>funding</w:t>
      </w:r>
      <w:r>
        <w:rPr>
          <w:spacing w:val="-5"/>
          <w:sz w:val="22"/>
          <w:vertAlign w:val="baseline"/>
        </w:rPr>
        <w:t> </w:t>
      </w:r>
      <w:r>
        <w:rPr>
          <w:sz w:val="22"/>
          <w:vertAlign w:val="baseline"/>
        </w:rPr>
        <w:t>to</w:t>
      </w:r>
      <w:r>
        <w:rPr>
          <w:spacing w:val="-3"/>
          <w:sz w:val="22"/>
          <w:vertAlign w:val="baseline"/>
        </w:rPr>
        <w:t> </w:t>
      </w:r>
      <w:r>
        <w:rPr>
          <w:sz w:val="22"/>
          <w:vertAlign w:val="baseline"/>
        </w:rPr>
        <w:t>provide</w:t>
      </w:r>
      <w:r>
        <w:rPr>
          <w:spacing w:val="-2"/>
          <w:sz w:val="22"/>
          <w:vertAlign w:val="baseline"/>
        </w:rPr>
        <w:t> </w:t>
      </w:r>
      <w:r>
        <w:rPr>
          <w:sz w:val="22"/>
          <w:vertAlign w:val="baseline"/>
        </w:rPr>
        <w:t>innovative</w:t>
      </w:r>
      <w:r>
        <w:rPr>
          <w:spacing w:val="-2"/>
          <w:sz w:val="22"/>
          <w:vertAlign w:val="baseline"/>
        </w:rPr>
        <w:t> </w:t>
      </w:r>
      <w:r>
        <w:rPr>
          <w:sz w:val="22"/>
          <w:vertAlign w:val="baseline"/>
        </w:rPr>
        <w:t>supports</w:t>
      </w:r>
      <w:r>
        <w:rPr>
          <w:spacing w:val="-2"/>
          <w:sz w:val="22"/>
          <w:vertAlign w:val="baseline"/>
        </w:rPr>
        <w:t> </w:t>
      </w:r>
      <w:r>
        <w:rPr>
          <w:sz w:val="22"/>
          <w:vertAlign w:val="baseline"/>
        </w:rPr>
        <w:t>in</w:t>
      </w:r>
      <w:r>
        <w:rPr>
          <w:spacing w:val="-2"/>
          <w:sz w:val="22"/>
          <w:vertAlign w:val="baseline"/>
        </w:rPr>
        <w:t> </w:t>
      </w:r>
      <w:r>
        <w:rPr>
          <w:sz w:val="22"/>
          <w:vertAlign w:val="baseline"/>
        </w:rPr>
        <w:t>this </w:t>
      </w:r>
      <w:r>
        <w:rPr>
          <w:spacing w:val="-2"/>
          <w:sz w:val="22"/>
          <w:vertAlign w:val="baseline"/>
        </w:rPr>
        <w:t>regard.</w:t>
      </w:r>
    </w:p>
    <w:p>
      <w:pPr>
        <w:spacing w:after="0" w:line="242" w:lineRule="auto"/>
        <w:jc w:val="left"/>
        <w:rPr>
          <w:sz w:val="22"/>
        </w:rPr>
        <w:sectPr>
          <w:pgSz w:w="11910" w:h="16850"/>
          <w:pgMar w:header="0" w:footer="811" w:top="1880" w:bottom="1000" w:left="283" w:right="992"/>
        </w:sectPr>
      </w:pPr>
    </w:p>
    <w:p>
      <w:pPr>
        <w:pStyle w:val="BodyText"/>
        <w:spacing w:before="79"/>
        <w:ind w:left="1702" w:right="1035"/>
      </w:pPr>
      <w:r>
        <w:rPr/>
        <w:t>employment might leave them financially worse off. The NDA was a member of this working group, and is pleased to see the extent to which many of the recommendations have already proceeded to implementation, including:</w:t>
      </w:r>
      <w:r>
        <w:rPr>
          <w:spacing w:val="-3"/>
        </w:rPr>
        <w:t> </w:t>
      </w:r>
      <w:r>
        <w:rPr/>
        <w:t>steps</w:t>
      </w:r>
      <w:r>
        <w:rPr>
          <w:spacing w:val="-2"/>
        </w:rPr>
        <w:t> </w:t>
      </w:r>
      <w:r>
        <w:rPr/>
        <w:t>to</w:t>
      </w:r>
      <w:r>
        <w:rPr>
          <w:spacing w:val="-3"/>
        </w:rPr>
        <w:t> </w:t>
      </w:r>
      <w:r>
        <w:rPr/>
        <w:t>raise</w:t>
      </w:r>
      <w:r>
        <w:rPr>
          <w:spacing w:val="-4"/>
        </w:rPr>
        <w:t> </w:t>
      </w:r>
      <w:r>
        <w:rPr/>
        <w:t>the</w:t>
      </w:r>
      <w:r>
        <w:rPr>
          <w:spacing w:val="-3"/>
        </w:rPr>
        <w:t> </w:t>
      </w:r>
      <w:r>
        <w:rPr/>
        <w:t>earnings</w:t>
      </w:r>
      <w:r>
        <w:rPr>
          <w:spacing w:val="-4"/>
        </w:rPr>
        <w:t> </w:t>
      </w:r>
      <w:r>
        <w:rPr/>
        <w:t>disregard</w:t>
      </w:r>
      <w:r>
        <w:rPr>
          <w:spacing w:val="-4"/>
        </w:rPr>
        <w:t> </w:t>
      </w:r>
      <w:r>
        <w:rPr/>
        <w:t>for</w:t>
      </w:r>
      <w:r>
        <w:rPr>
          <w:spacing w:val="-3"/>
        </w:rPr>
        <w:t> </w:t>
      </w:r>
      <w:r>
        <w:rPr/>
        <w:t>those</w:t>
      </w:r>
      <w:r>
        <w:rPr>
          <w:spacing w:val="-4"/>
        </w:rPr>
        <w:t> </w:t>
      </w:r>
      <w:r>
        <w:rPr/>
        <w:t>who</w:t>
      </w:r>
      <w:r>
        <w:rPr>
          <w:spacing w:val="-3"/>
        </w:rPr>
        <w:t> </w:t>
      </w:r>
      <w:r>
        <w:rPr/>
        <w:t>are</w:t>
      </w:r>
      <w:r>
        <w:rPr>
          <w:spacing w:val="-3"/>
        </w:rPr>
        <w:t> </w:t>
      </w:r>
      <w:r>
        <w:rPr/>
        <w:t>in receipt of</w:t>
      </w:r>
      <w:r>
        <w:rPr>
          <w:spacing w:val="-3"/>
        </w:rPr>
        <w:t> </w:t>
      </w:r>
      <w:r>
        <w:rPr/>
        <w:t>disability</w:t>
      </w:r>
      <w:r>
        <w:rPr>
          <w:spacing w:val="-3"/>
        </w:rPr>
        <w:t> </w:t>
      </w:r>
      <w:r>
        <w:rPr/>
        <w:t>allowance</w:t>
      </w:r>
      <w:r>
        <w:rPr>
          <w:spacing w:val="-3"/>
        </w:rPr>
        <w:t> </w:t>
      </w:r>
      <w:r>
        <w:rPr/>
        <w:t>and</w:t>
      </w:r>
      <w:r>
        <w:rPr>
          <w:spacing w:val="-3"/>
        </w:rPr>
        <w:t> </w:t>
      </w:r>
      <w:r>
        <w:rPr/>
        <w:t>who</w:t>
      </w:r>
      <w:r>
        <w:rPr>
          <w:spacing w:val="-2"/>
        </w:rPr>
        <w:t> </w:t>
      </w:r>
      <w:r>
        <w:rPr/>
        <w:t>wish</w:t>
      </w:r>
      <w:r>
        <w:rPr>
          <w:spacing w:val="-3"/>
        </w:rPr>
        <w:t> </w:t>
      </w:r>
      <w:r>
        <w:rPr/>
        <w:t>to</w:t>
      </w:r>
      <w:r>
        <w:rPr>
          <w:spacing w:val="-2"/>
        </w:rPr>
        <w:t> </w:t>
      </w:r>
      <w:r>
        <w:rPr/>
        <w:t>work;</w:t>
      </w:r>
      <w:r>
        <w:rPr>
          <w:spacing w:val="-3"/>
        </w:rPr>
        <w:t> </w:t>
      </w:r>
      <w:r>
        <w:rPr/>
        <w:t>steps</w:t>
      </w:r>
      <w:r>
        <w:rPr>
          <w:spacing w:val="-1"/>
        </w:rPr>
        <w:t> </w:t>
      </w:r>
      <w:r>
        <w:rPr/>
        <w:t>to</w:t>
      </w:r>
      <w:r>
        <w:rPr>
          <w:spacing w:val="-2"/>
        </w:rPr>
        <w:t> </w:t>
      </w:r>
      <w:r>
        <w:rPr/>
        <w:t>ensure</w:t>
      </w:r>
      <w:r>
        <w:rPr>
          <w:spacing w:val="-2"/>
        </w:rPr>
        <w:t> </w:t>
      </w:r>
      <w:r>
        <w:rPr/>
        <w:t>medical</w:t>
      </w:r>
      <w:r>
        <w:rPr>
          <w:spacing w:val="-3"/>
        </w:rPr>
        <w:t> </w:t>
      </w:r>
      <w:r>
        <w:rPr/>
        <w:t>card can be retained for longer on return to work; ensuring processes are streamlined to allow a prompt return to receipt of benefits if employment doesn’t work out; co-designed consultation on proposals to review the disability allowance in keeping with a commitment to raise expectations</w:t>
      </w:r>
      <w:r>
        <w:rPr>
          <w:spacing w:val="40"/>
        </w:rPr>
        <w:t> </w:t>
      </w:r>
      <w:r>
        <w:rPr/>
        <w:t>for young people regarding employment.</w:t>
      </w:r>
    </w:p>
    <w:p>
      <w:pPr>
        <w:pStyle w:val="BodyText"/>
        <w:spacing w:before="239"/>
        <w:ind w:left="1702" w:right="1099"/>
      </w:pPr>
      <w:r>
        <w:rPr/>
        <w:t>The</w:t>
      </w:r>
      <w:r>
        <w:rPr>
          <w:spacing w:val="-2"/>
        </w:rPr>
        <w:t> </w:t>
      </w:r>
      <w:r>
        <w:rPr/>
        <w:t>NDA</w:t>
      </w:r>
      <w:r>
        <w:rPr>
          <w:spacing w:val="-2"/>
        </w:rPr>
        <w:t> </w:t>
      </w:r>
      <w:r>
        <w:rPr/>
        <w:t>has</w:t>
      </w:r>
      <w:r>
        <w:rPr>
          <w:spacing w:val="-2"/>
        </w:rPr>
        <w:t> </w:t>
      </w:r>
      <w:r>
        <w:rPr/>
        <w:t>worked closely</w:t>
      </w:r>
      <w:r>
        <w:rPr>
          <w:spacing w:val="-2"/>
        </w:rPr>
        <w:t> </w:t>
      </w:r>
      <w:r>
        <w:rPr/>
        <w:t>with DEASP in the</w:t>
      </w:r>
      <w:r>
        <w:rPr>
          <w:spacing w:val="-2"/>
        </w:rPr>
        <w:t> </w:t>
      </w:r>
      <w:r>
        <w:rPr/>
        <w:t>latter</w:t>
      </w:r>
      <w:r>
        <w:rPr>
          <w:spacing w:val="-1"/>
        </w:rPr>
        <w:t> </w:t>
      </w:r>
      <w:r>
        <w:rPr/>
        <w:t>half</w:t>
      </w:r>
      <w:r>
        <w:rPr>
          <w:spacing w:val="-2"/>
        </w:rPr>
        <w:t> </w:t>
      </w:r>
      <w:r>
        <w:rPr/>
        <w:t>of</w:t>
      </w:r>
      <w:r>
        <w:rPr>
          <w:spacing w:val="-2"/>
        </w:rPr>
        <w:t> </w:t>
      </w:r>
      <w:r>
        <w:rPr/>
        <w:t>2017 to design</w:t>
      </w:r>
      <w:r>
        <w:rPr>
          <w:spacing w:val="-5"/>
        </w:rPr>
        <w:t> </w:t>
      </w:r>
      <w:r>
        <w:rPr/>
        <w:t>an</w:t>
      </w:r>
      <w:r>
        <w:rPr>
          <w:spacing w:val="-5"/>
        </w:rPr>
        <w:t> </w:t>
      </w:r>
      <w:r>
        <w:rPr/>
        <w:t>extensive</w:t>
      </w:r>
      <w:r>
        <w:rPr>
          <w:spacing w:val="-5"/>
        </w:rPr>
        <w:t> </w:t>
      </w:r>
      <w:r>
        <w:rPr/>
        <w:t>consultation</w:t>
      </w:r>
      <w:r>
        <w:rPr>
          <w:spacing w:val="-5"/>
        </w:rPr>
        <w:t> </w:t>
      </w:r>
      <w:r>
        <w:rPr/>
        <w:t>process</w:t>
      </w:r>
      <w:r>
        <w:rPr>
          <w:spacing w:val="-4"/>
        </w:rPr>
        <w:t> </w:t>
      </w:r>
      <w:r>
        <w:rPr/>
        <w:t>with</w:t>
      </w:r>
      <w:r>
        <w:rPr>
          <w:spacing w:val="-5"/>
        </w:rPr>
        <w:t> </w:t>
      </w:r>
      <w:r>
        <w:rPr/>
        <w:t>persons</w:t>
      </w:r>
      <w:r>
        <w:rPr>
          <w:spacing w:val="-2"/>
        </w:rPr>
        <w:t> </w:t>
      </w:r>
      <w:r>
        <w:rPr/>
        <w:t>with</w:t>
      </w:r>
      <w:r>
        <w:rPr>
          <w:spacing w:val="-5"/>
        </w:rPr>
        <w:t> </w:t>
      </w:r>
      <w:r>
        <w:rPr/>
        <w:t>disabilities, parents of children with disabilities, and sectoral representatives, in relation to early engagement with persons with disabilities. This consultation will be progressed in early 2018.</w:t>
      </w:r>
    </w:p>
    <w:p>
      <w:pPr>
        <w:pStyle w:val="Heading5"/>
        <w:spacing w:before="242"/>
      </w:pPr>
      <w:r>
        <w:rPr/>
        <w:t>Raising</w:t>
      </w:r>
      <w:r>
        <w:rPr>
          <w:spacing w:val="-10"/>
        </w:rPr>
        <w:t> </w:t>
      </w:r>
      <w:r>
        <w:rPr/>
        <w:t>Expectations</w:t>
      </w:r>
      <w:r>
        <w:rPr>
          <w:spacing w:val="-9"/>
        </w:rPr>
        <w:t> </w:t>
      </w:r>
      <w:r>
        <w:rPr/>
        <w:t>among</w:t>
      </w:r>
      <w:r>
        <w:rPr>
          <w:spacing w:val="-9"/>
        </w:rPr>
        <w:t> </w:t>
      </w:r>
      <w:r>
        <w:rPr/>
        <w:t>16-25</w:t>
      </w:r>
      <w:r>
        <w:rPr>
          <w:spacing w:val="-8"/>
        </w:rPr>
        <w:t> </w:t>
      </w:r>
      <w:r>
        <w:rPr/>
        <w:t>year</w:t>
      </w:r>
      <w:r>
        <w:rPr>
          <w:spacing w:val="-9"/>
        </w:rPr>
        <w:t> </w:t>
      </w:r>
      <w:r>
        <w:rPr>
          <w:spacing w:val="-4"/>
        </w:rPr>
        <w:t>olds</w:t>
      </w:r>
    </w:p>
    <w:p>
      <w:pPr>
        <w:pStyle w:val="BodyText"/>
        <w:spacing w:before="239"/>
        <w:ind w:left="1702" w:right="1060"/>
      </w:pPr>
      <w:r>
        <w:rPr/>
        <w:t>The NDA worked in partnership with the HSE during 2017 to promote the delivery of positive messages to emphasise each person’s potential to young adults with disabilities. The work in this area included an exploration of the experiences of young adults with disabilities and a survey of the views and practices of health and allied professionals. This project will culminate in 2018 with the development of best practice for professionals</w:t>
      </w:r>
      <w:r>
        <w:rPr>
          <w:spacing w:val="-6"/>
        </w:rPr>
        <w:t> </w:t>
      </w:r>
      <w:r>
        <w:rPr/>
        <w:t>in</w:t>
      </w:r>
      <w:r>
        <w:rPr>
          <w:spacing w:val="-5"/>
        </w:rPr>
        <w:t> </w:t>
      </w:r>
      <w:r>
        <w:rPr/>
        <w:t>delivering</w:t>
      </w:r>
      <w:r>
        <w:rPr>
          <w:spacing w:val="-5"/>
        </w:rPr>
        <w:t> </w:t>
      </w:r>
      <w:r>
        <w:rPr/>
        <w:t>positive</w:t>
      </w:r>
      <w:r>
        <w:rPr>
          <w:spacing w:val="-5"/>
        </w:rPr>
        <w:t> </w:t>
      </w:r>
      <w:r>
        <w:rPr/>
        <w:t>messages</w:t>
      </w:r>
      <w:r>
        <w:rPr>
          <w:spacing w:val="-4"/>
        </w:rPr>
        <w:t> </w:t>
      </w:r>
      <w:r>
        <w:rPr/>
        <w:t>and</w:t>
      </w:r>
      <w:r>
        <w:rPr>
          <w:spacing w:val="-5"/>
        </w:rPr>
        <w:t> </w:t>
      </w:r>
      <w:r>
        <w:rPr/>
        <w:t>promoting</w:t>
      </w:r>
      <w:r>
        <w:rPr>
          <w:spacing w:val="-5"/>
        </w:rPr>
        <w:t> </w:t>
      </w:r>
      <w:r>
        <w:rPr/>
        <w:t>the</w:t>
      </w:r>
      <w:r>
        <w:rPr>
          <w:spacing w:val="-5"/>
        </w:rPr>
        <w:t> </w:t>
      </w:r>
      <w:r>
        <w:rPr/>
        <w:t>aspirations of young people with disabilities.</w:t>
      </w:r>
    </w:p>
    <w:p>
      <w:pPr>
        <w:pStyle w:val="Heading5"/>
        <w:spacing w:before="240"/>
        <w:ind w:right="1080"/>
      </w:pPr>
      <w:r>
        <w:rPr/>
        <w:t>Report</w:t>
      </w:r>
      <w:r>
        <w:rPr>
          <w:spacing w:val="-4"/>
        </w:rPr>
        <w:t> </w:t>
      </w:r>
      <w:r>
        <w:rPr/>
        <w:t>on</w:t>
      </w:r>
      <w:r>
        <w:rPr>
          <w:spacing w:val="-6"/>
        </w:rPr>
        <w:t> </w:t>
      </w:r>
      <w:r>
        <w:rPr/>
        <w:t>the</w:t>
      </w:r>
      <w:r>
        <w:rPr>
          <w:spacing w:val="-5"/>
        </w:rPr>
        <w:t> </w:t>
      </w:r>
      <w:r>
        <w:rPr/>
        <w:t>employment</w:t>
      </w:r>
      <w:r>
        <w:rPr>
          <w:spacing w:val="-3"/>
        </w:rPr>
        <w:t> </w:t>
      </w:r>
      <w:r>
        <w:rPr/>
        <w:t>of</w:t>
      </w:r>
      <w:r>
        <w:rPr>
          <w:spacing w:val="-6"/>
        </w:rPr>
        <w:t> </w:t>
      </w:r>
      <w:r>
        <w:rPr/>
        <w:t>people</w:t>
      </w:r>
      <w:r>
        <w:rPr>
          <w:spacing w:val="-3"/>
        </w:rPr>
        <w:t> </w:t>
      </w:r>
      <w:r>
        <w:rPr/>
        <w:t>with</w:t>
      </w:r>
      <w:r>
        <w:rPr>
          <w:spacing w:val="-6"/>
        </w:rPr>
        <w:t> </w:t>
      </w:r>
      <w:r>
        <w:rPr/>
        <w:t>disabilities</w:t>
      </w:r>
      <w:r>
        <w:rPr>
          <w:spacing w:val="-3"/>
        </w:rPr>
        <w:t> </w:t>
      </w:r>
      <w:r>
        <w:rPr/>
        <w:t>in</w:t>
      </w:r>
      <w:r>
        <w:rPr>
          <w:spacing w:val="-6"/>
        </w:rPr>
        <w:t> </w:t>
      </w:r>
      <w:r>
        <w:rPr/>
        <w:t>the public sector</w:t>
      </w:r>
    </w:p>
    <w:p>
      <w:pPr>
        <w:pStyle w:val="BodyText"/>
        <w:spacing w:before="240"/>
        <w:ind w:left="1702" w:right="988"/>
      </w:pPr>
      <w:r>
        <w:rPr/>
        <w:t>The NDA has a statutory function to monitor the level of employment of persons with disabilities within the public sector based on reports submitted by Departments and public bodies. The report for 2016 was submitted to the Minister for Justice and Equality in November 2017. The report</w:t>
      </w:r>
      <w:r>
        <w:rPr>
          <w:spacing w:val="-4"/>
        </w:rPr>
        <w:t> </w:t>
      </w:r>
      <w:r>
        <w:rPr/>
        <w:t>revealed</w:t>
      </w:r>
      <w:r>
        <w:rPr>
          <w:spacing w:val="-4"/>
        </w:rPr>
        <w:t> </w:t>
      </w:r>
      <w:r>
        <w:rPr/>
        <w:t>that</w:t>
      </w:r>
      <w:r>
        <w:rPr>
          <w:spacing w:val="-4"/>
        </w:rPr>
        <w:t> </w:t>
      </w:r>
      <w:r>
        <w:rPr/>
        <w:t>while</w:t>
      </w:r>
      <w:r>
        <w:rPr>
          <w:spacing w:val="-4"/>
        </w:rPr>
        <w:t> </w:t>
      </w:r>
      <w:r>
        <w:rPr/>
        <w:t>the</w:t>
      </w:r>
      <w:r>
        <w:rPr>
          <w:spacing w:val="-3"/>
        </w:rPr>
        <w:t> </w:t>
      </w:r>
      <w:r>
        <w:rPr/>
        <w:t>number</w:t>
      </w:r>
      <w:r>
        <w:rPr>
          <w:spacing w:val="-4"/>
        </w:rPr>
        <w:t> </w:t>
      </w:r>
      <w:r>
        <w:rPr/>
        <w:t>of</w:t>
      </w:r>
      <w:r>
        <w:rPr>
          <w:spacing w:val="-4"/>
        </w:rPr>
        <w:t> </w:t>
      </w:r>
      <w:r>
        <w:rPr/>
        <w:t>people</w:t>
      </w:r>
      <w:r>
        <w:rPr>
          <w:spacing w:val="-4"/>
        </w:rPr>
        <w:t> </w:t>
      </w:r>
      <w:r>
        <w:rPr/>
        <w:t>with</w:t>
      </w:r>
      <w:r>
        <w:rPr>
          <w:spacing w:val="-4"/>
        </w:rPr>
        <w:t> </w:t>
      </w:r>
      <w:r>
        <w:rPr/>
        <w:t>a</w:t>
      </w:r>
      <w:r>
        <w:rPr>
          <w:spacing w:val="-4"/>
        </w:rPr>
        <w:t> </w:t>
      </w:r>
      <w:r>
        <w:rPr/>
        <w:t>disability</w:t>
      </w:r>
      <w:r>
        <w:rPr>
          <w:spacing w:val="-4"/>
        </w:rPr>
        <w:t> </w:t>
      </w:r>
      <w:r>
        <w:rPr/>
        <w:t>employed in</w:t>
      </w:r>
      <w:r>
        <w:rPr>
          <w:spacing w:val="-3"/>
        </w:rPr>
        <w:t> </w:t>
      </w:r>
      <w:r>
        <w:rPr/>
        <w:t>the</w:t>
      </w:r>
      <w:r>
        <w:rPr>
          <w:spacing w:val="-3"/>
        </w:rPr>
        <w:t> </w:t>
      </w:r>
      <w:r>
        <w:rPr/>
        <w:t>public</w:t>
      </w:r>
      <w:r>
        <w:rPr>
          <w:spacing w:val="-3"/>
        </w:rPr>
        <w:t> </w:t>
      </w:r>
      <w:r>
        <w:rPr/>
        <w:t>sector</w:t>
      </w:r>
      <w:r>
        <w:rPr>
          <w:spacing w:val="-3"/>
        </w:rPr>
        <w:t> </w:t>
      </w:r>
      <w:r>
        <w:rPr/>
        <w:t>increased</w:t>
      </w:r>
      <w:r>
        <w:rPr>
          <w:spacing w:val="-3"/>
        </w:rPr>
        <w:t> </w:t>
      </w:r>
      <w:r>
        <w:rPr/>
        <w:t>in</w:t>
      </w:r>
      <w:r>
        <w:rPr>
          <w:spacing w:val="-3"/>
        </w:rPr>
        <w:t> </w:t>
      </w:r>
      <w:r>
        <w:rPr/>
        <w:t>2016,</w:t>
      </w:r>
      <w:r>
        <w:rPr>
          <w:spacing w:val="-2"/>
        </w:rPr>
        <w:t> </w:t>
      </w:r>
      <w:r>
        <w:rPr/>
        <w:t>the</w:t>
      </w:r>
      <w:r>
        <w:rPr>
          <w:spacing w:val="-3"/>
        </w:rPr>
        <w:t> </w:t>
      </w:r>
      <w:r>
        <w:rPr/>
        <w:t>percentage</w:t>
      </w:r>
      <w:r>
        <w:rPr>
          <w:spacing w:val="-2"/>
        </w:rPr>
        <w:t> </w:t>
      </w:r>
      <w:r>
        <w:rPr/>
        <w:t>employed</w:t>
      </w:r>
      <w:r>
        <w:rPr>
          <w:spacing w:val="-3"/>
        </w:rPr>
        <w:t> </w:t>
      </w:r>
      <w:r>
        <w:rPr/>
        <w:t>fell</w:t>
      </w:r>
      <w:r>
        <w:rPr>
          <w:spacing w:val="-2"/>
        </w:rPr>
        <w:t> </w:t>
      </w:r>
      <w:r>
        <w:rPr/>
        <w:t>slightly from 3.6% to 3.5%. The report revealed a continued easing in the restrictions on public sector recruitment. The NDA is actively working with</w:t>
      </w:r>
      <w:r>
        <w:rPr>
          <w:spacing w:val="-1"/>
        </w:rPr>
        <w:t> </w:t>
      </w:r>
      <w:r>
        <w:rPr/>
        <w:t>Departments and public</w:t>
      </w:r>
      <w:r>
        <w:rPr>
          <w:spacing w:val="-1"/>
        </w:rPr>
        <w:t> </w:t>
      </w:r>
      <w:r>
        <w:rPr/>
        <w:t>bodies to progress the</w:t>
      </w:r>
      <w:r>
        <w:rPr>
          <w:spacing w:val="-1"/>
        </w:rPr>
        <w:t> </w:t>
      </w:r>
      <w:r>
        <w:rPr/>
        <w:t>employment</w:t>
      </w:r>
      <w:r>
        <w:rPr>
          <w:spacing w:val="-1"/>
        </w:rPr>
        <w:t> </w:t>
      </w:r>
      <w:r>
        <w:rPr/>
        <w:t>goals set out in the Comprehensive Employment Strategy and to provide guidance and support on ways of ensuring people with disabilities can benefit from increased levels of employment opportunities.</w:t>
      </w:r>
    </w:p>
    <w:p>
      <w:pPr>
        <w:pStyle w:val="BodyText"/>
        <w:spacing w:after="0"/>
        <w:sectPr>
          <w:pgSz w:w="11910" w:h="16850"/>
          <w:pgMar w:header="0" w:footer="811" w:top="1880" w:bottom="1000" w:left="283" w:right="992"/>
        </w:sectPr>
      </w:pPr>
    </w:p>
    <w:p>
      <w:pPr>
        <w:pStyle w:val="BodyText"/>
        <w:spacing w:before="79"/>
        <w:ind w:left="1702" w:right="988"/>
      </w:pPr>
      <w:r>
        <w:rPr/>
        <w:t>The NDA prepared and disseminated step by step guidance for public bodies</w:t>
      </w:r>
      <w:r>
        <w:rPr>
          <w:spacing w:val="-3"/>
        </w:rPr>
        <w:t> </w:t>
      </w:r>
      <w:r>
        <w:rPr/>
        <w:t>to</w:t>
      </w:r>
      <w:r>
        <w:rPr>
          <w:spacing w:val="-3"/>
        </w:rPr>
        <w:t> </w:t>
      </w:r>
      <w:r>
        <w:rPr/>
        <w:t>help</w:t>
      </w:r>
      <w:r>
        <w:rPr>
          <w:spacing w:val="-4"/>
        </w:rPr>
        <w:t> </w:t>
      </w:r>
      <w:r>
        <w:rPr/>
        <w:t>them</w:t>
      </w:r>
      <w:r>
        <w:rPr>
          <w:spacing w:val="-4"/>
        </w:rPr>
        <w:t> </w:t>
      </w:r>
      <w:r>
        <w:rPr/>
        <w:t>fill</w:t>
      </w:r>
      <w:r>
        <w:rPr>
          <w:spacing w:val="-3"/>
        </w:rPr>
        <w:t> </w:t>
      </w:r>
      <w:r>
        <w:rPr/>
        <w:t>out</w:t>
      </w:r>
      <w:r>
        <w:rPr>
          <w:spacing w:val="-4"/>
        </w:rPr>
        <w:t> </w:t>
      </w:r>
      <w:r>
        <w:rPr/>
        <w:t>their</w:t>
      </w:r>
      <w:r>
        <w:rPr>
          <w:spacing w:val="-4"/>
        </w:rPr>
        <w:t> </w:t>
      </w:r>
      <w:r>
        <w:rPr/>
        <w:t>statutory</w:t>
      </w:r>
      <w:r>
        <w:rPr>
          <w:spacing w:val="-4"/>
        </w:rPr>
        <w:t> </w:t>
      </w:r>
      <w:r>
        <w:rPr/>
        <w:t>forms</w:t>
      </w:r>
      <w:r>
        <w:rPr>
          <w:spacing w:val="-4"/>
        </w:rPr>
        <w:t> </w:t>
      </w:r>
      <w:r>
        <w:rPr/>
        <w:t>correctly.</w:t>
      </w:r>
      <w:r>
        <w:rPr>
          <w:spacing w:val="-2"/>
        </w:rPr>
        <w:t> </w:t>
      </w:r>
      <w:r>
        <w:rPr/>
        <w:t>The</w:t>
      </w:r>
      <w:r>
        <w:rPr>
          <w:spacing w:val="-2"/>
        </w:rPr>
        <w:t> </w:t>
      </w:r>
      <w:r>
        <w:rPr/>
        <w:t>NDA</w:t>
      </w:r>
      <w:r>
        <w:rPr>
          <w:spacing w:val="-4"/>
        </w:rPr>
        <w:t> </w:t>
      </w:r>
      <w:r>
        <w:rPr/>
        <w:t>also offered to provide short training sessions for groups of public bodies, on request, to go through this guidance with them and to answer any additional</w:t>
      </w:r>
      <w:r>
        <w:rPr>
          <w:spacing w:val="-2"/>
        </w:rPr>
        <w:t> </w:t>
      </w:r>
      <w:r>
        <w:rPr/>
        <w:t>questions</w:t>
      </w:r>
      <w:r>
        <w:rPr>
          <w:spacing w:val="-1"/>
        </w:rPr>
        <w:t> </w:t>
      </w:r>
      <w:r>
        <w:rPr/>
        <w:t>they</w:t>
      </w:r>
      <w:r>
        <w:rPr>
          <w:spacing w:val="-2"/>
        </w:rPr>
        <w:t> </w:t>
      </w:r>
      <w:r>
        <w:rPr/>
        <w:t>may</w:t>
      </w:r>
      <w:r>
        <w:rPr>
          <w:spacing w:val="-2"/>
        </w:rPr>
        <w:t> </w:t>
      </w:r>
      <w:r>
        <w:rPr/>
        <w:t>have.</w:t>
      </w:r>
      <w:r>
        <w:rPr>
          <w:spacing w:val="-2"/>
        </w:rPr>
        <w:t> </w:t>
      </w:r>
      <w:r>
        <w:rPr/>
        <w:t>A</w:t>
      </w:r>
      <w:r>
        <w:rPr>
          <w:spacing w:val="-2"/>
        </w:rPr>
        <w:t> </w:t>
      </w:r>
      <w:r>
        <w:rPr/>
        <w:t>number</w:t>
      </w:r>
      <w:r>
        <w:rPr>
          <w:spacing w:val="-2"/>
        </w:rPr>
        <w:t> </w:t>
      </w:r>
      <w:r>
        <w:rPr/>
        <w:t>of</w:t>
      </w:r>
      <w:r>
        <w:rPr>
          <w:spacing w:val="-2"/>
        </w:rPr>
        <w:t> </w:t>
      </w:r>
      <w:r>
        <w:rPr/>
        <w:t>bodies</w:t>
      </w:r>
      <w:r>
        <w:rPr>
          <w:spacing w:val="-1"/>
        </w:rPr>
        <w:t> </w:t>
      </w:r>
      <w:r>
        <w:rPr/>
        <w:t>took</w:t>
      </w:r>
      <w:r>
        <w:rPr>
          <w:spacing w:val="-2"/>
        </w:rPr>
        <w:t> </w:t>
      </w:r>
      <w:r>
        <w:rPr/>
        <w:t>up</w:t>
      </w:r>
      <w:r>
        <w:rPr>
          <w:spacing w:val="-2"/>
        </w:rPr>
        <w:t> </w:t>
      </w:r>
      <w:r>
        <w:rPr/>
        <w:t>this</w:t>
      </w:r>
      <w:r>
        <w:rPr>
          <w:spacing w:val="-1"/>
        </w:rPr>
        <w:t> </w:t>
      </w:r>
      <w:r>
        <w:rPr/>
        <w:t>offer in 2017.</w:t>
      </w:r>
    </w:p>
    <w:p>
      <w:pPr>
        <w:pStyle w:val="Heading5"/>
        <w:spacing w:before="253"/>
        <w:rPr>
          <w:rFonts w:ascii="Rockwell" w:hAnsi="Rockwell"/>
        </w:rPr>
      </w:pPr>
      <w:r>
        <w:rPr>
          <w:rFonts w:ascii="Rockwell" w:hAnsi="Rockwell"/>
        </w:rPr>
        <w:t>Part</w:t>
      </w:r>
      <w:r>
        <w:rPr>
          <w:rFonts w:ascii="Rockwell" w:hAnsi="Rockwell"/>
          <w:spacing w:val="-7"/>
        </w:rPr>
        <w:t> </w:t>
      </w:r>
      <w:r>
        <w:rPr>
          <w:rFonts w:ascii="Rockwell" w:hAnsi="Rockwell"/>
        </w:rPr>
        <w:t>5</w:t>
      </w:r>
      <w:r>
        <w:rPr>
          <w:rFonts w:ascii="Rockwell" w:hAnsi="Rockwell"/>
          <w:spacing w:val="-6"/>
        </w:rPr>
        <w:t> </w:t>
      </w:r>
      <w:r>
        <w:rPr>
          <w:rFonts w:ascii="Rockwell" w:hAnsi="Rockwell"/>
        </w:rPr>
        <w:t>of</w:t>
      </w:r>
      <w:r>
        <w:rPr>
          <w:rFonts w:ascii="Rockwell" w:hAnsi="Rockwell"/>
          <w:spacing w:val="-6"/>
        </w:rPr>
        <w:t> </w:t>
      </w:r>
      <w:r>
        <w:rPr>
          <w:rFonts w:ascii="Rockwell" w:hAnsi="Rockwell"/>
        </w:rPr>
        <w:t>the</w:t>
      </w:r>
      <w:r>
        <w:rPr>
          <w:rFonts w:ascii="Rockwell" w:hAnsi="Rockwell"/>
          <w:spacing w:val="-6"/>
        </w:rPr>
        <w:t> </w:t>
      </w:r>
      <w:r>
        <w:rPr>
          <w:rFonts w:ascii="Rockwell" w:hAnsi="Rockwell"/>
        </w:rPr>
        <w:t>Disability</w:t>
      </w:r>
      <w:r>
        <w:rPr>
          <w:rFonts w:ascii="Rockwell" w:hAnsi="Rockwell"/>
          <w:spacing w:val="-4"/>
        </w:rPr>
        <w:t> </w:t>
      </w:r>
      <w:r>
        <w:rPr>
          <w:rFonts w:ascii="Rockwell" w:hAnsi="Rockwell"/>
        </w:rPr>
        <w:t>Act</w:t>
      </w:r>
      <w:r>
        <w:rPr>
          <w:rFonts w:ascii="Rockwell" w:hAnsi="Rockwell"/>
          <w:spacing w:val="-7"/>
        </w:rPr>
        <w:t> </w:t>
      </w:r>
      <w:r>
        <w:rPr>
          <w:rFonts w:ascii="Rockwell" w:hAnsi="Rockwell"/>
        </w:rPr>
        <w:t>2005</w:t>
      </w:r>
      <w:r>
        <w:rPr>
          <w:rFonts w:ascii="Rockwell" w:hAnsi="Rockwell"/>
          <w:spacing w:val="-1"/>
        </w:rPr>
        <w:t> </w:t>
      </w:r>
      <w:r>
        <w:rPr>
          <w:rFonts w:ascii="Rockwell" w:hAnsi="Rockwell"/>
        </w:rPr>
        <w:t>–</w:t>
      </w:r>
      <w:r>
        <w:rPr>
          <w:rFonts w:ascii="Rockwell" w:hAnsi="Rockwell"/>
          <w:spacing w:val="-4"/>
        </w:rPr>
        <w:t> </w:t>
      </w:r>
      <w:r>
        <w:rPr>
          <w:rFonts w:ascii="Rockwell" w:hAnsi="Rockwell"/>
          <w:spacing w:val="-2"/>
        </w:rPr>
        <w:t>Compliance</w:t>
      </w:r>
    </w:p>
    <w:p>
      <w:pPr>
        <w:pStyle w:val="BodyText"/>
        <w:spacing w:before="227"/>
        <w:ind w:left="1702" w:right="1099"/>
      </w:pPr>
      <w:r>
        <w:rPr/>
        <w:t>During</w:t>
      </w:r>
      <w:r>
        <w:rPr>
          <w:spacing w:val="-4"/>
        </w:rPr>
        <w:t> </w:t>
      </w:r>
      <w:r>
        <w:rPr/>
        <w:t>2017,</w:t>
      </w:r>
      <w:r>
        <w:rPr>
          <w:spacing w:val="-4"/>
        </w:rPr>
        <w:t> </w:t>
      </w:r>
      <w:r>
        <w:rPr/>
        <w:t>the</w:t>
      </w:r>
      <w:r>
        <w:rPr>
          <w:spacing w:val="-2"/>
        </w:rPr>
        <w:t> </w:t>
      </w:r>
      <w:r>
        <w:rPr/>
        <w:t>NDA</w:t>
      </w:r>
      <w:r>
        <w:rPr>
          <w:spacing w:val="-3"/>
        </w:rPr>
        <w:t> </w:t>
      </w:r>
      <w:r>
        <w:rPr/>
        <w:t>engaged</w:t>
      </w:r>
      <w:r>
        <w:rPr>
          <w:spacing w:val="-4"/>
        </w:rPr>
        <w:t> </w:t>
      </w:r>
      <w:r>
        <w:rPr/>
        <w:t>with</w:t>
      </w:r>
      <w:r>
        <w:rPr>
          <w:spacing w:val="-4"/>
        </w:rPr>
        <w:t> </w:t>
      </w:r>
      <w:r>
        <w:rPr/>
        <w:t>several</w:t>
      </w:r>
      <w:r>
        <w:rPr>
          <w:spacing w:val="-3"/>
        </w:rPr>
        <w:t> </w:t>
      </w:r>
      <w:r>
        <w:rPr/>
        <w:t>larger</w:t>
      </w:r>
      <w:r>
        <w:rPr>
          <w:spacing w:val="-3"/>
        </w:rPr>
        <w:t> </w:t>
      </w:r>
      <w:r>
        <w:rPr/>
        <w:t>public</w:t>
      </w:r>
      <w:r>
        <w:rPr>
          <w:spacing w:val="-4"/>
        </w:rPr>
        <w:t> </w:t>
      </w:r>
      <w:r>
        <w:rPr/>
        <w:t>bodies</w:t>
      </w:r>
      <w:r>
        <w:rPr>
          <w:spacing w:val="-3"/>
        </w:rPr>
        <w:t> </w:t>
      </w:r>
      <w:r>
        <w:rPr/>
        <w:t>who</w:t>
      </w:r>
      <w:r>
        <w:rPr>
          <w:spacing w:val="-4"/>
        </w:rPr>
        <w:t> </w:t>
      </w:r>
      <w:r>
        <w:rPr/>
        <w:t>had not achieved the 3% target during 2014 and 2015. Additional information requested from those bodies in relation to any actions that they would have taken during that two year period to progress compliance will be considered to guide any determination of non-compliance.</w:t>
      </w:r>
    </w:p>
    <w:p>
      <w:pPr>
        <w:pStyle w:val="BodyText"/>
        <w:spacing w:before="240"/>
        <w:ind w:left="1702" w:right="1099"/>
      </w:pPr>
      <w:r>
        <w:rPr/>
        <w:t>The NDA will continue to work with these bodies regarding the specific measures they can take to progress compliance with the Act. We also note</w:t>
      </w:r>
      <w:r>
        <w:rPr>
          <w:spacing w:val="-4"/>
        </w:rPr>
        <w:t> </w:t>
      </w:r>
      <w:r>
        <w:rPr/>
        <w:t>the</w:t>
      </w:r>
      <w:r>
        <w:rPr>
          <w:spacing w:val="-3"/>
        </w:rPr>
        <w:t> </w:t>
      </w:r>
      <w:r>
        <w:rPr/>
        <w:t>extent</w:t>
      </w:r>
      <w:r>
        <w:rPr>
          <w:spacing w:val="-4"/>
        </w:rPr>
        <w:t> </w:t>
      </w:r>
      <w:r>
        <w:rPr/>
        <w:t>to</w:t>
      </w:r>
      <w:r>
        <w:rPr>
          <w:spacing w:val="-3"/>
        </w:rPr>
        <w:t> </w:t>
      </w:r>
      <w:r>
        <w:rPr/>
        <w:t>which</w:t>
      </w:r>
      <w:r>
        <w:rPr>
          <w:spacing w:val="-4"/>
        </w:rPr>
        <w:t> </w:t>
      </w:r>
      <w:r>
        <w:rPr/>
        <w:t>improvements</w:t>
      </w:r>
      <w:r>
        <w:rPr>
          <w:spacing w:val="-3"/>
        </w:rPr>
        <w:t> </w:t>
      </w:r>
      <w:r>
        <w:rPr/>
        <w:t>can</w:t>
      </w:r>
      <w:r>
        <w:rPr>
          <w:spacing w:val="-4"/>
        </w:rPr>
        <w:t> </w:t>
      </w:r>
      <w:r>
        <w:rPr/>
        <w:t>already</w:t>
      </w:r>
      <w:r>
        <w:rPr>
          <w:spacing w:val="-5"/>
        </w:rPr>
        <w:t> </w:t>
      </w:r>
      <w:r>
        <w:rPr/>
        <w:t>be</w:t>
      </w:r>
      <w:r>
        <w:rPr>
          <w:spacing w:val="-4"/>
        </w:rPr>
        <w:t> </w:t>
      </w:r>
      <w:r>
        <w:rPr/>
        <w:t>seen</w:t>
      </w:r>
      <w:r>
        <w:rPr>
          <w:spacing w:val="-4"/>
        </w:rPr>
        <w:t> </w:t>
      </w:r>
      <w:r>
        <w:rPr/>
        <w:t>in</w:t>
      </w:r>
      <w:r>
        <w:rPr>
          <w:spacing w:val="-4"/>
        </w:rPr>
        <w:t> </w:t>
      </w:r>
      <w:r>
        <w:rPr/>
        <w:t>the</w:t>
      </w:r>
      <w:r>
        <w:rPr>
          <w:spacing w:val="-4"/>
        </w:rPr>
        <w:t> </w:t>
      </w:r>
      <w:r>
        <w:rPr/>
        <w:t>figures for 2017.</w:t>
      </w:r>
    </w:p>
    <w:p>
      <w:pPr>
        <w:pStyle w:val="Heading5"/>
        <w:spacing w:before="254"/>
        <w:ind w:right="988"/>
        <w:rPr>
          <w:rFonts w:ascii="Rockwell"/>
        </w:rPr>
      </w:pPr>
      <w:r>
        <w:rPr>
          <w:rFonts w:ascii="Rockwell"/>
        </w:rPr>
        <w:t>Supporting</w:t>
      </w:r>
      <w:r>
        <w:rPr>
          <w:rFonts w:ascii="Rockwell"/>
          <w:spacing w:val="-5"/>
        </w:rPr>
        <w:t> </w:t>
      </w:r>
      <w:r>
        <w:rPr>
          <w:rFonts w:ascii="Rockwell"/>
        </w:rPr>
        <w:t>public</w:t>
      </w:r>
      <w:r>
        <w:rPr>
          <w:rFonts w:ascii="Rockwell"/>
          <w:spacing w:val="-6"/>
        </w:rPr>
        <w:t> </w:t>
      </w:r>
      <w:r>
        <w:rPr>
          <w:rFonts w:ascii="Rockwell"/>
        </w:rPr>
        <w:t>bodies</w:t>
      </w:r>
      <w:r>
        <w:rPr>
          <w:rFonts w:ascii="Rockwell"/>
          <w:spacing w:val="-6"/>
        </w:rPr>
        <w:t> </w:t>
      </w:r>
      <w:r>
        <w:rPr>
          <w:rFonts w:ascii="Rockwell"/>
        </w:rPr>
        <w:t>to</w:t>
      </w:r>
      <w:r>
        <w:rPr>
          <w:rFonts w:ascii="Rockwell"/>
          <w:spacing w:val="-6"/>
        </w:rPr>
        <w:t> </w:t>
      </w:r>
      <w:r>
        <w:rPr>
          <w:rFonts w:ascii="Rockwell"/>
        </w:rPr>
        <w:t>increase</w:t>
      </w:r>
      <w:r>
        <w:rPr>
          <w:rFonts w:ascii="Rockwell"/>
          <w:spacing w:val="-4"/>
        </w:rPr>
        <w:t> </w:t>
      </w:r>
      <w:r>
        <w:rPr>
          <w:rFonts w:ascii="Rockwell"/>
        </w:rPr>
        <w:t>recruitment</w:t>
      </w:r>
      <w:r>
        <w:rPr>
          <w:rFonts w:ascii="Rockwell"/>
          <w:spacing w:val="-6"/>
        </w:rPr>
        <w:t> </w:t>
      </w:r>
      <w:r>
        <w:rPr>
          <w:rFonts w:ascii="Rockwell"/>
        </w:rPr>
        <w:t>of</w:t>
      </w:r>
      <w:r>
        <w:rPr>
          <w:rFonts w:ascii="Rockwell"/>
          <w:spacing w:val="-6"/>
        </w:rPr>
        <w:t> </w:t>
      </w:r>
      <w:r>
        <w:rPr>
          <w:rFonts w:ascii="Rockwell"/>
        </w:rPr>
        <w:t>people with disabilities</w:t>
      </w:r>
    </w:p>
    <w:p>
      <w:pPr>
        <w:pStyle w:val="BodyText"/>
        <w:spacing w:before="25"/>
        <w:ind w:left="1702" w:right="1035"/>
      </w:pPr>
      <w:r>
        <w:rPr/>
        <w:t>The NDA continues to provide public bodies with guidance on increasing the number of persons with disabilities they recruit and retain.</w:t>
      </w:r>
      <w:r>
        <w:rPr>
          <w:spacing w:val="40"/>
        </w:rPr>
        <w:t> </w:t>
      </w:r>
      <w:r>
        <w:rPr/>
        <w:t>The NDA has met with several public bodies including Enterprise Ireland, the National</w:t>
      </w:r>
      <w:r>
        <w:rPr>
          <w:spacing w:val="-5"/>
        </w:rPr>
        <w:t> </w:t>
      </w:r>
      <w:r>
        <w:rPr/>
        <w:t>Treasury</w:t>
      </w:r>
      <w:r>
        <w:rPr>
          <w:spacing w:val="-4"/>
        </w:rPr>
        <w:t> </w:t>
      </w:r>
      <w:r>
        <w:rPr/>
        <w:t>Management</w:t>
      </w:r>
      <w:r>
        <w:rPr>
          <w:spacing w:val="-4"/>
        </w:rPr>
        <w:t> </w:t>
      </w:r>
      <w:r>
        <w:rPr/>
        <w:t>Agency</w:t>
      </w:r>
      <w:r>
        <w:rPr>
          <w:spacing w:val="-6"/>
        </w:rPr>
        <w:t> </w:t>
      </w:r>
      <w:r>
        <w:rPr/>
        <w:t>and</w:t>
      </w:r>
      <w:r>
        <w:rPr>
          <w:spacing w:val="-3"/>
        </w:rPr>
        <w:t> </w:t>
      </w:r>
      <w:r>
        <w:rPr/>
        <w:t>Irish</w:t>
      </w:r>
      <w:r>
        <w:rPr>
          <w:spacing w:val="-6"/>
        </w:rPr>
        <w:t> </w:t>
      </w:r>
      <w:r>
        <w:rPr/>
        <w:t>Water</w:t>
      </w:r>
      <w:r>
        <w:rPr>
          <w:spacing w:val="-5"/>
        </w:rPr>
        <w:t> </w:t>
      </w:r>
      <w:r>
        <w:rPr/>
        <w:t>to</w:t>
      </w:r>
      <w:r>
        <w:rPr>
          <w:spacing w:val="-4"/>
        </w:rPr>
        <w:t> </w:t>
      </w:r>
      <w:r>
        <w:rPr/>
        <w:t>understand</w:t>
      </w:r>
      <w:r>
        <w:rPr>
          <w:spacing w:val="-6"/>
        </w:rPr>
        <w:t> </w:t>
      </w:r>
      <w:r>
        <w:rPr/>
        <w:t>any challenges they are experiencing and to advise on the positive measures they</w:t>
      </w:r>
      <w:r>
        <w:rPr>
          <w:spacing w:val="-2"/>
        </w:rPr>
        <w:t> </w:t>
      </w:r>
      <w:r>
        <w:rPr/>
        <w:t>could</w:t>
      </w:r>
      <w:r>
        <w:rPr>
          <w:spacing w:val="-2"/>
        </w:rPr>
        <w:t> </w:t>
      </w:r>
      <w:r>
        <w:rPr/>
        <w:t>take</w:t>
      </w:r>
      <w:r>
        <w:rPr>
          <w:spacing w:val="-1"/>
        </w:rPr>
        <w:t> </w:t>
      </w:r>
      <w:r>
        <w:rPr/>
        <w:t>to</w:t>
      </w:r>
      <w:r>
        <w:rPr>
          <w:spacing w:val="-1"/>
        </w:rPr>
        <w:t> </w:t>
      </w:r>
      <w:r>
        <w:rPr/>
        <w:t>support</w:t>
      </w:r>
      <w:r>
        <w:rPr>
          <w:spacing w:val="-2"/>
        </w:rPr>
        <w:t> </w:t>
      </w:r>
      <w:r>
        <w:rPr/>
        <w:t>staff</w:t>
      </w:r>
      <w:r>
        <w:rPr>
          <w:spacing w:val="-2"/>
        </w:rPr>
        <w:t> </w:t>
      </w:r>
      <w:r>
        <w:rPr/>
        <w:t>with</w:t>
      </w:r>
      <w:r>
        <w:rPr>
          <w:spacing w:val="-2"/>
        </w:rPr>
        <w:t> </w:t>
      </w:r>
      <w:r>
        <w:rPr/>
        <w:t>disabilities and</w:t>
      </w:r>
      <w:r>
        <w:rPr>
          <w:spacing w:val="-2"/>
        </w:rPr>
        <w:t> </w:t>
      </w:r>
      <w:r>
        <w:rPr/>
        <w:t>to</w:t>
      </w:r>
      <w:r>
        <w:rPr>
          <w:spacing w:val="-2"/>
        </w:rPr>
        <w:t> </w:t>
      </w:r>
      <w:r>
        <w:rPr/>
        <w:t>achieve an</w:t>
      </w:r>
      <w:r>
        <w:rPr>
          <w:spacing w:val="-2"/>
        </w:rPr>
        <w:t> </w:t>
      </w:r>
      <w:r>
        <w:rPr/>
        <w:t>inclusive work environment.</w:t>
      </w:r>
    </w:p>
    <w:p>
      <w:pPr>
        <w:pStyle w:val="BodyText"/>
        <w:spacing w:line="244" w:lineRule="auto" w:before="254"/>
        <w:ind w:left="1702" w:right="1354"/>
      </w:pPr>
      <w:r>
        <w:rPr>
          <w:rFonts w:ascii="Rockwell" w:hAnsi="Rockwell"/>
          <w:b/>
        </w:rPr>
        <w:t>Incrementally increasing the statutory employment target </w:t>
      </w:r>
      <w:r>
        <w:rPr/>
        <w:t>In</w:t>
      </w:r>
      <w:r>
        <w:rPr>
          <w:spacing w:val="-5"/>
        </w:rPr>
        <w:t> </w:t>
      </w:r>
      <w:r>
        <w:rPr/>
        <w:t>the</w:t>
      </w:r>
      <w:r>
        <w:rPr>
          <w:spacing w:val="-5"/>
        </w:rPr>
        <w:t> </w:t>
      </w:r>
      <w:r>
        <w:rPr/>
        <w:t>Comprehensive</w:t>
      </w:r>
      <w:r>
        <w:rPr>
          <w:spacing w:val="-3"/>
        </w:rPr>
        <w:t> </w:t>
      </w:r>
      <w:r>
        <w:rPr/>
        <w:t>Employment</w:t>
      </w:r>
      <w:r>
        <w:rPr>
          <w:spacing w:val="-5"/>
        </w:rPr>
        <w:t> </w:t>
      </w:r>
      <w:r>
        <w:rPr/>
        <w:t>Strategy</w:t>
      </w:r>
      <w:r>
        <w:rPr>
          <w:spacing w:val="-5"/>
        </w:rPr>
        <w:t> </w:t>
      </w:r>
      <w:r>
        <w:rPr/>
        <w:t>for</w:t>
      </w:r>
      <w:r>
        <w:rPr>
          <w:spacing w:val="-5"/>
        </w:rPr>
        <w:t> </w:t>
      </w:r>
      <w:r>
        <w:rPr/>
        <w:t>People</w:t>
      </w:r>
      <w:r>
        <w:rPr>
          <w:spacing w:val="-5"/>
        </w:rPr>
        <w:t> </w:t>
      </w:r>
      <w:r>
        <w:rPr/>
        <w:t>with</w:t>
      </w:r>
      <w:r>
        <w:rPr>
          <w:spacing w:val="-5"/>
        </w:rPr>
        <w:t> </w:t>
      </w:r>
      <w:r>
        <w:rPr/>
        <w:t>Disabilities for 2015 – 2024, the Government has committed to progressively increasing the statutory target for the employment of people with disabilities from 3% to a minimum of 6% in the public sector by 2024.</w:t>
      </w:r>
    </w:p>
    <w:p>
      <w:pPr>
        <w:pStyle w:val="BodyText"/>
        <w:spacing w:before="236"/>
        <w:ind w:left="1702" w:right="1099"/>
      </w:pPr>
      <w:r>
        <w:rPr/>
        <w:t>This commitment is also detailed in action 49 of the National Disability Inclusion Strategy Plan 2017-2021 that states that all the relevant Government Departments will increase the public sector employment target</w:t>
      </w:r>
      <w:r>
        <w:rPr>
          <w:spacing w:val="-4"/>
        </w:rPr>
        <w:t> </w:t>
      </w:r>
      <w:r>
        <w:rPr/>
        <w:t>of</w:t>
      </w:r>
      <w:r>
        <w:rPr>
          <w:spacing w:val="-5"/>
        </w:rPr>
        <w:t> </w:t>
      </w:r>
      <w:r>
        <w:rPr/>
        <w:t>persons</w:t>
      </w:r>
      <w:r>
        <w:rPr>
          <w:spacing w:val="-4"/>
        </w:rPr>
        <w:t> </w:t>
      </w:r>
      <w:r>
        <w:rPr/>
        <w:t>with</w:t>
      </w:r>
      <w:r>
        <w:rPr>
          <w:spacing w:val="-5"/>
        </w:rPr>
        <w:t> </w:t>
      </w:r>
      <w:r>
        <w:rPr/>
        <w:t>disabilities</w:t>
      </w:r>
      <w:r>
        <w:rPr>
          <w:spacing w:val="-3"/>
        </w:rPr>
        <w:t> </w:t>
      </w:r>
      <w:r>
        <w:rPr/>
        <w:t>in increments</w:t>
      </w:r>
      <w:r>
        <w:rPr>
          <w:spacing w:val="-3"/>
        </w:rPr>
        <w:t> </w:t>
      </w:r>
      <w:r>
        <w:rPr/>
        <w:t>by</w:t>
      </w:r>
      <w:r>
        <w:rPr>
          <w:spacing w:val="-5"/>
        </w:rPr>
        <w:t> </w:t>
      </w:r>
      <w:r>
        <w:rPr/>
        <w:t>2024,</w:t>
      </w:r>
      <w:r>
        <w:rPr>
          <w:spacing w:val="-4"/>
        </w:rPr>
        <w:t> </w:t>
      </w:r>
      <w:r>
        <w:rPr/>
        <w:t>and</w:t>
      </w:r>
      <w:r>
        <w:rPr>
          <w:spacing w:val="-5"/>
        </w:rPr>
        <w:t> </w:t>
      </w:r>
      <w:r>
        <w:rPr/>
        <w:t>will</w:t>
      </w:r>
      <w:r>
        <w:rPr>
          <w:spacing w:val="-4"/>
        </w:rPr>
        <w:t> </w:t>
      </w:r>
      <w:r>
        <w:rPr/>
        <w:t>embed this target into all public service workforce planning and recruitment.</w:t>
      </w:r>
    </w:p>
    <w:p>
      <w:pPr>
        <w:pStyle w:val="BodyText"/>
        <w:spacing w:after="0"/>
        <w:sectPr>
          <w:pgSz w:w="11910" w:h="16850"/>
          <w:pgMar w:header="0" w:footer="811" w:top="1880" w:bottom="1000" w:left="283" w:right="992"/>
        </w:sectPr>
      </w:pPr>
    </w:p>
    <w:p>
      <w:pPr>
        <w:pStyle w:val="BodyText"/>
        <w:spacing w:before="79"/>
        <w:ind w:left="1702" w:right="988"/>
      </w:pPr>
      <w:r>
        <w:rPr/>
        <w:t>The NDA submitted a briefing to the Department of Justice and Equality advising</w:t>
      </w:r>
      <w:r>
        <w:rPr>
          <w:spacing w:val="-5"/>
        </w:rPr>
        <w:t> </w:t>
      </w:r>
      <w:r>
        <w:rPr/>
        <w:t>that</w:t>
      </w:r>
      <w:r>
        <w:rPr>
          <w:spacing w:val="-5"/>
        </w:rPr>
        <w:t> </w:t>
      </w:r>
      <w:r>
        <w:rPr/>
        <w:t>the</w:t>
      </w:r>
      <w:r>
        <w:rPr>
          <w:spacing w:val="-5"/>
        </w:rPr>
        <w:t> </w:t>
      </w:r>
      <w:r>
        <w:rPr/>
        <w:t>statutory</w:t>
      </w:r>
      <w:r>
        <w:rPr>
          <w:spacing w:val="-5"/>
        </w:rPr>
        <w:t> </w:t>
      </w:r>
      <w:r>
        <w:rPr/>
        <w:t>employment</w:t>
      </w:r>
      <w:r>
        <w:rPr>
          <w:spacing w:val="-2"/>
        </w:rPr>
        <w:t> </w:t>
      </w:r>
      <w:r>
        <w:rPr/>
        <w:t>target</w:t>
      </w:r>
      <w:r>
        <w:rPr>
          <w:spacing w:val="-2"/>
        </w:rPr>
        <w:t> </w:t>
      </w:r>
      <w:r>
        <w:rPr/>
        <w:t>could</w:t>
      </w:r>
      <w:r>
        <w:rPr>
          <w:spacing w:val="-5"/>
        </w:rPr>
        <w:t> </w:t>
      </w:r>
      <w:r>
        <w:rPr/>
        <w:t>be</w:t>
      </w:r>
      <w:r>
        <w:rPr>
          <w:spacing w:val="-5"/>
        </w:rPr>
        <w:t> </w:t>
      </w:r>
      <w:r>
        <w:rPr/>
        <w:t>increased</w:t>
      </w:r>
      <w:r>
        <w:rPr>
          <w:spacing w:val="-5"/>
        </w:rPr>
        <w:t> </w:t>
      </w:r>
      <w:r>
        <w:rPr/>
        <w:t>using</w:t>
      </w:r>
      <w:r>
        <w:rPr>
          <w:spacing w:val="-5"/>
        </w:rPr>
        <w:t> </w:t>
      </w:r>
      <w:r>
        <w:rPr/>
        <w:t>the following phased approach:</w:t>
      </w:r>
    </w:p>
    <w:p>
      <w:pPr>
        <w:pStyle w:val="ListParagraph"/>
        <w:numPr>
          <w:ilvl w:val="0"/>
          <w:numId w:val="6"/>
        </w:numPr>
        <w:tabs>
          <w:tab w:pos="2062" w:val="left" w:leader="none"/>
        </w:tabs>
        <w:spacing w:line="240" w:lineRule="auto" w:before="240" w:after="0"/>
        <w:ind w:left="2062" w:right="1309" w:hanging="360"/>
        <w:jc w:val="left"/>
        <w:rPr>
          <w:sz w:val="26"/>
        </w:rPr>
      </w:pPr>
      <w:r>
        <w:rPr>
          <w:sz w:val="26"/>
        </w:rPr>
        <w:t>By</w:t>
      </w:r>
      <w:r>
        <w:rPr>
          <w:spacing w:val="-4"/>
          <w:sz w:val="26"/>
        </w:rPr>
        <w:t> </w:t>
      </w:r>
      <w:r>
        <w:rPr>
          <w:sz w:val="26"/>
        </w:rPr>
        <w:t>2019,</w:t>
      </w:r>
      <w:r>
        <w:rPr>
          <w:spacing w:val="-4"/>
          <w:sz w:val="26"/>
        </w:rPr>
        <w:t> </w:t>
      </w:r>
      <w:r>
        <w:rPr>
          <w:sz w:val="26"/>
        </w:rPr>
        <w:t>all</w:t>
      </w:r>
      <w:r>
        <w:rPr>
          <w:spacing w:val="-3"/>
          <w:sz w:val="26"/>
        </w:rPr>
        <w:t> </w:t>
      </w:r>
      <w:r>
        <w:rPr>
          <w:sz w:val="26"/>
        </w:rPr>
        <w:t>public</w:t>
      </w:r>
      <w:r>
        <w:rPr>
          <w:spacing w:val="-2"/>
          <w:sz w:val="26"/>
        </w:rPr>
        <w:t> </w:t>
      </w:r>
      <w:r>
        <w:rPr>
          <w:sz w:val="26"/>
        </w:rPr>
        <w:t>bodies must</w:t>
      </w:r>
      <w:r>
        <w:rPr>
          <w:spacing w:val="-4"/>
          <w:sz w:val="26"/>
        </w:rPr>
        <w:t> </w:t>
      </w:r>
      <w:r>
        <w:rPr>
          <w:sz w:val="26"/>
        </w:rPr>
        <w:t>ensure</w:t>
      </w:r>
      <w:r>
        <w:rPr>
          <w:spacing w:val="-3"/>
          <w:sz w:val="26"/>
        </w:rPr>
        <w:t> </w:t>
      </w:r>
      <w:r>
        <w:rPr>
          <w:sz w:val="26"/>
        </w:rPr>
        <w:t>that</w:t>
      </w:r>
      <w:r>
        <w:rPr>
          <w:spacing w:val="-4"/>
          <w:sz w:val="26"/>
        </w:rPr>
        <w:t> </w:t>
      </w:r>
      <w:r>
        <w:rPr>
          <w:sz w:val="26"/>
        </w:rPr>
        <w:t>a</w:t>
      </w:r>
      <w:r>
        <w:rPr>
          <w:spacing w:val="-2"/>
          <w:sz w:val="26"/>
        </w:rPr>
        <w:t> </w:t>
      </w:r>
      <w:r>
        <w:rPr>
          <w:sz w:val="26"/>
        </w:rPr>
        <w:t>minimum</w:t>
      </w:r>
      <w:r>
        <w:rPr>
          <w:spacing w:val="-3"/>
          <w:sz w:val="26"/>
        </w:rPr>
        <w:t> </w:t>
      </w:r>
      <w:r>
        <w:rPr>
          <w:sz w:val="26"/>
        </w:rPr>
        <w:t>of</w:t>
      </w:r>
      <w:r>
        <w:rPr>
          <w:spacing w:val="-4"/>
          <w:sz w:val="26"/>
        </w:rPr>
        <w:t> </w:t>
      </w:r>
      <w:r>
        <w:rPr>
          <w:sz w:val="26"/>
        </w:rPr>
        <w:t>4%</w:t>
      </w:r>
      <w:r>
        <w:rPr>
          <w:spacing w:val="-4"/>
          <w:sz w:val="26"/>
        </w:rPr>
        <w:t> </w:t>
      </w:r>
      <w:r>
        <w:rPr>
          <w:sz w:val="26"/>
        </w:rPr>
        <w:t>of</w:t>
      </w:r>
      <w:r>
        <w:rPr>
          <w:spacing w:val="-4"/>
          <w:sz w:val="26"/>
        </w:rPr>
        <w:t> </w:t>
      </w:r>
      <w:r>
        <w:rPr>
          <w:sz w:val="26"/>
        </w:rPr>
        <w:t>their employees must be people with disabilities</w:t>
      </w:r>
    </w:p>
    <w:p>
      <w:pPr>
        <w:pStyle w:val="ListParagraph"/>
        <w:numPr>
          <w:ilvl w:val="0"/>
          <w:numId w:val="6"/>
        </w:numPr>
        <w:tabs>
          <w:tab w:pos="2062" w:val="left" w:leader="none"/>
        </w:tabs>
        <w:spacing w:line="240" w:lineRule="auto" w:before="0" w:after="0"/>
        <w:ind w:left="2062" w:right="1609" w:hanging="360"/>
        <w:jc w:val="left"/>
        <w:rPr>
          <w:sz w:val="26"/>
        </w:rPr>
      </w:pPr>
      <w:r>
        <w:rPr>
          <w:sz w:val="26"/>
        </w:rPr>
        <w:t>By</w:t>
      </w:r>
      <w:r>
        <w:rPr>
          <w:spacing w:val="-4"/>
          <w:sz w:val="26"/>
        </w:rPr>
        <w:t> </w:t>
      </w:r>
      <w:r>
        <w:rPr>
          <w:sz w:val="26"/>
        </w:rPr>
        <w:t>2021,</w:t>
      </w:r>
      <w:r>
        <w:rPr>
          <w:spacing w:val="-4"/>
          <w:sz w:val="26"/>
        </w:rPr>
        <w:t> </w:t>
      </w:r>
      <w:r>
        <w:rPr>
          <w:sz w:val="26"/>
        </w:rPr>
        <w:t>public</w:t>
      </w:r>
      <w:r>
        <w:rPr>
          <w:spacing w:val="-4"/>
          <w:sz w:val="26"/>
        </w:rPr>
        <w:t> </w:t>
      </w:r>
      <w:r>
        <w:rPr>
          <w:sz w:val="26"/>
        </w:rPr>
        <w:t>bodies</w:t>
      </w:r>
      <w:r>
        <w:rPr>
          <w:spacing w:val="-3"/>
          <w:sz w:val="26"/>
        </w:rPr>
        <w:t> </w:t>
      </w:r>
      <w:r>
        <w:rPr>
          <w:sz w:val="26"/>
        </w:rPr>
        <w:t>must</w:t>
      </w:r>
      <w:r>
        <w:rPr>
          <w:spacing w:val="-4"/>
          <w:sz w:val="26"/>
        </w:rPr>
        <w:t> </w:t>
      </w:r>
      <w:r>
        <w:rPr>
          <w:sz w:val="26"/>
        </w:rPr>
        <w:t>ensure</w:t>
      </w:r>
      <w:r>
        <w:rPr>
          <w:spacing w:val="-3"/>
          <w:sz w:val="26"/>
        </w:rPr>
        <w:t> </w:t>
      </w:r>
      <w:r>
        <w:rPr>
          <w:sz w:val="26"/>
        </w:rPr>
        <w:t>that</w:t>
      </w:r>
      <w:r>
        <w:rPr>
          <w:spacing w:val="-4"/>
          <w:sz w:val="26"/>
        </w:rPr>
        <w:t> </w:t>
      </w:r>
      <w:r>
        <w:rPr>
          <w:sz w:val="26"/>
        </w:rPr>
        <w:t>a</w:t>
      </w:r>
      <w:r>
        <w:rPr>
          <w:spacing w:val="-2"/>
          <w:sz w:val="26"/>
        </w:rPr>
        <w:t> </w:t>
      </w:r>
      <w:r>
        <w:rPr>
          <w:sz w:val="26"/>
        </w:rPr>
        <w:t>minimum</w:t>
      </w:r>
      <w:r>
        <w:rPr>
          <w:spacing w:val="-5"/>
          <w:sz w:val="26"/>
        </w:rPr>
        <w:t> </w:t>
      </w:r>
      <w:r>
        <w:rPr>
          <w:sz w:val="26"/>
        </w:rPr>
        <w:t>of</w:t>
      </w:r>
      <w:r>
        <w:rPr>
          <w:spacing w:val="-4"/>
          <w:sz w:val="26"/>
        </w:rPr>
        <w:t> </w:t>
      </w:r>
      <w:r>
        <w:rPr>
          <w:sz w:val="26"/>
        </w:rPr>
        <w:t>5%</w:t>
      </w:r>
      <w:r>
        <w:rPr>
          <w:spacing w:val="-2"/>
          <w:sz w:val="26"/>
        </w:rPr>
        <w:t> </w:t>
      </w:r>
      <w:r>
        <w:rPr>
          <w:sz w:val="26"/>
        </w:rPr>
        <w:t>of</w:t>
      </w:r>
      <w:r>
        <w:rPr>
          <w:spacing w:val="-4"/>
          <w:sz w:val="26"/>
        </w:rPr>
        <w:t> </w:t>
      </w:r>
      <w:r>
        <w:rPr>
          <w:sz w:val="26"/>
        </w:rPr>
        <w:t>their employees must be people with disabilities</w:t>
      </w:r>
    </w:p>
    <w:p>
      <w:pPr>
        <w:pStyle w:val="ListParagraph"/>
        <w:numPr>
          <w:ilvl w:val="0"/>
          <w:numId w:val="6"/>
        </w:numPr>
        <w:tabs>
          <w:tab w:pos="2062" w:val="left" w:leader="none"/>
        </w:tabs>
        <w:spacing w:line="240" w:lineRule="auto" w:before="0" w:after="0"/>
        <w:ind w:left="2062" w:right="1604" w:hanging="360"/>
        <w:jc w:val="left"/>
        <w:rPr>
          <w:sz w:val="26"/>
        </w:rPr>
      </w:pPr>
      <w:r>
        <w:rPr>
          <w:sz w:val="26"/>
        </w:rPr>
        <w:t>By</w:t>
      </w:r>
      <w:r>
        <w:rPr>
          <w:spacing w:val="-4"/>
          <w:sz w:val="26"/>
        </w:rPr>
        <w:t> </w:t>
      </w:r>
      <w:r>
        <w:rPr>
          <w:sz w:val="26"/>
        </w:rPr>
        <w:t>2023,</w:t>
      </w:r>
      <w:r>
        <w:rPr>
          <w:spacing w:val="-4"/>
          <w:sz w:val="26"/>
        </w:rPr>
        <w:t> </w:t>
      </w:r>
      <w:r>
        <w:rPr>
          <w:sz w:val="26"/>
        </w:rPr>
        <w:t>public</w:t>
      </w:r>
      <w:r>
        <w:rPr>
          <w:spacing w:val="-4"/>
          <w:sz w:val="26"/>
        </w:rPr>
        <w:t> </w:t>
      </w:r>
      <w:r>
        <w:rPr>
          <w:sz w:val="26"/>
        </w:rPr>
        <w:t>bodies</w:t>
      </w:r>
      <w:r>
        <w:rPr>
          <w:spacing w:val="-3"/>
          <w:sz w:val="26"/>
        </w:rPr>
        <w:t> </w:t>
      </w:r>
      <w:r>
        <w:rPr>
          <w:sz w:val="26"/>
        </w:rPr>
        <w:t>must</w:t>
      </w:r>
      <w:r>
        <w:rPr>
          <w:spacing w:val="-4"/>
          <w:sz w:val="26"/>
        </w:rPr>
        <w:t> </w:t>
      </w:r>
      <w:r>
        <w:rPr>
          <w:sz w:val="26"/>
        </w:rPr>
        <w:t>ensure</w:t>
      </w:r>
      <w:r>
        <w:rPr>
          <w:spacing w:val="-3"/>
          <w:sz w:val="26"/>
        </w:rPr>
        <w:t> </w:t>
      </w:r>
      <w:r>
        <w:rPr>
          <w:sz w:val="26"/>
        </w:rPr>
        <w:t>that</w:t>
      </w:r>
      <w:r>
        <w:rPr>
          <w:spacing w:val="-4"/>
          <w:sz w:val="26"/>
        </w:rPr>
        <w:t> </w:t>
      </w:r>
      <w:r>
        <w:rPr>
          <w:sz w:val="26"/>
        </w:rPr>
        <w:t>a</w:t>
      </w:r>
      <w:r>
        <w:rPr>
          <w:spacing w:val="-2"/>
          <w:sz w:val="26"/>
        </w:rPr>
        <w:t> </w:t>
      </w:r>
      <w:r>
        <w:rPr>
          <w:sz w:val="26"/>
        </w:rPr>
        <w:t>minimum</w:t>
      </w:r>
      <w:r>
        <w:rPr>
          <w:spacing w:val="-5"/>
          <w:sz w:val="26"/>
        </w:rPr>
        <w:t> </w:t>
      </w:r>
      <w:r>
        <w:rPr>
          <w:sz w:val="26"/>
        </w:rPr>
        <w:t>of</w:t>
      </w:r>
      <w:r>
        <w:rPr>
          <w:spacing w:val="-4"/>
          <w:sz w:val="26"/>
        </w:rPr>
        <w:t> </w:t>
      </w:r>
      <w:r>
        <w:rPr>
          <w:sz w:val="26"/>
        </w:rPr>
        <w:t>6%</w:t>
      </w:r>
      <w:r>
        <w:rPr>
          <w:spacing w:val="-2"/>
          <w:sz w:val="26"/>
        </w:rPr>
        <w:t> </w:t>
      </w:r>
      <w:r>
        <w:rPr>
          <w:sz w:val="26"/>
        </w:rPr>
        <w:t>of</w:t>
      </w:r>
      <w:r>
        <w:rPr>
          <w:spacing w:val="-4"/>
          <w:sz w:val="26"/>
        </w:rPr>
        <w:t> </w:t>
      </w:r>
      <w:r>
        <w:rPr>
          <w:sz w:val="26"/>
        </w:rPr>
        <w:t>their employees must be people with disabilities</w:t>
      </w:r>
    </w:p>
    <w:p>
      <w:pPr>
        <w:pStyle w:val="Heading3"/>
        <w:spacing w:before="252"/>
        <w:ind w:right="1080"/>
      </w:pPr>
      <w:r>
        <w:rPr>
          <w:color w:val="BE2195"/>
        </w:rPr>
        <w:t>Advise on the implementation of the agreed programme of change in disability services to give</w:t>
      </w:r>
      <w:r>
        <w:rPr>
          <w:color w:val="BE2195"/>
          <w:spacing w:val="-5"/>
        </w:rPr>
        <w:t> </w:t>
      </w:r>
      <w:r>
        <w:rPr>
          <w:color w:val="BE2195"/>
        </w:rPr>
        <w:t>individuals</w:t>
      </w:r>
      <w:r>
        <w:rPr>
          <w:color w:val="BE2195"/>
          <w:spacing w:val="-6"/>
        </w:rPr>
        <w:t> </w:t>
      </w:r>
      <w:r>
        <w:rPr>
          <w:color w:val="BE2195"/>
        </w:rPr>
        <w:t>more</w:t>
      </w:r>
      <w:r>
        <w:rPr>
          <w:color w:val="BE2195"/>
          <w:spacing w:val="-7"/>
        </w:rPr>
        <w:t> </w:t>
      </w:r>
      <w:r>
        <w:rPr>
          <w:color w:val="BE2195"/>
        </w:rPr>
        <w:t>choice</w:t>
      </w:r>
      <w:r>
        <w:rPr>
          <w:color w:val="BE2195"/>
          <w:spacing w:val="-5"/>
        </w:rPr>
        <w:t> </w:t>
      </w:r>
      <w:r>
        <w:rPr>
          <w:color w:val="BE2195"/>
        </w:rPr>
        <w:t>and</w:t>
      </w:r>
      <w:r>
        <w:rPr>
          <w:color w:val="BE2195"/>
          <w:spacing w:val="-7"/>
        </w:rPr>
        <w:t> </w:t>
      </w:r>
      <w:r>
        <w:rPr>
          <w:color w:val="BE2195"/>
        </w:rPr>
        <w:t>control</w:t>
      </w:r>
      <w:r>
        <w:rPr>
          <w:color w:val="BE2195"/>
          <w:spacing w:val="-7"/>
        </w:rPr>
        <w:t> </w:t>
      </w:r>
      <w:r>
        <w:rPr>
          <w:color w:val="BE2195"/>
        </w:rPr>
        <w:t>in</w:t>
      </w:r>
      <w:r>
        <w:rPr>
          <w:color w:val="BE2195"/>
          <w:spacing w:val="-6"/>
        </w:rPr>
        <w:t> </w:t>
      </w:r>
      <w:r>
        <w:rPr>
          <w:color w:val="BE2195"/>
        </w:rPr>
        <w:t>their daily lives</w:t>
      </w:r>
    </w:p>
    <w:p>
      <w:pPr>
        <w:pStyle w:val="BodyText"/>
        <w:spacing w:before="108"/>
        <w:ind w:left="1702" w:right="1035"/>
      </w:pPr>
      <w:r>
        <w:rPr/>
        <w:t>Over 2017 the NDA continued to support the implementation of commitments set out in a range of strategies to transform disability services</w:t>
      </w:r>
      <w:r>
        <w:rPr>
          <w:spacing w:val="-4"/>
        </w:rPr>
        <w:t> </w:t>
      </w:r>
      <w:r>
        <w:rPr/>
        <w:t>into</w:t>
      </w:r>
      <w:r>
        <w:rPr>
          <w:spacing w:val="-4"/>
        </w:rPr>
        <w:t> </w:t>
      </w:r>
      <w:r>
        <w:rPr/>
        <w:t>supports</w:t>
      </w:r>
      <w:r>
        <w:rPr>
          <w:spacing w:val="-6"/>
        </w:rPr>
        <w:t> </w:t>
      </w:r>
      <w:r>
        <w:rPr/>
        <w:t>that</w:t>
      </w:r>
      <w:r>
        <w:rPr>
          <w:spacing w:val="-5"/>
        </w:rPr>
        <w:t> </w:t>
      </w:r>
      <w:r>
        <w:rPr/>
        <w:t>facilitate</w:t>
      </w:r>
      <w:r>
        <w:rPr>
          <w:spacing w:val="-5"/>
        </w:rPr>
        <w:t> </w:t>
      </w:r>
      <w:r>
        <w:rPr/>
        <w:t>persons</w:t>
      </w:r>
      <w:r>
        <w:rPr>
          <w:spacing w:val="-4"/>
        </w:rPr>
        <w:t> </w:t>
      </w:r>
      <w:r>
        <w:rPr/>
        <w:t>with</w:t>
      </w:r>
      <w:r>
        <w:rPr>
          <w:spacing w:val="-5"/>
        </w:rPr>
        <w:t> </w:t>
      </w:r>
      <w:r>
        <w:rPr/>
        <w:t>disabilities</w:t>
      </w:r>
      <w:r>
        <w:rPr>
          <w:spacing w:val="-3"/>
        </w:rPr>
        <w:t> </w:t>
      </w:r>
      <w:r>
        <w:rPr/>
        <w:t>to</w:t>
      </w:r>
      <w:r>
        <w:rPr>
          <w:spacing w:val="-4"/>
        </w:rPr>
        <w:t> </w:t>
      </w:r>
      <w:r>
        <w:rPr/>
        <w:t>live</w:t>
      </w:r>
      <w:r>
        <w:rPr>
          <w:spacing w:val="-5"/>
        </w:rPr>
        <w:t> </w:t>
      </w:r>
      <w:r>
        <w:rPr/>
        <w:t>lives</w:t>
      </w:r>
      <w:r>
        <w:rPr>
          <w:spacing w:val="-4"/>
        </w:rPr>
        <w:t> </w:t>
      </w:r>
      <w:r>
        <w:rPr/>
        <w:t>of their choosing in the community. These are set out below.</w:t>
      </w:r>
    </w:p>
    <w:p>
      <w:pPr>
        <w:pStyle w:val="Heading5"/>
        <w:spacing w:before="242"/>
      </w:pPr>
      <w:r>
        <w:rPr/>
        <w:t>Task</w:t>
      </w:r>
      <w:r>
        <w:rPr>
          <w:spacing w:val="-12"/>
        </w:rPr>
        <w:t> </w:t>
      </w:r>
      <w:r>
        <w:rPr/>
        <w:t>Force</w:t>
      </w:r>
      <w:r>
        <w:rPr>
          <w:spacing w:val="-9"/>
        </w:rPr>
        <w:t> </w:t>
      </w:r>
      <w:r>
        <w:rPr/>
        <w:t>on</w:t>
      </w:r>
      <w:r>
        <w:rPr>
          <w:spacing w:val="-10"/>
        </w:rPr>
        <w:t> </w:t>
      </w:r>
      <w:r>
        <w:rPr/>
        <w:t>personalised</w:t>
      </w:r>
      <w:r>
        <w:rPr>
          <w:spacing w:val="-9"/>
        </w:rPr>
        <w:t> </w:t>
      </w:r>
      <w:r>
        <w:rPr>
          <w:spacing w:val="-2"/>
        </w:rPr>
        <w:t>budgets</w:t>
      </w:r>
    </w:p>
    <w:p>
      <w:pPr>
        <w:pStyle w:val="BodyText"/>
        <w:spacing w:before="238"/>
        <w:ind w:left="1702" w:right="1080"/>
      </w:pPr>
      <w:r>
        <w:rPr/>
        <w:t>A</w:t>
      </w:r>
      <w:r>
        <w:rPr>
          <w:spacing w:val="-4"/>
        </w:rPr>
        <w:t> </w:t>
      </w:r>
      <w:r>
        <w:rPr/>
        <w:t>Task</w:t>
      </w:r>
      <w:r>
        <w:rPr>
          <w:spacing w:val="-4"/>
        </w:rPr>
        <w:t> </w:t>
      </w:r>
      <w:r>
        <w:rPr/>
        <w:t>Force</w:t>
      </w:r>
      <w:r>
        <w:rPr>
          <w:spacing w:val="-4"/>
        </w:rPr>
        <w:t> </w:t>
      </w:r>
      <w:r>
        <w:rPr/>
        <w:t>on</w:t>
      </w:r>
      <w:r>
        <w:rPr>
          <w:spacing w:val="-4"/>
        </w:rPr>
        <w:t> </w:t>
      </w:r>
      <w:r>
        <w:rPr/>
        <w:t>Personalised</w:t>
      </w:r>
      <w:r>
        <w:rPr>
          <w:spacing w:val="-4"/>
        </w:rPr>
        <w:t> </w:t>
      </w:r>
      <w:r>
        <w:rPr/>
        <w:t>Budgets</w:t>
      </w:r>
      <w:r>
        <w:rPr>
          <w:spacing w:val="-1"/>
        </w:rPr>
        <w:t> </w:t>
      </w:r>
      <w:r>
        <w:rPr/>
        <w:t>was</w:t>
      </w:r>
      <w:r>
        <w:rPr>
          <w:spacing w:val="-4"/>
        </w:rPr>
        <w:t> </w:t>
      </w:r>
      <w:r>
        <w:rPr/>
        <w:t>established</w:t>
      </w:r>
      <w:r>
        <w:rPr>
          <w:spacing w:val="-2"/>
        </w:rPr>
        <w:t> </w:t>
      </w:r>
      <w:r>
        <w:rPr/>
        <w:t>by</w:t>
      </w:r>
      <w:r>
        <w:rPr>
          <w:spacing w:val="-4"/>
        </w:rPr>
        <w:t> </w:t>
      </w:r>
      <w:r>
        <w:rPr/>
        <w:t>the</w:t>
      </w:r>
      <w:r>
        <w:rPr>
          <w:spacing w:val="-2"/>
        </w:rPr>
        <w:t> </w:t>
      </w:r>
      <w:r>
        <w:rPr/>
        <w:t>Minister</w:t>
      </w:r>
      <w:r>
        <w:rPr>
          <w:spacing w:val="-2"/>
        </w:rPr>
        <w:t> </w:t>
      </w:r>
      <w:r>
        <w:rPr/>
        <w:t>of State for disability issues in late 2016 in accordance with the Programme for Government’s commitment to give people with disabilities greater control, independence and choice.</w:t>
      </w:r>
    </w:p>
    <w:p>
      <w:pPr>
        <w:pStyle w:val="BodyText"/>
        <w:spacing w:before="239"/>
        <w:ind w:left="1702" w:right="1022"/>
      </w:pPr>
      <w:r>
        <w:rPr/>
        <w:t>The Task Force is tasked with developing recommendations to guide a national policy on personalised budgets, which is initially focused in the area</w:t>
      </w:r>
      <w:r>
        <w:rPr>
          <w:spacing w:val="-4"/>
        </w:rPr>
        <w:t> </w:t>
      </w:r>
      <w:r>
        <w:rPr/>
        <w:t>of</w:t>
      </w:r>
      <w:r>
        <w:rPr>
          <w:spacing w:val="-4"/>
        </w:rPr>
        <w:t> </w:t>
      </w:r>
      <w:r>
        <w:rPr/>
        <w:t>personal</w:t>
      </w:r>
      <w:r>
        <w:rPr>
          <w:spacing w:val="-4"/>
        </w:rPr>
        <w:t> </w:t>
      </w:r>
      <w:r>
        <w:rPr/>
        <w:t>social</w:t>
      </w:r>
      <w:r>
        <w:rPr>
          <w:spacing w:val="-4"/>
        </w:rPr>
        <w:t> </w:t>
      </w:r>
      <w:r>
        <w:rPr/>
        <w:t>services</w:t>
      </w:r>
      <w:r>
        <w:rPr>
          <w:spacing w:val="-3"/>
        </w:rPr>
        <w:t> </w:t>
      </w:r>
      <w:r>
        <w:rPr/>
        <w:t>funded</w:t>
      </w:r>
      <w:r>
        <w:rPr>
          <w:spacing w:val="-4"/>
        </w:rPr>
        <w:t> </w:t>
      </w:r>
      <w:r>
        <w:rPr/>
        <w:t>by</w:t>
      </w:r>
      <w:r>
        <w:rPr>
          <w:spacing w:val="-2"/>
        </w:rPr>
        <w:t> </w:t>
      </w:r>
      <w:r>
        <w:rPr/>
        <w:t>the</w:t>
      </w:r>
      <w:r>
        <w:rPr>
          <w:spacing w:val="-1"/>
        </w:rPr>
        <w:t> </w:t>
      </w:r>
      <w:r>
        <w:rPr/>
        <w:t>HSE.</w:t>
      </w:r>
      <w:r>
        <w:rPr>
          <w:spacing w:val="40"/>
        </w:rPr>
        <w:t> </w:t>
      </w:r>
      <w:r>
        <w:rPr/>
        <w:t>The</w:t>
      </w:r>
      <w:r>
        <w:rPr>
          <w:spacing w:val="-1"/>
        </w:rPr>
        <w:t> </w:t>
      </w:r>
      <w:r>
        <w:rPr/>
        <w:t>Taskforce consists of two components:</w:t>
      </w:r>
    </w:p>
    <w:p>
      <w:pPr>
        <w:pStyle w:val="ListParagraph"/>
        <w:numPr>
          <w:ilvl w:val="0"/>
          <w:numId w:val="6"/>
        </w:numPr>
        <w:tabs>
          <w:tab w:pos="2062" w:val="left" w:leader="none"/>
        </w:tabs>
        <w:spacing w:line="240" w:lineRule="auto" w:before="242" w:after="0"/>
        <w:ind w:left="2062" w:right="1099" w:hanging="360"/>
        <w:jc w:val="left"/>
        <w:rPr>
          <w:sz w:val="26"/>
        </w:rPr>
      </w:pPr>
      <w:r>
        <w:rPr>
          <w:sz w:val="26"/>
        </w:rPr>
        <w:t>A</w:t>
      </w:r>
      <w:r>
        <w:rPr>
          <w:spacing w:val="-5"/>
          <w:sz w:val="26"/>
        </w:rPr>
        <w:t> </w:t>
      </w:r>
      <w:r>
        <w:rPr>
          <w:sz w:val="26"/>
        </w:rPr>
        <w:t>Strategy</w:t>
      </w:r>
      <w:r>
        <w:rPr>
          <w:spacing w:val="-5"/>
          <w:sz w:val="26"/>
        </w:rPr>
        <w:t> </w:t>
      </w:r>
      <w:r>
        <w:rPr>
          <w:sz w:val="26"/>
        </w:rPr>
        <w:t>Group</w:t>
      </w:r>
      <w:r>
        <w:rPr>
          <w:spacing w:val="-3"/>
          <w:sz w:val="26"/>
        </w:rPr>
        <w:t> </w:t>
      </w:r>
      <w:r>
        <w:rPr>
          <w:sz w:val="26"/>
        </w:rPr>
        <w:t>which</w:t>
      </w:r>
      <w:r>
        <w:rPr>
          <w:spacing w:val="-5"/>
          <w:sz w:val="26"/>
        </w:rPr>
        <w:t> </w:t>
      </w:r>
      <w:r>
        <w:rPr>
          <w:sz w:val="26"/>
        </w:rPr>
        <w:t>has</w:t>
      </w:r>
      <w:r>
        <w:rPr>
          <w:spacing w:val="-5"/>
          <w:sz w:val="26"/>
        </w:rPr>
        <w:t> </w:t>
      </w:r>
      <w:r>
        <w:rPr>
          <w:sz w:val="26"/>
        </w:rPr>
        <w:t>responsibility</w:t>
      </w:r>
      <w:r>
        <w:rPr>
          <w:spacing w:val="-5"/>
          <w:sz w:val="26"/>
        </w:rPr>
        <w:t> </w:t>
      </w:r>
      <w:r>
        <w:rPr>
          <w:sz w:val="26"/>
        </w:rPr>
        <w:t>for</w:t>
      </w:r>
      <w:r>
        <w:rPr>
          <w:spacing w:val="-5"/>
          <w:sz w:val="26"/>
        </w:rPr>
        <w:t> </w:t>
      </w:r>
      <w:r>
        <w:rPr>
          <w:sz w:val="26"/>
        </w:rPr>
        <w:t>leading</w:t>
      </w:r>
      <w:r>
        <w:rPr>
          <w:spacing w:val="-5"/>
          <w:sz w:val="26"/>
        </w:rPr>
        <w:t> </w:t>
      </w:r>
      <w:r>
        <w:rPr>
          <w:sz w:val="26"/>
        </w:rPr>
        <w:t>the</w:t>
      </w:r>
      <w:r>
        <w:rPr>
          <w:spacing w:val="-5"/>
          <w:sz w:val="26"/>
        </w:rPr>
        <w:t> </w:t>
      </w:r>
      <w:r>
        <w:rPr>
          <w:sz w:val="26"/>
        </w:rPr>
        <w:t>development of recommendations for a policy that could be implemented, of which the National Disability Authority is a member; and</w:t>
      </w:r>
    </w:p>
    <w:p>
      <w:pPr>
        <w:pStyle w:val="ListParagraph"/>
        <w:numPr>
          <w:ilvl w:val="0"/>
          <w:numId w:val="6"/>
        </w:numPr>
        <w:tabs>
          <w:tab w:pos="2062" w:val="left" w:leader="none"/>
        </w:tabs>
        <w:spacing w:line="240" w:lineRule="auto" w:before="240" w:after="0"/>
        <w:ind w:left="2062" w:right="1027" w:hanging="360"/>
        <w:jc w:val="left"/>
        <w:rPr>
          <w:sz w:val="26"/>
        </w:rPr>
      </w:pPr>
      <w:r>
        <w:rPr>
          <w:sz w:val="26"/>
        </w:rPr>
        <w:t>An Advisory and Consultative Group which is chaired by the Director of</w:t>
      </w:r>
      <w:r>
        <w:rPr>
          <w:spacing w:val="-5"/>
          <w:sz w:val="26"/>
        </w:rPr>
        <w:t> </w:t>
      </w:r>
      <w:r>
        <w:rPr>
          <w:sz w:val="26"/>
        </w:rPr>
        <w:t>the</w:t>
      </w:r>
      <w:r>
        <w:rPr>
          <w:spacing w:val="-4"/>
          <w:sz w:val="26"/>
        </w:rPr>
        <w:t> </w:t>
      </w:r>
      <w:r>
        <w:rPr>
          <w:sz w:val="26"/>
        </w:rPr>
        <w:t>National</w:t>
      </w:r>
      <w:r>
        <w:rPr>
          <w:spacing w:val="-5"/>
          <w:sz w:val="26"/>
        </w:rPr>
        <w:t> </w:t>
      </w:r>
      <w:r>
        <w:rPr>
          <w:sz w:val="26"/>
        </w:rPr>
        <w:t>Disability</w:t>
      </w:r>
      <w:r>
        <w:rPr>
          <w:spacing w:val="-5"/>
          <w:sz w:val="26"/>
        </w:rPr>
        <w:t> </w:t>
      </w:r>
      <w:r>
        <w:rPr>
          <w:sz w:val="26"/>
        </w:rPr>
        <w:t>Authority,</w:t>
      </w:r>
      <w:r>
        <w:rPr>
          <w:spacing w:val="-4"/>
          <w:sz w:val="26"/>
        </w:rPr>
        <w:t> </w:t>
      </w:r>
      <w:r>
        <w:rPr>
          <w:sz w:val="26"/>
        </w:rPr>
        <w:t>which</w:t>
      </w:r>
      <w:r>
        <w:rPr>
          <w:spacing w:val="-3"/>
          <w:sz w:val="26"/>
        </w:rPr>
        <w:t> </w:t>
      </w:r>
      <w:r>
        <w:rPr>
          <w:sz w:val="26"/>
        </w:rPr>
        <w:t>also</w:t>
      </w:r>
      <w:r>
        <w:rPr>
          <w:spacing w:val="-4"/>
          <w:sz w:val="26"/>
        </w:rPr>
        <w:t> </w:t>
      </w:r>
      <w:r>
        <w:rPr>
          <w:sz w:val="26"/>
        </w:rPr>
        <w:t>provides</w:t>
      </w:r>
      <w:r>
        <w:rPr>
          <w:spacing w:val="-3"/>
          <w:sz w:val="26"/>
        </w:rPr>
        <w:t> </w:t>
      </w:r>
      <w:r>
        <w:rPr>
          <w:sz w:val="26"/>
        </w:rPr>
        <w:t>the</w:t>
      </w:r>
      <w:r>
        <w:rPr>
          <w:spacing w:val="-5"/>
          <w:sz w:val="26"/>
        </w:rPr>
        <w:t> </w:t>
      </w:r>
      <w:r>
        <w:rPr>
          <w:sz w:val="26"/>
        </w:rPr>
        <w:t>secretariat function for this Group. The Group’s role is to provide advice and input to the Strategy Group as requested to support that Group in its </w:t>
      </w:r>
      <w:r>
        <w:rPr>
          <w:spacing w:val="-2"/>
          <w:sz w:val="26"/>
        </w:rPr>
        <w:t>work.</w:t>
      </w:r>
    </w:p>
    <w:p>
      <w:pPr>
        <w:pStyle w:val="ListParagraph"/>
        <w:spacing w:after="0" w:line="240" w:lineRule="auto"/>
        <w:jc w:val="left"/>
        <w:rPr>
          <w:sz w:val="26"/>
        </w:rPr>
        <w:sectPr>
          <w:pgSz w:w="11910" w:h="16850"/>
          <w:pgMar w:header="0" w:footer="811" w:top="1880" w:bottom="1000" w:left="283" w:right="992"/>
        </w:sectPr>
      </w:pPr>
    </w:p>
    <w:p>
      <w:pPr>
        <w:pStyle w:val="BodyText"/>
        <w:spacing w:before="79"/>
        <w:ind w:left="1702" w:right="1059"/>
      </w:pPr>
      <w:r>
        <w:rPr/>
        <w:t>During 2017, the National Disability Authority developed a number of advice</w:t>
      </w:r>
      <w:r>
        <w:rPr>
          <w:spacing w:val="-3"/>
        </w:rPr>
        <w:t> </w:t>
      </w:r>
      <w:r>
        <w:rPr/>
        <w:t>papers</w:t>
      </w:r>
      <w:r>
        <w:rPr>
          <w:spacing w:val="-2"/>
        </w:rPr>
        <w:t> </w:t>
      </w:r>
      <w:r>
        <w:rPr/>
        <w:t>on</w:t>
      </w:r>
      <w:r>
        <w:rPr>
          <w:spacing w:val="-3"/>
        </w:rPr>
        <w:t> </w:t>
      </w:r>
      <w:r>
        <w:rPr/>
        <w:t>personalised</w:t>
      </w:r>
      <w:r>
        <w:rPr>
          <w:spacing w:val="-3"/>
        </w:rPr>
        <w:t> </w:t>
      </w:r>
      <w:r>
        <w:rPr/>
        <w:t>budgets</w:t>
      </w:r>
      <w:r>
        <w:rPr>
          <w:spacing w:val="-1"/>
        </w:rPr>
        <w:t> </w:t>
      </w:r>
      <w:r>
        <w:rPr/>
        <w:t>to</w:t>
      </w:r>
      <w:r>
        <w:rPr>
          <w:spacing w:val="-2"/>
        </w:rPr>
        <w:t> </w:t>
      </w:r>
      <w:r>
        <w:rPr/>
        <w:t>inform</w:t>
      </w:r>
      <w:r>
        <w:rPr>
          <w:spacing w:val="-3"/>
        </w:rPr>
        <w:t> </w:t>
      </w:r>
      <w:r>
        <w:rPr/>
        <w:t>the</w:t>
      </w:r>
      <w:r>
        <w:rPr>
          <w:spacing w:val="-3"/>
        </w:rPr>
        <w:t> </w:t>
      </w:r>
      <w:r>
        <w:rPr/>
        <w:t>considerations</w:t>
      </w:r>
      <w:r>
        <w:rPr>
          <w:spacing w:val="-2"/>
        </w:rPr>
        <w:t> </w:t>
      </w:r>
      <w:r>
        <w:rPr/>
        <w:t>of</w:t>
      </w:r>
      <w:r>
        <w:rPr>
          <w:spacing w:val="-3"/>
        </w:rPr>
        <w:t> </w:t>
      </w:r>
      <w:r>
        <w:rPr/>
        <w:t>the Strategy Group, further to its previous research. This included: an evaluation</w:t>
      </w:r>
      <w:r>
        <w:rPr>
          <w:spacing w:val="-6"/>
        </w:rPr>
        <w:t> </w:t>
      </w:r>
      <w:r>
        <w:rPr/>
        <w:t>of</w:t>
      </w:r>
      <w:r>
        <w:rPr>
          <w:spacing w:val="-6"/>
        </w:rPr>
        <w:t> </w:t>
      </w:r>
      <w:r>
        <w:rPr/>
        <w:t>the</w:t>
      </w:r>
      <w:r>
        <w:rPr>
          <w:spacing w:val="-6"/>
        </w:rPr>
        <w:t> </w:t>
      </w:r>
      <w:r>
        <w:rPr/>
        <w:t>prevalence</w:t>
      </w:r>
      <w:r>
        <w:rPr>
          <w:spacing w:val="-6"/>
        </w:rPr>
        <w:t> </w:t>
      </w:r>
      <w:r>
        <w:rPr/>
        <w:t>of</w:t>
      </w:r>
      <w:r>
        <w:rPr>
          <w:spacing w:val="-6"/>
        </w:rPr>
        <w:t> </w:t>
      </w:r>
      <w:r>
        <w:rPr/>
        <w:t>current</w:t>
      </w:r>
      <w:r>
        <w:rPr>
          <w:spacing w:val="-6"/>
        </w:rPr>
        <w:t> </w:t>
      </w:r>
      <w:r>
        <w:rPr/>
        <w:t>personalised</w:t>
      </w:r>
      <w:r>
        <w:rPr>
          <w:spacing w:val="-6"/>
        </w:rPr>
        <w:t> </w:t>
      </w:r>
      <w:r>
        <w:rPr/>
        <w:t>budget</w:t>
      </w:r>
      <w:r>
        <w:rPr>
          <w:spacing w:val="-6"/>
        </w:rPr>
        <w:t> </w:t>
      </w:r>
      <w:r>
        <w:rPr/>
        <w:t>arrangements; a synthesis of relevant research under the key areas of work for the Strategy group; a discussion paper on the principles, values and guidelines that might underpin a system of personalised budgets; a discussion paper on the use of personalised budgets to pay family members.</w:t>
      </w:r>
    </w:p>
    <w:p>
      <w:pPr>
        <w:pStyle w:val="BodyText"/>
        <w:ind w:left="1702" w:right="988"/>
      </w:pPr>
      <w:r>
        <w:rPr/>
        <w:t>In 2016, NDA had commissioned research on the Implementation of Resource Allocation in order to identify learning from other jurisdictions. This report was finalised and published in 2017 and shared with the Task Force to inform its deliberations. The research highlighted the importance of managing the introduction of individualised funding systems over a reasonable</w:t>
      </w:r>
      <w:r>
        <w:rPr>
          <w:spacing w:val="-3"/>
        </w:rPr>
        <w:t> </w:t>
      </w:r>
      <w:r>
        <w:rPr/>
        <w:t>period</w:t>
      </w:r>
      <w:r>
        <w:rPr>
          <w:spacing w:val="-4"/>
        </w:rPr>
        <w:t> </w:t>
      </w:r>
      <w:r>
        <w:rPr/>
        <w:t>of</w:t>
      </w:r>
      <w:r>
        <w:rPr>
          <w:spacing w:val="-4"/>
        </w:rPr>
        <w:t> </w:t>
      </w:r>
      <w:r>
        <w:rPr/>
        <w:t>time,</w:t>
      </w:r>
      <w:r>
        <w:rPr>
          <w:spacing w:val="-3"/>
        </w:rPr>
        <w:t> </w:t>
      </w:r>
      <w:r>
        <w:rPr/>
        <w:t>and</w:t>
      </w:r>
      <w:r>
        <w:rPr>
          <w:spacing w:val="-4"/>
        </w:rPr>
        <w:t> </w:t>
      </w:r>
      <w:r>
        <w:rPr/>
        <w:t>the</w:t>
      </w:r>
      <w:r>
        <w:rPr>
          <w:spacing w:val="-4"/>
        </w:rPr>
        <w:t> </w:t>
      </w:r>
      <w:r>
        <w:rPr/>
        <w:t>need</w:t>
      </w:r>
      <w:r>
        <w:rPr>
          <w:spacing w:val="-2"/>
        </w:rPr>
        <w:t> </w:t>
      </w:r>
      <w:r>
        <w:rPr/>
        <w:t>for</w:t>
      </w:r>
      <w:r>
        <w:rPr>
          <w:spacing w:val="-4"/>
        </w:rPr>
        <w:t> </w:t>
      </w:r>
      <w:r>
        <w:rPr/>
        <w:t>ring-fenced</w:t>
      </w:r>
      <w:r>
        <w:rPr>
          <w:spacing w:val="-4"/>
        </w:rPr>
        <w:t> </w:t>
      </w:r>
      <w:r>
        <w:rPr/>
        <w:t>funding</w:t>
      </w:r>
      <w:r>
        <w:rPr>
          <w:spacing w:val="-4"/>
        </w:rPr>
        <w:t> </w:t>
      </w:r>
      <w:r>
        <w:rPr/>
        <w:t>to</w:t>
      </w:r>
      <w:r>
        <w:rPr>
          <w:spacing w:val="-3"/>
        </w:rPr>
        <w:t> </w:t>
      </w:r>
      <w:r>
        <w:rPr/>
        <w:t>support the transition.</w:t>
      </w:r>
    </w:p>
    <w:p>
      <w:pPr>
        <w:pStyle w:val="BodyText"/>
        <w:spacing w:before="239"/>
        <w:ind w:left="1702" w:right="988"/>
      </w:pPr>
      <w:r>
        <w:rPr/>
        <w:t>The NDA facilitated seven meetings of the Advisory and Consultative Group</w:t>
      </w:r>
      <w:r>
        <w:rPr>
          <w:spacing w:val="-4"/>
        </w:rPr>
        <w:t> </w:t>
      </w:r>
      <w:r>
        <w:rPr/>
        <w:t>in</w:t>
      </w:r>
      <w:r>
        <w:rPr>
          <w:spacing w:val="-4"/>
        </w:rPr>
        <w:t> </w:t>
      </w:r>
      <w:r>
        <w:rPr/>
        <w:t>2017</w:t>
      </w:r>
      <w:r>
        <w:rPr>
          <w:spacing w:val="-3"/>
        </w:rPr>
        <w:t> </w:t>
      </w:r>
      <w:r>
        <w:rPr/>
        <w:t>through</w:t>
      </w:r>
      <w:r>
        <w:rPr>
          <w:spacing w:val="-4"/>
        </w:rPr>
        <w:t> </w:t>
      </w:r>
      <w:r>
        <w:rPr/>
        <w:t>the</w:t>
      </w:r>
      <w:r>
        <w:rPr>
          <w:spacing w:val="-4"/>
        </w:rPr>
        <w:t> </w:t>
      </w:r>
      <w:r>
        <w:rPr/>
        <w:t>role</w:t>
      </w:r>
      <w:r>
        <w:rPr>
          <w:spacing w:val="-4"/>
        </w:rPr>
        <w:t> </w:t>
      </w:r>
      <w:r>
        <w:rPr/>
        <w:t>of</w:t>
      </w:r>
      <w:r>
        <w:rPr>
          <w:spacing w:val="-4"/>
        </w:rPr>
        <w:t> </w:t>
      </w:r>
      <w:r>
        <w:rPr/>
        <w:t>Chair</w:t>
      </w:r>
      <w:r>
        <w:rPr>
          <w:spacing w:val="-3"/>
        </w:rPr>
        <w:t> </w:t>
      </w:r>
      <w:r>
        <w:rPr/>
        <w:t>and</w:t>
      </w:r>
      <w:r>
        <w:rPr>
          <w:spacing w:val="-2"/>
        </w:rPr>
        <w:t> </w:t>
      </w:r>
      <w:r>
        <w:rPr/>
        <w:t>Secretary.</w:t>
      </w:r>
      <w:r>
        <w:rPr>
          <w:spacing w:val="-3"/>
        </w:rPr>
        <w:t> </w:t>
      </w:r>
      <w:r>
        <w:rPr/>
        <w:t>With</w:t>
      </w:r>
      <w:r>
        <w:rPr>
          <w:spacing w:val="-3"/>
        </w:rPr>
        <w:t> </w:t>
      </w:r>
      <w:r>
        <w:rPr/>
        <w:t>this</w:t>
      </w:r>
      <w:r>
        <w:rPr>
          <w:spacing w:val="-3"/>
        </w:rPr>
        <w:t> </w:t>
      </w:r>
      <w:r>
        <w:rPr/>
        <w:t>support, the Advisory and Consultative Group developed a number of papers to inform the considerations of the Strategy Group, including a paper on the supports that persons with disabilities would need to apply for and use a personalised budget.</w:t>
      </w:r>
    </w:p>
    <w:p>
      <w:pPr>
        <w:pStyle w:val="BodyText"/>
        <w:spacing w:before="241"/>
        <w:ind w:left="1702" w:right="1037"/>
      </w:pPr>
      <w:r>
        <w:rPr/>
        <w:t>The NDA also supported the Department of Health in organising and facilitating a consultation on Personalised Budgets at four regional consultation events in Cavan, Cork, Dublin and Galway. The feedback</w:t>
      </w:r>
      <w:r>
        <w:rPr>
          <w:spacing w:val="40"/>
        </w:rPr>
        <w:t> </w:t>
      </w:r>
      <w:r>
        <w:rPr/>
        <w:t>from</w:t>
      </w:r>
      <w:r>
        <w:rPr>
          <w:spacing w:val="-1"/>
        </w:rPr>
        <w:t> </w:t>
      </w:r>
      <w:r>
        <w:rPr/>
        <w:t>these</w:t>
      </w:r>
      <w:r>
        <w:rPr>
          <w:spacing w:val="-1"/>
        </w:rPr>
        <w:t> </w:t>
      </w:r>
      <w:r>
        <w:rPr/>
        <w:t>events will inform</w:t>
      </w:r>
      <w:r>
        <w:rPr>
          <w:spacing w:val="-1"/>
        </w:rPr>
        <w:t> </w:t>
      </w:r>
      <w:r>
        <w:rPr/>
        <w:t>the considerations for</w:t>
      </w:r>
      <w:r>
        <w:rPr>
          <w:spacing w:val="-1"/>
        </w:rPr>
        <w:t> </w:t>
      </w:r>
      <w:r>
        <w:rPr/>
        <w:t>the final</w:t>
      </w:r>
      <w:r>
        <w:rPr>
          <w:spacing w:val="-1"/>
        </w:rPr>
        <w:t> </w:t>
      </w:r>
      <w:r>
        <w:rPr/>
        <w:t>report</w:t>
      </w:r>
      <w:r>
        <w:rPr>
          <w:spacing w:val="-1"/>
        </w:rPr>
        <w:t> </w:t>
      </w:r>
      <w:r>
        <w:rPr/>
        <w:t>of</w:t>
      </w:r>
      <w:r>
        <w:rPr>
          <w:spacing w:val="-1"/>
        </w:rPr>
        <w:t> </w:t>
      </w:r>
      <w:r>
        <w:rPr/>
        <w:t>the Task</w:t>
      </w:r>
      <w:r>
        <w:rPr>
          <w:spacing w:val="-4"/>
        </w:rPr>
        <w:t> </w:t>
      </w:r>
      <w:r>
        <w:rPr/>
        <w:t>Force,</w:t>
      </w:r>
      <w:r>
        <w:rPr>
          <w:spacing w:val="-3"/>
        </w:rPr>
        <w:t> </w:t>
      </w:r>
      <w:r>
        <w:rPr/>
        <w:t>which</w:t>
      </w:r>
      <w:r>
        <w:rPr>
          <w:spacing w:val="-4"/>
        </w:rPr>
        <w:t> </w:t>
      </w:r>
      <w:r>
        <w:rPr/>
        <w:t>will</w:t>
      </w:r>
      <w:r>
        <w:rPr>
          <w:spacing w:val="-3"/>
        </w:rPr>
        <w:t> </w:t>
      </w:r>
      <w:r>
        <w:rPr/>
        <w:t>be</w:t>
      </w:r>
      <w:r>
        <w:rPr>
          <w:spacing w:val="-4"/>
        </w:rPr>
        <w:t> </w:t>
      </w:r>
      <w:r>
        <w:rPr/>
        <w:t>submitted</w:t>
      </w:r>
      <w:r>
        <w:rPr>
          <w:spacing w:val="-4"/>
        </w:rPr>
        <w:t> </w:t>
      </w:r>
      <w:r>
        <w:rPr/>
        <w:t>to</w:t>
      </w:r>
      <w:r>
        <w:rPr>
          <w:spacing w:val="-4"/>
        </w:rPr>
        <w:t> </w:t>
      </w:r>
      <w:r>
        <w:rPr/>
        <w:t>the</w:t>
      </w:r>
      <w:r>
        <w:rPr>
          <w:spacing w:val="-1"/>
        </w:rPr>
        <w:t> </w:t>
      </w:r>
      <w:r>
        <w:rPr/>
        <w:t>Minister</w:t>
      </w:r>
      <w:r>
        <w:rPr>
          <w:spacing w:val="-3"/>
        </w:rPr>
        <w:t> </w:t>
      </w:r>
      <w:r>
        <w:rPr/>
        <w:t>of</w:t>
      </w:r>
      <w:r>
        <w:rPr>
          <w:spacing w:val="-4"/>
        </w:rPr>
        <w:t> </w:t>
      </w:r>
      <w:r>
        <w:rPr/>
        <w:t>State</w:t>
      </w:r>
      <w:r>
        <w:rPr>
          <w:spacing w:val="-4"/>
        </w:rPr>
        <w:t> </w:t>
      </w:r>
      <w:r>
        <w:rPr/>
        <w:t>for</w:t>
      </w:r>
      <w:r>
        <w:rPr>
          <w:spacing w:val="-4"/>
        </w:rPr>
        <w:t> </w:t>
      </w:r>
      <w:r>
        <w:rPr/>
        <w:t>Disabilities in February 2018.</w:t>
      </w:r>
    </w:p>
    <w:p>
      <w:pPr>
        <w:pStyle w:val="BodyText"/>
        <w:spacing w:before="242"/>
      </w:pPr>
    </w:p>
    <w:p>
      <w:pPr>
        <w:pStyle w:val="Heading5"/>
      </w:pPr>
      <w:r>
        <w:rPr>
          <w:spacing w:val="-2"/>
        </w:rPr>
        <w:t>Transforming</w:t>
      </w:r>
      <w:r>
        <w:rPr>
          <w:spacing w:val="4"/>
        </w:rPr>
        <w:t> </w:t>
      </w:r>
      <w:r>
        <w:rPr>
          <w:spacing w:val="-4"/>
        </w:rPr>
        <w:t>Lives</w:t>
      </w:r>
    </w:p>
    <w:p>
      <w:pPr>
        <w:pStyle w:val="BodyText"/>
        <w:spacing w:before="238"/>
        <w:ind w:left="1702" w:right="988"/>
      </w:pPr>
      <w:r>
        <w:rPr/>
        <w:t>The National Disability Authority is a member of the Department of Health’s Steering Group which oversees the implementation of the recommendations</w:t>
      </w:r>
      <w:r>
        <w:rPr>
          <w:spacing w:val="-4"/>
        </w:rPr>
        <w:t> </w:t>
      </w:r>
      <w:r>
        <w:rPr/>
        <w:t>of</w:t>
      </w:r>
      <w:r>
        <w:rPr>
          <w:spacing w:val="-5"/>
        </w:rPr>
        <w:t> </w:t>
      </w:r>
      <w:r>
        <w:rPr/>
        <w:t>the</w:t>
      </w:r>
      <w:r>
        <w:rPr>
          <w:spacing w:val="-5"/>
        </w:rPr>
        <w:t> </w:t>
      </w:r>
      <w:r>
        <w:rPr/>
        <w:t>Value</w:t>
      </w:r>
      <w:r>
        <w:rPr>
          <w:spacing w:val="-4"/>
        </w:rPr>
        <w:t> </w:t>
      </w:r>
      <w:r>
        <w:rPr/>
        <w:t>for</w:t>
      </w:r>
      <w:r>
        <w:rPr>
          <w:spacing w:val="-5"/>
        </w:rPr>
        <w:t> </w:t>
      </w:r>
      <w:r>
        <w:rPr/>
        <w:t>Money</w:t>
      </w:r>
      <w:r>
        <w:rPr>
          <w:spacing w:val="-5"/>
        </w:rPr>
        <w:t> </w:t>
      </w:r>
      <w:r>
        <w:rPr/>
        <w:t>and</w:t>
      </w:r>
      <w:r>
        <w:rPr>
          <w:spacing w:val="-5"/>
        </w:rPr>
        <w:t> </w:t>
      </w:r>
      <w:r>
        <w:rPr/>
        <w:t>Policy</w:t>
      </w:r>
      <w:r>
        <w:rPr>
          <w:spacing w:val="-6"/>
        </w:rPr>
        <w:t> </w:t>
      </w:r>
      <w:r>
        <w:rPr/>
        <w:t>Review</w:t>
      </w:r>
      <w:r>
        <w:rPr>
          <w:spacing w:val="-3"/>
        </w:rPr>
        <w:t> </w:t>
      </w:r>
      <w:r>
        <w:rPr/>
        <w:t>of</w:t>
      </w:r>
      <w:r>
        <w:rPr>
          <w:spacing w:val="-5"/>
        </w:rPr>
        <w:t> </w:t>
      </w:r>
      <w:r>
        <w:rPr/>
        <w:t>Disability Services in Ireland. This implementation process has been re-named as Transforming Lives. In addition to being represented on the national Steering Group, the NDA also sits on, and supports a number of the subgroups appointed to advance its implementation through projects.</w:t>
      </w:r>
    </w:p>
    <w:p>
      <w:pPr>
        <w:pStyle w:val="BodyText"/>
        <w:spacing w:before="242"/>
        <w:ind w:left="1702"/>
      </w:pPr>
      <w:r>
        <w:rPr/>
        <w:t>Specific</w:t>
      </w:r>
      <w:r>
        <w:rPr>
          <w:spacing w:val="-8"/>
        </w:rPr>
        <w:t> </w:t>
      </w:r>
      <w:r>
        <w:rPr/>
        <w:t>pieces</w:t>
      </w:r>
      <w:r>
        <w:rPr>
          <w:spacing w:val="-7"/>
        </w:rPr>
        <w:t> </w:t>
      </w:r>
      <w:r>
        <w:rPr/>
        <w:t>of</w:t>
      </w:r>
      <w:r>
        <w:rPr>
          <w:spacing w:val="-7"/>
        </w:rPr>
        <w:t> </w:t>
      </w:r>
      <w:r>
        <w:rPr/>
        <w:t>work</w:t>
      </w:r>
      <w:r>
        <w:rPr>
          <w:spacing w:val="-7"/>
        </w:rPr>
        <w:t> </w:t>
      </w:r>
      <w:r>
        <w:rPr/>
        <w:t>undertaken</w:t>
      </w:r>
      <w:r>
        <w:rPr>
          <w:spacing w:val="-5"/>
        </w:rPr>
        <w:t> </w:t>
      </w:r>
      <w:r>
        <w:rPr/>
        <w:t>in</w:t>
      </w:r>
      <w:r>
        <w:rPr>
          <w:spacing w:val="-8"/>
        </w:rPr>
        <w:t> </w:t>
      </w:r>
      <w:r>
        <w:rPr/>
        <w:t>this</w:t>
      </w:r>
      <w:r>
        <w:rPr>
          <w:spacing w:val="-6"/>
        </w:rPr>
        <w:t> </w:t>
      </w:r>
      <w:r>
        <w:rPr/>
        <w:t>context</w:t>
      </w:r>
      <w:r>
        <w:rPr>
          <w:spacing w:val="-5"/>
        </w:rPr>
        <w:t> </w:t>
      </w:r>
      <w:r>
        <w:rPr>
          <w:spacing w:val="-2"/>
        </w:rPr>
        <w:t>include:</w:t>
      </w:r>
    </w:p>
    <w:p>
      <w:pPr>
        <w:pStyle w:val="BodyText"/>
        <w:spacing w:after="0"/>
        <w:sectPr>
          <w:pgSz w:w="11910" w:h="16850"/>
          <w:pgMar w:header="0" w:footer="811" w:top="1880" w:bottom="1000" w:left="283" w:right="992"/>
        </w:sectPr>
      </w:pPr>
    </w:p>
    <w:p>
      <w:pPr>
        <w:pStyle w:val="ListParagraph"/>
        <w:numPr>
          <w:ilvl w:val="0"/>
          <w:numId w:val="6"/>
        </w:numPr>
        <w:tabs>
          <w:tab w:pos="2062" w:val="left" w:leader="none"/>
        </w:tabs>
        <w:spacing w:line="240" w:lineRule="auto" w:before="79" w:after="0"/>
        <w:ind w:left="2062" w:right="1008" w:hanging="360"/>
        <w:jc w:val="left"/>
        <w:rPr>
          <w:sz w:val="26"/>
        </w:rPr>
      </w:pPr>
      <w:r>
        <w:rPr>
          <w:sz w:val="26"/>
        </w:rPr>
        <w:t>Drafting a report on forecasting future service need in the light of demographic</w:t>
      </w:r>
      <w:r>
        <w:rPr>
          <w:spacing w:val="-4"/>
          <w:sz w:val="26"/>
        </w:rPr>
        <w:t> </w:t>
      </w:r>
      <w:r>
        <w:rPr>
          <w:sz w:val="26"/>
        </w:rPr>
        <w:t>developments,</w:t>
      </w:r>
      <w:r>
        <w:rPr>
          <w:spacing w:val="-5"/>
          <w:sz w:val="26"/>
        </w:rPr>
        <w:t> </w:t>
      </w:r>
      <w:r>
        <w:rPr>
          <w:sz w:val="26"/>
        </w:rPr>
        <w:t>and</w:t>
      </w:r>
      <w:r>
        <w:rPr>
          <w:spacing w:val="-6"/>
          <w:sz w:val="26"/>
        </w:rPr>
        <w:t> </w:t>
      </w:r>
      <w:r>
        <w:rPr>
          <w:sz w:val="26"/>
        </w:rPr>
        <w:t>work</w:t>
      </w:r>
      <w:r>
        <w:rPr>
          <w:spacing w:val="-5"/>
          <w:sz w:val="26"/>
        </w:rPr>
        <w:t> </w:t>
      </w:r>
      <w:r>
        <w:rPr>
          <w:sz w:val="26"/>
        </w:rPr>
        <w:t>on</w:t>
      </w:r>
      <w:r>
        <w:rPr>
          <w:spacing w:val="-6"/>
          <w:sz w:val="26"/>
        </w:rPr>
        <w:t> </w:t>
      </w:r>
      <w:r>
        <w:rPr>
          <w:sz w:val="26"/>
        </w:rPr>
        <w:t>evaluation</w:t>
      </w:r>
      <w:r>
        <w:rPr>
          <w:spacing w:val="-6"/>
          <w:sz w:val="26"/>
        </w:rPr>
        <w:t> </w:t>
      </w:r>
      <w:r>
        <w:rPr>
          <w:sz w:val="26"/>
        </w:rPr>
        <w:t>and</w:t>
      </w:r>
      <w:r>
        <w:rPr>
          <w:spacing w:val="-6"/>
          <w:sz w:val="26"/>
        </w:rPr>
        <w:t> </w:t>
      </w:r>
      <w:r>
        <w:rPr>
          <w:sz w:val="26"/>
        </w:rPr>
        <w:t>costing</w:t>
      </w:r>
      <w:r>
        <w:rPr>
          <w:spacing w:val="-6"/>
          <w:sz w:val="26"/>
        </w:rPr>
        <w:t> </w:t>
      </w:r>
      <w:r>
        <w:rPr>
          <w:sz w:val="26"/>
        </w:rPr>
        <w:t>of</w:t>
      </w:r>
      <w:r>
        <w:rPr>
          <w:spacing w:val="-6"/>
          <w:sz w:val="26"/>
        </w:rPr>
        <w:t> </w:t>
      </w:r>
      <w:r>
        <w:rPr>
          <w:sz w:val="26"/>
        </w:rPr>
        <w:t>new service model</w:t>
      </w:r>
    </w:p>
    <w:p>
      <w:pPr>
        <w:pStyle w:val="ListParagraph"/>
        <w:numPr>
          <w:ilvl w:val="0"/>
          <w:numId w:val="6"/>
        </w:numPr>
        <w:tabs>
          <w:tab w:pos="2062" w:val="left" w:leader="none"/>
        </w:tabs>
        <w:spacing w:line="240" w:lineRule="auto" w:before="240" w:after="0"/>
        <w:ind w:left="2062" w:right="1145" w:hanging="360"/>
        <w:jc w:val="left"/>
        <w:rPr>
          <w:sz w:val="26"/>
        </w:rPr>
      </w:pPr>
      <w:r>
        <w:rPr>
          <w:sz w:val="26"/>
        </w:rPr>
        <w:t>Further to research, work to support the development of a Person Centred</w:t>
      </w:r>
      <w:r>
        <w:rPr>
          <w:spacing w:val="-2"/>
          <w:sz w:val="26"/>
        </w:rPr>
        <w:t> </w:t>
      </w:r>
      <w:r>
        <w:rPr>
          <w:sz w:val="26"/>
        </w:rPr>
        <w:t>Planning</w:t>
      </w:r>
      <w:r>
        <w:rPr>
          <w:spacing w:val="-2"/>
          <w:sz w:val="26"/>
        </w:rPr>
        <w:t> </w:t>
      </w:r>
      <w:r>
        <w:rPr>
          <w:sz w:val="26"/>
        </w:rPr>
        <w:t>Framework,</w:t>
      </w:r>
      <w:r>
        <w:rPr>
          <w:spacing w:val="-1"/>
          <w:sz w:val="26"/>
        </w:rPr>
        <w:t> </w:t>
      </w:r>
      <w:r>
        <w:rPr>
          <w:sz w:val="26"/>
        </w:rPr>
        <w:t>under</w:t>
      </w:r>
      <w:r>
        <w:rPr>
          <w:spacing w:val="-1"/>
          <w:sz w:val="26"/>
        </w:rPr>
        <w:t> </w:t>
      </w:r>
      <w:r>
        <w:rPr>
          <w:sz w:val="26"/>
        </w:rPr>
        <w:t>the</w:t>
      </w:r>
      <w:r>
        <w:rPr>
          <w:spacing w:val="-2"/>
          <w:sz w:val="26"/>
        </w:rPr>
        <w:t> </w:t>
      </w:r>
      <w:r>
        <w:rPr>
          <w:sz w:val="26"/>
        </w:rPr>
        <w:t>New</w:t>
      </w:r>
      <w:r>
        <w:rPr>
          <w:spacing w:val="-1"/>
          <w:sz w:val="26"/>
        </w:rPr>
        <w:t> </w:t>
      </w:r>
      <w:r>
        <w:rPr>
          <w:sz w:val="26"/>
        </w:rPr>
        <w:t>Directions</w:t>
      </w:r>
      <w:r>
        <w:rPr>
          <w:spacing w:val="-1"/>
          <w:sz w:val="26"/>
        </w:rPr>
        <w:t> </w:t>
      </w:r>
      <w:r>
        <w:rPr>
          <w:sz w:val="26"/>
        </w:rPr>
        <w:t>programme, which</w:t>
      </w:r>
      <w:r>
        <w:rPr>
          <w:spacing w:val="-4"/>
          <w:sz w:val="26"/>
        </w:rPr>
        <w:t> </w:t>
      </w:r>
      <w:r>
        <w:rPr>
          <w:sz w:val="26"/>
        </w:rPr>
        <w:t>will</w:t>
      </w:r>
      <w:r>
        <w:rPr>
          <w:spacing w:val="-3"/>
          <w:sz w:val="26"/>
        </w:rPr>
        <w:t> </w:t>
      </w:r>
      <w:r>
        <w:rPr>
          <w:sz w:val="26"/>
        </w:rPr>
        <w:t>be</w:t>
      </w:r>
      <w:r>
        <w:rPr>
          <w:spacing w:val="-4"/>
          <w:sz w:val="26"/>
        </w:rPr>
        <w:t> </w:t>
      </w:r>
      <w:r>
        <w:rPr>
          <w:sz w:val="26"/>
        </w:rPr>
        <w:t>used</w:t>
      </w:r>
      <w:r>
        <w:rPr>
          <w:spacing w:val="-4"/>
          <w:sz w:val="26"/>
        </w:rPr>
        <w:t> </w:t>
      </w:r>
      <w:r>
        <w:rPr>
          <w:sz w:val="26"/>
        </w:rPr>
        <w:t>across</w:t>
      </w:r>
      <w:r>
        <w:rPr>
          <w:spacing w:val="-3"/>
          <w:sz w:val="26"/>
        </w:rPr>
        <w:t> </w:t>
      </w:r>
      <w:r>
        <w:rPr>
          <w:sz w:val="26"/>
        </w:rPr>
        <w:t>all</w:t>
      </w:r>
      <w:r>
        <w:rPr>
          <w:spacing w:val="-3"/>
          <w:sz w:val="26"/>
        </w:rPr>
        <w:t> </w:t>
      </w:r>
      <w:r>
        <w:rPr>
          <w:sz w:val="26"/>
        </w:rPr>
        <w:t>disability</w:t>
      </w:r>
      <w:r>
        <w:rPr>
          <w:spacing w:val="-4"/>
          <w:sz w:val="26"/>
        </w:rPr>
        <w:t> </w:t>
      </w:r>
      <w:r>
        <w:rPr>
          <w:sz w:val="26"/>
        </w:rPr>
        <w:t>services.</w:t>
      </w:r>
      <w:r>
        <w:rPr>
          <w:spacing w:val="-3"/>
          <w:sz w:val="26"/>
        </w:rPr>
        <w:t> </w:t>
      </w:r>
      <w:r>
        <w:rPr>
          <w:sz w:val="26"/>
        </w:rPr>
        <w:t>This</w:t>
      </w:r>
      <w:r>
        <w:rPr>
          <w:spacing w:val="-1"/>
          <w:sz w:val="26"/>
        </w:rPr>
        <w:t> </w:t>
      </w:r>
      <w:r>
        <w:rPr>
          <w:sz w:val="26"/>
        </w:rPr>
        <w:t>framework</w:t>
      </w:r>
      <w:r>
        <w:rPr>
          <w:spacing w:val="-3"/>
          <w:sz w:val="26"/>
        </w:rPr>
        <w:t> </w:t>
      </w:r>
      <w:r>
        <w:rPr>
          <w:sz w:val="26"/>
        </w:rPr>
        <w:t>will</w:t>
      </w:r>
      <w:r>
        <w:rPr>
          <w:spacing w:val="-6"/>
          <w:sz w:val="26"/>
        </w:rPr>
        <w:t> </w:t>
      </w:r>
      <w:r>
        <w:rPr>
          <w:sz w:val="26"/>
        </w:rPr>
        <w:t>be completed in Q1 2018</w:t>
      </w:r>
    </w:p>
    <w:p>
      <w:pPr>
        <w:pStyle w:val="ListParagraph"/>
        <w:numPr>
          <w:ilvl w:val="0"/>
          <w:numId w:val="6"/>
        </w:numPr>
        <w:tabs>
          <w:tab w:pos="2062" w:val="left" w:leader="none"/>
        </w:tabs>
        <w:spacing w:line="240" w:lineRule="auto" w:before="239" w:after="0"/>
        <w:ind w:left="2062" w:right="1218" w:hanging="360"/>
        <w:jc w:val="left"/>
        <w:rPr>
          <w:sz w:val="26"/>
        </w:rPr>
      </w:pPr>
      <w:r>
        <w:rPr>
          <w:sz w:val="26"/>
        </w:rPr>
        <w:t>Continued</w:t>
      </w:r>
      <w:r>
        <w:rPr>
          <w:spacing w:val="-5"/>
          <w:sz w:val="26"/>
        </w:rPr>
        <w:t> </w:t>
      </w:r>
      <w:r>
        <w:rPr>
          <w:sz w:val="26"/>
        </w:rPr>
        <w:t>engagement</w:t>
      </w:r>
      <w:r>
        <w:rPr>
          <w:spacing w:val="-3"/>
          <w:sz w:val="26"/>
        </w:rPr>
        <w:t> </w:t>
      </w:r>
      <w:r>
        <w:rPr>
          <w:sz w:val="26"/>
        </w:rPr>
        <w:t>with</w:t>
      </w:r>
      <w:r>
        <w:rPr>
          <w:spacing w:val="-5"/>
          <w:sz w:val="26"/>
        </w:rPr>
        <w:t> </w:t>
      </w:r>
      <w:r>
        <w:rPr>
          <w:sz w:val="26"/>
        </w:rPr>
        <w:t>HSE</w:t>
      </w:r>
      <w:r>
        <w:rPr>
          <w:spacing w:val="-5"/>
          <w:sz w:val="26"/>
        </w:rPr>
        <w:t> </w:t>
      </w:r>
      <w:r>
        <w:rPr>
          <w:sz w:val="26"/>
        </w:rPr>
        <w:t>and</w:t>
      </w:r>
      <w:r>
        <w:rPr>
          <w:spacing w:val="-5"/>
          <w:sz w:val="26"/>
        </w:rPr>
        <w:t> </w:t>
      </w:r>
      <w:r>
        <w:rPr>
          <w:sz w:val="26"/>
        </w:rPr>
        <w:t>Department</w:t>
      </w:r>
      <w:r>
        <w:rPr>
          <w:spacing w:val="-5"/>
          <w:sz w:val="26"/>
        </w:rPr>
        <w:t> </w:t>
      </w:r>
      <w:r>
        <w:rPr>
          <w:sz w:val="26"/>
        </w:rPr>
        <w:t>of</w:t>
      </w:r>
      <w:r>
        <w:rPr>
          <w:spacing w:val="-5"/>
          <w:sz w:val="26"/>
        </w:rPr>
        <w:t> </w:t>
      </w:r>
      <w:r>
        <w:rPr>
          <w:sz w:val="26"/>
        </w:rPr>
        <w:t>Health</w:t>
      </w:r>
      <w:r>
        <w:rPr>
          <w:spacing w:val="-5"/>
          <w:sz w:val="26"/>
        </w:rPr>
        <w:t> </w:t>
      </w:r>
      <w:r>
        <w:rPr>
          <w:sz w:val="26"/>
        </w:rPr>
        <w:t>around</w:t>
      </w:r>
      <w:r>
        <w:rPr>
          <w:spacing w:val="-3"/>
          <w:sz w:val="26"/>
        </w:rPr>
        <w:t> </w:t>
      </w:r>
      <w:r>
        <w:rPr>
          <w:sz w:val="26"/>
        </w:rPr>
        <w:t>a national information/data framework for disability services</w:t>
      </w:r>
    </w:p>
    <w:p>
      <w:pPr>
        <w:pStyle w:val="ListParagraph"/>
        <w:numPr>
          <w:ilvl w:val="0"/>
          <w:numId w:val="6"/>
        </w:numPr>
        <w:tabs>
          <w:tab w:pos="2062" w:val="left" w:leader="none"/>
        </w:tabs>
        <w:spacing w:line="240" w:lineRule="auto" w:before="239" w:after="0"/>
        <w:ind w:left="2062" w:right="1312" w:hanging="360"/>
        <w:jc w:val="left"/>
        <w:rPr>
          <w:sz w:val="26"/>
        </w:rPr>
      </w:pPr>
      <w:r>
        <w:rPr>
          <w:sz w:val="26"/>
        </w:rPr>
        <w:t>Further to previous research by the NDA, the development of a national outcomes framework which was approved for disability services.</w:t>
      </w:r>
      <w:r>
        <w:rPr>
          <w:spacing w:val="-4"/>
          <w:sz w:val="26"/>
        </w:rPr>
        <w:t> </w:t>
      </w:r>
      <w:r>
        <w:rPr>
          <w:sz w:val="26"/>
        </w:rPr>
        <w:t>The</w:t>
      </w:r>
      <w:r>
        <w:rPr>
          <w:spacing w:val="-5"/>
          <w:sz w:val="26"/>
        </w:rPr>
        <w:t> </w:t>
      </w:r>
      <w:r>
        <w:rPr>
          <w:sz w:val="26"/>
        </w:rPr>
        <w:t>National</w:t>
      </w:r>
      <w:r>
        <w:rPr>
          <w:spacing w:val="-3"/>
          <w:sz w:val="26"/>
        </w:rPr>
        <w:t> </w:t>
      </w:r>
      <w:r>
        <w:rPr>
          <w:sz w:val="26"/>
        </w:rPr>
        <w:t>Disability</w:t>
      </w:r>
      <w:r>
        <w:rPr>
          <w:spacing w:val="-5"/>
          <w:sz w:val="26"/>
        </w:rPr>
        <w:t> </w:t>
      </w:r>
      <w:r>
        <w:rPr>
          <w:sz w:val="26"/>
        </w:rPr>
        <w:t>Authority</w:t>
      </w:r>
      <w:r>
        <w:rPr>
          <w:spacing w:val="-5"/>
          <w:sz w:val="26"/>
        </w:rPr>
        <w:t> </w:t>
      </w:r>
      <w:r>
        <w:rPr>
          <w:sz w:val="26"/>
        </w:rPr>
        <w:t>is</w:t>
      </w:r>
      <w:r>
        <w:rPr>
          <w:spacing w:val="-4"/>
          <w:sz w:val="26"/>
        </w:rPr>
        <w:t> </w:t>
      </w:r>
      <w:r>
        <w:rPr>
          <w:sz w:val="26"/>
        </w:rPr>
        <w:t>now</w:t>
      </w:r>
      <w:r>
        <w:rPr>
          <w:spacing w:val="-4"/>
          <w:sz w:val="26"/>
        </w:rPr>
        <w:t> </w:t>
      </w:r>
      <w:r>
        <w:rPr>
          <w:sz w:val="26"/>
        </w:rPr>
        <w:t>advancing</w:t>
      </w:r>
      <w:r>
        <w:rPr>
          <w:spacing w:val="-5"/>
          <w:sz w:val="26"/>
        </w:rPr>
        <w:t> </w:t>
      </w:r>
      <w:r>
        <w:rPr>
          <w:sz w:val="26"/>
        </w:rPr>
        <w:t>work</w:t>
      </w:r>
      <w:r>
        <w:rPr>
          <w:spacing w:val="-4"/>
          <w:sz w:val="26"/>
        </w:rPr>
        <w:t> </w:t>
      </w:r>
      <w:r>
        <w:rPr>
          <w:sz w:val="26"/>
        </w:rPr>
        <w:t>to measure</w:t>
      </w:r>
      <w:r>
        <w:rPr>
          <w:spacing w:val="-5"/>
          <w:sz w:val="26"/>
        </w:rPr>
        <w:t> </w:t>
      </w:r>
      <w:r>
        <w:rPr>
          <w:sz w:val="26"/>
        </w:rPr>
        <w:t>outcomes</w:t>
      </w:r>
      <w:r>
        <w:rPr>
          <w:spacing w:val="-4"/>
          <w:sz w:val="26"/>
        </w:rPr>
        <w:t> </w:t>
      </w:r>
      <w:r>
        <w:rPr>
          <w:sz w:val="26"/>
        </w:rPr>
        <w:t>for</w:t>
      </w:r>
      <w:r>
        <w:rPr>
          <w:spacing w:val="-2"/>
          <w:sz w:val="26"/>
        </w:rPr>
        <w:t> </w:t>
      </w:r>
      <w:r>
        <w:rPr>
          <w:sz w:val="26"/>
        </w:rPr>
        <w:t>people</w:t>
      </w:r>
      <w:r>
        <w:rPr>
          <w:spacing w:val="-5"/>
          <w:sz w:val="26"/>
        </w:rPr>
        <w:t> </w:t>
      </w:r>
      <w:r>
        <w:rPr>
          <w:sz w:val="26"/>
        </w:rPr>
        <w:t>with</w:t>
      </w:r>
      <w:r>
        <w:rPr>
          <w:spacing w:val="-5"/>
          <w:sz w:val="26"/>
        </w:rPr>
        <w:t> </w:t>
      </w:r>
      <w:r>
        <w:rPr>
          <w:sz w:val="26"/>
        </w:rPr>
        <w:t>disabilities and</w:t>
      </w:r>
      <w:r>
        <w:rPr>
          <w:spacing w:val="-5"/>
          <w:sz w:val="26"/>
        </w:rPr>
        <w:t> </w:t>
      </w:r>
      <w:r>
        <w:rPr>
          <w:sz w:val="26"/>
        </w:rPr>
        <w:t>to</w:t>
      </w:r>
      <w:r>
        <w:rPr>
          <w:spacing w:val="-5"/>
          <w:sz w:val="26"/>
        </w:rPr>
        <w:t> </w:t>
      </w:r>
      <w:r>
        <w:rPr>
          <w:sz w:val="26"/>
        </w:rPr>
        <w:t>support</w:t>
      </w:r>
      <w:r>
        <w:rPr>
          <w:spacing w:val="-5"/>
          <w:sz w:val="26"/>
        </w:rPr>
        <w:t> </w:t>
      </w:r>
      <w:r>
        <w:rPr>
          <w:sz w:val="26"/>
        </w:rPr>
        <w:t>quality </w:t>
      </w:r>
      <w:r>
        <w:rPr>
          <w:spacing w:val="-2"/>
          <w:sz w:val="26"/>
        </w:rPr>
        <w:t>assurance</w:t>
      </w:r>
    </w:p>
    <w:p>
      <w:pPr>
        <w:pStyle w:val="ListParagraph"/>
        <w:numPr>
          <w:ilvl w:val="0"/>
          <w:numId w:val="6"/>
        </w:numPr>
        <w:tabs>
          <w:tab w:pos="2062" w:val="left" w:leader="none"/>
        </w:tabs>
        <w:spacing w:line="240" w:lineRule="auto" w:before="243" w:after="0"/>
        <w:ind w:left="2062" w:right="1433" w:hanging="360"/>
        <w:jc w:val="left"/>
        <w:rPr>
          <w:sz w:val="26"/>
        </w:rPr>
      </w:pPr>
      <w:r>
        <w:rPr>
          <w:sz w:val="26"/>
        </w:rPr>
        <w:t>On-going</w:t>
      </w:r>
      <w:r>
        <w:rPr>
          <w:spacing w:val="-4"/>
          <w:sz w:val="26"/>
        </w:rPr>
        <w:t> </w:t>
      </w:r>
      <w:r>
        <w:rPr>
          <w:sz w:val="26"/>
        </w:rPr>
        <w:t>fieldwork</w:t>
      </w:r>
      <w:r>
        <w:rPr>
          <w:spacing w:val="-3"/>
          <w:sz w:val="26"/>
        </w:rPr>
        <w:t> </w:t>
      </w:r>
      <w:r>
        <w:rPr>
          <w:sz w:val="26"/>
        </w:rPr>
        <w:t>to</w:t>
      </w:r>
      <w:r>
        <w:rPr>
          <w:spacing w:val="-3"/>
          <w:sz w:val="26"/>
        </w:rPr>
        <w:t> </w:t>
      </w:r>
      <w:r>
        <w:rPr>
          <w:sz w:val="26"/>
        </w:rPr>
        <w:t>collect</w:t>
      </w:r>
      <w:r>
        <w:rPr>
          <w:spacing w:val="-4"/>
          <w:sz w:val="26"/>
        </w:rPr>
        <w:t> </w:t>
      </w:r>
      <w:r>
        <w:rPr>
          <w:sz w:val="26"/>
        </w:rPr>
        <w:t>data</w:t>
      </w:r>
      <w:r>
        <w:rPr>
          <w:spacing w:val="-4"/>
          <w:sz w:val="26"/>
        </w:rPr>
        <w:t> </w:t>
      </w:r>
      <w:r>
        <w:rPr>
          <w:sz w:val="26"/>
        </w:rPr>
        <w:t>on</w:t>
      </w:r>
      <w:r>
        <w:rPr>
          <w:spacing w:val="-4"/>
          <w:sz w:val="26"/>
        </w:rPr>
        <w:t> </w:t>
      </w:r>
      <w:r>
        <w:rPr>
          <w:sz w:val="26"/>
        </w:rPr>
        <w:t>the</w:t>
      </w:r>
      <w:r>
        <w:rPr>
          <w:spacing w:val="-2"/>
          <w:sz w:val="26"/>
        </w:rPr>
        <w:t> </w:t>
      </w:r>
      <w:r>
        <w:rPr>
          <w:sz w:val="26"/>
        </w:rPr>
        <w:t>costs</w:t>
      </w:r>
      <w:r>
        <w:rPr>
          <w:spacing w:val="-3"/>
          <w:sz w:val="26"/>
        </w:rPr>
        <w:t> </w:t>
      </w:r>
      <w:r>
        <w:rPr>
          <w:sz w:val="26"/>
        </w:rPr>
        <w:t>and</w:t>
      </w:r>
      <w:r>
        <w:rPr>
          <w:spacing w:val="-4"/>
          <w:sz w:val="26"/>
        </w:rPr>
        <w:t> </w:t>
      </w:r>
      <w:r>
        <w:rPr>
          <w:sz w:val="26"/>
        </w:rPr>
        <w:t>benefits</w:t>
      </w:r>
      <w:r>
        <w:rPr>
          <w:spacing w:val="-3"/>
          <w:sz w:val="26"/>
        </w:rPr>
        <w:t> </w:t>
      </w:r>
      <w:r>
        <w:rPr>
          <w:sz w:val="26"/>
        </w:rPr>
        <w:t>of</w:t>
      </w:r>
      <w:r>
        <w:rPr>
          <w:spacing w:val="-4"/>
          <w:sz w:val="26"/>
        </w:rPr>
        <w:t> </w:t>
      </w:r>
      <w:r>
        <w:rPr>
          <w:sz w:val="26"/>
        </w:rPr>
        <w:t>new models of living in community based settings, when compared to traditional institutional settings</w:t>
      </w:r>
    </w:p>
    <w:p>
      <w:pPr>
        <w:pStyle w:val="Heading5"/>
        <w:spacing w:before="240"/>
      </w:pPr>
      <w:r>
        <w:rPr/>
        <w:t>New</w:t>
      </w:r>
      <w:r>
        <w:rPr>
          <w:spacing w:val="-7"/>
        </w:rPr>
        <w:t> </w:t>
      </w:r>
      <w:r>
        <w:rPr>
          <w:spacing w:val="-2"/>
        </w:rPr>
        <w:t>Directions</w:t>
      </w:r>
    </w:p>
    <w:p>
      <w:pPr>
        <w:pStyle w:val="BodyText"/>
        <w:spacing w:before="239"/>
        <w:ind w:left="1702" w:right="1099"/>
      </w:pPr>
      <w:r>
        <w:rPr/>
        <w:t>The National Disability Authority, as a member of the HSE’s New Directions</w:t>
      </w:r>
      <w:r>
        <w:rPr>
          <w:spacing w:val="-5"/>
        </w:rPr>
        <w:t> </w:t>
      </w:r>
      <w:r>
        <w:rPr/>
        <w:t>National</w:t>
      </w:r>
      <w:r>
        <w:rPr>
          <w:spacing w:val="-6"/>
        </w:rPr>
        <w:t> </w:t>
      </w:r>
      <w:r>
        <w:rPr/>
        <w:t>Implementation</w:t>
      </w:r>
      <w:r>
        <w:rPr>
          <w:spacing w:val="-6"/>
        </w:rPr>
        <w:t> </w:t>
      </w:r>
      <w:r>
        <w:rPr/>
        <w:t>Group</w:t>
      </w:r>
      <w:r>
        <w:rPr>
          <w:spacing w:val="-6"/>
        </w:rPr>
        <w:t> </w:t>
      </w:r>
      <w:r>
        <w:rPr/>
        <w:t>has</w:t>
      </w:r>
      <w:r>
        <w:rPr>
          <w:spacing w:val="-6"/>
        </w:rPr>
        <w:t> </w:t>
      </w:r>
      <w:r>
        <w:rPr/>
        <w:t>proactively</w:t>
      </w:r>
      <w:r>
        <w:rPr>
          <w:spacing w:val="-6"/>
        </w:rPr>
        <w:t> </w:t>
      </w:r>
      <w:r>
        <w:rPr/>
        <w:t>engaged</w:t>
      </w:r>
      <w:r>
        <w:rPr>
          <w:spacing w:val="-4"/>
        </w:rPr>
        <w:t> </w:t>
      </w:r>
      <w:r>
        <w:rPr/>
        <w:t>in advancing a number of key developments, and undertaken work to support the implementation of the goals of this policy, such as:</w:t>
      </w:r>
    </w:p>
    <w:p>
      <w:pPr>
        <w:pStyle w:val="ListParagraph"/>
        <w:numPr>
          <w:ilvl w:val="0"/>
          <w:numId w:val="6"/>
        </w:numPr>
        <w:tabs>
          <w:tab w:pos="2062" w:val="left" w:leader="none"/>
        </w:tabs>
        <w:spacing w:line="240" w:lineRule="auto" w:before="241" w:after="0"/>
        <w:ind w:left="2062" w:right="1409" w:hanging="360"/>
        <w:jc w:val="left"/>
        <w:rPr>
          <w:sz w:val="26"/>
        </w:rPr>
      </w:pPr>
      <w:r>
        <w:rPr>
          <w:sz w:val="26"/>
        </w:rPr>
        <w:t>An</w:t>
      </w:r>
      <w:r>
        <w:rPr>
          <w:spacing w:val="-4"/>
          <w:sz w:val="26"/>
        </w:rPr>
        <w:t> </w:t>
      </w:r>
      <w:r>
        <w:rPr>
          <w:sz w:val="26"/>
        </w:rPr>
        <w:t>enhanced</w:t>
      </w:r>
      <w:r>
        <w:rPr>
          <w:spacing w:val="-4"/>
          <w:sz w:val="26"/>
        </w:rPr>
        <w:t> </w:t>
      </w:r>
      <w:r>
        <w:rPr>
          <w:sz w:val="26"/>
        </w:rPr>
        <w:t>process</w:t>
      </w:r>
      <w:r>
        <w:rPr>
          <w:spacing w:val="-3"/>
          <w:sz w:val="26"/>
        </w:rPr>
        <w:t> </w:t>
      </w:r>
      <w:r>
        <w:rPr>
          <w:sz w:val="26"/>
        </w:rPr>
        <w:t>to</w:t>
      </w:r>
      <w:r>
        <w:rPr>
          <w:spacing w:val="-3"/>
          <w:sz w:val="26"/>
        </w:rPr>
        <w:t> </w:t>
      </w:r>
      <w:r>
        <w:rPr>
          <w:sz w:val="26"/>
        </w:rPr>
        <w:t>profile</w:t>
      </w:r>
      <w:r>
        <w:rPr>
          <w:spacing w:val="-4"/>
          <w:sz w:val="26"/>
        </w:rPr>
        <w:t> </w:t>
      </w:r>
      <w:r>
        <w:rPr>
          <w:sz w:val="26"/>
        </w:rPr>
        <w:t>the</w:t>
      </w:r>
      <w:r>
        <w:rPr>
          <w:spacing w:val="-3"/>
          <w:sz w:val="26"/>
        </w:rPr>
        <w:t> </w:t>
      </w:r>
      <w:r>
        <w:rPr>
          <w:sz w:val="26"/>
        </w:rPr>
        <w:t>support</w:t>
      </w:r>
      <w:r>
        <w:rPr>
          <w:spacing w:val="-4"/>
          <w:sz w:val="26"/>
        </w:rPr>
        <w:t> </w:t>
      </w:r>
      <w:r>
        <w:rPr>
          <w:sz w:val="26"/>
        </w:rPr>
        <w:t>needs</w:t>
      </w:r>
      <w:r>
        <w:rPr>
          <w:spacing w:val="-2"/>
          <w:sz w:val="26"/>
        </w:rPr>
        <w:t> </w:t>
      </w:r>
      <w:r>
        <w:rPr>
          <w:sz w:val="26"/>
        </w:rPr>
        <w:t>of</w:t>
      </w:r>
      <w:r>
        <w:rPr>
          <w:spacing w:val="-1"/>
          <w:sz w:val="26"/>
        </w:rPr>
        <w:t> </w:t>
      </w:r>
      <w:r>
        <w:rPr>
          <w:sz w:val="26"/>
        </w:rPr>
        <w:t>school</w:t>
      </w:r>
      <w:r>
        <w:rPr>
          <w:spacing w:val="-3"/>
          <w:sz w:val="26"/>
        </w:rPr>
        <w:t> </w:t>
      </w:r>
      <w:r>
        <w:rPr>
          <w:sz w:val="26"/>
        </w:rPr>
        <w:t>leavers and those exiting from Rehabilitative Training in 2017</w:t>
      </w:r>
    </w:p>
    <w:p>
      <w:pPr>
        <w:pStyle w:val="ListParagraph"/>
        <w:numPr>
          <w:ilvl w:val="0"/>
          <w:numId w:val="6"/>
        </w:numPr>
        <w:tabs>
          <w:tab w:pos="2062" w:val="left" w:leader="none"/>
        </w:tabs>
        <w:spacing w:line="240" w:lineRule="auto" w:before="120" w:after="0"/>
        <w:ind w:left="2062" w:right="2112" w:hanging="360"/>
        <w:jc w:val="left"/>
        <w:rPr>
          <w:sz w:val="26"/>
        </w:rPr>
      </w:pPr>
      <w:r>
        <w:rPr>
          <w:sz w:val="26"/>
        </w:rPr>
        <w:t>Piloting</w:t>
      </w:r>
      <w:r>
        <w:rPr>
          <w:spacing w:val="-6"/>
          <w:sz w:val="26"/>
        </w:rPr>
        <w:t> </w:t>
      </w:r>
      <w:r>
        <w:rPr>
          <w:sz w:val="26"/>
        </w:rPr>
        <w:t>a</w:t>
      </w:r>
      <w:r>
        <w:rPr>
          <w:spacing w:val="-6"/>
          <w:sz w:val="26"/>
        </w:rPr>
        <w:t> </w:t>
      </w:r>
      <w:r>
        <w:rPr>
          <w:sz w:val="26"/>
        </w:rPr>
        <w:t>self-assessment</w:t>
      </w:r>
      <w:r>
        <w:rPr>
          <w:spacing w:val="-6"/>
          <w:sz w:val="26"/>
        </w:rPr>
        <w:t> </w:t>
      </w:r>
      <w:r>
        <w:rPr>
          <w:sz w:val="26"/>
        </w:rPr>
        <w:t>tool</w:t>
      </w:r>
      <w:r>
        <w:rPr>
          <w:spacing w:val="-5"/>
          <w:sz w:val="26"/>
        </w:rPr>
        <w:t> </w:t>
      </w:r>
      <w:r>
        <w:rPr>
          <w:sz w:val="26"/>
        </w:rPr>
        <w:t>for</w:t>
      </w:r>
      <w:r>
        <w:rPr>
          <w:spacing w:val="-6"/>
          <w:sz w:val="26"/>
        </w:rPr>
        <w:t> </w:t>
      </w:r>
      <w:r>
        <w:rPr>
          <w:sz w:val="26"/>
        </w:rPr>
        <w:t>the</w:t>
      </w:r>
      <w:r>
        <w:rPr>
          <w:spacing w:val="-5"/>
          <w:sz w:val="26"/>
        </w:rPr>
        <w:t> </w:t>
      </w:r>
      <w:r>
        <w:rPr>
          <w:sz w:val="26"/>
        </w:rPr>
        <w:t>Interim</w:t>
      </w:r>
      <w:r>
        <w:rPr>
          <w:spacing w:val="-6"/>
          <w:sz w:val="26"/>
        </w:rPr>
        <w:t> </w:t>
      </w:r>
      <w:r>
        <w:rPr>
          <w:sz w:val="26"/>
        </w:rPr>
        <w:t>Standards</w:t>
      </w:r>
      <w:r>
        <w:rPr>
          <w:spacing w:val="-5"/>
          <w:sz w:val="26"/>
        </w:rPr>
        <w:t> </w:t>
      </w:r>
      <w:r>
        <w:rPr>
          <w:sz w:val="26"/>
        </w:rPr>
        <w:t>New Directions for adult day services</w:t>
      </w:r>
    </w:p>
    <w:p>
      <w:pPr>
        <w:pStyle w:val="ListParagraph"/>
        <w:numPr>
          <w:ilvl w:val="0"/>
          <w:numId w:val="6"/>
        </w:numPr>
        <w:tabs>
          <w:tab w:pos="2062" w:val="left" w:leader="none"/>
        </w:tabs>
        <w:spacing w:line="240" w:lineRule="auto" w:before="119" w:after="0"/>
        <w:ind w:left="2062" w:right="1202" w:hanging="360"/>
        <w:jc w:val="left"/>
        <w:rPr>
          <w:sz w:val="26"/>
        </w:rPr>
      </w:pPr>
      <w:r>
        <w:rPr>
          <w:sz w:val="26"/>
        </w:rPr>
        <w:t>The</w:t>
      </w:r>
      <w:r>
        <w:rPr>
          <w:spacing w:val="-4"/>
          <w:sz w:val="26"/>
        </w:rPr>
        <w:t> </w:t>
      </w:r>
      <w:r>
        <w:rPr>
          <w:sz w:val="26"/>
        </w:rPr>
        <w:t>development</w:t>
      </w:r>
      <w:r>
        <w:rPr>
          <w:spacing w:val="-1"/>
          <w:sz w:val="26"/>
        </w:rPr>
        <w:t> </w:t>
      </w:r>
      <w:r>
        <w:rPr>
          <w:sz w:val="26"/>
        </w:rPr>
        <w:t>of</w:t>
      </w:r>
      <w:r>
        <w:rPr>
          <w:spacing w:val="-4"/>
          <w:sz w:val="26"/>
        </w:rPr>
        <w:t> </w:t>
      </w:r>
      <w:r>
        <w:rPr>
          <w:sz w:val="26"/>
        </w:rPr>
        <w:t>an</w:t>
      </w:r>
      <w:r>
        <w:rPr>
          <w:spacing w:val="-2"/>
          <w:sz w:val="26"/>
        </w:rPr>
        <w:t> </w:t>
      </w:r>
      <w:r>
        <w:rPr>
          <w:sz w:val="26"/>
        </w:rPr>
        <w:t>easy</w:t>
      </w:r>
      <w:r>
        <w:rPr>
          <w:spacing w:val="-4"/>
          <w:sz w:val="26"/>
        </w:rPr>
        <w:t> </w:t>
      </w:r>
      <w:r>
        <w:rPr>
          <w:sz w:val="26"/>
        </w:rPr>
        <w:t>read</w:t>
      </w:r>
      <w:r>
        <w:rPr>
          <w:spacing w:val="-4"/>
          <w:sz w:val="26"/>
        </w:rPr>
        <w:t> </w:t>
      </w:r>
      <w:r>
        <w:rPr>
          <w:sz w:val="26"/>
        </w:rPr>
        <w:t>version</w:t>
      </w:r>
      <w:r>
        <w:rPr>
          <w:spacing w:val="-4"/>
          <w:sz w:val="26"/>
        </w:rPr>
        <w:t> </w:t>
      </w:r>
      <w:r>
        <w:rPr>
          <w:sz w:val="26"/>
        </w:rPr>
        <w:t>of</w:t>
      </w:r>
      <w:r>
        <w:rPr>
          <w:spacing w:val="-4"/>
          <w:sz w:val="26"/>
        </w:rPr>
        <w:t> </w:t>
      </w:r>
      <w:r>
        <w:rPr>
          <w:sz w:val="26"/>
        </w:rPr>
        <w:t>the</w:t>
      </w:r>
      <w:r>
        <w:rPr>
          <w:spacing w:val="-4"/>
          <w:sz w:val="26"/>
        </w:rPr>
        <w:t> </w:t>
      </w:r>
      <w:r>
        <w:rPr>
          <w:sz w:val="26"/>
        </w:rPr>
        <w:t>Interim</w:t>
      </w:r>
      <w:r>
        <w:rPr>
          <w:spacing w:val="-4"/>
          <w:sz w:val="26"/>
        </w:rPr>
        <w:t> </w:t>
      </w:r>
      <w:r>
        <w:rPr>
          <w:sz w:val="26"/>
        </w:rPr>
        <w:t>Standards</w:t>
      </w:r>
      <w:r>
        <w:rPr>
          <w:spacing w:val="-4"/>
          <w:sz w:val="26"/>
        </w:rPr>
        <w:t> </w:t>
      </w:r>
      <w:r>
        <w:rPr>
          <w:sz w:val="26"/>
        </w:rPr>
        <w:t>for New Directions: Services and Supports for Adults with Disabilities.</w:t>
      </w:r>
    </w:p>
    <w:p>
      <w:pPr>
        <w:pStyle w:val="BodyText"/>
      </w:pPr>
    </w:p>
    <w:p>
      <w:pPr>
        <w:pStyle w:val="ListParagraph"/>
        <w:numPr>
          <w:ilvl w:val="0"/>
          <w:numId w:val="6"/>
        </w:numPr>
        <w:tabs>
          <w:tab w:pos="2062" w:val="left" w:leader="none"/>
        </w:tabs>
        <w:spacing w:line="240" w:lineRule="auto" w:before="0" w:after="0"/>
        <w:ind w:left="2062" w:right="1189" w:hanging="360"/>
        <w:jc w:val="left"/>
        <w:rPr>
          <w:sz w:val="26"/>
        </w:rPr>
      </w:pPr>
      <w:r>
        <w:rPr>
          <w:sz w:val="26"/>
        </w:rPr>
        <w:t>The</w:t>
      </w:r>
      <w:r>
        <w:rPr>
          <w:spacing w:val="-5"/>
          <w:sz w:val="26"/>
        </w:rPr>
        <w:t> </w:t>
      </w:r>
      <w:r>
        <w:rPr>
          <w:sz w:val="26"/>
        </w:rPr>
        <w:t>development</w:t>
      </w:r>
      <w:r>
        <w:rPr>
          <w:spacing w:val="-2"/>
          <w:sz w:val="26"/>
        </w:rPr>
        <w:t> </w:t>
      </w:r>
      <w:r>
        <w:rPr>
          <w:sz w:val="26"/>
        </w:rPr>
        <w:t>of</w:t>
      </w:r>
      <w:r>
        <w:rPr>
          <w:spacing w:val="-3"/>
          <w:sz w:val="26"/>
        </w:rPr>
        <w:t> </w:t>
      </w:r>
      <w:r>
        <w:rPr>
          <w:sz w:val="26"/>
        </w:rPr>
        <w:t>a</w:t>
      </w:r>
      <w:r>
        <w:rPr>
          <w:spacing w:val="-3"/>
          <w:sz w:val="26"/>
        </w:rPr>
        <w:t> </w:t>
      </w:r>
      <w:r>
        <w:rPr>
          <w:sz w:val="26"/>
        </w:rPr>
        <w:t>Quality</w:t>
      </w:r>
      <w:r>
        <w:rPr>
          <w:spacing w:val="-5"/>
          <w:sz w:val="26"/>
        </w:rPr>
        <w:t> </w:t>
      </w:r>
      <w:r>
        <w:rPr>
          <w:sz w:val="26"/>
        </w:rPr>
        <w:t>Toolkit</w:t>
      </w:r>
      <w:r>
        <w:rPr>
          <w:spacing w:val="-5"/>
          <w:sz w:val="26"/>
        </w:rPr>
        <w:t> </w:t>
      </w:r>
      <w:r>
        <w:rPr>
          <w:sz w:val="26"/>
        </w:rPr>
        <w:t>for</w:t>
      </w:r>
      <w:r>
        <w:rPr>
          <w:spacing w:val="-5"/>
          <w:sz w:val="26"/>
        </w:rPr>
        <w:t> </w:t>
      </w:r>
      <w:r>
        <w:rPr>
          <w:sz w:val="26"/>
        </w:rPr>
        <w:t>the</w:t>
      </w:r>
      <w:r>
        <w:rPr>
          <w:spacing w:val="-4"/>
          <w:sz w:val="26"/>
        </w:rPr>
        <w:t> </w:t>
      </w:r>
      <w:r>
        <w:rPr>
          <w:sz w:val="26"/>
        </w:rPr>
        <w:t>2017</w:t>
      </w:r>
      <w:r>
        <w:rPr>
          <w:spacing w:val="-5"/>
          <w:sz w:val="26"/>
        </w:rPr>
        <w:t> </w:t>
      </w:r>
      <w:r>
        <w:rPr>
          <w:sz w:val="26"/>
        </w:rPr>
        <w:t>implementation</w:t>
      </w:r>
      <w:r>
        <w:rPr>
          <w:spacing w:val="-3"/>
          <w:sz w:val="26"/>
        </w:rPr>
        <w:t> </w:t>
      </w:r>
      <w:r>
        <w:rPr>
          <w:sz w:val="26"/>
        </w:rPr>
        <w:t>of Interim Standards.</w:t>
      </w:r>
    </w:p>
    <w:p>
      <w:pPr>
        <w:pStyle w:val="BodyText"/>
      </w:pPr>
    </w:p>
    <w:p>
      <w:pPr>
        <w:pStyle w:val="ListParagraph"/>
        <w:numPr>
          <w:ilvl w:val="0"/>
          <w:numId w:val="6"/>
        </w:numPr>
        <w:tabs>
          <w:tab w:pos="2062" w:val="left" w:leader="none"/>
        </w:tabs>
        <w:spacing w:line="240" w:lineRule="auto" w:before="1" w:after="0"/>
        <w:ind w:left="2062" w:right="993" w:hanging="360"/>
        <w:jc w:val="left"/>
        <w:rPr>
          <w:sz w:val="26"/>
        </w:rPr>
      </w:pPr>
      <w:r>
        <w:rPr>
          <w:sz w:val="26"/>
        </w:rPr>
        <w:t>Developing a continuous quality improvement process for the implementation</w:t>
      </w:r>
      <w:r>
        <w:rPr>
          <w:spacing w:val="-5"/>
          <w:sz w:val="26"/>
        </w:rPr>
        <w:t> </w:t>
      </w:r>
      <w:r>
        <w:rPr>
          <w:sz w:val="26"/>
        </w:rPr>
        <w:t>of</w:t>
      </w:r>
      <w:r>
        <w:rPr>
          <w:spacing w:val="-5"/>
          <w:sz w:val="26"/>
        </w:rPr>
        <w:t> </w:t>
      </w:r>
      <w:r>
        <w:rPr>
          <w:sz w:val="26"/>
        </w:rPr>
        <w:t>interim</w:t>
      </w:r>
      <w:r>
        <w:rPr>
          <w:spacing w:val="-5"/>
          <w:sz w:val="26"/>
        </w:rPr>
        <w:t> </w:t>
      </w:r>
      <w:r>
        <w:rPr>
          <w:sz w:val="26"/>
        </w:rPr>
        <w:t>Standards</w:t>
      </w:r>
      <w:r>
        <w:rPr>
          <w:spacing w:val="-4"/>
          <w:sz w:val="26"/>
        </w:rPr>
        <w:t> </w:t>
      </w:r>
      <w:r>
        <w:rPr>
          <w:sz w:val="26"/>
        </w:rPr>
        <w:t>for</w:t>
      </w:r>
      <w:r>
        <w:rPr>
          <w:spacing w:val="-5"/>
          <w:sz w:val="26"/>
        </w:rPr>
        <w:t> </w:t>
      </w:r>
      <w:r>
        <w:rPr>
          <w:sz w:val="26"/>
        </w:rPr>
        <w:t>New</w:t>
      </w:r>
      <w:r>
        <w:rPr>
          <w:spacing w:val="-1"/>
          <w:sz w:val="26"/>
        </w:rPr>
        <w:t> </w:t>
      </w:r>
      <w:r>
        <w:rPr>
          <w:sz w:val="26"/>
        </w:rPr>
        <w:t>Directions with</w:t>
      </w:r>
      <w:r>
        <w:rPr>
          <w:spacing w:val="-5"/>
          <w:sz w:val="26"/>
        </w:rPr>
        <w:t> </w:t>
      </w:r>
      <w:r>
        <w:rPr>
          <w:sz w:val="26"/>
        </w:rPr>
        <w:t>a</w:t>
      </w:r>
      <w:r>
        <w:rPr>
          <w:spacing w:val="-5"/>
          <w:sz w:val="26"/>
        </w:rPr>
        <w:t> </w:t>
      </w:r>
      <w:r>
        <w:rPr>
          <w:sz w:val="26"/>
        </w:rPr>
        <w:t>view</w:t>
      </w:r>
      <w:r>
        <w:rPr>
          <w:spacing w:val="-3"/>
          <w:sz w:val="26"/>
        </w:rPr>
        <w:t> </w:t>
      </w:r>
      <w:r>
        <w:rPr>
          <w:sz w:val="26"/>
        </w:rPr>
        <w:t>to a roll-out of same in 2018</w:t>
      </w:r>
    </w:p>
    <w:p>
      <w:pPr>
        <w:pStyle w:val="ListParagraph"/>
        <w:spacing w:after="0" w:line="240" w:lineRule="auto"/>
        <w:jc w:val="left"/>
        <w:rPr>
          <w:sz w:val="26"/>
        </w:rPr>
        <w:sectPr>
          <w:pgSz w:w="11910" w:h="16850"/>
          <w:pgMar w:header="0" w:footer="811" w:top="1880" w:bottom="1000" w:left="283" w:right="992"/>
        </w:sectPr>
      </w:pPr>
    </w:p>
    <w:p>
      <w:pPr>
        <w:pStyle w:val="Heading4"/>
      </w:pPr>
      <w:r>
        <w:rPr/>
        <w:t>Engagement</w:t>
      </w:r>
      <w:r>
        <w:rPr>
          <w:spacing w:val="-6"/>
        </w:rPr>
        <w:t> </w:t>
      </w:r>
      <w:r>
        <w:rPr/>
        <w:t>and</w:t>
      </w:r>
      <w:r>
        <w:rPr>
          <w:spacing w:val="-9"/>
        </w:rPr>
        <w:t> </w:t>
      </w:r>
      <w:r>
        <w:rPr/>
        <w:t>participation</w:t>
      </w:r>
      <w:r>
        <w:rPr>
          <w:spacing w:val="-6"/>
        </w:rPr>
        <w:t> </w:t>
      </w:r>
      <w:r>
        <w:rPr/>
        <w:t>of</w:t>
      </w:r>
      <w:r>
        <w:rPr>
          <w:spacing w:val="-6"/>
        </w:rPr>
        <w:t> </w:t>
      </w:r>
      <w:r>
        <w:rPr/>
        <w:t>persons</w:t>
      </w:r>
      <w:r>
        <w:rPr>
          <w:spacing w:val="-5"/>
        </w:rPr>
        <w:t> </w:t>
      </w:r>
      <w:r>
        <w:rPr/>
        <w:t>with disabilities in developing services</w:t>
      </w:r>
    </w:p>
    <w:p>
      <w:pPr>
        <w:pStyle w:val="BodyText"/>
        <w:spacing w:before="107"/>
        <w:ind w:left="1702" w:right="1039"/>
      </w:pPr>
      <w:r>
        <w:rPr/>
        <w:t>As part of Transforming Lives, a HSE working group was in place to advise on</w:t>
      </w:r>
      <w:r>
        <w:rPr>
          <w:spacing w:val="-2"/>
        </w:rPr>
        <w:t> </w:t>
      </w:r>
      <w:r>
        <w:rPr/>
        <w:t>systems</w:t>
      </w:r>
      <w:r>
        <w:rPr>
          <w:spacing w:val="-2"/>
        </w:rPr>
        <w:t> </w:t>
      </w:r>
      <w:r>
        <w:rPr/>
        <w:t>and</w:t>
      </w:r>
      <w:r>
        <w:rPr>
          <w:spacing w:val="-2"/>
        </w:rPr>
        <w:t> </w:t>
      </w:r>
      <w:r>
        <w:rPr/>
        <w:t>structures</w:t>
      </w:r>
      <w:r>
        <w:rPr>
          <w:spacing w:val="-1"/>
        </w:rPr>
        <w:t> </w:t>
      </w:r>
      <w:r>
        <w:rPr/>
        <w:t>to</w:t>
      </w:r>
      <w:r>
        <w:rPr>
          <w:spacing w:val="-1"/>
        </w:rPr>
        <w:t> </w:t>
      </w:r>
      <w:r>
        <w:rPr/>
        <w:t>enable</w:t>
      </w:r>
      <w:r>
        <w:rPr>
          <w:spacing w:val="-2"/>
        </w:rPr>
        <w:t> </w:t>
      </w:r>
      <w:r>
        <w:rPr/>
        <w:t>people</w:t>
      </w:r>
      <w:r>
        <w:rPr>
          <w:spacing w:val="-2"/>
        </w:rPr>
        <w:t> </w:t>
      </w:r>
      <w:r>
        <w:rPr/>
        <w:t>with</w:t>
      </w:r>
      <w:r>
        <w:rPr>
          <w:spacing w:val="-2"/>
        </w:rPr>
        <w:t> </w:t>
      </w:r>
      <w:r>
        <w:rPr/>
        <w:t>disabilities have</w:t>
      </w:r>
      <w:r>
        <w:rPr>
          <w:spacing w:val="-2"/>
        </w:rPr>
        <w:t> </w:t>
      </w:r>
      <w:r>
        <w:rPr/>
        <w:t>a</w:t>
      </w:r>
      <w:r>
        <w:rPr>
          <w:spacing w:val="-2"/>
        </w:rPr>
        <w:t> </w:t>
      </w:r>
      <w:r>
        <w:rPr/>
        <w:t>voice</w:t>
      </w:r>
      <w:r>
        <w:rPr>
          <w:spacing w:val="-2"/>
        </w:rPr>
        <w:t> </w:t>
      </w:r>
      <w:r>
        <w:rPr/>
        <w:t>in service planning, development, and the decision-making processes in disability support services. In support of this work, the National Disability Authority commissioned research on systems and structures of user participation in other jurisdictions. The research commenced in the</w:t>
      </w:r>
      <w:r>
        <w:rPr>
          <w:spacing w:val="40"/>
        </w:rPr>
        <w:t> </w:t>
      </w:r>
      <w:r>
        <w:rPr/>
        <w:t>second half of 2016 and a final report on engagement and participation of people</w:t>
      </w:r>
      <w:r>
        <w:rPr>
          <w:spacing w:val="-5"/>
        </w:rPr>
        <w:t> </w:t>
      </w:r>
      <w:r>
        <w:rPr/>
        <w:t>with</w:t>
      </w:r>
      <w:r>
        <w:rPr>
          <w:spacing w:val="-5"/>
        </w:rPr>
        <w:t> </w:t>
      </w:r>
      <w:r>
        <w:rPr/>
        <w:t>disabilities</w:t>
      </w:r>
      <w:r>
        <w:rPr>
          <w:spacing w:val="-5"/>
        </w:rPr>
        <w:t> </w:t>
      </w:r>
      <w:r>
        <w:rPr/>
        <w:t>in</w:t>
      </w:r>
      <w:r>
        <w:rPr>
          <w:spacing w:val="-5"/>
        </w:rPr>
        <w:t> </w:t>
      </w:r>
      <w:r>
        <w:rPr/>
        <w:t>developing</w:t>
      </w:r>
      <w:r>
        <w:rPr>
          <w:spacing w:val="-5"/>
        </w:rPr>
        <w:t> </w:t>
      </w:r>
      <w:r>
        <w:rPr/>
        <w:t>services was</w:t>
      </w:r>
      <w:r>
        <w:rPr>
          <w:spacing w:val="-4"/>
        </w:rPr>
        <w:t> </w:t>
      </w:r>
      <w:r>
        <w:rPr/>
        <w:t>finalised</w:t>
      </w:r>
      <w:r>
        <w:rPr>
          <w:spacing w:val="-5"/>
        </w:rPr>
        <w:t> </w:t>
      </w:r>
      <w:r>
        <w:rPr/>
        <w:t>and</w:t>
      </w:r>
      <w:r>
        <w:rPr>
          <w:spacing w:val="-4"/>
        </w:rPr>
        <w:t> </w:t>
      </w:r>
      <w:r>
        <w:rPr/>
        <w:t>delivered</w:t>
      </w:r>
      <w:r>
        <w:rPr>
          <w:spacing w:val="-5"/>
        </w:rPr>
        <w:t> </w:t>
      </w:r>
      <w:r>
        <w:rPr/>
        <w:t>to the relevant working group in May 2017.</w:t>
      </w:r>
    </w:p>
    <w:p>
      <w:pPr>
        <w:pStyle w:val="BodyText"/>
      </w:pPr>
    </w:p>
    <w:p>
      <w:pPr>
        <w:pStyle w:val="BodyText"/>
        <w:spacing w:before="71"/>
      </w:pPr>
    </w:p>
    <w:p>
      <w:pPr>
        <w:pStyle w:val="Heading5"/>
        <w:ind w:right="988"/>
        <w:rPr>
          <w:rFonts w:ascii="Rockwell"/>
        </w:rPr>
      </w:pPr>
      <w:r>
        <w:rPr>
          <w:rFonts w:ascii="Rockwell"/>
        </w:rPr>
        <w:t>Research</w:t>
      </w:r>
      <w:r>
        <w:rPr>
          <w:rFonts w:ascii="Rockwell"/>
          <w:spacing w:val="-5"/>
        </w:rPr>
        <w:t> </w:t>
      </w:r>
      <w:r>
        <w:rPr>
          <w:rFonts w:ascii="Rockwell"/>
        </w:rPr>
        <w:t>to</w:t>
      </w:r>
      <w:r>
        <w:rPr>
          <w:rFonts w:ascii="Rockwell"/>
          <w:spacing w:val="-4"/>
        </w:rPr>
        <w:t> </w:t>
      </w:r>
      <w:r>
        <w:rPr>
          <w:rFonts w:ascii="Rockwell"/>
        </w:rPr>
        <w:t>inform</w:t>
      </w:r>
      <w:r>
        <w:rPr>
          <w:rFonts w:ascii="Rockwell"/>
          <w:spacing w:val="-3"/>
        </w:rPr>
        <w:t> </w:t>
      </w:r>
      <w:r>
        <w:rPr>
          <w:rFonts w:ascii="Rockwell"/>
        </w:rPr>
        <w:t>a</w:t>
      </w:r>
      <w:r>
        <w:rPr>
          <w:rFonts w:ascii="Rockwell"/>
          <w:spacing w:val="-6"/>
        </w:rPr>
        <w:t> </w:t>
      </w:r>
      <w:r>
        <w:rPr>
          <w:rFonts w:ascii="Rockwell"/>
        </w:rPr>
        <w:t>national</w:t>
      </w:r>
      <w:r>
        <w:rPr>
          <w:rFonts w:ascii="Rockwell"/>
          <w:spacing w:val="-4"/>
        </w:rPr>
        <w:t> </w:t>
      </w:r>
      <w:r>
        <w:rPr>
          <w:rFonts w:ascii="Rockwell"/>
        </w:rPr>
        <w:t>framework</w:t>
      </w:r>
      <w:r>
        <w:rPr>
          <w:rFonts w:ascii="Rockwell"/>
          <w:spacing w:val="-6"/>
        </w:rPr>
        <w:t> </w:t>
      </w:r>
      <w:r>
        <w:rPr>
          <w:rFonts w:ascii="Rockwell"/>
        </w:rPr>
        <w:t>for</w:t>
      </w:r>
      <w:r>
        <w:rPr>
          <w:rFonts w:ascii="Rockwell"/>
          <w:spacing w:val="-7"/>
        </w:rPr>
        <w:t> </w:t>
      </w:r>
      <w:r>
        <w:rPr>
          <w:rFonts w:ascii="Rockwell"/>
        </w:rPr>
        <w:t>person-centred planning in services for persons with a disability</w:t>
      </w:r>
    </w:p>
    <w:p>
      <w:pPr>
        <w:pStyle w:val="BodyText"/>
        <w:spacing w:before="28"/>
        <w:ind w:left="1702" w:right="988"/>
      </w:pPr>
      <w:r>
        <w:rPr/>
        <w:t>The</w:t>
      </w:r>
      <w:r>
        <w:rPr>
          <w:spacing w:val="-4"/>
        </w:rPr>
        <w:t> </w:t>
      </w:r>
      <w:r>
        <w:rPr/>
        <w:t>NDA</w:t>
      </w:r>
      <w:r>
        <w:rPr>
          <w:spacing w:val="-4"/>
        </w:rPr>
        <w:t> </w:t>
      </w:r>
      <w:r>
        <w:rPr/>
        <w:t>has</w:t>
      </w:r>
      <w:r>
        <w:rPr>
          <w:spacing w:val="-4"/>
        </w:rPr>
        <w:t> </w:t>
      </w:r>
      <w:r>
        <w:rPr/>
        <w:t>been</w:t>
      </w:r>
      <w:r>
        <w:rPr>
          <w:spacing w:val="-4"/>
        </w:rPr>
        <w:t> </w:t>
      </w:r>
      <w:r>
        <w:rPr/>
        <w:t>supporting</w:t>
      </w:r>
      <w:r>
        <w:rPr>
          <w:spacing w:val="-4"/>
        </w:rPr>
        <w:t> </w:t>
      </w:r>
      <w:r>
        <w:rPr/>
        <w:t>the</w:t>
      </w:r>
      <w:r>
        <w:rPr>
          <w:spacing w:val="-4"/>
        </w:rPr>
        <w:t> </w:t>
      </w:r>
      <w:r>
        <w:rPr/>
        <w:t>HSE</w:t>
      </w:r>
      <w:r>
        <w:rPr>
          <w:spacing w:val="-4"/>
        </w:rPr>
        <w:t> </w:t>
      </w:r>
      <w:r>
        <w:rPr/>
        <w:t>with the</w:t>
      </w:r>
      <w:r>
        <w:rPr>
          <w:spacing w:val="-4"/>
        </w:rPr>
        <w:t> </w:t>
      </w:r>
      <w:r>
        <w:rPr/>
        <w:t>development</w:t>
      </w:r>
      <w:r>
        <w:rPr>
          <w:spacing w:val="-4"/>
        </w:rPr>
        <w:t> </w:t>
      </w:r>
      <w:r>
        <w:rPr/>
        <w:t>of</w:t>
      </w:r>
      <w:r>
        <w:rPr>
          <w:spacing w:val="-4"/>
        </w:rPr>
        <w:t> </w:t>
      </w:r>
      <w:r>
        <w:rPr/>
        <w:t>a</w:t>
      </w:r>
      <w:r>
        <w:rPr>
          <w:spacing w:val="-2"/>
        </w:rPr>
        <w:t> </w:t>
      </w:r>
      <w:r>
        <w:rPr/>
        <w:t>national framework for person-centred planning, under the Transforming Lives programme. The NDA managed 3 strands of research to inform the </w:t>
      </w:r>
      <w:r>
        <w:rPr>
          <w:spacing w:val="-2"/>
        </w:rPr>
        <w:t>framework:</w:t>
      </w:r>
    </w:p>
    <w:p>
      <w:pPr>
        <w:pStyle w:val="ListParagraph"/>
        <w:numPr>
          <w:ilvl w:val="0"/>
          <w:numId w:val="6"/>
        </w:numPr>
        <w:tabs>
          <w:tab w:pos="2062" w:val="left" w:leader="none"/>
        </w:tabs>
        <w:spacing w:line="240" w:lineRule="auto" w:before="241" w:after="0"/>
        <w:ind w:left="2062" w:right="1222" w:hanging="360"/>
        <w:jc w:val="left"/>
        <w:rPr>
          <w:sz w:val="26"/>
        </w:rPr>
      </w:pPr>
      <w:r>
        <w:rPr>
          <w:sz w:val="26"/>
        </w:rPr>
        <w:t>A</w:t>
      </w:r>
      <w:r>
        <w:rPr>
          <w:spacing w:val="-4"/>
          <w:sz w:val="26"/>
        </w:rPr>
        <w:t> </w:t>
      </w:r>
      <w:r>
        <w:rPr>
          <w:sz w:val="26"/>
        </w:rPr>
        <w:t>review</w:t>
      </w:r>
      <w:r>
        <w:rPr>
          <w:spacing w:val="-2"/>
          <w:sz w:val="26"/>
        </w:rPr>
        <w:t> </w:t>
      </w:r>
      <w:r>
        <w:rPr>
          <w:sz w:val="26"/>
        </w:rPr>
        <w:t>of</w:t>
      </w:r>
      <w:r>
        <w:rPr>
          <w:spacing w:val="-4"/>
          <w:sz w:val="26"/>
        </w:rPr>
        <w:t> </w:t>
      </w:r>
      <w:r>
        <w:rPr>
          <w:sz w:val="26"/>
        </w:rPr>
        <w:t>the</w:t>
      </w:r>
      <w:r>
        <w:rPr>
          <w:spacing w:val="-4"/>
          <w:sz w:val="26"/>
        </w:rPr>
        <w:t> </w:t>
      </w:r>
      <w:r>
        <w:rPr>
          <w:sz w:val="26"/>
        </w:rPr>
        <w:t>literature</w:t>
      </w:r>
      <w:r>
        <w:rPr>
          <w:spacing w:val="-3"/>
          <w:sz w:val="26"/>
        </w:rPr>
        <w:t> </w:t>
      </w:r>
      <w:r>
        <w:rPr>
          <w:sz w:val="26"/>
        </w:rPr>
        <w:t>since</w:t>
      </w:r>
      <w:r>
        <w:rPr>
          <w:spacing w:val="-4"/>
          <w:sz w:val="26"/>
        </w:rPr>
        <w:t> </w:t>
      </w:r>
      <w:r>
        <w:rPr>
          <w:sz w:val="26"/>
        </w:rPr>
        <w:t>the</w:t>
      </w:r>
      <w:r>
        <w:rPr>
          <w:spacing w:val="-4"/>
          <w:sz w:val="26"/>
        </w:rPr>
        <w:t> </w:t>
      </w:r>
      <w:r>
        <w:rPr>
          <w:sz w:val="26"/>
        </w:rPr>
        <w:t>publication</w:t>
      </w:r>
      <w:r>
        <w:rPr>
          <w:spacing w:val="-4"/>
          <w:sz w:val="26"/>
        </w:rPr>
        <w:t> </w:t>
      </w:r>
      <w:r>
        <w:rPr>
          <w:sz w:val="26"/>
        </w:rPr>
        <w:t>of</w:t>
      </w:r>
      <w:r>
        <w:rPr>
          <w:spacing w:val="-4"/>
          <w:sz w:val="26"/>
        </w:rPr>
        <w:t> </w:t>
      </w:r>
      <w:r>
        <w:rPr>
          <w:sz w:val="26"/>
        </w:rPr>
        <w:t>the</w:t>
      </w:r>
      <w:r>
        <w:rPr>
          <w:spacing w:val="-4"/>
          <w:sz w:val="26"/>
        </w:rPr>
        <w:t> </w:t>
      </w:r>
      <w:r>
        <w:rPr>
          <w:sz w:val="26"/>
        </w:rPr>
        <w:t>NDA</w:t>
      </w:r>
      <w:r>
        <w:rPr>
          <w:spacing w:val="-2"/>
          <w:sz w:val="26"/>
        </w:rPr>
        <w:t> </w:t>
      </w:r>
      <w:r>
        <w:rPr>
          <w:sz w:val="26"/>
        </w:rPr>
        <w:t>Guideline on Person-Centred Planning in 2005</w:t>
      </w:r>
    </w:p>
    <w:p>
      <w:pPr>
        <w:pStyle w:val="ListParagraph"/>
        <w:numPr>
          <w:ilvl w:val="0"/>
          <w:numId w:val="6"/>
        </w:numPr>
        <w:tabs>
          <w:tab w:pos="2062" w:val="left" w:leader="none"/>
        </w:tabs>
        <w:spacing w:line="240" w:lineRule="auto" w:before="0" w:after="0"/>
        <w:ind w:left="2062" w:right="990" w:hanging="360"/>
        <w:jc w:val="left"/>
        <w:rPr>
          <w:sz w:val="26"/>
        </w:rPr>
      </w:pPr>
      <w:r>
        <w:rPr>
          <w:sz w:val="26"/>
        </w:rPr>
        <w:t>A</w:t>
      </w:r>
      <w:r>
        <w:rPr>
          <w:spacing w:val="-4"/>
          <w:sz w:val="26"/>
        </w:rPr>
        <w:t> </w:t>
      </w:r>
      <w:r>
        <w:rPr>
          <w:sz w:val="26"/>
        </w:rPr>
        <w:t>360</w:t>
      </w:r>
      <w:r>
        <w:rPr>
          <w:spacing w:val="-4"/>
          <w:sz w:val="26"/>
        </w:rPr>
        <w:t> </w:t>
      </w:r>
      <w:r>
        <w:rPr>
          <w:sz w:val="26"/>
        </w:rPr>
        <w:t>degree</w:t>
      </w:r>
      <w:r>
        <w:rPr>
          <w:spacing w:val="-4"/>
          <w:sz w:val="26"/>
        </w:rPr>
        <w:t> </w:t>
      </w:r>
      <w:r>
        <w:rPr>
          <w:sz w:val="26"/>
        </w:rPr>
        <w:t>look</w:t>
      </w:r>
      <w:r>
        <w:rPr>
          <w:spacing w:val="-4"/>
          <w:sz w:val="26"/>
        </w:rPr>
        <w:t> </w:t>
      </w:r>
      <w:r>
        <w:rPr>
          <w:sz w:val="26"/>
        </w:rPr>
        <w:t>at</w:t>
      </w:r>
      <w:r>
        <w:rPr>
          <w:spacing w:val="-4"/>
          <w:sz w:val="26"/>
        </w:rPr>
        <w:t> </w:t>
      </w:r>
      <w:r>
        <w:rPr>
          <w:sz w:val="26"/>
        </w:rPr>
        <w:t>a</w:t>
      </w:r>
      <w:r>
        <w:rPr>
          <w:spacing w:val="-1"/>
          <w:sz w:val="26"/>
        </w:rPr>
        <w:t> </w:t>
      </w:r>
      <w:r>
        <w:rPr>
          <w:sz w:val="26"/>
        </w:rPr>
        <w:t>series</w:t>
      </w:r>
      <w:r>
        <w:rPr>
          <w:spacing w:val="-2"/>
          <w:sz w:val="26"/>
        </w:rPr>
        <w:t> </w:t>
      </w:r>
      <w:r>
        <w:rPr>
          <w:sz w:val="26"/>
        </w:rPr>
        <w:t>of</w:t>
      </w:r>
      <w:r>
        <w:rPr>
          <w:spacing w:val="-4"/>
          <w:sz w:val="26"/>
        </w:rPr>
        <w:t> </w:t>
      </w:r>
      <w:r>
        <w:rPr>
          <w:sz w:val="26"/>
        </w:rPr>
        <w:t>person-centred</w:t>
      </w:r>
      <w:r>
        <w:rPr>
          <w:spacing w:val="-4"/>
          <w:sz w:val="26"/>
        </w:rPr>
        <w:t> </w:t>
      </w:r>
      <w:r>
        <w:rPr>
          <w:sz w:val="26"/>
        </w:rPr>
        <w:t>plans</w:t>
      </w:r>
      <w:r>
        <w:rPr>
          <w:spacing w:val="-3"/>
          <w:sz w:val="26"/>
        </w:rPr>
        <w:t> </w:t>
      </w:r>
      <w:r>
        <w:rPr>
          <w:sz w:val="26"/>
        </w:rPr>
        <w:t>as</w:t>
      </w:r>
      <w:r>
        <w:rPr>
          <w:spacing w:val="-4"/>
          <w:sz w:val="26"/>
        </w:rPr>
        <w:t> </w:t>
      </w:r>
      <w:r>
        <w:rPr>
          <w:sz w:val="26"/>
        </w:rPr>
        <w:t>case</w:t>
      </w:r>
      <w:r>
        <w:rPr>
          <w:spacing w:val="-3"/>
          <w:sz w:val="26"/>
        </w:rPr>
        <w:t> </w:t>
      </w:r>
      <w:r>
        <w:rPr>
          <w:sz w:val="26"/>
        </w:rPr>
        <w:t>studies</w:t>
      </w:r>
      <w:r>
        <w:rPr>
          <w:spacing w:val="-3"/>
          <w:sz w:val="26"/>
        </w:rPr>
        <w:t> </w:t>
      </w:r>
      <w:r>
        <w:rPr>
          <w:sz w:val="26"/>
        </w:rPr>
        <w:t>of current practice, along with interviews with key informants with knowledge</w:t>
      </w:r>
      <w:r>
        <w:rPr>
          <w:spacing w:val="-2"/>
          <w:sz w:val="26"/>
        </w:rPr>
        <w:t> </w:t>
      </w:r>
      <w:r>
        <w:rPr>
          <w:sz w:val="26"/>
        </w:rPr>
        <w:t>of</w:t>
      </w:r>
      <w:r>
        <w:rPr>
          <w:spacing w:val="-3"/>
          <w:sz w:val="26"/>
        </w:rPr>
        <w:t> </w:t>
      </w:r>
      <w:r>
        <w:rPr>
          <w:sz w:val="26"/>
        </w:rPr>
        <w:t>person-centred</w:t>
      </w:r>
      <w:r>
        <w:rPr>
          <w:spacing w:val="-3"/>
          <w:sz w:val="26"/>
        </w:rPr>
        <w:t> </w:t>
      </w:r>
      <w:r>
        <w:rPr>
          <w:sz w:val="26"/>
        </w:rPr>
        <w:t>planning</w:t>
      </w:r>
      <w:r>
        <w:rPr>
          <w:spacing w:val="-2"/>
          <w:sz w:val="26"/>
        </w:rPr>
        <w:t> </w:t>
      </w:r>
      <w:r>
        <w:rPr>
          <w:sz w:val="26"/>
        </w:rPr>
        <w:t>in</w:t>
      </w:r>
      <w:r>
        <w:rPr>
          <w:spacing w:val="-3"/>
          <w:sz w:val="26"/>
        </w:rPr>
        <w:t> </w:t>
      </w:r>
      <w:r>
        <w:rPr>
          <w:sz w:val="26"/>
        </w:rPr>
        <w:t>residential</w:t>
      </w:r>
      <w:r>
        <w:rPr>
          <w:spacing w:val="-3"/>
          <w:sz w:val="26"/>
        </w:rPr>
        <w:t> </w:t>
      </w:r>
      <w:r>
        <w:rPr>
          <w:sz w:val="26"/>
        </w:rPr>
        <w:t>services</w:t>
      </w:r>
      <w:r>
        <w:rPr>
          <w:spacing w:val="-2"/>
          <w:sz w:val="26"/>
        </w:rPr>
        <w:t> </w:t>
      </w:r>
      <w:r>
        <w:rPr>
          <w:sz w:val="26"/>
        </w:rPr>
        <w:t>for</w:t>
      </w:r>
      <w:r>
        <w:rPr>
          <w:spacing w:val="-3"/>
          <w:sz w:val="26"/>
        </w:rPr>
        <w:t> </w:t>
      </w:r>
      <w:r>
        <w:rPr>
          <w:sz w:val="26"/>
        </w:rPr>
        <w:t>person with a disability</w:t>
      </w:r>
    </w:p>
    <w:p>
      <w:pPr>
        <w:pStyle w:val="ListParagraph"/>
        <w:numPr>
          <w:ilvl w:val="0"/>
          <w:numId w:val="6"/>
        </w:numPr>
        <w:tabs>
          <w:tab w:pos="2062" w:val="left" w:leader="none"/>
        </w:tabs>
        <w:spacing w:line="240" w:lineRule="auto" w:before="0" w:after="0"/>
        <w:ind w:left="2062" w:right="1013" w:hanging="360"/>
        <w:jc w:val="left"/>
        <w:rPr>
          <w:sz w:val="26"/>
        </w:rPr>
      </w:pPr>
      <w:r>
        <w:rPr>
          <w:sz w:val="26"/>
        </w:rPr>
        <w:t>An analysis of 50 HIQA inspection reports to ascertain what they say about</w:t>
      </w:r>
      <w:r>
        <w:rPr>
          <w:spacing w:val="-5"/>
          <w:sz w:val="26"/>
        </w:rPr>
        <w:t> </w:t>
      </w:r>
      <w:r>
        <w:rPr>
          <w:sz w:val="26"/>
        </w:rPr>
        <w:t>person-centred</w:t>
      </w:r>
      <w:r>
        <w:rPr>
          <w:spacing w:val="-3"/>
          <w:sz w:val="26"/>
        </w:rPr>
        <w:t> </w:t>
      </w:r>
      <w:r>
        <w:rPr>
          <w:sz w:val="26"/>
        </w:rPr>
        <w:t>planning</w:t>
      </w:r>
      <w:r>
        <w:rPr>
          <w:spacing w:val="-5"/>
          <w:sz w:val="26"/>
        </w:rPr>
        <w:t> </w:t>
      </w:r>
      <w:r>
        <w:rPr>
          <w:sz w:val="26"/>
        </w:rPr>
        <w:t>in</w:t>
      </w:r>
      <w:r>
        <w:rPr>
          <w:spacing w:val="-5"/>
          <w:sz w:val="26"/>
        </w:rPr>
        <w:t> </w:t>
      </w:r>
      <w:r>
        <w:rPr>
          <w:sz w:val="26"/>
        </w:rPr>
        <w:t>residential</w:t>
      </w:r>
      <w:r>
        <w:rPr>
          <w:spacing w:val="-5"/>
          <w:sz w:val="26"/>
        </w:rPr>
        <w:t> </w:t>
      </w:r>
      <w:r>
        <w:rPr>
          <w:sz w:val="26"/>
        </w:rPr>
        <w:t>services</w:t>
      </w:r>
      <w:r>
        <w:rPr>
          <w:spacing w:val="-4"/>
          <w:sz w:val="26"/>
        </w:rPr>
        <w:t> </w:t>
      </w:r>
      <w:r>
        <w:rPr>
          <w:sz w:val="26"/>
        </w:rPr>
        <w:t>for</w:t>
      </w:r>
      <w:r>
        <w:rPr>
          <w:spacing w:val="-5"/>
          <w:sz w:val="26"/>
        </w:rPr>
        <w:t> </w:t>
      </w:r>
      <w:r>
        <w:rPr>
          <w:sz w:val="26"/>
        </w:rPr>
        <w:t>persons</w:t>
      </w:r>
      <w:r>
        <w:rPr>
          <w:spacing w:val="-4"/>
          <w:sz w:val="26"/>
        </w:rPr>
        <w:t> </w:t>
      </w:r>
      <w:r>
        <w:rPr>
          <w:sz w:val="26"/>
        </w:rPr>
        <w:t>with</w:t>
      </w:r>
      <w:r>
        <w:rPr>
          <w:spacing w:val="-5"/>
          <w:sz w:val="26"/>
        </w:rPr>
        <w:t> </w:t>
      </w:r>
      <w:r>
        <w:rPr>
          <w:sz w:val="26"/>
        </w:rPr>
        <w:t>a </w:t>
      </w:r>
      <w:r>
        <w:rPr>
          <w:spacing w:val="-2"/>
          <w:sz w:val="26"/>
        </w:rPr>
        <w:t>disability</w:t>
      </w:r>
    </w:p>
    <w:p>
      <w:pPr>
        <w:pStyle w:val="BodyText"/>
        <w:ind w:left="1702" w:right="988"/>
      </w:pPr>
      <w:r>
        <w:rPr/>
        <w:t>Consultations</w:t>
      </w:r>
      <w:r>
        <w:rPr>
          <w:spacing w:val="-3"/>
        </w:rPr>
        <w:t> </w:t>
      </w:r>
      <w:r>
        <w:rPr/>
        <w:t>were</w:t>
      </w:r>
      <w:r>
        <w:rPr>
          <w:spacing w:val="-3"/>
        </w:rPr>
        <w:t> </w:t>
      </w:r>
      <w:r>
        <w:rPr/>
        <w:t>held</w:t>
      </w:r>
      <w:r>
        <w:rPr>
          <w:spacing w:val="-4"/>
        </w:rPr>
        <w:t> </w:t>
      </w:r>
      <w:r>
        <w:rPr/>
        <w:t>on</w:t>
      </w:r>
      <w:r>
        <w:rPr>
          <w:spacing w:val="-4"/>
        </w:rPr>
        <w:t> </w:t>
      </w:r>
      <w:r>
        <w:rPr/>
        <w:t>a</w:t>
      </w:r>
      <w:r>
        <w:rPr>
          <w:spacing w:val="-4"/>
        </w:rPr>
        <w:t> </w:t>
      </w:r>
      <w:r>
        <w:rPr/>
        <w:t>draft</w:t>
      </w:r>
      <w:r>
        <w:rPr>
          <w:spacing w:val="-4"/>
        </w:rPr>
        <w:t> </w:t>
      </w:r>
      <w:r>
        <w:rPr/>
        <w:t>framework</w:t>
      </w:r>
      <w:r>
        <w:rPr>
          <w:spacing w:val="-4"/>
        </w:rPr>
        <w:t> </w:t>
      </w:r>
      <w:r>
        <w:rPr/>
        <w:t>and</w:t>
      </w:r>
      <w:r>
        <w:rPr>
          <w:spacing w:val="-4"/>
        </w:rPr>
        <w:t> </w:t>
      </w:r>
      <w:r>
        <w:rPr/>
        <w:t>easy-to-read</w:t>
      </w:r>
      <w:r>
        <w:rPr>
          <w:spacing w:val="-2"/>
        </w:rPr>
        <w:t> </w:t>
      </w:r>
      <w:r>
        <w:rPr/>
        <w:t>guide</w:t>
      </w:r>
      <w:r>
        <w:rPr>
          <w:spacing w:val="-3"/>
        </w:rPr>
        <w:t> </w:t>
      </w:r>
      <w:r>
        <w:rPr/>
        <w:t>in 2017 and the national framework will be completed in 2018.</w:t>
      </w:r>
    </w:p>
    <w:p>
      <w:pPr>
        <w:pStyle w:val="BodyText"/>
        <w:spacing w:before="254"/>
      </w:pPr>
    </w:p>
    <w:p>
      <w:pPr>
        <w:pStyle w:val="Heading5"/>
        <w:rPr>
          <w:rFonts w:ascii="Rockwell"/>
        </w:rPr>
      </w:pPr>
      <w:r>
        <w:rPr>
          <w:rFonts w:ascii="Rockwell"/>
        </w:rPr>
        <w:t>Research</w:t>
      </w:r>
      <w:r>
        <w:rPr>
          <w:rFonts w:ascii="Rockwell"/>
          <w:spacing w:val="-5"/>
        </w:rPr>
        <w:t> </w:t>
      </w:r>
      <w:r>
        <w:rPr>
          <w:rFonts w:ascii="Rockwell"/>
        </w:rPr>
        <w:t>to</w:t>
      </w:r>
      <w:r>
        <w:rPr>
          <w:rFonts w:ascii="Rockwell"/>
          <w:spacing w:val="-4"/>
        </w:rPr>
        <w:t> </w:t>
      </w:r>
      <w:r>
        <w:rPr>
          <w:rFonts w:ascii="Rockwell"/>
        </w:rPr>
        <w:t>inform</w:t>
      </w:r>
      <w:r>
        <w:rPr>
          <w:rFonts w:ascii="Rockwell"/>
          <w:spacing w:val="-4"/>
        </w:rPr>
        <w:t> </w:t>
      </w:r>
      <w:r>
        <w:rPr>
          <w:rFonts w:ascii="Rockwell"/>
        </w:rPr>
        <w:t>a</w:t>
      </w:r>
      <w:r>
        <w:rPr>
          <w:rFonts w:ascii="Rockwell"/>
          <w:spacing w:val="-6"/>
        </w:rPr>
        <w:t> </w:t>
      </w:r>
      <w:r>
        <w:rPr>
          <w:rFonts w:ascii="Rockwell"/>
        </w:rPr>
        <w:t>quality</w:t>
      </w:r>
      <w:r>
        <w:rPr>
          <w:rFonts w:ascii="Rockwell"/>
          <w:spacing w:val="-4"/>
        </w:rPr>
        <w:t> </w:t>
      </w:r>
      <w:r>
        <w:rPr>
          <w:rFonts w:ascii="Rockwell"/>
        </w:rPr>
        <w:t>framework</w:t>
      </w:r>
      <w:r>
        <w:rPr>
          <w:rFonts w:ascii="Rockwell"/>
          <w:spacing w:val="-6"/>
        </w:rPr>
        <w:t> </w:t>
      </w:r>
      <w:r>
        <w:rPr>
          <w:rFonts w:ascii="Rockwell"/>
        </w:rPr>
        <w:t>for</w:t>
      </w:r>
      <w:r>
        <w:rPr>
          <w:rFonts w:ascii="Rockwell"/>
          <w:spacing w:val="-7"/>
        </w:rPr>
        <w:t> </w:t>
      </w:r>
      <w:r>
        <w:rPr>
          <w:rFonts w:ascii="Rockwell"/>
        </w:rPr>
        <w:t>outcomes-focused disability services</w:t>
      </w:r>
    </w:p>
    <w:p>
      <w:pPr>
        <w:pStyle w:val="BodyText"/>
        <w:spacing w:before="25"/>
        <w:ind w:left="1702" w:right="1099"/>
      </w:pPr>
      <w:r>
        <w:rPr/>
        <w:t>The NDA has been supporting the HSE with the development of an outcomes and quality framework for disability services, under the Transforming Lives Programme. Based on research, the NDA proposed outcome</w:t>
      </w:r>
      <w:r>
        <w:rPr>
          <w:spacing w:val="-5"/>
        </w:rPr>
        <w:t> </w:t>
      </w:r>
      <w:r>
        <w:rPr/>
        <w:t>domains</w:t>
      </w:r>
      <w:r>
        <w:rPr>
          <w:spacing w:val="-3"/>
        </w:rPr>
        <w:t> </w:t>
      </w:r>
      <w:r>
        <w:rPr/>
        <w:t>for</w:t>
      </w:r>
      <w:r>
        <w:rPr>
          <w:spacing w:val="-5"/>
        </w:rPr>
        <w:t> </w:t>
      </w:r>
      <w:r>
        <w:rPr/>
        <w:t>disability</w:t>
      </w:r>
      <w:r>
        <w:rPr>
          <w:spacing w:val="-5"/>
        </w:rPr>
        <w:t> </w:t>
      </w:r>
      <w:r>
        <w:rPr/>
        <w:t>services</w:t>
      </w:r>
      <w:r>
        <w:rPr>
          <w:spacing w:val="-3"/>
        </w:rPr>
        <w:t> </w:t>
      </w:r>
      <w:r>
        <w:rPr/>
        <w:t>that</w:t>
      </w:r>
      <w:r>
        <w:rPr>
          <w:spacing w:val="-5"/>
        </w:rPr>
        <w:t> </w:t>
      </w:r>
      <w:r>
        <w:rPr/>
        <w:t>align</w:t>
      </w:r>
      <w:r>
        <w:rPr>
          <w:spacing w:val="-5"/>
        </w:rPr>
        <w:t> </w:t>
      </w:r>
      <w:r>
        <w:rPr/>
        <w:t>with</w:t>
      </w:r>
      <w:r>
        <w:rPr>
          <w:spacing w:val="-5"/>
        </w:rPr>
        <w:t> </w:t>
      </w:r>
      <w:r>
        <w:rPr/>
        <w:t>the</w:t>
      </w:r>
      <w:r>
        <w:rPr>
          <w:spacing w:val="-5"/>
        </w:rPr>
        <w:t> </w:t>
      </w:r>
      <w:r>
        <w:rPr/>
        <w:t>United</w:t>
      </w:r>
      <w:r>
        <w:rPr>
          <w:spacing w:val="-3"/>
        </w:rPr>
        <w:t> </w:t>
      </w:r>
      <w:r>
        <w:rPr/>
        <w:t>Nations Convention on the Rights of Persons with Disabilities (UNCRPD), the Health Information and Quality Authority (HIQA) Residential Standards and the Interim Standards for New Directions. The nine quality of life</w:t>
      </w:r>
    </w:p>
    <w:p>
      <w:pPr>
        <w:pStyle w:val="BodyText"/>
        <w:spacing w:after="0"/>
        <w:sectPr>
          <w:pgSz w:w="11910" w:h="16850"/>
          <w:pgMar w:header="0" w:footer="811" w:top="1900" w:bottom="1000" w:left="283" w:right="992"/>
        </w:sectPr>
      </w:pPr>
    </w:p>
    <w:p>
      <w:pPr>
        <w:pStyle w:val="BodyText"/>
        <w:spacing w:before="79"/>
        <w:ind w:left="1702" w:right="1059"/>
      </w:pPr>
      <w:r>
        <w:rPr/>
        <w:t>outcome</w:t>
      </w:r>
      <w:r>
        <w:rPr>
          <w:spacing w:val="-5"/>
        </w:rPr>
        <w:t> </w:t>
      </w:r>
      <w:r>
        <w:rPr/>
        <w:t>domains</w:t>
      </w:r>
      <w:r>
        <w:rPr>
          <w:spacing w:val="-3"/>
        </w:rPr>
        <w:t> </w:t>
      </w:r>
      <w:r>
        <w:rPr/>
        <w:t>reflect</w:t>
      </w:r>
      <w:r>
        <w:rPr>
          <w:spacing w:val="-5"/>
        </w:rPr>
        <w:t> </w:t>
      </w:r>
      <w:r>
        <w:rPr/>
        <w:t>widely</w:t>
      </w:r>
      <w:r>
        <w:rPr>
          <w:spacing w:val="-5"/>
        </w:rPr>
        <w:t> </w:t>
      </w:r>
      <w:r>
        <w:rPr/>
        <w:t>recognised</w:t>
      </w:r>
      <w:r>
        <w:rPr>
          <w:spacing w:val="-5"/>
        </w:rPr>
        <w:t> </w:t>
      </w:r>
      <w:r>
        <w:rPr/>
        <w:t>aspects</w:t>
      </w:r>
      <w:r>
        <w:rPr>
          <w:spacing w:val="-4"/>
        </w:rPr>
        <w:t> </w:t>
      </w:r>
      <w:r>
        <w:rPr/>
        <w:t>of</w:t>
      </w:r>
      <w:r>
        <w:rPr>
          <w:spacing w:val="-5"/>
        </w:rPr>
        <w:t> </w:t>
      </w:r>
      <w:r>
        <w:rPr/>
        <w:t>quality</w:t>
      </w:r>
      <w:r>
        <w:rPr>
          <w:spacing w:val="-5"/>
        </w:rPr>
        <w:t> </w:t>
      </w:r>
      <w:r>
        <w:rPr/>
        <w:t>of</w:t>
      </w:r>
      <w:r>
        <w:rPr>
          <w:spacing w:val="-5"/>
        </w:rPr>
        <w:t> </w:t>
      </w:r>
      <w:r>
        <w:rPr/>
        <w:t>life,</w:t>
      </w:r>
      <w:r>
        <w:rPr>
          <w:spacing w:val="-3"/>
        </w:rPr>
        <w:t> </w:t>
      </w:r>
      <w:r>
        <w:rPr/>
        <w:t>which are the same for all people. The Department of Health and the Health Service Executive (HSE) have adopted these outcome domains for disability services. The evidence shows that the use of outcomes and outcome measurement, whether for person-centred planning, individual assessment or the use of KPIs for service evaluation, is beneficial when well integrated into the design, delivery and quality improvement processes of person-centred services.</w:t>
      </w:r>
    </w:p>
    <w:p>
      <w:pPr>
        <w:pStyle w:val="BodyText"/>
        <w:spacing w:before="300"/>
        <w:ind w:left="1702" w:right="1099"/>
      </w:pPr>
      <w:r>
        <w:rPr/>
        <w:t>The NDA is continuing to support the development of a quality framework</w:t>
      </w:r>
      <w:r>
        <w:rPr>
          <w:spacing w:val="-4"/>
        </w:rPr>
        <w:t> </w:t>
      </w:r>
      <w:r>
        <w:rPr/>
        <w:t>for</w:t>
      </w:r>
      <w:r>
        <w:rPr>
          <w:spacing w:val="-5"/>
        </w:rPr>
        <w:t> </w:t>
      </w:r>
      <w:r>
        <w:rPr/>
        <w:t>outcomes-focused</w:t>
      </w:r>
      <w:r>
        <w:rPr>
          <w:spacing w:val="-5"/>
        </w:rPr>
        <w:t> </w:t>
      </w:r>
      <w:r>
        <w:rPr/>
        <w:t>disability</w:t>
      </w:r>
      <w:r>
        <w:rPr>
          <w:spacing w:val="-5"/>
        </w:rPr>
        <w:t> </w:t>
      </w:r>
      <w:r>
        <w:rPr/>
        <w:t>services,</w:t>
      </w:r>
      <w:r>
        <w:rPr>
          <w:spacing w:val="-4"/>
        </w:rPr>
        <w:t> </w:t>
      </w:r>
      <w:r>
        <w:rPr/>
        <w:t>based</w:t>
      </w:r>
      <w:r>
        <w:rPr>
          <w:spacing w:val="-5"/>
        </w:rPr>
        <w:t> </w:t>
      </w:r>
      <w:r>
        <w:rPr/>
        <w:t>on</w:t>
      </w:r>
      <w:r>
        <w:rPr>
          <w:spacing w:val="-5"/>
        </w:rPr>
        <w:t> </w:t>
      </w:r>
      <w:r>
        <w:rPr/>
        <w:t>research</w:t>
      </w:r>
      <w:r>
        <w:rPr>
          <w:spacing w:val="-4"/>
        </w:rPr>
        <w:t> </w:t>
      </w:r>
      <w:r>
        <w:rPr/>
        <w:t>it has carried out to inform the framework.</w:t>
      </w:r>
    </w:p>
    <w:p>
      <w:pPr>
        <w:pStyle w:val="BodyText"/>
        <w:spacing w:before="1"/>
      </w:pPr>
    </w:p>
    <w:p>
      <w:pPr>
        <w:pStyle w:val="BodyText"/>
        <w:ind w:left="1702" w:right="1080"/>
      </w:pPr>
      <w:r>
        <w:rPr/>
        <w:t>In</w:t>
      </w:r>
      <w:r>
        <w:rPr>
          <w:spacing w:val="-5"/>
        </w:rPr>
        <w:t> </w:t>
      </w:r>
      <w:r>
        <w:rPr/>
        <w:t>2017</w:t>
      </w:r>
      <w:r>
        <w:rPr>
          <w:spacing w:val="-5"/>
        </w:rPr>
        <w:t> </w:t>
      </w:r>
      <w:r>
        <w:rPr/>
        <w:t>the</w:t>
      </w:r>
      <w:r>
        <w:rPr>
          <w:spacing w:val="-2"/>
        </w:rPr>
        <w:t> </w:t>
      </w:r>
      <w:r>
        <w:rPr/>
        <w:t>NDA’s</w:t>
      </w:r>
      <w:r>
        <w:rPr>
          <w:spacing w:val="-3"/>
        </w:rPr>
        <w:t> </w:t>
      </w:r>
      <w:r>
        <w:rPr/>
        <w:t>work</w:t>
      </w:r>
      <w:r>
        <w:rPr>
          <w:spacing w:val="-4"/>
        </w:rPr>
        <w:t> </w:t>
      </w:r>
      <w:r>
        <w:rPr/>
        <w:t>entailed</w:t>
      </w:r>
      <w:r>
        <w:rPr>
          <w:spacing w:val="-2"/>
        </w:rPr>
        <w:t> </w:t>
      </w:r>
      <w:r>
        <w:rPr/>
        <w:t>research</w:t>
      </w:r>
      <w:r>
        <w:rPr>
          <w:spacing w:val="-4"/>
        </w:rPr>
        <w:t> </w:t>
      </w:r>
      <w:r>
        <w:rPr/>
        <w:t>to</w:t>
      </w:r>
      <w:r>
        <w:rPr>
          <w:spacing w:val="-4"/>
        </w:rPr>
        <w:t> </w:t>
      </w:r>
      <w:r>
        <w:rPr/>
        <w:t>inform</w:t>
      </w:r>
      <w:r>
        <w:rPr>
          <w:spacing w:val="-5"/>
        </w:rPr>
        <w:t> </w:t>
      </w:r>
      <w:r>
        <w:rPr/>
        <w:t>the</w:t>
      </w:r>
      <w:r>
        <w:rPr>
          <w:spacing w:val="-5"/>
        </w:rPr>
        <w:t> </w:t>
      </w:r>
      <w:r>
        <w:rPr/>
        <w:t>development</w:t>
      </w:r>
      <w:r>
        <w:rPr>
          <w:spacing w:val="-5"/>
        </w:rPr>
        <w:t> </w:t>
      </w:r>
      <w:r>
        <w:rPr/>
        <w:t>of the quality framework. This work included:</w:t>
      </w:r>
    </w:p>
    <w:p>
      <w:pPr>
        <w:pStyle w:val="ListParagraph"/>
        <w:numPr>
          <w:ilvl w:val="0"/>
          <w:numId w:val="6"/>
        </w:numPr>
        <w:tabs>
          <w:tab w:pos="2062" w:val="left" w:leader="none"/>
        </w:tabs>
        <w:spacing w:line="240" w:lineRule="auto" w:before="0" w:after="0"/>
        <w:ind w:left="2062" w:right="1103" w:hanging="360"/>
        <w:jc w:val="left"/>
        <w:rPr>
          <w:sz w:val="26"/>
        </w:rPr>
      </w:pPr>
      <w:r>
        <w:rPr>
          <w:sz w:val="26"/>
        </w:rPr>
        <w:t>a</w:t>
      </w:r>
      <w:r>
        <w:rPr>
          <w:spacing w:val="-5"/>
          <w:sz w:val="26"/>
        </w:rPr>
        <w:t> </w:t>
      </w:r>
      <w:r>
        <w:rPr>
          <w:sz w:val="26"/>
        </w:rPr>
        <w:t>scoping</w:t>
      </w:r>
      <w:r>
        <w:rPr>
          <w:spacing w:val="-5"/>
          <w:sz w:val="26"/>
        </w:rPr>
        <w:t> </w:t>
      </w:r>
      <w:r>
        <w:rPr>
          <w:sz w:val="26"/>
        </w:rPr>
        <w:t>review</w:t>
      </w:r>
      <w:r>
        <w:rPr>
          <w:spacing w:val="-3"/>
          <w:sz w:val="26"/>
        </w:rPr>
        <w:t> </w:t>
      </w:r>
      <w:r>
        <w:rPr>
          <w:sz w:val="26"/>
        </w:rPr>
        <w:t>of</w:t>
      </w:r>
      <w:r>
        <w:rPr>
          <w:spacing w:val="-5"/>
          <w:sz w:val="26"/>
        </w:rPr>
        <w:t> </w:t>
      </w:r>
      <w:r>
        <w:rPr>
          <w:sz w:val="26"/>
        </w:rPr>
        <w:t>the</w:t>
      </w:r>
      <w:r>
        <w:rPr>
          <w:spacing w:val="-2"/>
          <w:sz w:val="26"/>
        </w:rPr>
        <w:t> </w:t>
      </w:r>
      <w:r>
        <w:rPr>
          <w:sz w:val="26"/>
        </w:rPr>
        <w:t>literature</w:t>
      </w:r>
      <w:r>
        <w:rPr>
          <w:spacing w:val="-4"/>
          <w:sz w:val="26"/>
        </w:rPr>
        <w:t> </w:t>
      </w:r>
      <w:r>
        <w:rPr>
          <w:sz w:val="26"/>
        </w:rPr>
        <w:t>to</w:t>
      </w:r>
      <w:r>
        <w:rPr>
          <w:spacing w:val="-4"/>
          <w:sz w:val="26"/>
        </w:rPr>
        <w:t> </w:t>
      </w:r>
      <w:r>
        <w:rPr>
          <w:sz w:val="26"/>
        </w:rPr>
        <w:t>establish</w:t>
      </w:r>
      <w:r>
        <w:rPr>
          <w:spacing w:val="-7"/>
          <w:sz w:val="26"/>
        </w:rPr>
        <w:t> </w:t>
      </w:r>
      <w:r>
        <w:rPr>
          <w:sz w:val="26"/>
        </w:rPr>
        <w:t>the</w:t>
      </w:r>
      <w:r>
        <w:rPr>
          <w:spacing w:val="-5"/>
          <w:sz w:val="26"/>
        </w:rPr>
        <w:t> </w:t>
      </w:r>
      <w:r>
        <w:rPr>
          <w:sz w:val="26"/>
        </w:rPr>
        <w:t>values,</w:t>
      </w:r>
      <w:r>
        <w:rPr>
          <w:spacing w:val="-4"/>
          <w:sz w:val="26"/>
        </w:rPr>
        <w:t> </w:t>
      </w:r>
      <w:r>
        <w:rPr>
          <w:sz w:val="26"/>
        </w:rPr>
        <w:t>principles</w:t>
      </w:r>
      <w:r>
        <w:rPr>
          <w:spacing w:val="-3"/>
          <w:sz w:val="26"/>
        </w:rPr>
        <w:t> </w:t>
      </w:r>
      <w:r>
        <w:rPr>
          <w:sz w:val="26"/>
        </w:rPr>
        <w:t>and culture that are needed to underpin quality frameworks in outcomes-focused disability services, and including key definitions in relation to quality assurance, quality improvement and quality frameworks and a review of key current documents</w:t>
      </w:r>
    </w:p>
    <w:p>
      <w:pPr>
        <w:pStyle w:val="ListParagraph"/>
        <w:numPr>
          <w:ilvl w:val="0"/>
          <w:numId w:val="6"/>
        </w:numPr>
        <w:tabs>
          <w:tab w:pos="2062" w:val="left" w:leader="none"/>
        </w:tabs>
        <w:spacing w:line="240" w:lineRule="auto" w:before="0" w:after="0"/>
        <w:ind w:left="2062" w:right="1225" w:hanging="360"/>
        <w:jc w:val="left"/>
        <w:rPr>
          <w:sz w:val="26"/>
        </w:rPr>
      </w:pPr>
      <w:r>
        <w:rPr>
          <w:sz w:val="26"/>
        </w:rPr>
        <w:t>an</w:t>
      </w:r>
      <w:r>
        <w:rPr>
          <w:spacing w:val="-5"/>
          <w:sz w:val="26"/>
        </w:rPr>
        <w:t> </w:t>
      </w:r>
      <w:r>
        <w:rPr>
          <w:sz w:val="26"/>
        </w:rPr>
        <w:t>investigation</w:t>
      </w:r>
      <w:r>
        <w:rPr>
          <w:spacing w:val="-5"/>
          <w:sz w:val="26"/>
        </w:rPr>
        <w:t> </w:t>
      </w:r>
      <w:r>
        <w:rPr>
          <w:sz w:val="26"/>
        </w:rPr>
        <w:t>of</w:t>
      </w:r>
      <w:r>
        <w:rPr>
          <w:spacing w:val="-5"/>
          <w:sz w:val="26"/>
        </w:rPr>
        <w:t> </w:t>
      </w:r>
      <w:r>
        <w:rPr>
          <w:sz w:val="26"/>
        </w:rPr>
        <w:t>international</w:t>
      </w:r>
      <w:r>
        <w:rPr>
          <w:spacing w:val="-5"/>
          <w:sz w:val="26"/>
        </w:rPr>
        <w:t> </w:t>
      </w:r>
      <w:r>
        <w:rPr>
          <w:sz w:val="26"/>
        </w:rPr>
        <w:t>jurisdictions</w:t>
      </w:r>
      <w:r>
        <w:rPr>
          <w:spacing w:val="-6"/>
          <w:sz w:val="26"/>
        </w:rPr>
        <w:t> </w:t>
      </w:r>
      <w:r>
        <w:rPr>
          <w:sz w:val="26"/>
        </w:rPr>
        <w:t>where</w:t>
      </w:r>
      <w:r>
        <w:rPr>
          <w:spacing w:val="-5"/>
          <w:sz w:val="26"/>
        </w:rPr>
        <w:t> </w:t>
      </w:r>
      <w:r>
        <w:rPr>
          <w:sz w:val="26"/>
        </w:rPr>
        <w:t>services</w:t>
      </w:r>
      <w:r>
        <w:rPr>
          <w:spacing w:val="-4"/>
          <w:sz w:val="26"/>
        </w:rPr>
        <w:t> </w:t>
      </w:r>
      <w:r>
        <w:rPr>
          <w:sz w:val="26"/>
        </w:rPr>
        <w:t>are</w:t>
      </w:r>
      <w:r>
        <w:rPr>
          <w:spacing w:val="-4"/>
          <w:sz w:val="26"/>
        </w:rPr>
        <w:t> </w:t>
      </w:r>
      <w:r>
        <w:rPr>
          <w:sz w:val="26"/>
        </w:rPr>
        <w:t>more developed in terms of aligning systems to attain the organisational transformation required to focus on desired outcomes. This included an examination of the interplay between supports provided and attaining outcomes in order to identify the elements of quality that support the achievement of outcomes. The research included a desk review and interviews with key informants from each jurisdiction, where possible.</w:t>
      </w:r>
    </w:p>
    <w:p>
      <w:pPr>
        <w:pStyle w:val="BodyText"/>
        <w:spacing w:before="2"/>
        <w:ind w:left="1702"/>
      </w:pPr>
      <w:r>
        <w:rPr/>
        <w:t>This</w:t>
      </w:r>
      <w:r>
        <w:rPr>
          <w:spacing w:val="-6"/>
        </w:rPr>
        <w:t> </w:t>
      </w:r>
      <w:r>
        <w:rPr/>
        <w:t>work</w:t>
      </w:r>
      <w:r>
        <w:rPr>
          <w:spacing w:val="-5"/>
        </w:rPr>
        <w:t> </w:t>
      </w:r>
      <w:r>
        <w:rPr/>
        <w:t>will</w:t>
      </w:r>
      <w:r>
        <w:rPr>
          <w:spacing w:val="-5"/>
        </w:rPr>
        <w:t> </w:t>
      </w:r>
      <w:r>
        <w:rPr/>
        <w:t>be</w:t>
      </w:r>
      <w:r>
        <w:rPr>
          <w:spacing w:val="-6"/>
        </w:rPr>
        <w:t> </w:t>
      </w:r>
      <w:r>
        <w:rPr/>
        <w:t>completed</w:t>
      </w:r>
      <w:r>
        <w:rPr>
          <w:spacing w:val="-6"/>
        </w:rPr>
        <w:t> </w:t>
      </w:r>
      <w:r>
        <w:rPr/>
        <w:t>in</w:t>
      </w:r>
      <w:r>
        <w:rPr>
          <w:spacing w:val="-7"/>
        </w:rPr>
        <w:t> </w:t>
      </w:r>
      <w:r>
        <w:rPr>
          <w:spacing w:val="-2"/>
        </w:rPr>
        <w:t>2018.</w:t>
      </w:r>
    </w:p>
    <w:p>
      <w:pPr>
        <w:pStyle w:val="Heading3"/>
        <w:spacing w:before="252"/>
      </w:pPr>
      <w:r>
        <w:rPr>
          <w:color w:val="BE2195"/>
        </w:rPr>
        <w:t>Advise</w:t>
      </w:r>
      <w:r>
        <w:rPr>
          <w:color w:val="BE2195"/>
          <w:spacing w:val="-7"/>
        </w:rPr>
        <w:t> </w:t>
      </w:r>
      <w:r>
        <w:rPr>
          <w:color w:val="BE2195"/>
        </w:rPr>
        <w:t>on</w:t>
      </w:r>
      <w:r>
        <w:rPr>
          <w:color w:val="BE2195"/>
          <w:spacing w:val="-6"/>
        </w:rPr>
        <w:t> </w:t>
      </w:r>
      <w:r>
        <w:rPr>
          <w:color w:val="BE2195"/>
        </w:rPr>
        <w:t>standards</w:t>
      </w:r>
      <w:r>
        <w:rPr>
          <w:color w:val="BE2195"/>
          <w:spacing w:val="-6"/>
        </w:rPr>
        <w:t> </w:t>
      </w:r>
      <w:r>
        <w:rPr>
          <w:color w:val="BE2195"/>
        </w:rPr>
        <w:t>and</w:t>
      </w:r>
      <w:r>
        <w:rPr>
          <w:color w:val="BE2195"/>
          <w:spacing w:val="-6"/>
        </w:rPr>
        <w:t> </w:t>
      </w:r>
      <w:r>
        <w:rPr>
          <w:color w:val="BE2195"/>
        </w:rPr>
        <w:t>services</w:t>
      </w:r>
      <w:r>
        <w:rPr>
          <w:color w:val="BE2195"/>
          <w:spacing w:val="-6"/>
        </w:rPr>
        <w:t> </w:t>
      </w:r>
      <w:r>
        <w:rPr>
          <w:color w:val="BE2195"/>
        </w:rPr>
        <w:t>for</w:t>
      </w:r>
      <w:r>
        <w:rPr>
          <w:color w:val="BE2195"/>
          <w:spacing w:val="-3"/>
        </w:rPr>
        <w:t> </w:t>
      </w:r>
      <w:r>
        <w:rPr>
          <w:color w:val="BE2195"/>
        </w:rPr>
        <w:t>people</w:t>
      </w:r>
      <w:r>
        <w:rPr>
          <w:color w:val="BE2195"/>
          <w:spacing w:val="-5"/>
        </w:rPr>
        <w:t> </w:t>
      </w:r>
      <w:r>
        <w:rPr>
          <w:color w:val="BE2195"/>
        </w:rPr>
        <w:t>with </w:t>
      </w:r>
      <w:r>
        <w:rPr>
          <w:color w:val="BE2195"/>
          <w:spacing w:val="-2"/>
        </w:rPr>
        <w:t>disabilities</w:t>
      </w:r>
    </w:p>
    <w:p>
      <w:pPr>
        <w:pStyle w:val="Heading5"/>
        <w:spacing w:before="109"/>
      </w:pPr>
      <w:r>
        <w:rPr/>
        <w:t>School</w:t>
      </w:r>
      <w:r>
        <w:rPr>
          <w:spacing w:val="-11"/>
        </w:rPr>
        <w:t> </w:t>
      </w:r>
      <w:r>
        <w:rPr>
          <w:spacing w:val="-2"/>
        </w:rPr>
        <w:t>Leavers</w:t>
      </w:r>
    </w:p>
    <w:p>
      <w:pPr>
        <w:pStyle w:val="BodyText"/>
        <w:spacing w:before="118"/>
        <w:ind w:left="1702" w:right="1035"/>
      </w:pPr>
      <w:r>
        <w:rPr/>
        <w:t>The NDA continued to work with the HSE to refine a profiling tool for school leavers with disabilities applying for adult day service places, in order to identify their level of support needs in a transparent and consistent manner across all CHO areas. The</w:t>
      </w:r>
      <w:r>
        <w:rPr>
          <w:spacing w:val="-1"/>
        </w:rPr>
        <w:t> </w:t>
      </w:r>
      <w:r>
        <w:rPr/>
        <w:t>NDA</w:t>
      </w:r>
      <w:r>
        <w:rPr>
          <w:spacing w:val="-1"/>
        </w:rPr>
        <w:t> </w:t>
      </w:r>
      <w:r>
        <w:rPr/>
        <w:t>also provides support in</w:t>
      </w:r>
      <w:r>
        <w:rPr>
          <w:spacing w:val="-4"/>
        </w:rPr>
        <w:t> </w:t>
      </w:r>
      <w:r>
        <w:rPr/>
        <w:t>the</w:t>
      </w:r>
      <w:r>
        <w:rPr>
          <w:spacing w:val="-4"/>
        </w:rPr>
        <w:t> </w:t>
      </w:r>
      <w:r>
        <w:rPr/>
        <w:t>analysis</w:t>
      </w:r>
      <w:r>
        <w:rPr>
          <w:spacing w:val="-3"/>
        </w:rPr>
        <w:t> </w:t>
      </w:r>
      <w:r>
        <w:rPr/>
        <w:t>of</w:t>
      </w:r>
      <w:r>
        <w:rPr>
          <w:spacing w:val="-4"/>
        </w:rPr>
        <w:t> </w:t>
      </w:r>
      <w:r>
        <w:rPr/>
        <w:t>the</w:t>
      </w:r>
      <w:r>
        <w:rPr>
          <w:spacing w:val="-4"/>
        </w:rPr>
        <w:t> </w:t>
      </w:r>
      <w:r>
        <w:rPr/>
        <w:t>data</w:t>
      </w:r>
      <w:r>
        <w:rPr>
          <w:spacing w:val="-4"/>
        </w:rPr>
        <w:t> </w:t>
      </w:r>
      <w:r>
        <w:rPr/>
        <w:t>obtained</w:t>
      </w:r>
      <w:r>
        <w:rPr>
          <w:spacing w:val="-4"/>
        </w:rPr>
        <w:t> </w:t>
      </w:r>
      <w:r>
        <w:rPr/>
        <w:t>in</w:t>
      </w:r>
      <w:r>
        <w:rPr>
          <w:spacing w:val="-4"/>
        </w:rPr>
        <w:t> </w:t>
      </w:r>
      <w:r>
        <w:rPr/>
        <w:t>this</w:t>
      </w:r>
      <w:r>
        <w:rPr>
          <w:spacing w:val="-3"/>
        </w:rPr>
        <w:t> </w:t>
      </w:r>
      <w:r>
        <w:rPr/>
        <w:t>profiling</w:t>
      </w:r>
      <w:r>
        <w:rPr>
          <w:spacing w:val="-4"/>
        </w:rPr>
        <w:t> </w:t>
      </w:r>
      <w:r>
        <w:rPr/>
        <w:t>exercise. In</w:t>
      </w:r>
      <w:r>
        <w:rPr>
          <w:spacing w:val="-4"/>
        </w:rPr>
        <w:t> </w:t>
      </w:r>
      <w:r>
        <w:rPr/>
        <w:t>2017,</w:t>
      </w:r>
      <w:r>
        <w:rPr>
          <w:spacing w:val="-3"/>
        </w:rPr>
        <w:t> </w:t>
      </w:r>
      <w:r>
        <w:rPr/>
        <w:t>1,500 people were profiled and nearly 1,000 people took up a day service place. This</w:t>
      </w:r>
      <w:r>
        <w:rPr>
          <w:spacing w:val="-6"/>
        </w:rPr>
        <w:t> </w:t>
      </w:r>
      <w:r>
        <w:rPr/>
        <w:t>work</w:t>
      </w:r>
      <w:r>
        <w:rPr>
          <w:spacing w:val="-6"/>
        </w:rPr>
        <w:t> </w:t>
      </w:r>
      <w:r>
        <w:rPr/>
        <w:t>provides</w:t>
      </w:r>
      <w:r>
        <w:rPr>
          <w:spacing w:val="-6"/>
        </w:rPr>
        <w:t> </w:t>
      </w:r>
      <w:r>
        <w:rPr/>
        <w:t>a</w:t>
      </w:r>
      <w:r>
        <w:rPr>
          <w:spacing w:val="-6"/>
        </w:rPr>
        <w:t> </w:t>
      </w:r>
      <w:r>
        <w:rPr/>
        <w:t>mechanism</w:t>
      </w:r>
      <w:r>
        <w:rPr>
          <w:spacing w:val="-6"/>
        </w:rPr>
        <w:t> </w:t>
      </w:r>
      <w:r>
        <w:rPr/>
        <w:t>for</w:t>
      </w:r>
      <w:r>
        <w:rPr>
          <w:spacing w:val="-6"/>
        </w:rPr>
        <w:t> </w:t>
      </w:r>
      <w:r>
        <w:rPr/>
        <w:t>standardising</w:t>
      </w:r>
      <w:r>
        <w:rPr>
          <w:spacing w:val="-7"/>
        </w:rPr>
        <w:t> </w:t>
      </w:r>
      <w:r>
        <w:rPr/>
        <w:t>the</w:t>
      </w:r>
      <w:r>
        <w:rPr>
          <w:spacing w:val="-7"/>
        </w:rPr>
        <w:t> </w:t>
      </w:r>
      <w:r>
        <w:rPr/>
        <w:t>profiling</w:t>
      </w:r>
      <w:r>
        <w:rPr>
          <w:spacing w:val="-7"/>
        </w:rPr>
        <w:t> </w:t>
      </w:r>
      <w:r>
        <w:rPr/>
        <w:t>of</w:t>
      </w:r>
      <w:r>
        <w:rPr>
          <w:spacing w:val="-7"/>
        </w:rPr>
        <w:t> </w:t>
      </w:r>
      <w:r>
        <w:rPr>
          <w:spacing w:val="-2"/>
        </w:rPr>
        <w:t>support</w:t>
      </w:r>
    </w:p>
    <w:p>
      <w:pPr>
        <w:pStyle w:val="BodyText"/>
        <w:spacing w:after="0"/>
        <w:sectPr>
          <w:pgSz w:w="11910" w:h="16850"/>
          <w:pgMar w:header="0" w:footer="811" w:top="1880" w:bottom="1000" w:left="283" w:right="992"/>
        </w:sectPr>
      </w:pPr>
    </w:p>
    <w:p>
      <w:pPr>
        <w:pStyle w:val="BodyText"/>
        <w:spacing w:before="79"/>
        <w:ind w:left="1702" w:right="988"/>
      </w:pPr>
      <w:r>
        <w:rPr/>
        <w:t>needs,</w:t>
      </w:r>
      <w:r>
        <w:rPr>
          <w:spacing w:val="-4"/>
        </w:rPr>
        <w:t> </w:t>
      </w:r>
      <w:r>
        <w:rPr/>
        <w:t>and</w:t>
      </w:r>
      <w:r>
        <w:rPr>
          <w:spacing w:val="-5"/>
        </w:rPr>
        <w:t> </w:t>
      </w:r>
      <w:r>
        <w:rPr/>
        <w:t>subsequent</w:t>
      </w:r>
      <w:r>
        <w:rPr>
          <w:spacing w:val="-3"/>
        </w:rPr>
        <w:t> </w:t>
      </w:r>
      <w:r>
        <w:rPr/>
        <w:t>budget</w:t>
      </w:r>
      <w:r>
        <w:rPr>
          <w:spacing w:val="-5"/>
        </w:rPr>
        <w:t> </w:t>
      </w:r>
      <w:r>
        <w:rPr/>
        <w:t>allocations,</w:t>
      </w:r>
      <w:r>
        <w:rPr>
          <w:spacing w:val="-4"/>
        </w:rPr>
        <w:t> </w:t>
      </w:r>
      <w:r>
        <w:rPr/>
        <w:t>across</w:t>
      </w:r>
      <w:r>
        <w:rPr>
          <w:spacing w:val="-4"/>
        </w:rPr>
        <w:t> </w:t>
      </w:r>
      <w:r>
        <w:rPr/>
        <w:t>regions</w:t>
      </w:r>
      <w:r>
        <w:rPr>
          <w:spacing w:val="-4"/>
        </w:rPr>
        <w:t> </w:t>
      </w:r>
      <w:r>
        <w:rPr/>
        <w:t>and</w:t>
      </w:r>
      <w:r>
        <w:rPr>
          <w:spacing w:val="-5"/>
        </w:rPr>
        <w:t> </w:t>
      </w:r>
      <w:r>
        <w:rPr/>
        <w:t>service</w:t>
      </w:r>
      <w:r>
        <w:rPr>
          <w:spacing w:val="-5"/>
        </w:rPr>
        <w:t> </w:t>
      </w:r>
      <w:r>
        <w:rPr/>
        <w:t>types. This work will continue in 2018.</w:t>
      </w:r>
    </w:p>
    <w:p>
      <w:pPr>
        <w:pStyle w:val="Heading5"/>
        <w:spacing w:before="239"/>
      </w:pPr>
      <w:r>
        <w:rPr/>
        <w:t>Forecasting</w:t>
      </w:r>
      <w:r>
        <w:rPr>
          <w:spacing w:val="-11"/>
        </w:rPr>
        <w:t> </w:t>
      </w:r>
      <w:r>
        <w:rPr/>
        <w:t>future</w:t>
      </w:r>
      <w:r>
        <w:rPr>
          <w:spacing w:val="-14"/>
        </w:rPr>
        <w:t> </w:t>
      </w:r>
      <w:r>
        <w:rPr/>
        <w:t>support</w:t>
      </w:r>
      <w:r>
        <w:rPr>
          <w:spacing w:val="-10"/>
        </w:rPr>
        <w:t> </w:t>
      </w:r>
      <w:r>
        <w:rPr>
          <w:spacing w:val="-4"/>
        </w:rPr>
        <w:t>need</w:t>
      </w:r>
    </w:p>
    <w:p>
      <w:pPr>
        <w:pStyle w:val="BodyText"/>
        <w:spacing w:before="241"/>
        <w:ind w:left="1702" w:right="988"/>
      </w:pPr>
      <w:r>
        <w:rPr/>
        <w:t>Within</w:t>
      </w:r>
      <w:r>
        <w:rPr>
          <w:spacing w:val="-3"/>
        </w:rPr>
        <w:t> </w:t>
      </w:r>
      <w:r>
        <w:rPr/>
        <w:t>the</w:t>
      </w:r>
      <w:r>
        <w:rPr>
          <w:spacing w:val="-3"/>
        </w:rPr>
        <w:t> </w:t>
      </w:r>
      <w:r>
        <w:rPr/>
        <w:t>Transforming</w:t>
      </w:r>
      <w:r>
        <w:rPr>
          <w:spacing w:val="-3"/>
        </w:rPr>
        <w:t> </w:t>
      </w:r>
      <w:r>
        <w:rPr/>
        <w:t>Lives</w:t>
      </w:r>
      <w:r>
        <w:rPr>
          <w:spacing w:val="-1"/>
        </w:rPr>
        <w:t> </w:t>
      </w:r>
      <w:r>
        <w:rPr/>
        <w:t>programme, the</w:t>
      </w:r>
      <w:r>
        <w:rPr>
          <w:spacing w:val="-3"/>
        </w:rPr>
        <w:t> </w:t>
      </w:r>
      <w:r>
        <w:rPr/>
        <w:t>NDA</w:t>
      </w:r>
      <w:r>
        <w:rPr>
          <w:spacing w:val="-1"/>
        </w:rPr>
        <w:t> </w:t>
      </w:r>
      <w:r>
        <w:rPr/>
        <w:t>carried</w:t>
      </w:r>
      <w:r>
        <w:rPr>
          <w:spacing w:val="-3"/>
        </w:rPr>
        <w:t> </w:t>
      </w:r>
      <w:r>
        <w:rPr/>
        <w:t>out</w:t>
      </w:r>
      <w:r>
        <w:rPr>
          <w:spacing w:val="-3"/>
        </w:rPr>
        <w:t> </w:t>
      </w:r>
      <w:r>
        <w:rPr/>
        <w:t>research and data analysis in order to project the level of demand for disability services in the future. This work supported the HSE’s working group considering such matters. The report analysed data on a variety of factors including:</w:t>
      </w:r>
      <w:r>
        <w:rPr>
          <w:spacing w:val="-5"/>
        </w:rPr>
        <w:t> </w:t>
      </w:r>
      <w:r>
        <w:rPr/>
        <w:t>demographic</w:t>
      </w:r>
      <w:r>
        <w:rPr>
          <w:spacing w:val="-4"/>
        </w:rPr>
        <w:t> </w:t>
      </w:r>
      <w:r>
        <w:rPr/>
        <w:t>trends;</w:t>
      </w:r>
      <w:r>
        <w:rPr>
          <w:spacing w:val="-5"/>
        </w:rPr>
        <w:t> </w:t>
      </w:r>
      <w:r>
        <w:rPr/>
        <w:t>current</w:t>
      </w:r>
      <w:r>
        <w:rPr>
          <w:spacing w:val="-5"/>
        </w:rPr>
        <w:t> </w:t>
      </w:r>
      <w:r>
        <w:rPr/>
        <w:t>levels</w:t>
      </w:r>
      <w:r>
        <w:rPr>
          <w:spacing w:val="-5"/>
        </w:rPr>
        <w:t> </w:t>
      </w:r>
      <w:r>
        <w:rPr/>
        <w:t>of</w:t>
      </w:r>
      <w:r>
        <w:rPr>
          <w:spacing w:val="-5"/>
        </w:rPr>
        <w:t> </w:t>
      </w:r>
      <w:r>
        <w:rPr/>
        <w:t>provision</w:t>
      </w:r>
      <w:r>
        <w:rPr>
          <w:spacing w:val="-5"/>
        </w:rPr>
        <w:t> </w:t>
      </w:r>
      <w:r>
        <w:rPr/>
        <w:t>and</w:t>
      </w:r>
      <w:r>
        <w:rPr>
          <w:spacing w:val="-5"/>
        </w:rPr>
        <w:t> </w:t>
      </w:r>
      <w:r>
        <w:rPr/>
        <w:t>unmet</w:t>
      </w:r>
      <w:r>
        <w:rPr>
          <w:spacing w:val="-3"/>
        </w:rPr>
        <w:t> </w:t>
      </w:r>
      <w:r>
        <w:rPr/>
        <w:t>need; likely support needs for various disability types in the future etc. A draft report has been completed to guide the HSE in planning future services, identifying the likely numbers of people needing services in 2026, and estimating the costs of providing these services based on current costs.</w:t>
      </w:r>
    </w:p>
    <w:p>
      <w:pPr>
        <w:pStyle w:val="Heading5"/>
        <w:spacing w:before="241"/>
      </w:pPr>
      <w:r>
        <w:rPr/>
        <w:t>Evaluating</w:t>
      </w:r>
      <w:r>
        <w:rPr>
          <w:spacing w:val="-7"/>
        </w:rPr>
        <w:t> </w:t>
      </w:r>
      <w:r>
        <w:rPr/>
        <w:t>costs</w:t>
      </w:r>
      <w:r>
        <w:rPr>
          <w:spacing w:val="-7"/>
        </w:rPr>
        <w:t> </w:t>
      </w:r>
      <w:r>
        <w:rPr/>
        <w:t>and</w:t>
      </w:r>
      <w:r>
        <w:rPr>
          <w:spacing w:val="-8"/>
        </w:rPr>
        <w:t> </w:t>
      </w:r>
      <w:r>
        <w:rPr/>
        <w:t>benefits</w:t>
      </w:r>
      <w:r>
        <w:rPr>
          <w:spacing w:val="-7"/>
        </w:rPr>
        <w:t> </w:t>
      </w:r>
      <w:r>
        <w:rPr/>
        <w:t>of</w:t>
      </w:r>
      <w:r>
        <w:rPr>
          <w:spacing w:val="-7"/>
        </w:rPr>
        <w:t> </w:t>
      </w:r>
      <w:r>
        <w:rPr/>
        <w:t>models</w:t>
      </w:r>
      <w:r>
        <w:rPr>
          <w:spacing w:val="-5"/>
        </w:rPr>
        <w:t> </w:t>
      </w:r>
      <w:r>
        <w:rPr/>
        <w:t>of</w:t>
      </w:r>
      <w:r>
        <w:rPr>
          <w:spacing w:val="-8"/>
        </w:rPr>
        <w:t> </w:t>
      </w:r>
      <w:r>
        <w:rPr>
          <w:spacing w:val="-2"/>
        </w:rPr>
        <w:t>service</w:t>
      </w:r>
    </w:p>
    <w:p>
      <w:pPr>
        <w:pStyle w:val="BodyText"/>
        <w:spacing w:before="239"/>
        <w:ind w:left="1702" w:right="988"/>
      </w:pPr>
      <w:r>
        <w:rPr/>
        <w:t>The HSE’s Time To Move On report sets out plan for addressing congregated residential living towards supported living in the community. During 2017 a major programme of evaluation of the costs and benefits of new, community-based models of service in comparison to traditional institutionalised</w:t>
      </w:r>
      <w:r>
        <w:rPr>
          <w:spacing w:val="-5"/>
        </w:rPr>
        <w:t> </w:t>
      </w:r>
      <w:r>
        <w:rPr/>
        <w:t>service</w:t>
      </w:r>
      <w:r>
        <w:rPr>
          <w:spacing w:val="-7"/>
        </w:rPr>
        <w:t> </w:t>
      </w:r>
      <w:r>
        <w:rPr/>
        <w:t>provision</w:t>
      </w:r>
      <w:r>
        <w:rPr>
          <w:spacing w:val="-5"/>
        </w:rPr>
        <w:t> </w:t>
      </w:r>
      <w:r>
        <w:rPr/>
        <w:t>was</w:t>
      </w:r>
      <w:r>
        <w:rPr>
          <w:spacing w:val="-5"/>
        </w:rPr>
        <w:t> </w:t>
      </w:r>
      <w:r>
        <w:rPr/>
        <w:t>advanced by</w:t>
      </w:r>
      <w:r>
        <w:rPr>
          <w:spacing w:val="-5"/>
        </w:rPr>
        <w:t> </w:t>
      </w:r>
      <w:r>
        <w:rPr/>
        <w:t>the</w:t>
      </w:r>
      <w:r>
        <w:rPr>
          <w:spacing w:val="-2"/>
        </w:rPr>
        <w:t> </w:t>
      </w:r>
      <w:r>
        <w:rPr/>
        <w:t>NDA</w:t>
      </w:r>
      <w:r>
        <w:rPr>
          <w:spacing w:val="-3"/>
        </w:rPr>
        <w:t> </w:t>
      </w:r>
      <w:r>
        <w:rPr/>
        <w:t>with</w:t>
      </w:r>
      <w:r>
        <w:rPr>
          <w:spacing w:val="-5"/>
        </w:rPr>
        <w:t> </w:t>
      </w:r>
      <w:r>
        <w:rPr/>
        <w:t>the</w:t>
      </w:r>
      <w:r>
        <w:rPr>
          <w:spacing w:val="-2"/>
        </w:rPr>
        <w:t> </w:t>
      </w:r>
      <w:r>
        <w:rPr/>
        <w:t>HSE. This project includes a before-and-after evaluation of the quality of life of people with disabilities currently placed in institutions that have been targeted for accelerated decongregation.</w:t>
      </w:r>
    </w:p>
    <w:p>
      <w:pPr>
        <w:pStyle w:val="BodyText"/>
        <w:spacing w:before="240"/>
        <w:ind w:left="1702" w:right="1099"/>
      </w:pPr>
      <w:r>
        <w:rPr/>
        <w:t>This</w:t>
      </w:r>
      <w:r>
        <w:rPr>
          <w:spacing w:val="-2"/>
        </w:rPr>
        <w:t> </w:t>
      </w:r>
      <w:r>
        <w:rPr/>
        <w:t>project</w:t>
      </w:r>
      <w:r>
        <w:rPr>
          <w:spacing w:val="-3"/>
        </w:rPr>
        <w:t> </w:t>
      </w:r>
      <w:r>
        <w:rPr/>
        <w:t>is examining</w:t>
      </w:r>
      <w:r>
        <w:rPr>
          <w:spacing w:val="-3"/>
        </w:rPr>
        <w:t> </w:t>
      </w:r>
      <w:r>
        <w:rPr/>
        <w:t>the</w:t>
      </w:r>
      <w:r>
        <w:rPr>
          <w:spacing w:val="-3"/>
        </w:rPr>
        <w:t> </w:t>
      </w:r>
      <w:r>
        <w:rPr/>
        <w:t>models</w:t>
      </w:r>
      <w:r>
        <w:rPr>
          <w:spacing w:val="-2"/>
        </w:rPr>
        <w:t> </w:t>
      </w:r>
      <w:r>
        <w:rPr/>
        <w:t>of</w:t>
      </w:r>
      <w:r>
        <w:rPr>
          <w:spacing w:val="-3"/>
        </w:rPr>
        <w:t> </w:t>
      </w:r>
      <w:r>
        <w:rPr/>
        <w:t>support for</w:t>
      </w:r>
      <w:r>
        <w:rPr>
          <w:spacing w:val="-3"/>
        </w:rPr>
        <w:t> </w:t>
      </w:r>
      <w:r>
        <w:rPr/>
        <w:t>a</w:t>
      </w:r>
      <w:r>
        <w:rPr>
          <w:spacing w:val="-3"/>
        </w:rPr>
        <w:t> </w:t>
      </w:r>
      <w:r>
        <w:rPr/>
        <w:t>total</w:t>
      </w:r>
      <w:r>
        <w:rPr>
          <w:spacing w:val="-3"/>
        </w:rPr>
        <w:t> </w:t>
      </w:r>
      <w:r>
        <w:rPr/>
        <w:t>of</w:t>
      </w:r>
      <w:r>
        <w:rPr>
          <w:spacing w:val="-3"/>
        </w:rPr>
        <w:t> </w:t>
      </w:r>
      <w:r>
        <w:rPr/>
        <w:t>600</w:t>
      </w:r>
      <w:r>
        <w:rPr>
          <w:spacing w:val="-3"/>
        </w:rPr>
        <w:t> </w:t>
      </w:r>
      <w:r>
        <w:rPr/>
        <w:t>people, profiling the costs related to their support needs and establishing a measure</w:t>
      </w:r>
      <w:r>
        <w:rPr>
          <w:spacing w:val="-4"/>
        </w:rPr>
        <w:t> </w:t>
      </w:r>
      <w:r>
        <w:rPr/>
        <w:t>of</w:t>
      </w:r>
      <w:r>
        <w:rPr>
          <w:spacing w:val="-4"/>
        </w:rPr>
        <w:t> </w:t>
      </w:r>
      <w:r>
        <w:rPr/>
        <w:t>the</w:t>
      </w:r>
      <w:r>
        <w:rPr>
          <w:spacing w:val="-4"/>
        </w:rPr>
        <w:t> </w:t>
      </w:r>
      <w:r>
        <w:rPr/>
        <w:t>quality</w:t>
      </w:r>
      <w:r>
        <w:rPr>
          <w:spacing w:val="-2"/>
        </w:rPr>
        <w:t> </w:t>
      </w:r>
      <w:r>
        <w:rPr/>
        <w:t>of</w:t>
      </w:r>
      <w:r>
        <w:rPr>
          <w:spacing w:val="-4"/>
        </w:rPr>
        <w:t> </w:t>
      </w:r>
      <w:r>
        <w:rPr/>
        <w:t>life</w:t>
      </w:r>
      <w:r>
        <w:rPr>
          <w:spacing w:val="-4"/>
        </w:rPr>
        <w:t> </w:t>
      </w:r>
      <w:r>
        <w:rPr/>
        <w:t>they</w:t>
      </w:r>
      <w:r>
        <w:rPr>
          <w:spacing w:val="-4"/>
        </w:rPr>
        <w:t> </w:t>
      </w:r>
      <w:r>
        <w:rPr/>
        <w:t>experience</w:t>
      </w:r>
      <w:r>
        <w:rPr>
          <w:spacing w:val="-1"/>
        </w:rPr>
        <w:t> </w:t>
      </w:r>
      <w:r>
        <w:rPr/>
        <w:t>in</w:t>
      </w:r>
      <w:r>
        <w:rPr>
          <w:spacing w:val="-4"/>
        </w:rPr>
        <w:t> </w:t>
      </w:r>
      <w:r>
        <w:rPr/>
        <w:t>their</w:t>
      </w:r>
      <w:r>
        <w:rPr>
          <w:spacing w:val="-4"/>
        </w:rPr>
        <w:t> </w:t>
      </w:r>
      <w:r>
        <w:rPr/>
        <w:t>current</w:t>
      </w:r>
      <w:r>
        <w:rPr>
          <w:spacing w:val="-4"/>
        </w:rPr>
        <w:t> </w:t>
      </w:r>
      <w:r>
        <w:rPr/>
        <w:t>setting.</w:t>
      </w:r>
      <w:r>
        <w:rPr>
          <w:spacing w:val="-4"/>
        </w:rPr>
        <w:t> </w:t>
      </w:r>
      <w:r>
        <w:rPr/>
        <w:t>The work</w:t>
      </w:r>
      <w:r>
        <w:rPr>
          <w:spacing w:val="-3"/>
        </w:rPr>
        <w:t> </w:t>
      </w:r>
      <w:r>
        <w:rPr/>
        <w:t>on</w:t>
      </w:r>
      <w:r>
        <w:rPr>
          <w:spacing w:val="-4"/>
        </w:rPr>
        <w:t> </w:t>
      </w:r>
      <w:r>
        <w:rPr/>
        <w:t>this</w:t>
      </w:r>
      <w:r>
        <w:rPr>
          <w:spacing w:val="-3"/>
        </w:rPr>
        <w:t> </w:t>
      </w:r>
      <w:r>
        <w:rPr/>
        <w:t>project</w:t>
      </w:r>
      <w:r>
        <w:rPr>
          <w:spacing w:val="-4"/>
        </w:rPr>
        <w:t> </w:t>
      </w:r>
      <w:r>
        <w:rPr/>
        <w:t>will</w:t>
      </w:r>
      <w:r>
        <w:rPr>
          <w:spacing w:val="-3"/>
        </w:rPr>
        <w:t> </w:t>
      </w:r>
      <w:r>
        <w:rPr/>
        <w:t>continue</w:t>
      </w:r>
      <w:r>
        <w:rPr>
          <w:spacing w:val="-4"/>
        </w:rPr>
        <w:t> </w:t>
      </w:r>
      <w:r>
        <w:rPr/>
        <w:t>in</w:t>
      </w:r>
      <w:r>
        <w:rPr>
          <w:spacing w:val="-4"/>
        </w:rPr>
        <w:t> </w:t>
      </w:r>
      <w:r>
        <w:rPr/>
        <w:t>2018</w:t>
      </w:r>
      <w:r>
        <w:rPr>
          <w:spacing w:val="-4"/>
        </w:rPr>
        <w:t> </w:t>
      </w:r>
      <w:r>
        <w:rPr/>
        <w:t>and</w:t>
      </w:r>
      <w:r>
        <w:rPr>
          <w:spacing w:val="-2"/>
        </w:rPr>
        <w:t> </w:t>
      </w:r>
      <w:r>
        <w:rPr/>
        <w:t>the</w:t>
      </w:r>
      <w:r>
        <w:rPr>
          <w:spacing w:val="-4"/>
        </w:rPr>
        <w:t> </w:t>
      </w:r>
      <w:r>
        <w:rPr/>
        <w:t>findings</w:t>
      </w:r>
      <w:r>
        <w:rPr>
          <w:spacing w:val="-3"/>
        </w:rPr>
        <w:t> </w:t>
      </w:r>
      <w:r>
        <w:rPr/>
        <w:t>will</w:t>
      </w:r>
      <w:r>
        <w:rPr>
          <w:spacing w:val="-3"/>
        </w:rPr>
        <w:t> </w:t>
      </w:r>
      <w:r>
        <w:rPr/>
        <w:t>inform</w:t>
      </w:r>
      <w:r>
        <w:rPr>
          <w:spacing w:val="-4"/>
        </w:rPr>
        <w:t> </w:t>
      </w:r>
      <w:r>
        <w:rPr/>
        <w:t>the management of decongregation as it continues to progress, and provide guidance on the supports and services required to ensure persons with disabilities can live the lives they choose within community settings.</w:t>
      </w:r>
    </w:p>
    <w:p>
      <w:pPr>
        <w:pStyle w:val="BodyText"/>
        <w:spacing w:before="240"/>
        <w:ind w:left="1702" w:right="988"/>
      </w:pPr>
      <w:r>
        <w:rPr/>
        <w:t>The NDA is a member of a sub-group of the HSE’s Time to Move On implementation group, which provides input and advice on the communications</w:t>
      </w:r>
      <w:r>
        <w:rPr>
          <w:spacing w:val="-4"/>
        </w:rPr>
        <w:t> </w:t>
      </w:r>
      <w:r>
        <w:rPr/>
        <w:t>protocols</w:t>
      </w:r>
      <w:r>
        <w:rPr>
          <w:spacing w:val="-4"/>
        </w:rPr>
        <w:t> </w:t>
      </w:r>
      <w:r>
        <w:rPr/>
        <w:t>necessary</w:t>
      </w:r>
      <w:r>
        <w:rPr>
          <w:spacing w:val="-5"/>
        </w:rPr>
        <w:t> </w:t>
      </w:r>
      <w:r>
        <w:rPr/>
        <w:t>to</w:t>
      </w:r>
      <w:r>
        <w:rPr>
          <w:spacing w:val="-5"/>
        </w:rPr>
        <w:t> </w:t>
      </w:r>
      <w:r>
        <w:rPr/>
        <w:t>enhance</w:t>
      </w:r>
      <w:r>
        <w:rPr>
          <w:spacing w:val="-1"/>
        </w:rPr>
        <w:t> </w:t>
      </w:r>
      <w:r>
        <w:rPr/>
        <w:t>engagement</w:t>
      </w:r>
      <w:r>
        <w:rPr>
          <w:spacing w:val="-5"/>
        </w:rPr>
        <w:t> </w:t>
      </w:r>
      <w:r>
        <w:rPr/>
        <w:t>with,</w:t>
      </w:r>
      <w:r>
        <w:rPr>
          <w:spacing w:val="-2"/>
        </w:rPr>
        <w:t> </w:t>
      </w:r>
      <w:r>
        <w:rPr/>
        <w:t>and</w:t>
      </w:r>
      <w:r>
        <w:rPr>
          <w:spacing w:val="-5"/>
        </w:rPr>
        <w:t> </w:t>
      </w:r>
      <w:r>
        <w:rPr/>
        <w:t>the experiences</w:t>
      </w:r>
      <w:r>
        <w:rPr>
          <w:spacing w:val="-4"/>
        </w:rPr>
        <w:t> </w:t>
      </w:r>
      <w:r>
        <w:rPr/>
        <w:t>of</w:t>
      </w:r>
      <w:r>
        <w:rPr>
          <w:spacing w:val="-5"/>
        </w:rPr>
        <w:t> </w:t>
      </w:r>
      <w:r>
        <w:rPr/>
        <w:t>persons</w:t>
      </w:r>
      <w:r>
        <w:rPr>
          <w:spacing w:val="-5"/>
        </w:rPr>
        <w:t> </w:t>
      </w:r>
      <w:r>
        <w:rPr/>
        <w:t>with</w:t>
      </w:r>
      <w:r>
        <w:rPr>
          <w:spacing w:val="-5"/>
        </w:rPr>
        <w:t> </w:t>
      </w:r>
      <w:r>
        <w:rPr/>
        <w:t>disabilities,</w:t>
      </w:r>
      <w:r>
        <w:rPr>
          <w:spacing w:val="-5"/>
        </w:rPr>
        <w:t> </w:t>
      </w:r>
      <w:r>
        <w:rPr/>
        <w:t>their</w:t>
      </w:r>
      <w:r>
        <w:rPr>
          <w:spacing w:val="-5"/>
        </w:rPr>
        <w:t> </w:t>
      </w:r>
      <w:r>
        <w:rPr/>
        <w:t>families</w:t>
      </w:r>
      <w:r>
        <w:rPr>
          <w:spacing w:val="-4"/>
        </w:rPr>
        <w:t> </w:t>
      </w:r>
      <w:r>
        <w:rPr/>
        <w:t>and</w:t>
      </w:r>
      <w:r>
        <w:rPr>
          <w:spacing w:val="-5"/>
        </w:rPr>
        <w:t> </w:t>
      </w:r>
      <w:r>
        <w:rPr/>
        <w:t>service</w:t>
      </w:r>
      <w:r>
        <w:rPr>
          <w:spacing w:val="-5"/>
        </w:rPr>
        <w:t> </w:t>
      </w:r>
      <w:r>
        <w:rPr/>
        <w:t>providers throughout the process.</w:t>
      </w:r>
    </w:p>
    <w:p>
      <w:pPr>
        <w:pStyle w:val="BodyText"/>
        <w:spacing w:after="0"/>
        <w:sectPr>
          <w:pgSz w:w="11910" w:h="16850"/>
          <w:pgMar w:header="0" w:footer="811" w:top="1880" w:bottom="1000" w:left="283" w:right="992"/>
        </w:sectPr>
      </w:pPr>
    </w:p>
    <w:p>
      <w:pPr>
        <w:spacing w:before="78"/>
        <w:ind w:left="1702" w:right="988" w:firstLine="0"/>
        <w:jc w:val="left"/>
        <w:rPr>
          <w:rFonts w:ascii="Rockwell"/>
          <w:b/>
          <w:sz w:val="56"/>
        </w:rPr>
      </w:pPr>
      <w:bookmarkStart w:name="_bookmark3" w:id="4"/>
      <w:bookmarkEnd w:id="4"/>
      <w:r>
        <w:rPr/>
      </w:r>
      <w:r>
        <w:rPr>
          <w:rFonts w:ascii="Rockwell"/>
          <w:color w:val="BE2195"/>
          <w:sz w:val="56"/>
        </w:rPr>
        <w:t>Strategic Priority 2</w:t>
      </w:r>
      <w:r>
        <w:rPr>
          <w:rFonts w:ascii="Rockwell"/>
          <w:b/>
          <w:color w:val="BE2195"/>
          <w:sz w:val="56"/>
        </w:rPr>
        <w:t>: Excellence</w:t>
      </w:r>
      <w:r>
        <w:rPr>
          <w:rFonts w:ascii="Rockwell"/>
          <w:b/>
          <w:color w:val="BE2195"/>
          <w:spacing w:val="-24"/>
          <w:sz w:val="56"/>
        </w:rPr>
        <w:t> </w:t>
      </w:r>
      <w:r>
        <w:rPr>
          <w:rFonts w:ascii="Rockwell"/>
          <w:b/>
          <w:color w:val="BE2195"/>
          <w:sz w:val="56"/>
        </w:rPr>
        <w:t>in</w:t>
      </w:r>
      <w:r>
        <w:rPr>
          <w:rFonts w:ascii="Rockwell"/>
          <w:b/>
          <w:color w:val="BE2195"/>
          <w:spacing w:val="-26"/>
          <w:sz w:val="56"/>
        </w:rPr>
        <w:t> </w:t>
      </w:r>
      <w:r>
        <w:rPr>
          <w:rFonts w:ascii="Rockwell"/>
          <w:b/>
          <w:color w:val="BE2195"/>
          <w:sz w:val="56"/>
        </w:rPr>
        <w:t>Universal </w:t>
      </w:r>
      <w:r>
        <w:rPr>
          <w:rFonts w:ascii="Rockwell"/>
          <w:b/>
          <w:color w:val="BE2195"/>
          <w:spacing w:val="-2"/>
          <w:sz w:val="56"/>
        </w:rPr>
        <w:t>Design</w:t>
      </w:r>
    </w:p>
    <w:p>
      <w:pPr>
        <w:pStyle w:val="Heading5"/>
        <w:spacing w:before="120"/>
        <w:ind w:right="988"/>
      </w:pPr>
      <w:r>
        <w:rPr/>
        <w:t>“To</w:t>
      </w:r>
      <w:r>
        <w:rPr>
          <w:spacing w:val="-6"/>
        </w:rPr>
        <w:t> </w:t>
      </w:r>
      <w:r>
        <w:rPr/>
        <w:t>promote</w:t>
      </w:r>
      <w:r>
        <w:rPr>
          <w:spacing w:val="-5"/>
        </w:rPr>
        <w:t> </w:t>
      </w:r>
      <w:r>
        <w:rPr/>
        <w:t>excellence</w:t>
      </w:r>
      <w:r>
        <w:rPr>
          <w:spacing w:val="-5"/>
        </w:rPr>
        <w:t> </w:t>
      </w:r>
      <w:r>
        <w:rPr/>
        <w:t>in</w:t>
      </w:r>
      <w:r>
        <w:rPr>
          <w:spacing w:val="-4"/>
        </w:rPr>
        <w:t> </w:t>
      </w:r>
      <w:r>
        <w:rPr/>
        <w:t>Universal</w:t>
      </w:r>
      <w:r>
        <w:rPr>
          <w:spacing w:val="-6"/>
        </w:rPr>
        <w:t> </w:t>
      </w:r>
      <w:r>
        <w:rPr/>
        <w:t>Design</w:t>
      </w:r>
      <w:r>
        <w:rPr>
          <w:spacing w:val="-4"/>
        </w:rPr>
        <w:t> </w:t>
      </w:r>
      <w:r>
        <w:rPr/>
        <w:t>through</w:t>
      </w:r>
      <w:r>
        <w:rPr>
          <w:spacing w:val="-6"/>
        </w:rPr>
        <w:t> </w:t>
      </w:r>
      <w:r>
        <w:rPr/>
        <w:t>standards, practice, education and awareness, in order to facilitate participation in Irish society by people regardless of age, size, ability or disability.”</w:t>
      </w:r>
    </w:p>
    <w:p>
      <w:pPr>
        <w:pStyle w:val="BodyText"/>
        <w:spacing w:before="240"/>
        <w:ind w:left="1702" w:right="988"/>
      </w:pPr>
      <w:r>
        <w:rPr/>
        <w:t>Ireland is unique in having a statutory Centre for Excellence in Universal Design (CEUD) to promote the adoption of Universal Design of the built environment,</w:t>
      </w:r>
      <w:r>
        <w:rPr>
          <w:spacing w:val="-4"/>
        </w:rPr>
        <w:t> </w:t>
      </w:r>
      <w:r>
        <w:rPr/>
        <w:t>places,</w:t>
      </w:r>
      <w:r>
        <w:rPr>
          <w:spacing w:val="-4"/>
        </w:rPr>
        <w:t> </w:t>
      </w:r>
      <w:r>
        <w:rPr/>
        <w:t>products,</w:t>
      </w:r>
      <w:r>
        <w:rPr>
          <w:spacing w:val="-4"/>
        </w:rPr>
        <w:t> </w:t>
      </w:r>
      <w:r>
        <w:rPr/>
        <w:t>services</w:t>
      </w:r>
      <w:r>
        <w:rPr>
          <w:spacing w:val="-4"/>
        </w:rPr>
        <w:t> </w:t>
      </w:r>
      <w:r>
        <w:rPr/>
        <w:t>and</w:t>
      </w:r>
      <w:r>
        <w:rPr>
          <w:spacing w:val="-5"/>
        </w:rPr>
        <w:t> </w:t>
      </w:r>
      <w:r>
        <w:rPr/>
        <w:t>ICT.</w:t>
      </w:r>
      <w:r>
        <w:rPr>
          <w:spacing w:val="40"/>
        </w:rPr>
        <w:t> </w:t>
      </w:r>
      <w:r>
        <w:rPr/>
        <w:t>The</w:t>
      </w:r>
      <w:r>
        <w:rPr>
          <w:spacing w:val="-5"/>
        </w:rPr>
        <w:t> </w:t>
      </w:r>
      <w:r>
        <w:rPr/>
        <w:t>Centre</w:t>
      </w:r>
      <w:r>
        <w:rPr>
          <w:spacing w:val="-4"/>
        </w:rPr>
        <w:t> </w:t>
      </w:r>
      <w:r>
        <w:rPr/>
        <w:t>continued</w:t>
      </w:r>
      <w:r>
        <w:rPr>
          <w:spacing w:val="-5"/>
        </w:rPr>
        <w:t> </w:t>
      </w:r>
      <w:r>
        <w:rPr/>
        <w:t>to build awareness and competence in Universal Design and to promote its adoption through a range of projects in 2017 as set out below.</w:t>
      </w:r>
    </w:p>
    <w:p>
      <w:pPr>
        <w:pStyle w:val="Heading3"/>
        <w:spacing w:before="253"/>
        <w:ind w:right="988"/>
      </w:pPr>
      <w:r>
        <w:rPr>
          <w:color w:val="BE2195"/>
        </w:rPr>
        <w:t>Work</w:t>
      </w:r>
      <w:r>
        <w:rPr>
          <w:color w:val="BE2195"/>
          <w:spacing w:val="-7"/>
        </w:rPr>
        <w:t> </w:t>
      </w:r>
      <w:r>
        <w:rPr>
          <w:color w:val="BE2195"/>
        </w:rPr>
        <w:t>with</w:t>
      </w:r>
      <w:r>
        <w:rPr>
          <w:color w:val="BE2195"/>
          <w:spacing w:val="-7"/>
        </w:rPr>
        <w:t> </w:t>
      </w:r>
      <w:r>
        <w:rPr>
          <w:color w:val="BE2195"/>
        </w:rPr>
        <w:t>national</w:t>
      </w:r>
      <w:r>
        <w:rPr>
          <w:color w:val="BE2195"/>
          <w:spacing w:val="-7"/>
        </w:rPr>
        <w:t> </w:t>
      </w:r>
      <w:r>
        <w:rPr>
          <w:color w:val="BE2195"/>
        </w:rPr>
        <w:t>and</w:t>
      </w:r>
      <w:r>
        <w:rPr>
          <w:color w:val="BE2195"/>
          <w:spacing w:val="-4"/>
        </w:rPr>
        <w:t> </w:t>
      </w:r>
      <w:r>
        <w:rPr>
          <w:color w:val="BE2195"/>
        </w:rPr>
        <w:t>international</w:t>
      </w:r>
      <w:r>
        <w:rPr>
          <w:color w:val="BE2195"/>
          <w:spacing w:val="-7"/>
        </w:rPr>
        <w:t> </w:t>
      </w:r>
      <w:r>
        <w:rPr>
          <w:color w:val="BE2195"/>
        </w:rPr>
        <w:t>bodies</w:t>
      </w:r>
      <w:r>
        <w:rPr>
          <w:color w:val="BE2195"/>
          <w:spacing w:val="-7"/>
        </w:rPr>
        <w:t> </w:t>
      </w:r>
      <w:r>
        <w:rPr>
          <w:color w:val="BE2195"/>
        </w:rPr>
        <w:t>to promote Universal Design in standards and </w:t>
      </w:r>
      <w:r>
        <w:rPr>
          <w:color w:val="BE2195"/>
          <w:spacing w:val="-2"/>
        </w:rPr>
        <w:t>guidelines</w:t>
      </w:r>
    </w:p>
    <w:p>
      <w:pPr>
        <w:pStyle w:val="BodyText"/>
        <w:spacing w:line="242" w:lineRule="auto" w:before="122"/>
        <w:ind w:left="1702" w:right="1035"/>
      </w:pPr>
      <w:r>
        <w:rPr>
          <w:rFonts w:ascii="Rockwell" w:hAnsi="Rockwell"/>
          <w:b/>
          <w:color w:val="BE2195"/>
        </w:rPr>
        <w:t>New EU standard on manufacturing processes and services </w:t>
      </w:r>
      <w:r>
        <w:rPr/>
        <w:t>The Centre’s Advisor on products and service design continued to chair the EU working group on developing a new European standard on manufacturing</w:t>
      </w:r>
      <w:r>
        <w:rPr>
          <w:spacing w:val="-4"/>
        </w:rPr>
        <w:t> </w:t>
      </w:r>
      <w:r>
        <w:rPr/>
        <w:t>processes</w:t>
      </w:r>
      <w:r>
        <w:rPr>
          <w:spacing w:val="-2"/>
        </w:rPr>
        <w:t> </w:t>
      </w:r>
      <w:r>
        <w:rPr/>
        <w:t>and</w:t>
      </w:r>
      <w:r>
        <w:rPr>
          <w:spacing w:val="-4"/>
        </w:rPr>
        <w:t> </w:t>
      </w:r>
      <w:r>
        <w:rPr/>
        <w:t>services</w:t>
      </w:r>
      <w:r>
        <w:rPr>
          <w:spacing w:val="-2"/>
        </w:rPr>
        <w:t> </w:t>
      </w:r>
      <w:r>
        <w:rPr/>
        <w:t>from</w:t>
      </w:r>
      <w:r>
        <w:rPr>
          <w:spacing w:val="-4"/>
        </w:rPr>
        <w:t> </w:t>
      </w:r>
      <w:r>
        <w:rPr/>
        <w:t>a Universal</w:t>
      </w:r>
      <w:r>
        <w:rPr>
          <w:spacing w:val="-4"/>
        </w:rPr>
        <w:t> </w:t>
      </w:r>
      <w:r>
        <w:rPr/>
        <w:t>Design</w:t>
      </w:r>
      <w:r>
        <w:rPr>
          <w:spacing w:val="-3"/>
        </w:rPr>
        <w:t> </w:t>
      </w:r>
      <w:r>
        <w:rPr/>
        <w:t>approach</w:t>
      </w:r>
      <w:r>
        <w:rPr>
          <w:spacing w:val="-3"/>
        </w:rPr>
        <w:t> </w:t>
      </w:r>
      <w:r>
        <w:rPr/>
        <w:t>in 2017.</w:t>
      </w:r>
      <w:r>
        <w:rPr>
          <w:spacing w:val="-2"/>
        </w:rPr>
        <w:t> </w:t>
      </w:r>
      <w:r>
        <w:rPr/>
        <w:t>The</w:t>
      </w:r>
      <w:r>
        <w:rPr>
          <w:spacing w:val="-3"/>
        </w:rPr>
        <w:t> </w:t>
      </w:r>
      <w:r>
        <w:rPr/>
        <w:t>final</w:t>
      </w:r>
      <w:r>
        <w:rPr>
          <w:spacing w:val="-3"/>
        </w:rPr>
        <w:t> </w:t>
      </w:r>
      <w:r>
        <w:rPr/>
        <w:t>phase</w:t>
      </w:r>
      <w:r>
        <w:rPr>
          <w:spacing w:val="-2"/>
        </w:rPr>
        <w:t> </w:t>
      </w:r>
      <w:r>
        <w:rPr/>
        <w:t>of</w:t>
      </w:r>
      <w:r>
        <w:rPr>
          <w:spacing w:val="-3"/>
        </w:rPr>
        <w:t> </w:t>
      </w:r>
      <w:r>
        <w:rPr/>
        <w:t>this</w:t>
      </w:r>
      <w:r>
        <w:rPr>
          <w:spacing w:val="-2"/>
        </w:rPr>
        <w:t> </w:t>
      </w:r>
      <w:r>
        <w:rPr/>
        <w:t>work is</w:t>
      </w:r>
      <w:r>
        <w:rPr>
          <w:spacing w:val="-2"/>
        </w:rPr>
        <w:t> </w:t>
      </w:r>
      <w:r>
        <w:rPr/>
        <w:t>due</w:t>
      </w:r>
      <w:r>
        <w:rPr>
          <w:spacing w:val="-3"/>
        </w:rPr>
        <w:t> </w:t>
      </w:r>
      <w:r>
        <w:rPr/>
        <w:t>to</w:t>
      </w:r>
      <w:r>
        <w:rPr>
          <w:spacing w:val="-2"/>
        </w:rPr>
        <w:t> </w:t>
      </w:r>
      <w:r>
        <w:rPr/>
        <w:t>be</w:t>
      </w:r>
      <w:r>
        <w:rPr>
          <w:spacing w:val="-3"/>
        </w:rPr>
        <w:t> </w:t>
      </w:r>
      <w:r>
        <w:rPr/>
        <w:t>completed</w:t>
      </w:r>
      <w:r>
        <w:rPr>
          <w:spacing w:val="-3"/>
        </w:rPr>
        <w:t> </w:t>
      </w:r>
      <w:r>
        <w:rPr/>
        <w:t>in</w:t>
      </w:r>
      <w:r>
        <w:rPr>
          <w:spacing w:val="-3"/>
        </w:rPr>
        <w:t> </w:t>
      </w:r>
      <w:r>
        <w:rPr/>
        <w:t>summer</w:t>
      </w:r>
      <w:r>
        <w:rPr>
          <w:spacing w:val="-3"/>
        </w:rPr>
        <w:t> </w:t>
      </w:r>
      <w:r>
        <w:rPr/>
        <w:t>2018 when it goes for public consultation. This is important work, as it will be one</w:t>
      </w:r>
      <w:r>
        <w:rPr>
          <w:spacing w:val="-3"/>
        </w:rPr>
        <w:t> </w:t>
      </w:r>
      <w:r>
        <w:rPr/>
        <w:t>of</w:t>
      </w:r>
      <w:r>
        <w:rPr>
          <w:spacing w:val="-3"/>
        </w:rPr>
        <w:t> </w:t>
      </w:r>
      <w:r>
        <w:rPr/>
        <w:t>the</w:t>
      </w:r>
      <w:r>
        <w:rPr>
          <w:spacing w:val="-3"/>
        </w:rPr>
        <w:t> </w:t>
      </w:r>
      <w:r>
        <w:rPr/>
        <w:t>three</w:t>
      </w:r>
      <w:r>
        <w:rPr>
          <w:spacing w:val="-2"/>
        </w:rPr>
        <w:t> </w:t>
      </w:r>
      <w:r>
        <w:rPr/>
        <w:t>pillars</w:t>
      </w:r>
      <w:r>
        <w:rPr>
          <w:spacing w:val="-4"/>
        </w:rPr>
        <w:t> </w:t>
      </w:r>
      <w:r>
        <w:rPr/>
        <w:t>that</w:t>
      </w:r>
      <w:r>
        <w:rPr>
          <w:spacing w:val="-3"/>
        </w:rPr>
        <w:t> </w:t>
      </w:r>
      <w:r>
        <w:rPr/>
        <w:t>will</w:t>
      </w:r>
      <w:r>
        <w:rPr>
          <w:spacing w:val="-2"/>
        </w:rPr>
        <w:t> </w:t>
      </w:r>
      <w:r>
        <w:rPr/>
        <w:t>form</w:t>
      </w:r>
      <w:r>
        <w:rPr>
          <w:spacing w:val="-3"/>
        </w:rPr>
        <w:t> </w:t>
      </w:r>
      <w:r>
        <w:rPr/>
        <w:t>part</w:t>
      </w:r>
      <w:r>
        <w:rPr>
          <w:spacing w:val="-3"/>
        </w:rPr>
        <w:t> </w:t>
      </w:r>
      <w:r>
        <w:rPr/>
        <w:t>of</w:t>
      </w:r>
      <w:r>
        <w:rPr>
          <w:spacing w:val="-3"/>
        </w:rPr>
        <w:t> </w:t>
      </w:r>
      <w:r>
        <w:rPr/>
        <w:t>the</w:t>
      </w:r>
      <w:r>
        <w:rPr>
          <w:spacing w:val="-3"/>
        </w:rPr>
        <w:t> </w:t>
      </w:r>
      <w:r>
        <w:rPr/>
        <w:t>new</w:t>
      </w:r>
      <w:r>
        <w:rPr>
          <w:spacing w:val="-2"/>
        </w:rPr>
        <w:t> </w:t>
      </w:r>
      <w:r>
        <w:rPr/>
        <w:t>EU</w:t>
      </w:r>
      <w:r>
        <w:rPr>
          <w:spacing w:val="-2"/>
        </w:rPr>
        <w:t> </w:t>
      </w:r>
      <w:r>
        <w:rPr/>
        <w:t>Accessibility</w:t>
      </w:r>
      <w:r>
        <w:rPr>
          <w:spacing w:val="-3"/>
        </w:rPr>
        <w:t> </w:t>
      </w:r>
      <w:r>
        <w:rPr/>
        <w:t>Act. The</w:t>
      </w:r>
      <w:r>
        <w:rPr>
          <w:spacing w:val="-2"/>
        </w:rPr>
        <w:t> </w:t>
      </w:r>
      <w:r>
        <w:rPr/>
        <w:t>Centre has</w:t>
      </w:r>
      <w:r>
        <w:rPr>
          <w:spacing w:val="-1"/>
        </w:rPr>
        <w:t> </w:t>
      </w:r>
      <w:r>
        <w:rPr/>
        <w:t>already</w:t>
      </w:r>
      <w:r>
        <w:rPr>
          <w:spacing w:val="-2"/>
        </w:rPr>
        <w:t> </w:t>
      </w:r>
      <w:r>
        <w:rPr/>
        <w:t>contributed</w:t>
      </w:r>
      <w:r>
        <w:rPr>
          <w:spacing w:val="-2"/>
        </w:rPr>
        <w:t> </w:t>
      </w:r>
      <w:r>
        <w:rPr/>
        <w:t>to</w:t>
      </w:r>
      <w:r>
        <w:rPr>
          <w:spacing w:val="-1"/>
        </w:rPr>
        <w:t> </w:t>
      </w:r>
      <w:r>
        <w:rPr/>
        <w:t>the</w:t>
      </w:r>
      <w:r>
        <w:rPr>
          <w:spacing w:val="-2"/>
        </w:rPr>
        <w:t> </w:t>
      </w:r>
      <w:r>
        <w:rPr/>
        <w:t>EU</w:t>
      </w:r>
      <w:r>
        <w:rPr>
          <w:spacing w:val="-3"/>
        </w:rPr>
        <w:t> </w:t>
      </w:r>
      <w:r>
        <w:rPr/>
        <w:t>standard</w:t>
      </w:r>
      <w:r>
        <w:rPr>
          <w:spacing w:val="-2"/>
        </w:rPr>
        <w:t> </w:t>
      </w:r>
      <w:r>
        <w:rPr/>
        <w:t>on</w:t>
      </w:r>
      <w:r>
        <w:rPr>
          <w:spacing w:val="-2"/>
        </w:rPr>
        <w:t> </w:t>
      </w:r>
      <w:r>
        <w:rPr/>
        <w:t>ICT</w:t>
      </w:r>
      <w:r>
        <w:rPr>
          <w:spacing w:val="-2"/>
        </w:rPr>
        <w:t> </w:t>
      </w:r>
      <w:r>
        <w:rPr/>
        <w:t>and is also contributing to the final pillar on the new EU work in the area of the built </w:t>
      </w:r>
      <w:r>
        <w:rPr>
          <w:spacing w:val="-2"/>
        </w:rPr>
        <w:t>environment.</w:t>
      </w:r>
    </w:p>
    <w:p>
      <w:pPr>
        <w:pStyle w:val="Heading5"/>
        <w:spacing w:before="249"/>
        <w:ind w:right="988"/>
        <w:rPr>
          <w:rFonts w:ascii="Rockwell"/>
        </w:rPr>
      </w:pPr>
      <w:r>
        <w:rPr>
          <w:rFonts w:ascii="Rockwell"/>
          <w:color w:val="BE2195"/>
        </w:rPr>
        <w:t>Input</w:t>
      </w:r>
      <w:r>
        <w:rPr>
          <w:rFonts w:ascii="Rockwell"/>
          <w:color w:val="BE2195"/>
          <w:spacing w:val="-6"/>
        </w:rPr>
        <w:t> </w:t>
      </w:r>
      <w:r>
        <w:rPr>
          <w:rFonts w:ascii="Rockwell"/>
          <w:color w:val="BE2195"/>
        </w:rPr>
        <w:t>into</w:t>
      </w:r>
      <w:r>
        <w:rPr>
          <w:rFonts w:ascii="Rockwell"/>
          <w:color w:val="BE2195"/>
          <w:spacing w:val="-6"/>
        </w:rPr>
        <w:t> </w:t>
      </w:r>
      <w:r>
        <w:rPr>
          <w:rFonts w:ascii="Rockwell"/>
          <w:color w:val="BE2195"/>
        </w:rPr>
        <w:t>the</w:t>
      </w:r>
      <w:r>
        <w:rPr>
          <w:rFonts w:ascii="Rockwell"/>
          <w:color w:val="BE2195"/>
          <w:spacing w:val="-5"/>
        </w:rPr>
        <w:t> </w:t>
      </w:r>
      <w:r>
        <w:rPr>
          <w:rFonts w:ascii="Rockwell"/>
          <w:color w:val="BE2195"/>
        </w:rPr>
        <w:t>European</w:t>
      </w:r>
      <w:r>
        <w:rPr>
          <w:rFonts w:ascii="Rockwell"/>
          <w:color w:val="BE2195"/>
          <w:spacing w:val="-5"/>
        </w:rPr>
        <w:t> </w:t>
      </w:r>
      <w:r>
        <w:rPr>
          <w:rFonts w:ascii="Rockwell"/>
          <w:color w:val="BE2195"/>
        </w:rPr>
        <w:t>Accessibility</w:t>
      </w:r>
      <w:r>
        <w:rPr>
          <w:rFonts w:ascii="Rockwell"/>
          <w:color w:val="BE2195"/>
          <w:spacing w:val="-5"/>
        </w:rPr>
        <w:t> </w:t>
      </w:r>
      <w:r>
        <w:rPr>
          <w:rFonts w:ascii="Rockwell"/>
          <w:color w:val="BE2195"/>
        </w:rPr>
        <w:t>Act</w:t>
      </w:r>
      <w:r>
        <w:rPr>
          <w:rFonts w:ascii="Rockwell"/>
          <w:color w:val="BE2195"/>
          <w:spacing w:val="-6"/>
        </w:rPr>
        <w:t> </w:t>
      </w:r>
      <w:r>
        <w:rPr>
          <w:rFonts w:ascii="Rockwell"/>
          <w:color w:val="BE2195"/>
        </w:rPr>
        <w:t>and</w:t>
      </w:r>
      <w:r>
        <w:rPr>
          <w:rFonts w:ascii="Rockwell"/>
          <w:color w:val="BE2195"/>
          <w:spacing w:val="-5"/>
        </w:rPr>
        <w:t> </w:t>
      </w:r>
      <w:r>
        <w:rPr>
          <w:rFonts w:ascii="Rockwell"/>
          <w:color w:val="BE2195"/>
        </w:rPr>
        <w:t>the</w:t>
      </w:r>
      <w:r>
        <w:rPr>
          <w:rFonts w:ascii="Rockwell"/>
          <w:color w:val="BE2195"/>
          <w:spacing w:val="-6"/>
        </w:rPr>
        <w:t> </w:t>
      </w:r>
      <w:r>
        <w:rPr>
          <w:rFonts w:ascii="Rockwell"/>
          <w:color w:val="BE2195"/>
        </w:rPr>
        <w:t>Web Accessibility Directive</w:t>
      </w:r>
    </w:p>
    <w:p>
      <w:pPr>
        <w:pStyle w:val="BodyText"/>
        <w:spacing w:before="28"/>
        <w:ind w:left="1702" w:right="1002"/>
      </w:pPr>
      <w:r>
        <w:rPr/>
        <w:t>The Centre provided advice to the advisory groups on the European Accessibility Act and the Web Accessibility Directive to guide on national implementation. Key topics under discussion are the scope of the directives and the impact on public bodies, public transport providers and the</w:t>
      </w:r>
      <w:r>
        <w:rPr>
          <w:spacing w:val="-5"/>
        </w:rPr>
        <w:t> </w:t>
      </w:r>
      <w:r>
        <w:rPr/>
        <w:t>financial</w:t>
      </w:r>
      <w:r>
        <w:rPr>
          <w:spacing w:val="-5"/>
        </w:rPr>
        <w:t> </w:t>
      </w:r>
      <w:r>
        <w:rPr/>
        <w:t>sector.</w:t>
      </w:r>
      <w:r>
        <w:rPr>
          <w:spacing w:val="-2"/>
        </w:rPr>
        <w:t> </w:t>
      </w:r>
      <w:r>
        <w:rPr/>
        <w:t>The</w:t>
      </w:r>
      <w:r>
        <w:rPr>
          <w:spacing w:val="-4"/>
        </w:rPr>
        <w:t> </w:t>
      </w:r>
      <w:r>
        <w:rPr/>
        <w:t>Centre</w:t>
      </w:r>
      <w:r>
        <w:rPr>
          <w:spacing w:val="-4"/>
        </w:rPr>
        <w:t> </w:t>
      </w:r>
      <w:r>
        <w:rPr/>
        <w:t>also</w:t>
      </w:r>
      <w:r>
        <w:rPr>
          <w:spacing w:val="-4"/>
        </w:rPr>
        <w:t> </w:t>
      </w:r>
      <w:r>
        <w:rPr/>
        <w:t>provided</w:t>
      </w:r>
      <w:r>
        <w:rPr>
          <w:spacing w:val="-2"/>
        </w:rPr>
        <w:t> </w:t>
      </w:r>
      <w:r>
        <w:rPr/>
        <w:t>advice</w:t>
      </w:r>
      <w:r>
        <w:rPr>
          <w:spacing w:val="-5"/>
        </w:rPr>
        <w:t> </w:t>
      </w:r>
      <w:r>
        <w:rPr/>
        <w:t>to</w:t>
      </w:r>
      <w:r>
        <w:rPr>
          <w:spacing w:val="-4"/>
        </w:rPr>
        <w:t> </w:t>
      </w:r>
      <w:r>
        <w:rPr/>
        <w:t>the</w:t>
      </w:r>
      <w:r>
        <w:rPr>
          <w:spacing w:val="-2"/>
        </w:rPr>
        <w:t> </w:t>
      </w:r>
      <w:r>
        <w:rPr/>
        <w:t>Department</w:t>
      </w:r>
      <w:r>
        <w:rPr>
          <w:spacing w:val="-5"/>
        </w:rPr>
        <w:t> </w:t>
      </w:r>
      <w:r>
        <w:rPr/>
        <w:t>of Communications, Climate Action and Environment, which is the lead Government Department in these EU negotiations.</w:t>
      </w:r>
    </w:p>
    <w:p>
      <w:pPr>
        <w:pStyle w:val="BodyText"/>
        <w:spacing w:after="0"/>
        <w:sectPr>
          <w:pgSz w:w="11910" w:h="16850"/>
          <w:pgMar w:header="0" w:footer="811" w:top="1880" w:bottom="1000" w:left="283" w:right="992"/>
        </w:sectPr>
      </w:pPr>
    </w:p>
    <w:p>
      <w:pPr>
        <w:pStyle w:val="Heading5"/>
        <w:spacing w:before="71"/>
        <w:ind w:right="988"/>
        <w:rPr>
          <w:rFonts w:ascii="Rockwell"/>
        </w:rPr>
      </w:pPr>
      <w:r>
        <w:rPr>
          <w:rFonts w:ascii="Rockwell"/>
          <w:color w:val="BE2195"/>
        </w:rPr>
        <w:t>Input</w:t>
      </w:r>
      <w:r>
        <w:rPr>
          <w:rFonts w:ascii="Rockwell"/>
          <w:color w:val="BE2195"/>
          <w:spacing w:val="-6"/>
        </w:rPr>
        <w:t> </w:t>
      </w:r>
      <w:r>
        <w:rPr>
          <w:rFonts w:ascii="Rockwell"/>
          <w:color w:val="BE2195"/>
        </w:rPr>
        <w:t>into</w:t>
      </w:r>
      <w:r>
        <w:rPr>
          <w:rFonts w:ascii="Rockwell"/>
          <w:color w:val="BE2195"/>
          <w:spacing w:val="-6"/>
        </w:rPr>
        <w:t> </w:t>
      </w:r>
      <w:r>
        <w:rPr>
          <w:rFonts w:ascii="Rockwell"/>
          <w:color w:val="BE2195"/>
        </w:rPr>
        <w:t>the</w:t>
      </w:r>
      <w:r>
        <w:rPr>
          <w:rFonts w:ascii="Rockwell"/>
          <w:color w:val="BE2195"/>
          <w:spacing w:val="-4"/>
        </w:rPr>
        <w:t> </w:t>
      </w:r>
      <w:r>
        <w:rPr>
          <w:rFonts w:ascii="Rockwell"/>
          <w:color w:val="BE2195"/>
        </w:rPr>
        <w:t>Revision</w:t>
      </w:r>
      <w:r>
        <w:rPr>
          <w:rFonts w:ascii="Rockwell"/>
          <w:color w:val="BE2195"/>
          <w:spacing w:val="-6"/>
        </w:rPr>
        <w:t> </w:t>
      </w:r>
      <w:r>
        <w:rPr>
          <w:rFonts w:ascii="Rockwell"/>
          <w:color w:val="BE2195"/>
        </w:rPr>
        <w:t>of</w:t>
      </w:r>
      <w:r>
        <w:rPr>
          <w:rFonts w:ascii="Rockwell"/>
          <w:color w:val="BE2195"/>
          <w:spacing w:val="-6"/>
        </w:rPr>
        <w:t> </w:t>
      </w:r>
      <w:r>
        <w:rPr>
          <w:rFonts w:ascii="Rockwell"/>
          <w:color w:val="BE2195"/>
        </w:rPr>
        <w:t>Universal</w:t>
      </w:r>
      <w:r>
        <w:rPr>
          <w:rFonts w:ascii="Rockwell"/>
          <w:color w:val="BE2195"/>
          <w:spacing w:val="-6"/>
        </w:rPr>
        <w:t> </w:t>
      </w:r>
      <w:r>
        <w:rPr>
          <w:rFonts w:ascii="Rockwell"/>
          <w:color w:val="BE2195"/>
        </w:rPr>
        <w:t>Design</w:t>
      </w:r>
      <w:r>
        <w:rPr>
          <w:rFonts w:ascii="Rockwell"/>
          <w:color w:val="BE2195"/>
          <w:spacing w:val="-4"/>
        </w:rPr>
        <w:t> </w:t>
      </w:r>
      <w:r>
        <w:rPr>
          <w:rFonts w:ascii="Rockwell"/>
          <w:color w:val="BE2195"/>
        </w:rPr>
        <w:t>National</w:t>
      </w:r>
      <w:r>
        <w:rPr>
          <w:rFonts w:ascii="Rockwell"/>
          <w:color w:val="BE2195"/>
          <w:spacing w:val="-4"/>
        </w:rPr>
        <w:t> </w:t>
      </w:r>
      <w:r>
        <w:rPr>
          <w:rFonts w:ascii="Rockwell"/>
          <w:color w:val="BE2195"/>
        </w:rPr>
        <w:t>Standard for Energy Suppliers</w:t>
      </w:r>
    </w:p>
    <w:p>
      <w:pPr>
        <w:pStyle w:val="BodyText"/>
        <w:spacing w:before="27"/>
        <w:ind w:left="1702" w:right="988"/>
      </w:pPr>
      <w:r>
        <w:rPr/>
        <w:t>The Centre is working with the National Standards Authority Ireland (NSAI) and the Commission for Energy Regulation (CER) on the revision and</w:t>
      </w:r>
      <w:r>
        <w:rPr>
          <w:spacing w:val="-5"/>
        </w:rPr>
        <w:t> </w:t>
      </w:r>
      <w:r>
        <w:rPr/>
        <w:t>updating</w:t>
      </w:r>
      <w:r>
        <w:rPr>
          <w:spacing w:val="-5"/>
        </w:rPr>
        <w:t> </w:t>
      </w:r>
      <w:r>
        <w:rPr/>
        <w:t>of</w:t>
      </w:r>
      <w:r>
        <w:rPr>
          <w:spacing w:val="-5"/>
        </w:rPr>
        <w:t> </w:t>
      </w:r>
      <w:r>
        <w:rPr/>
        <w:t>existing</w:t>
      </w:r>
      <w:r>
        <w:rPr>
          <w:spacing w:val="-5"/>
        </w:rPr>
        <w:t> </w:t>
      </w:r>
      <w:r>
        <w:rPr/>
        <w:t>Universal</w:t>
      </w:r>
      <w:r>
        <w:rPr>
          <w:spacing w:val="-5"/>
        </w:rPr>
        <w:t> </w:t>
      </w:r>
      <w:r>
        <w:rPr/>
        <w:t>Design</w:t>
      </w:r>
      <w:r>
        <w:rPr>
          <w:spacing w:val="-3"/>
        </w:rPr>
        <w:t> </w:t>
      </w:r>
      <w:r>
        <w:rPr/>
        <w:t>Standards. The</w:t>
      </w:r>
      <w:r>
        <w:rPr>
          <w:spacing w:val="-5"/>
        </w:rPr>
        <w:t> </w:t>
      </w:r>
      <w:r>
        <w:rPr/>
        <w:t>standard</w:t>
      </w:r>
      <w:r>
        <w:rPr>
          <w:spacing w:val="-5"/>
        </w:rPr>
        <w:t> </w:t>
      </w:r>
      <w:r>
        <w:rPr/>
        <w:t>entitled NSAI SWiFT 9:2012 Universal Design for Energy Suppliers was due to be updated as scheduled by procedure.</w:t>
      </w:r>
    </w:p>
    <w:p>
      <w:pPr>
        <w:pStyle w:val="BodyText"/>
        <w:spacing w:before="240"/>
        <w:ind w:left="1702"/>
      </w:pPr>
      <w:r>
        <w:rPr/>
        <w:t>The</w:t>
      </w:r>
      <w:r>
        <w:rPr>
          <w:spacing w:val="-8"/>
        </w:rPr>
        <w:t> </w:t>
      </w:r>
      <w:r>
        <w:rPr/>
        <w:t>Centre’s</w:t>
      </w:r>
      <w:r>
        <w:rPr>
          <w:spacing w:val="-6"/>
        </w:rPr>
        <w:t> </w:t>
      </w:r>
      <w:r>
        <w:rPr/>
        <w:t>work</w:t>
      </w:r>
      <w:r>
        <w:rPr>
          <w:spacing w:val="-7"/>
        </w:rPr>
        <w:t> </w:t>
      </w:r>
      <w:r>
        <w:rPr/>
        <w:t>included</w:t>
      </w:r>
      <w:r>
        <w:rPr>
          <w:spacing w:val="-7"/>
        </w:rPr>
        <w:t> </w:t>
      </w:r>
      <w:r>
        <w:rPr/>
        <w:t>engagement</w:t>
      </w:r>
      <w:r>
        <w:rPr>
          <w:spacing w:val="-7"/>
        </w:rPr>
        <w:t> </w:t>
      </w:r>
      <w:r>
        <w:rPr/>
        <w:t>with</w:t>
      </w:r>
      <w:r>
        <w:rPr>
          <w:spacing w:val="-5"/>
        </w:rPr>
        <w:t> </w:t>
      </w:r>
      <w:r>
        <w:rPr/>
        <w:t>the</w:t>
      </w:r>
      <w:r>
        <w:rPr>
          <w:spacing w:val="-7"/>
        </w:rPr>
        <w:t> </w:t>
      </w:r>
      <w:r>
        <w:rPr/>
        <w:t>nine</w:t>
      </w:r>
      <w:r>
        <w:rPr>
          <w:spacing w:val="-7"/>
        </w:rPr>
        <w:t> </w:t>
      </w:r>
      <w:r>
        <w:rPr/>
        <w:t>energy</w:t>
      </w:r>
      <w:r>
        <w:rPr>
          <w:spacing w:val="-8"/>
        </w:rPr>
        <w:t> </w:t>
      </w:r>
      <w:r>
        <w:rPr>
          <w:spacing w:val="-2"/>
        </w:rPr>
        <w:t>suppliers</w:t>
      </w:r>
    </w:p>
    <w:p>
      <w:pPr>
        <w:pStyle w:val="BodyText"/>
        <w:spacing w:before="1"/>
        <w:ind w:left="1702" w:right="1080"/>
      </w:pPr>
      <w:r>
        <w:rPr/>
        <w:t>and</w:t>
      </w:r>
      <w:r>
        <w:rPr>
          <w:spacing w:val="-6"/>
        </w:rPr>
        <w:t> </w:t>
      </w:r>
      <w:r>
        <w:rPr/>
        <w:t>members</w:t>
      </w:r>
      <w:r>
        <w:rPr>
          <w:spacing w:val="-4"/>
        </w:rPr>
        <w:t> </w:t>
      </w:r>
      <w:r>
        <w:rPr/>
        <w:t>of</w:t>
      </w:r>
      <w:r>
        <w:rPr>
          <w:spacing w:val="-6"/>
        </w:rPr>
        <w:t> </w:t>
      </w:r>
      <w:r>
        <w:rPr/>
        <w:t>the</w:t>
      </w:r>
      <w:r>
        <w:rPr>
          <w:spacing w:val="-6"/>
        </w:rPr>
        <w:t> </w:t>
      </w:r>
      <w:r>
        <w:rPr/>
        <w:t>NSAI’s</w:t>
      </w:r>
      <w:r>
        <w:rPr>
          <w:spacing w:val="-3"/>
        </w:rPr>
        <w:t> </w:t>
      </w:r>
      <w:r>
        <w:rPr/>
        <w:t>Universal</w:t>
      </w:r>
      <w:r>
        <w:rPr>
          <w:spacing w:val="-5"/>
        </w:rPr>
        <w:t> </w:t>
      </w:r>
      <w:r>
        <w:rPr/>
        <w:t>Design</w:t>
      </w:r>
      <w:r>
        <w:rPr>
          <w:spacing w:val="-6"/>
        </w:rPr>
        <w:t> </w:t>
      </w:r>
      <w:r>
        <w:rPr/>
        <w:t>Consultative</w:t>
      </w:r>
      <w:r>
        <w:rPr>
          <w:spacing w:val="-3"/>
        </w:rPr>
        <w:t> </w:t>
      </w:r>
      <w:r>
        <w:rPr/>
        <w:t>Committee,</w:t>
      </w:r>
      <w:r>
        <w:rPr>
          <w:spacing w:val="-5"/>
        </w:rPr>
        <w:t> </w:t>
      </w:r>
      <w:r>
        <w:rPr/>
        <w:t>its related sub-committee on Products and Services and with key stakeholders. This work has commenced to be completed by summer </w:t>
      </w:r>
      <w:r>
        <w:rPr>
          <w:spacing w:val="-2"/>
        </w:rPr>
        <w:t>2018.</w:t>
      </w:r>
    </w:p>
    <w:p>
      <w:pPr>
        <w:pStyle w:val="Heading3"/>
        <w:spacing w:before="252"/>
        <w:ind w:right="1099"/>
      </w:pPr>
      <w:r>
        <w:rPr>
          <w:color w:val="BE2195"/>
        </w:rPr>
        <w:t>Promote</w:t>
      </w:r>
      <w:r>
        <w:rPr>
          <w:color w:val="BE2195"/>
          <w:spacing w:val="-6"/>
        </w:rPr>
        <w:t> </w:t>
      </w:r>
      <w:r>
        <w:rPr>
          <w:color w:val="BE2195"/>
        </w:rPr>
        <w:t>the</w:t>
      </w:r>
      <w:r>
        <w:rPr>
          <w:color w:val="BE2195"/>
          <w:spacing w:val="-5"/>
        </w:rPr>
        <w:t> </w:t>
      </w:r>
      <w:r>
        <w:rPr>
          <w:color w:val="BE2195"/>
        </w:rPr>
        <w:t>development</w:t>
      </w:r>
      <w:r>
        <w:rPr>
          <w:color w:val="BE2195"/>
          <w:spacing w:val="-6"/>
        </w:rPr>
        <w:t> </w:t>
      </w:r>
      <w:r>
        <w:rPr>
          <w:color w:val="BE2195"/>
        </w:rPr>
        <w:t>of</w:t>
      </w:r>
      <w:r>
        <w:rPr>
          <w:color w:val="BE2195"/>
          <w:spacing w:val="-6"/>
        </w:rPr>
        <w:t> </w:t>
      </w:r>
      <w:r>
        <w:rPr>
          <w:color w:val="BE2195"/>
        </w:rPr>
        <w:t>courses</w:t>
      </w:r>
      <w:r>
        <w:rPr>
          <w:color w:val="BE2195"/>
          <w:spacing w:val="-6"/>
        </w:rPr>
        <w:t> </w:t>
      </w:r>
      <w:r>
        <w:rPr>
          <w:color w:val="BE2195"/>
        </w:rPr>
        <w:t>and</w:t>
      </w:r>
      <w:r>
        <w:rPr>
          <w:color w:val="BE2195"/>
          <w:spacing w:val="-6"/>
        </w:rPr>
        <w:t> </w:t>
      </w:r>
      <w:r>
        <w:rPr>
          <w:color w:val="BE2195"/>
        </w:rPr>
        <w:t>take-up of curriculum incorporating Universal Design in relevant initial professional training, education and in continuing professional development </w:t>
      </w:r>
      <w:r>
        <w:rPr>
          <w:color w:val="BE2195"/>
          <w:spacing w:val="-2"/>
        </w:rPr>
        <w:t>(CPD).</w:t>
      </w:r>
    </w:p>
    <w:p>
      <w:pPr>
        <w:pStyle w:val="BodyText"/>
        <w:spacing w:before="108"/>
        <w:ind w:left="1702" w:right="988"/>
      </w:pPr>
      <w:r>
        <w:rPr/>
        <w:t>The</w:t>
      </w:r>
      <w:r>
        <w:rPr>
          <w:spacing w:val="-4"/>
        </w:rPr>
        <w:t> </w:t>
      </w:r>
      <w:r>
        <w:rPr/>
        <w:t>Centre</w:t>
      </w:r>
      <w:r>
        <w:rPr>
          <w:spacing w:val="-1"/>
        </w:rPr>
        <w:t> </w:t>
      </w:r>
      <w:r>
        <w:rPr/>
        <w:t>has</w:t>
      </w:r>
      <w:r>
        <w:rPr>
          <w:spacing w:val="-4"/>
        </w:rPr>
        <w:t> </w:t>
      </w:r>
      <w:r>
        <w:rPr/>
        <w:t>statutory</w:t>
      </w:r>
      <w:r>
        <w:rPr>
          <w:spacing w:val="-4"/>
        </w:rPr>
        <w:t> </w:t>
      </w:r>
      <w:r>
        <w:rPr/>
        <w:t>functions</w:t>
      </w:r>
      <w:r>
        <w:rPr>
          <w:spacing w:val="-3"/>
        </w:rPr>
        <w:t> </w:t>
      </w:r>
      <w:r>
        <w:rPr/>
        <w:t>to</w:t>
      </w:r>
      <w:r>
        <w:rPr>
          <w:spacing w:val="-3"/>
        </w:rPr>
        <w:t> </w:t>
      </w:r>
      <w:r>
        <w:rPr/>
        <w:t>engage</w:t>
      </w:r>
      <w:r>
        <w:rPr>
          <w:spacing w:val="-4"/>
        </w:rPr>
        <w:t> </w:t>
      </w:r>
      <w:r>
        <w:rPr/>
        <w:t>with</w:t>
      </w:r>
      <w:r>
        <w:rPr>
          <w:spacing w:val="-4"/>
        </w:rPr>
        <w:t> </w:t>
      </w:r>
      <w:r>
        <w:rPr/>
        <w:t>educational</w:t>
      </w:r>
      <w:r>
        <w:rPr>
          <w:spacing w:val="-4"/>
        </w:rPr>
        <w:t> </w:t>
      </w:r>
      <w:r>
        <w:rPr/>
        <w:t>bodies</w:t>
      </w:r>
      <w:r>
        <w:rPr>
          <w:spacing w:val="-2"/>
        </w:rPr>
        <w:t> </w:t>
      </w:r>
      <w:r>
        <w:rPr/>
        <w:t>to promote the inclusion of Universal Design in curricula and certification. Work advanced in 2017 is set out below.</w:t>
      </w:r>
    </w:p>
    <w:p>
      <w:pPr>
        <w:pStyle w:val="Heading5"/>
        <w:spacing w:before="253"/>
        <w:rPr>
          <w:rFonts w:ascii="Rockwell"/>
        </w:rPr>
      </w:pPr>
      <w:r>
        <w:rPr>
          <w:rFonts w:ascii="Rockwell"/>
          <w:color w:val="BE2195"/>
        </w:rPr>
        <w:t>Universal</w:t>
      </w:r>
      <w:r>
        <w:rPr>
          <w:rFonts w:ascii="Rockwell"/>
          <w:color w:val="BE2195"/>
          <w:spacing w:val="-7"/>
        </w:rPr>
        <w:t> </w:t>
      </w:r>
      <w:r>
        <w:rPr>
          <w:rFonts w:ascii="Rockwell"/>
          <w:color w:val="BE2195"/>
        </w:rPr>
        <w:t>Design</w:t>
      </w:r>
      <w:r>
        <w:rPr>
          <w:rFonts w:ascii="Rockwell"/>
          <w:color w:val="BE2195"/>
          <w:spacing w:val="-5"/>
        </w:rPr>
        <w:t> </w:t>
      </w:r>
      <w:r>
        <w:rPr>
          <w:rFonts w:ascii="Rockwell"/>
          <w:color w:val="BE2195"/>
        </w:rPr>
        <w:t>in</w:t>
      </w:r>
      <w:r>
        <w:rPr>
          <w:rFonts w:ascii="Rockwell"/>
          <w:color w:val="BE2195"/>
          <w:spacing w:val="-7"/>
        </w:rPr>
        <w:t> </w:t>
      </w:r>
      <w:r>
        <w:rPr>
          <w:rFonts w:ascii="Rockwell"/>
          <w:color w:val="BE2195"/>
        </w:rPr>
        <w:t>Continued</w:t>
      </w:r>
      <w:r>
        <w:rPr>
          <w:rFonts w:ascii="Rockwell"/>
          <w:color w:val="BE2195"/>
          <w:spacing w:val="-6"/>
        </w:rPr>
        <w:t> </w:t>
      </w:r>
      <w:r>
        <w:rPr>
          <w:rFonts w:ascii="Rockwell"/>
          <w:color w:val="BE2195"/>
        </w:rPr>
        <w:t>Professional</w:t>
      </w:r>
      <w:r>
        <w:rPr>
          <w:rFonts w:ascii="Rockwell"/>
          <w:color w:val="BE2195"/>
          <w:spacing w:val="-7"/>
        </w:rPr>
        <w:t> </w:t>
      </w:r>
      <w:r>
        <w:rPr>
          <w:rFonts w:ascii="Rockwell"/>
          <w:color w:val="BE2195"/>
        </w:rPr>
        <w:t>Development</w:t>
      </w:r>
      <w:r>
        <w:rPr>
          <w:rFonts w:ascii="Rockwell"/>
          <w:color w:val="BE2195"/>
          <w:spacing w:val="-5"/>
        </w:rPr>
        <w:t> </w:t>
      </w:r>
      <w:r>
        <w:rPr>
          <w:rFonts w:ascii="Rockwell"/>
          <w:color w:val="BE2195"/>
        </w:rPr>
        <w:t>for architects and architectural technologists</w:t>
      </w:r>
    </w:p>
    <w:p>
      <w:pPr>
        <w:pStyle w:val="BodyText"/>
        <w:spacing w:before="226"/>
        <w:ind w:left="1702" w:right="988"/>
      </w:pPr>
      <w:r>
        <w:rPr/>
        <w:t>The Centre has been working in partnership with the Royal Institute of Architects of Ireland (RIAI) on research to inform Universal Design in Continued Professional Development (CPD) for architects and architectural technologists. The Centre commissioned research to be undertaken</w:t>
      </w:r>
      <w:r>
        <w:rPr>
          <w:spacing w:val="-4"/>
        </w:rPr>
        <w:t> </w:t>
      </w:r>
      <w:r>
        <w:rPr/>
        <w:t>by</w:t>
      </w:r>
      <w:r>
        <w:rPr>
          <w:spacing w:val="-2"/>
        </w:rPr>
        <w:t> </w:t>
      </w:r>
      <w:r>
        <w:rPr/>
        <w:t>an</w:t>
      </w:r>
      <w:r>
        <w:rPr>
          <w:spacing w:val="-3"/>
        </w:rPr>
        <w:t> </w:t>
      </w:r>
      <w:r>
        <w:rPr/>
        <w:t>Irish</w:t>
      </w:r>
      <w:r>
        <w:rPr>
          <w:spacing w:val="-2"/>
        </w:rPr>
        <w:t> </w:t>
      </w:r>
      <w:r>
        <w:rPr/>
        <w:t>university</w:t>
      </w:r>
      <w:r>
        <w:rPr>
          <w:spacing w:val="-4"/>
        </w:rPr>
        <w:t> </w:t>
      </w:r>
      <w:r>
        <w:rPr/>
        <w:t>working</w:t>
      </w:r>
      <w:r>
        <w:rPr>
          <w:spacing w:val="-4"/>
        </w:rPr>
        <w:t> </w:t>
      </w:r>
      <w:r>
        <w:rPr/>
        <w:t>in</w:t>
      </w:r>
      <w:r>
        <w:rPr>
          <w:spacing w:val="-4"/>
        </w:rPr>
        <w:t> </w:t>
      </w:r>
      <w:r>
        <w:rPr/>
        <w:t>partnership</w:t>
      </w:r>
      <w:r>
        <w:rPr>
          <w:spacing w:val="-4"/>
        </w:rPr>
        <w:t> </w:t>
      </w:r>
      <w:r>
        <w:rPr/>
        <w:t>with</w:t>
      </w:r>
      <w:r>
        <w:rPr>
          <w:spacing w:val="-4"/>
        </w:rPr>
        <w:t> </w:t>
      </w:r>
      <w:r>
        <w:rPr/>
        <w:t>a</w:t>
      </w:r>
      <w:r>
        <w:rPr>
          <w:spacing w:val="-4"/>
        </w:rPr>
        <w:t> </w:t>
      </w:r>
      <w:r>
        <w:rPr/>
        <w:t>US</w:t>
      </w:r>
      <w:r>
        <w:rPr>
          <w:spacing w:val="-5"/>
        </w:rPr>
        <w:t> </w:t>
      </w:r>
      <w:r>
        <w:rPr/>
        <w:t>based university.</w:t>
      </w:r>
      <w:r>
        <w:rPr>
          <w:spacing w:val="-4"/>
        </w:rPr>
        <w:t> </w:t>
      </w:r>
      <w:r>
        <w:rPr/>
        <w:t>This</w:t>
      </w:r>
      <w:r>
        <w:rPr>
          <w:spacing w:val="-3"/>
        </w:rPr>
        <w:t> </w:t>
      </w:r>
      <w:r>
        <w:rPr/>
        <w:t>research</w:t>
      </w:r>
      <w:r>
        <w:rPr>
          <w:spacing w:val="-4"/>
        </w:rPr>
        <w:t> </w:t>
      </w:r>
      <w:r>
        <w:rPr/>
        <w:t>was</w:t>
      </w:r>
      <w:r>
        <w:rPr>
          <w:spacing w:val="-4"/>
        </w:rPr>
        <w:t> </w:t>
      </w:r>
      <w:r>
        <w:rPr/>
        <w:t>completed</w:t>
      </w:r>
      <w:r>
        <w:rPr>
          <w:spacing w:val="-4"/>
        </w:rPr>
        <w:t> </w:t>
      </w:r>
      <w:r>
        <w:rPr/>
        <w:t>in</w:t>
      </w:r>
      <w:r>
        <w:rPr>
          <w:spacing w:val="-1"/>
        </w:rPr>
        <w:t> </w:t>
      </w:r>
      <w:r>
        <w:rPr/>
        <w:t>2017</w:t>
      </w:r>
      <w:r>
        <w:rPr>
          <w:spacing w:val="-3"/>
        </w:rPr>
        <w:t> </w:t>
      </w:r>
      <w:r>
        <w:rPr/>
        <w:t>and</w:t>
      </w:r>
      <w:r>
        <w:rPr>
          <w:spacing w:val="-4"/>
        </w:rPr>
        <w:t> </w:t>
      </w:r>
      <w:r>
        <w:rPr/>
        <w:t>further</w:t>
      </w:r>
      <w:r>
        <w:rPr>
          <w:spacing w:val="-3"/>
        </w:rPr>
        <w:t> </w:t>
      </w:r>
      <w:r>
        <w:rPr/>
        <w:t>engagement will</w:t>
      </w:r>
      <w:r>
        <w:rPr>
          <w:spacing w:val="-1"/>
        </w:rPr>
        <w:t> </w:t>
      </w:r>
      <w:r>
        <w:rPr/>
        <w:t>follow with</w:t>
      </w:r>
      <w:r>
        <w:rPr>
          <w:spacing w:val="-2"/>
        </w:rPr>
        <w:t> </w:t>
      </w:r>
      <w:r>
        <w:rPr/>
        <w:t>RIAI</w:t>
      </w:r>
      <w:r>
        <w:rPr>
          <w:spacing w:val="-2"/>
        </w:rPr>
        <w:t> </w:t>
      </w:r>
      <w:r>
        <w:rPr/>
        <w:t>in</w:t>
      </w:r>
      <w:r>
        <w:rPr>
          <w:spacing w:val="-2"/>
        </w:rPr>
        <w:t> </w:t>
      </w:r>
      <w:r>
        <w:rPr/>
        <w:t>2018,</w:t>
      </w:r>
      <w:r>
        <w:rPr>
          <w:spacing w:val="-1"/>
        </w:rPr>
        <w:t> </w:t>
      </w:r>
      <w:r>
        <w:rPr/>
        <w:t>on</w:t>
      </w:r>
      <w:r>
        <w:rPr>
          <w:spacing w:val="-2"/>
        </w:rPr>
        <w:t> </w:t>
      </w:r>
      <w:r>
        <w:rPr/>
        <w:t>developing case</w:t>
      </w:r>
      <w:r>
        <w:rPr>
          <w:spacing w:val="-1"/>
        </w:rPr>
        <w:t> </w:t>
      </w:r>
      <w:r>
        <w:rPr/>
        <w:t>studies</w:t>
      </w:r>
      <w:r>
        <w:rPr>
          <w:spacing w:val="-1"/>
        </w:rPr>
        <w:t> </w:t>
      </w:r>
      <w:r>
        <w:rPr/>
        <w:t>as</w:t>
      </w:r>
      <w:r>
        <w:rPr>
          <w:spacing w:val="-2"/>
        </w:rPr>
        <w:t> </w:t>
      </w:r>
      <w:r>
        <w:rPr/>
        <w:t>exemplars</w:t>
      </w:r>
      <w:r>
        <w:rPr>
          <w:spacing w:val="-1"/>
        </w:rPr>
        <w:t> </w:t>
      </w:r>
      <w:r>
        <w:rPr/>
        <w:t>of Universal</w:t>
      </w:r>
      <w:r>
        <w:rPr>
          <w:spacing w:val="-5"/>
        </w:rPr>
        <w:t> </w:t>
      </w:r>
      <w:r>
        <w:rPr/>
        <w:t>Design</w:t>
      </w:r>
      <w:r>
        <w:rPr>
          <w:spacing w:val="-5"/>
        </w:rPr>
        <w:t> </w:t>
      </w:r>
      <w:r>
        <w:rPr/>
        <w:t>in</w:t>
      </w:r>
      <w:r>
        <w:rPr>
          <w:spacing w:val="-5"/>
        </w:rPr>
        <w:t> </w:t>
      </w:r>
      <w:r>
        <w:rPr/>
        <w:t>practice</w:t>
      </w:r>
      <w:r>
        <w:rPr>
          <w:spacing w:val="-2"/>
        </w:rPr>
        <w:t> </w:t>
      </w:r>
      <w:r>
        <w:rPr/>
        <w:t>to</w:t>
      </w:r>
      <w:r>
        <w:rPr>
          <w:spacing w:val="-4"/>
        </w:rPr>
        <w:t> </w:t>
      </w:r>
      <w:r>
        <w:rPr/>
        <w:t>inform</w:t>
      </w:r>
      <w:r>
        <w:rPr>
          <w:spacing w:val="-5"/>
        </w:rPr>
        <w:t> </w:t>
      </w:r>
      <w:r>
        <w:rPr/>
        <w:t>education</w:t>
      </w:r>
      <w:r>
        <w:rPr>
          <w:spacing w:val="-5"/>
        </w:rPr>
        <w:t> </w:t>
      </w:r>
      <w:r>
        <w:rPr/>
        <w:t>for</w:t>
      </w:r>
      <w:r>
        <w:rPr>
          <w:spacing w:val="-5"/>
        </w:rPr>
        <w:t> </w:t>
      </w:r>
      <w:r>
        <w:rPr/>
        <w:t>architects,</w:t>
      </w:r>
      <w:r>
        <w:rPr>
          <w:spacing w:val="-4"/>
        </w:rPr>
        <w:t> </w:t>
      </w:r>
      <w:r>
        <w:rPr/>
        <w:t>based</w:t>
      </w:r>
      <w:r>
        <w:rPr>
          <w:spacing w:val="-5"/>
        </w:rPr>
        <w:t> </w:t>
      </w:r>
      <w:r>
        <w:rPr/>
        <w:t>on the UD RIAI award winners over the last 5 years.</w:t>
      </w:r>
    </w:p>
    <w:p>
      <w:pPr>
        <w:pStyle w:val="Heading5"/>
        <w:spacing w:before="254"/>
        <w:rPr>
          <w:rFonts w:ascii="Rockwell"/>
        </w:rPr>
      </w:pPr>
      <w:r>
        <w:rPr>
          <w:rFonts w:ascii="Rockwell"/>
          <w:color w:val="BE2195"/>
        </w:rPr>
        <w:t>Universal</w:t>
      </w:r>
      <w:r>
        <w:rPr>
          <w:rFonts w:ascii="Rockwell"/>
          <w:color w:val="BE2195"/>
          <w:spacing w:val="-7"/>
        </w:rPr>
        <w:t> </w:t>
      </w:r>
      <w:r>
        <w:rPr>
          <w:rFonts w:ascii="Rockwell"/>
          <w:color w:val="BE2195"/>
        </w:rPr>
        <w:t>Design</w:t>
      </w:r>
      <w:r>
        <w:rPr>
          <w:rFonts w:ascii="Rockwell"/>
          <w:color w:val="BE2195"/>
          <w:spacing w:val="-5"/>
        </w:rPr>
        <w:t> </w:t>
      </w:r>
      <w:r>
        <w:rPr>
          <w:rFonts w:ascii="Rockwell"/>
          <w:color w:val="BE2195"/>
        </w:rPr>
        <w:t>in</w:t>
      </w:r>
      <w:r>
        <w:rPr>
          <w:rFonts w:ascii="Rockwell"/>
          <w:color w:val="BE2195"/>
          <w:spacing w:val="-7"/>
        </w:rPr>
        <w:t> </w:t>
      </w:r>
      <w:r>
        <w:rPr>
          <w:rFonts w:ascii="Rockwell"/>
          <w:color w:val="BE2195"/>
        </w:rPr>
        <w:t>CPD</w:t>
      </w:r>
      <w:r>
        <w:rPr>
          <w:rFonts w:ascii="Rockwell"/>
          <w:color w:val="BE2195"/>
          <w:spacing w:val="-7"/>
        </w:rPr>
        <w:t> </w:t>
      </w:r>
      <w:r>
        <w:rPr>
          <w:rFonts w:ascii="Rockwell"/>
          <w:color w:val="BE2195"/>
        </w:rPr>
        <w:t>for</w:t>
      </w:r>
      <w:r>
        <w:rPr>
          <w:rFonts w:ascii="Rockwell"/>
          <w:color w:val="BE2195"/>
          <w:spacing w:val="-8"/>
        </w:rPr>
        <w:t> </w:t>
      </w:r>
      <w:r>
        <w:rPr>
          <w:rFonts w:ascii="Rockwell"/>
          <w:color w:val="BE2195"/>
        </w:rPr>
        <w:t>the</w:t>
      </w:r>
      <w:r>
        <w:rPr>
          <w:rFonts w:ascii="Rockwell"/>
          <w:color w:val="BE2195"/>
          <w:spacing w:val="-6"/>
        </w:rPr>
        <w:t> </w:t>
      </w:r>
      <w:r>
        <w:rPr>
          <w:rFonts w:ascii="Rockwell"/>
          <w:color w:val="BE2195"/>
        </w:rPr>
        <w:t>ICT</w:t>
      </w:r>
      <w:r>
        <w:rPr>
          <w:rFonts w:ascii="Rockwell"/>
          <w:color w:val="BE2195"/>
          <w:spacing w:val="-6"/>
        </w:rPr>
        <w:t> </w:t>
      </w:r>
      <w:r>
        <w:rPr>
          <w:rFonts w:ascii="Rockwell"/>
          <w:color w:val="BE2195"/>
          <w:spacing w:val="-2"/>
        </w:rPr>
        <w:t>sector</w:t>
      </w:r>
    </w:p>
    <w:p>
      <w:pPr>
        <w:pStyle w:val="BodyText"/>
        <w:spacing w:before="28"/>
        <w:ind w:left="1702" w:right="988"/>
      </w:pPr>
      <w:r>
        <w:rPr/>
        <w:t>The Centre has established a partnership agreement with the Irish Computer</w:t>
      </w:r>
      <w:r>
        <w:rPr>
          <w:spacing w:val="-2"/>
        </w:rPr>
        <w:t> </w:t>
      </w:r>
      <w:r>
        <w:rPr/>
        <w:t>Society</w:t>
      </w:r>
      <w:r>
        <w:rPr>
          <w:spacing w:val="-5"/>
        </w:rPr>
        <w:t> </w:t>
      </w:r>
      <w:r>
        <w:rPr/>
        <w:t>(ICS)</w:t>
      </w:r>
      <w:r>
        <w:rPr>
          <w:spacing w:val="-3"/>
        </w:rPr>
        <w:t> </w:t>
      </w:r>
      <w:r>
        <w:rPr/>
        <w:t>for</w:t>
      </w:r>
      <w:r>
        <w:rPr>
          <w:spacing w:val="-5"/>
        </w:rPr>
        <w:t> </w:t>
      </w:r>
      <w:r>
        <w:rPr/>
        <w:t>the</w:t>
      </w:r>
      <w:r>
        <w:rPr>
          <w:spacing w:val="-4"/>
        </w:rPr>
        <w:t> </w:t>
      </w:r>
      <w:r>
        <w:rPr/>
        <w:t>development</w:t>
      </w:r>
      <w:r>
        <w:rPr>
          <w:spacing w:val="-2"/>
        </w:rPr>
        <w:t> </w:t>
      </w:r>
      <w:r>
        <w:rPr/>
        <w:t>of</w:t>
      </w:r>
      <w:r>
        <w:rPr>
          <w:spacing w:val="-5"/>
        </w:rPr>
        <w:t> </w:t>
      </w:r>
      <w:r>
        <w:rPr/>
        <w:t>CPD</w:t>
      </w:r>
      <w:r>
        <w:rPr>
          <w:spacing w:val="-5"/>
        </w:rPr>
        <w:t> </w:t>
      </w:r>
      <w:r>
        <w:rPr/>
        <w:t>training</w:t>
      </w:r>
      <w:r>
        <w:rPr>
          <w:spacing w:val="-5"/>
        </w:rPr>
        <w:t> </w:t>
      </w:r>
      <w:r>
        <w:rPr/>
        <w:t>in</w:t>
      </w:r>
      <w:r>
        <w:rPr>
          <w:spacing w:val="-1"/>
        </w:rPr>
        <w:t> </w:t>
      </w:r>
      <w:r>
        <w:rPr/>
        <w:t>Universal Design for ICT professionals in Ireland. Further to a tender completion a contract was awarded for research into what is best practice nationally</w:t>
      </w:r>
    </w:p>
    <w:p>
      <w:pPr>
        <w:pStyle w:val="BodyText"/>
        <w:spacing w:after="0"/>
        <w:sectPr>
          <w:pgSz w:w="11910" w:h="16850"/>
          <w:pgMar w:header="0" w:footer="811" w:top="1900" w:bottom="1000" w:left="283" w:right="992"/>
        </w:sectPr>
      </w:pPr>
    </w:p>
    <w:p>
      <w:pPr>
        <w:pStyle w:val="BodyText"/>
        <w:spacing w:before="79"/>
        <w:ind w:left="1702" w:right="988"/>
      </w:pPr>
      <w:r>
        <w:rPr/>
        <w:t>and internationally on delivering CPD in the area of ICT and Universal Design.</w:t>
      </w:r>
      <w:r>
        <w:rPr>
          <w:spacing w:val="-5"/>
        </w:rPr>
        <w:t> </w:t>
      </w:r>
      <w:r>
        <w:rPr/>
        <w:t>The</w:t>
      </w:r>
      <w:r>
        <w:rPr>
          <w:spacing w:val="-5"/>
        </w:rPr>
        <w:t> </w:t>
      </w:r>
      <w:r>
        <w:rPr/>
        <w:t>phases</w:t>
      </w:r>
      <w:r>
        <w:rPr>
          <w:spacing w:val="-3"/>
        </w:rPr>
        <w:t> </w:t>
      </w:r>
      <w:r>
        <w:rPr/>
        <w:t>of</w:t>
      </w:r>
      <w:r>
        <w:rPr>
          <w:spacing w:val="-5"/>
        </w:rPr>
        <w:t> </w:t>
      </w:r>
      <w:r>
        <w:rPr/>
        <w:t>work</w:t>
      </w:r>
      <w:r>
        <w:rPr>
          <w:spacing w:val="-4"/>
        </w:rPr>
        <w:t> </w:t>
      </w:r>
      <w:r>
        <w:rPr/>
        <w:t>will</w:t>
      </w:r>
      <w:r>
        <w:rPr>
          <w:spacing w:val="-4"/>
        </w:rPr>
        <w:t> </w:t>
      </w:r>
      <w:r>
        <w:rPr/>
        <w:t>include</w:t>
      </w:r>
      <w:r>
        <w:rPr>
          <w:spacing w:val="-5"/>
        </w:rPr>
        <w:t> </w:t>
      </w:r>
      <w:r>
        <w:rPr/>
        <w:t>a curriculum</w:t>
      </w:r>
      <w:r>
        <w:rPr>
          <w:spacing w:val="-5"/>
        </w:rPr>
        <w:t> </w:t>
      </w:r>
      <w:r>
        <w:rPr/>
        <w:t>development</w:t>
      </w:r>
      <w:r>
        <w:rPr>
          <w:spacing w:val="-5"/>
        </w:rPr>
        <w:t> </w:t>
      </w:r>
      <w:r>
        <w:rPr/>
        <w:t>phase and</w:t>
      </w:r>
      <w:r>
        <w:rPr>
          <w:spacing w:val="-1"/>
        </w:rPr>
        <w:t> </w:t>
      </w:r>
      <w:r>
        <w:rPr/>
        <w:t>finally</w:t>
      </w:r>
      <w:r>
        <w:rPr>
          <w:spacing w:val="-1"/>
        </w:rPr>
        <w:t> </w:t>
      </w:r>
      <w:r>
        <w:rPr/>
        <w:t>an implementation</w:t>
      </w:r>
      <w:r>
        <w:rPr>
          <w:spacing w:val="-1"/>
        </w:rPr>
        <w:t> </w:t>
      </w:r>
      <w:r>
        <w:rPr/>
        <w:t>phase. It</w:t>
      </w:r>
      <w:r>
        <w:rPr>
          <w:spacing w:val="-1"/>
        </w:rPr>
        <w:t> </w:t>
      </w:r>
      <w:r>
        <w:rPr/>
        <w:t>is aimed</w:t>
      </w:r>
      <w:r>
        <w:rPr>
          <w:spacing w:val="-1"/>
        </w:rPr>
        <w:t> </w:t>
      </w:r>
      <w:r>
        <w:rPr/>
        <w:t>to have</w:t>
      </w:r>
      <w:r>
        <w:rPr>
          <w:spacing w:val="-1"/>
        </w:rPr>
        <w:t> </w:t>
      </w:r>
      <w:r>
        <w:rPr/>
        <w:t>phase one</w:t>
      </w:r>
      <w:r>
        <w:rPr>
          <w:spacing w:val="-1"/>
        </w:rPr>
        <w:t> </w:t>
      </w:r>
      <w:r>
        <w:rPr/>
        <w:t>of</w:t>
      </w:r>
      <w:r>
        <w:rPr>
          <w:spacing w:val="-1"/>
        </w:rPr>
        <w:t> </w:t>
      </w:r>
      <w:r>
        <w:rPr/>
        <w:t>this project completed in 2018.</w:t>
      </w:r>
    </w:p>
    <w:p>
      <w:pPr>
        <w:pStyle w:val="BodyText"/>
        <w:spacing w:line="244" w:lineRule="auto" w:before="253"/>
        <w:ind w:left="1702" w:right="1099"/>
      </w:pPr>
      <w:r>
        <w:rPr>
          <w:rFonts w:ascii="Rockwell" w:hAnsi="Rockwell"/>
          <w:b/>
          <w:color w:val="BE2195"/>
        </w:rPr>
        <w:t>Universal Design curriculum for the 2nd Level Junior Cycle </w:t>
      </w:r>
      <w:r>
        <w:rPr/>
        <w:t>The Centre commissioned work in recent years to support the development of a Short Course on Universal Design for use in the 2</w:t>
      </w:r>
      <w:r>
        <w:rPr>
          <w:vertAlign w:val="superscript"/>
        </w:rPr>
        <w:t>nd</w:t>
      </w:r>
      <w:r>
        <w:rPr>
          <w:vertAlign w:val="baseline"/>
        </w:rPr>
        <w:t> Level</w:t>
      </w:r>
      <w:r>
        <w:rPr>
          <w:spacing w:val="-5"/>
          <w:vertAlign w:val="baseline"/>
        </w:rPr>
        <w:t> </w:t>
      </w:r>
      <w:r>
        <w:rPr>
          <w:vertAlign w:val="baseline"/>
        </w:rPr>
        <w:t>Junior</w:t>
      </w:r>
      <w:r>
        <w:rPr>
          <w:spacing w:val="-5"/>
          <w:vertAlign w:val="baseline"/>
        </w:rPr>
        <w:t> </w:t>
      </w:r>
      <w:r>
        <w:rPr>
          <w:vertAlign w:val="baseline"/>
        </w:rPr>
        <w:t>Cycle.</w:t>
      </w:r>
      <w:r>
        <w:rPr>
          <w:spacing w:val="-3"/>
          <w:vertAlign w:val="baseline"/>
        </w:rPr>
        <w:t> </w:t>
      </w:r>
      <w:r>
        <w:rPr>
          <w:vertAlign w:val="baseline"/>
        </w:rPr>
        <w:t>The</w:t>
      </w:r>
      <w:r>
        <w:rPr>
          <w:spacing w:val="-3"/>
          <w:vertAlign w:val="baseline"/>
        </w:rPr>
        <w:t> </w:t>
      </w:r>
      <w:r>
        <w:rPr>
          <w:vertAlign w:val="baseline"/>
        </w:rPr>
        <w:t>project</w:t>
      </w:r>
      <w:r>
        <w:rPr>
          <w:spacing w:val="-5"/>
          <w:vertAlign w:val="baseline"/>
        </w:rPr>
        <w:t> </w:t>
      </w:r>
      <w:r>
        <w:rPr>
          <w:vertAlign w:val="baseline"/>
        </w:rPr>
        <w:t>is</w:t>
      </w:r>
      <w:r>
        <w:rPr>
          <w:spacing w:val="-3"/>
          <w:vertAlign w:val="baseline"/>
        </w:rPr>
        <w:t> </w:t>
      </w:r>
      <w:r>
        <w:rPr>
          <w:vertAlign w:val="baseline"/>
        </w:rPr>
        <w:t>in</w:t>
      </w:r>
      <w:r>
        <w:rPr>
          <w:spacing w:val="-5"/>
          <w:vertAlign w:val="baseline"/>
        </w:rPr>
        <w:t> </w:t>
      </w:r>
      <w:r>
        <w:rPr>
          <w:vertAlign w:val="baseline"/>
        </w:rPr>
        <w:t>response</w:t>
      </w:r>
      <w:r>
        <w:rPr>
          <w:spacing w:val="-5"/>
          <w:vertAlign w:val="baseline"/>
        </w:rPr>
        <w:t> </w:t>
      </w:r>
      <w:r>
        <w:rPr>
          <w:vertAlign w:val="baseline"/>
        </w:rPr>
        <w:t>to</w:t>
      </w:r>
      <w:r>
        <w:rPr>
          <w:spacing w:val="-4"/>
          <w:vertAlign w:val="baseline"/>
        </w:rPr>
        <w:t> </w:t>
      </w:r>
      <w:r>
        <w:rPr>
          <w:vertAlign w:val="baseline"/>
        </w:rPr>
        <w:t>feedback</w:t>
      </w:r>
      <w:r>
        <w:rPr>
          <w:spacing w:val="-5"/>
          <w:vertAlign w:val="baseline"/>
        </w:rPr>
        <w:t> </w:t>
      </w:r>
      <w:r>
        <w:rPr>
          <w:vertAlign w:val="baseline"/>
        </w:rPr>
        <w:t>from</w:t>
      </w:r>
      <w:r>
        <w:rPr>
          <w:spacing w:val="-5"/>
          <w:vertAlign w:val="baseline"/>
        </w:rPr>
        <w:t> </w:t>
      </w:r>
      <w:r>
        <w:rPr>
          <w:vertAlign w:val="baseline"/>
        </w:rPr>
        <w:t>educators to introduce Universal Design to students prior to 3</w:t>
      </w:r>
      <w:r>
        <w:rPr>
          <w:vertAlign w:val="superscript"/>
        </w:rPr>
        <w:t>rd</w:t>
      </w:r>
      <w:r>
        <w:rPr>
          <w:vertAlign w:val="baseline"/>
        </w:rPr>
        <w:t> level. The Short Course emerging from this work is titled “Creating Designs for our</w:t>
      </w:r>
    </w:p>
    <w:p>
      <w:pPr>
        <w:pStyle w:val="BodyText"/>
        <w:ind w:left="1702" w:right="1021"/>
      </w:pPr>
      <w:r>
        <w:rPr/>
        <w:t>Tomorrows” and is designed to provide a complete set of materials for use by 2</w:t>
      </w:r>
      <w:r>
        <w:rPr>
          <w:vertAlign w:val="superscript"/>
        </w:rPr>
        <w:t>nd</w:t>
      </w:r>
      <w:r>
        <w:rPr>
          <w:vertAlign w:val="baseline"/>
        </w:rPr>
        <w:t> Level schools. It is a practical, project based, flexible set of modules where students explore the impact of design in their community, understand the diverse characteristics and needs of people and apply design</w:t>
      </w:r>
      <w:r>
        <w:rPr>
          <w:spacing w:val="-5"/>
          <w:vertAlign w:val="baseline"/>
        </w:rPr>
        <w:t> </w:t>
      </w:r>
      <w:r>
        <w:rPr>
          <w:vertAlign w:val="baseline"/>
        </w:rPr>
        <w:t>methods</w:t>
      </w:r>
      <w:r>
        <w:rPr>
          <w:spacing w:val="-4"/>
          <w:vertAlign w:val="baseline"/>
        </w:rPr>
        <w:t> </w:t>
      </w:r>
      <w:r>
        <w:rPr>
          <w:vertAlign w:val="baseline"/>
        </w:rPr>
        <w:t>to</w:t>
      </w:r>
      <w:r>
        <w:rPr>
          <w:spacing w:val="-4"/>
          <w:vertAlign w:val="baseline"/>
        </w:rPr>
        <w:t> </w:t>
      </w:r>
      <w:r>
        <w:rPr>
          <w:vertAlign w:val="baseline"/>
        </w:rPr>
        <w:t>solve</w:t>
      </w:r>
      <w:r>
        <w:rPr>
          <w:spacing w:val="-5"/>
          <w:vertAlign w:val="baseline"/>
        </w:rPr>
        <w:t> </w:t>
      </w:r>
      <w:r>
        <w:rPr>
          <w:vertAlign w:val="baseline"/>
        </w:rPr>
        <w:t>problems</w:t>
      </w:r>
      <w:r>
        <w:rPr>
          <w:spacing w:val="-4"/>
          <w:vertAlign w:val="baseline"/>
        </w:rPr>
        <w:t> </w:t>
      </w:r>
      <w:r>
        <w:rPr>
          <w:vertAlign w:val="baseline"/>
        </w:rPr>
        <w:t>and</w:t>
      </w:r>
      <w:r>
        <w:rPr>
          <w:spacing w:val="-5"/>
          <w:vertAlign w:val="baseline"/>
        </w:rPr>
        <w:t> </w:t>
      </w:r>
      <w:r>
        <w:rPr>
          <w:vertAlign w:val="baseline"/>
        </w:rPr>
        <w:t>make</w:t>
      </w:r>
      <w:r>
        <w:rPr>
          <w:spacing w:val="-2"/>
          <w:vertAlign w:val="baseline"/>
        </w:rPr>
        <w:t> </w:t>
      </w:r>
      <w:r>
        <w:rPr>
          <w:vertAlign w:val="baseline"/>
        </w:rPr>
        <w:t>prototype</w:t>
      </w:r>
      <w:r>
        <w:rPr>
          <w:spacing w:val="-5"/>
          <w:vertAlign w:val="baseline"/>
        </w:rPr>
        <w:t> </w:t>
      </w:r>
      <w:r>
        <w:rPr>
          <w:vertAlign w:val="baseline"/>
        </w:rPr>
        <w:t>solutions. A</w:t>
      </w:r>
      <w:r>
        <w:rPr>
          <w:spacing w:val="-7"/>
          <w:vertAlign w:val="baseline"/>
        </w:rPr>
        <w:t> </w:t>
      </w:r>
      <w:r>
        <w:rPr>
          <w:vertAlign w:val="baseline"/>
        </w:rPr>
        <w:t>report of phase 1 of this project will be published in 2018.</w:t>
      </w:r>
    </w:p>
    <w:p>
      <w:pPr>
        <w:pStyle w:val="Heading5"/>
        <w:spacing w:before="243"/>
        <w:rPr>
          <w:rFonts w:ascii="Rockwell"/>
        </w:rPr>
      </w:pPr>
      <w:r>
        <w:rPr>
          <w:rFonts w:ascii="Rockwell"/>
          <w:color w:val="BE2195"/>
        </w:rPr>
        <w:t>Engagement</w:t>
      </w:r>
      <w:r>
        <w:rPr>
          <w:rFonts w:ascii="Rockwell"/>
          <w:color w:val="BE2195"/>
          <w:spacing w:val="-11"/>
        </w:rPr>
        <w:t> </w:t>
      </w:r>
      <w:r>
        <w:rPr>
          <w:rFonts w:ascii="Rockwell"/>
          <w:color w:val="BE2195"/>
        </w:rPr>
        <w:t>with</w:t>
      </w:r>
      <w:r>
        <w:rPr>
          <w:rFonts w:ascii="Rockwell"/>
          <w:color w:val="BE2195"/>
          <w:spacing w:val="-7"/>
        </w:rPr>
        <w:t> </w:t>
      </w:r>
      <w:r>
        <w:rPr>
          <w:rFonts w:ascii="Rockwell"/>
          <w:color w:val="BE2195"/>
        </w:rPr>
        <w:t>Third</w:t>
      </w:r>
      <w:r>
        <w:rPr>
          <w:rFonts w:ascii="Rockwell"/>
          <w:color w:val="BE2195"/>
          <w:spacing w:val="-8"/>
        </w:rPr>
        <w:t> </w:t>
      </w:r>
      <w:r>
        <w:rPr>
          <w:rFonts w:ascii="Rockwell"/>
          <w:color w:val="BE2195"/>
        </w:rPr>
        <w:t>Level</w:t>
      </w:r>
      <w:r>
        <w:rPr>
          <w:rFonts w:ascii="Rockwell"/>
          <w:color w:val="BE2195"/>
          <w:spacing w:val="-9"/>
        </w:rPr>
        <w:t> </w:t>
      </w:r>
      <w:r>
        <w:rPr>
          <w:rFonts w:ascii="Rockwell"/>
          <w:color w:val="BE2195"/>
          <w:spacing w:val="-2"/>
        </w:rPr>
        <w:t>Sector</w:t>
      </w:r>
    </w:p>
    <w:p>
      <w:pPr>
        <w:pStyle w:val="BodyText"/>
        <w:spacing w:before="28"/>
        <w:ind w:left="1702" w:right="1099"/>
      </w:pPr>
      <w:r>
        <w:rPr/>
        <w:t>The</w:t>
      </w:r>
      <w:r>
        <w:rPr>
          <w:spacing w:val="-4"/>
        </w:rPr>
        <w:t> </w:t>
      </w:r>
      <w:r>
        <w:rPr/>
        <w:t>Centre</w:t>
      </w:r>
      <w:r>
        <w:rPr>
          <w:spacing w:val="-1"/>
        </w:rPr>
        <w:t> </w:t>
      </w:r>
      <w:r>
        <w:rPr/>
        <w:t>brought</w:t>
      </w:r>
      <w:r>
        <w:rPr>
          <w:spacing w:val="-4"/>
        </w:rPr>
        <w:t> </w:t>
      </w:r>
      <w:r>
        <w:rPr/>
        <w:t>together</w:t>
      </w:r>
      <w:r>
        <w:rPr>
          <w:spacing w:val="-4"/>
        </w:rPr>
        <w:t> </w:t>
      </w:r>
      <w:r>
        <w:rPr/>
        <w:t>20</w:t>
      </w:r>
      <w:r>
        <w:rPr>
          <w:spacing w:val="-4"/>
        </w:rPr>
        <w:t> </w:t>
      </w:r>
      <w:r>
        <w:rPr/>
        <w:t>academics</w:t>
      </w:r>
      <w:r>
        <w:rPr>
          <w:spacing w:val="-4"/>
        </w:rPr>
        <w:t> </w:t>
      </w:r>
      <w:r>
        <w:rPr/>
        <w:t>for</w:t>
      </w:r>
      <w:r>
        <w:rPr>
          <w:spacing w:val="-4"/>
        </w:rPr>
        <w:t> </w:t>
      </w:r>
      <w:r>
        <w:rPr/>
        <w:t>a</w:t>
      </w:r>
      <w:r>
        <w:rPr>
          <w:spacing w:val="-4"/>
        </w:rPr>
        <w:t> </w:t>
      </w:r>
      <w:r>
        <w:rPr/>
        <w:t>workshop</w:t>
      </w:r>
      <w:r>
        <w:rPr>
          <w:spacing w:val="-4"/>
        </w:rPr>
        <w:t> </w:t>
      </w:r>
      <w:r>
        <w:rPr/>
        <w:t>on</w:t>
      </w:r>
      <w:r>
        <w:rPr>
          <w:spacing w:val="-4"/>
        </w:rPr>
        <w:t> </w:t>
      </w:r>
      <w:r>
        <w:rPr/>
        <w:t>improving the focus on Universal Design in third level institutions. This followed a team visit to Dundalk Institute of Technology to meet staff from the School of Informatics and Creative Arts. The Institute has already embedded Universal Design within a number of ICT courses across the four year curriculum.</w:t>
      </w:r>
    </w:p>
    <w:p>
      <w:pPr>
        <w:pStyle w:val="BodyText"/>
        <w:spacing w:before="240"/>
        <w:ind w:left="1702" w:right="1099"/>
      </w:pPr>
      <w:r>
        <w:rPr/>
        <w:t>Attendees at the workshop came from a range of universities and Institutes of Technology, with strong representation from the ICT and Products and Services sectors. The feedback received focused on examples</w:t>
      </w:r>
      <w:r>
        <w:rPr>
          <w:spacing w:val="-4"/>
        </w:rPr>
        <w:t> </w:t>
      </w:r>
      <w:r>
        <w:rPr/>
        <w:t>of</w:t>
      </w:r>
      <w:r>
        <w:rPr>
          <w:spacing w:val="-5"/>
        </w:rPr>
        <w:t> </w:t>
      </w:r>
      <w:r>
        <w:rPr/>
        <w:t>Universal</w:t>
      </w:r>
      <w:r>
        <w:rPr>
          <w:spacing w:val="-2"/>
        </w:rPr>
        <w:t> </w:t>
      </w:r>
      <w:r>
        <w:rPr/>
        <w:t>Design</w:t>
      </w:r>
      <w:r>
        <w:rPr>
          <w:spacing w:val="-5"/>
        </w:rPr>
        <w:t> </w:t>
      </w:r>
      <w:r>
        <w:rPr/>
        <w:t>in</w:t>
      </w:r>
      <w:r>
        <w:rPr>
          <w:spacing w:val="-5"/>
        </w:rPr>
        <w:t> </w:t>
      </w:r>
      <w:r>
        <w:rPr/>
        <w:t>practice</w:t>
      </w:r>
      <w:r>
        <w:rPr>
          <w:spacing w:val="-5"/>
        </w:rPr>
        <w:t> </w:t>
      </w:r>
      <w:r>
        <w:rPr/>
        <w:t>and</w:t>
      </w:r>
      <w:r>
        <w:rPr>
          <w:spacing w:val="-3"/>
        </w:rPr>
        <w:t> </w:t>
      </w:r>
      <w:r>
        <w:rPr/>
        <w:t>how</w:t>
      </w:r>
      <w:r>
        <w:rPr>
          <w:spacing w:val="-4"/>
        </w:rPr>
        <w:t> </w:t>
      </w:r>
      <w:r>
        <w:rPr/>
        <w:t>it</w:t>
      </w:r>
      <w:r>
        <w:rPr>
          <w:spacing w:val="-4"/>
        </w:rPr>
        <w:t> </w:t>
      </w:r>
      <w:r>
        <w:rPr/>
        <w:t>has</w:t>
      </w:r>
      <w:r>
        <w:rPr>
          <w:spacing w:val="-5"/>
        </w:rPr>
        <w:t> </w:t>
      </w:r>
      <w:r>
        <w:rPr/>
        <w:t>been</w:t>
      </w:r>
      <w:r>
        <w:rPr>
          <w:spacing w:val="-5"/>
        </w:rPr>
        <w:t> </w:t>
      </w:r>
      <w:r>
        <w:rPr/>
        <w:t>integrated into various curricula. Further work will continue in 2018.</w:t>
      </w:r>
    </w:p>
    <w:p>
      <w:pPr>
        <w:pStyle w:val="Heading5"/>
        <w:spacing w:before="253"/>
        <w:ind w:right="988"/>
        <w:rPr>
          <w:rFonts w:ascii="Rockwell"/>
        </w:rPr>
      </w:pPr>
      <w:r>
        <w:rPr>
          <w:rFonts w:ascii="Rockwell"/>
          <w:color w:val="BE2195"/>
        </w:rPr>
        <w:t>Presentations</w:t>
      </w:r>
      <w:r>
        <w:rPr>
          <w:rFonts w:ascii="Rockwell"/>
          <w:color w:val="BE2195"/>
          <w:spacing w:val="-6"/>
        </w:rPr>
        <w:t> </w:t>
      </w:r>
      <w:r>
        <w:rPr>
          <w:rFonts w:ascii="Rockwell"/>
          <w:color w:val="BE2195"/>
        </w:rPr>
        <w:t>given</w:t>
      </w:r>
      <w:r>
        <w:rPr>
          <w:rFonts w:ascii="Rockwell"/>
          <w:color w:val="BE2195"/>
          <w:spacing w:val="-5"/>
        </w:rPr>
        <w:t> </w:t>
      </w:r>
      <w:r>
        <w:rPr>
          <w:rFonts w:ascii="Rockwell"/>
          <w:color w:val="BE2195"/>
        </w:rPr>
        <w:t>by</w:t>
      </w:r>
      <w:r>
        <w:rPr>
          <w:rFonts w:ascii="Rockwell"/>
          <w:color w:val="BE2195"/>
          <w:spacing w:val="-6"/>
        </w:rPr>
        <w:t> </w:t>
      </w:r>
      <w:r>
        <w:rPr>
          <w:rFonts w:ascii="Rockwell"/>
          <w:color w:val="BE2195"/>
        </w:rPr>
        <w:t>the</w:t>
      </w:r>
      <w:r>
        <w:rPr>
          <w:rFonts w:ascii="Rockwell"/>
          <w:color w:val="BE2195"/>
          <w:spacing w:val="-6"/>
        </w:rPr>
        <w:t> </w:t>
      </w:r>
      <w:r>
        <w:rPr>
          <w:rFonts w:ascii="Rockwell"/>
          <w:color w:val="BE2195"/>
        </w:rPr>
        <w:t>Centre</w:t>
      </w:r>
      <w:r>
        <w:rPr>
          <w:rFonts w:ascii="Rockwell"/>
          <w:color w:val="BE2195"/>
          <w:spacing w:val="-6"/>
        </w:rPr>
        <w:t> </w:t>
      </w:r>
      <w:r>
        <w:rPr>
          <w:rFonts w:ascii="Rockwell"/>
          <w:color w:val="BE2195"/>
        </w:rPr>
        <w:t>across</w:t>
      </w:r>
      <w:r>
        <w:rPr>
          <w:rFonts w:ascii="Rockwell"/>
          <w:color w:val="BE2195"/>
          <w:spacing w:val="-6"/>
        </w:rPr>
        <w:t> </w:t>
      </w:r>
      <w:r>
        <w:rPr>
          <w:rFonts w:ascii="Rockwell"/>
          <w:color w:val="BE2195"/>
        </w:rPr>
        <w:t>higher</w:t>
      </w:r>
      <w:r>
        <w:rPr>
          <w:rFonts w:ascii="Rockwell"/>
          <w:color w:val="BE2195"/>
          <w:spacing w:val="-6"/>
        </w:rPr>
        <w:t> </w:t>
      </w:r>
      <w:r>
        <w:rPr>
          <w:rFonts w:ascii="Rockwell"/>
          <w:color w:val="BE2195"/>
        </w:rPr>
        <w:t>education in </w:t>
      </w:r>
      <w:r>
        <w:rPr>
          <w:rFonts w:ascii="Rockwell"/>
          <w:color w:val="BE2195"/>
          <w:spacing w:val="-2"/>
        </w:rPr>
        <w:t>2017:</w:t>
      </w:r>
    </w:p>
    <w:p>
      <w:pPr>
        <w:pStyle w:val="BodyText"/>
        <w:spacing w:before="27"/>
        <w:ind w:left="1702" w:right="988"/>
      </w:pPr>
      <w:r>
        <w:rPr/>
        <w:t>Key</w:t>
      </w:r>
      <w:r>
        <w:rPr>
          <w:spacing w:val="-5"/>
        </w:rPr>
        <w:t> </w:t>
      </w:r>
      <w:r>
        <w:rPr/>
        <w:t>work</w:t>
      </w:r>
      <w:r>
        <w:rPr>
          <w:spacing w:val="-4"/>
        </w:rPr>
        <w:t> </w:t>
      </w:r>
      <w:r>
        <w:rPr/>
        <w:t>in</w:t>
      </w:r>
      <w:r>
        <w:rPr>
          <w:spacing w:val="-5"/>
        </w:rPr>
        <w:t> </w:t>
      </w:r>
      <w:r>
        <w:rPr/>
        <w:t>engagement</w:t>
      </w:r>
      <w:r>
        <w:rPr>
          <w:spacing w:val="-5"/>
        </w:rPr>
        <w:t> </w:t>
      </w:r>
      <w:r>
        <w:rPr/>
        <w:t>with</w:t>
      </w:r>
      <w:r>
        <w:rPr>
          <w:spacing w:val="-5"/>
        </w:rPr>
        <w:t> </w:t>
      </w:r>
      <w:r>
        <w:rPr/>
        <w:t>3</w:t>
      </w:r>
      <w:r>
        <w:rPr>
          <w:vertAlign w:val="superscript"/>
        </w:rPr>
        <w:t>rd</w:t>
      </w:r>
      <w:r>
        <w:rPr>
          <w:spacing w:val="-5"/>
          <w:vertAlign w:val="baseline"/>
        </w:rPr>
        <w:t> </w:t>
      </w:r>
      <w:r>
        <w:rPr>
          <w:vertAlign w:val="baseline"/>
        </w:rPr>
        <w:t>level</w:t>
      </w:r>
      <w:r>
        <w:rPr>
          <w:spacing w:val="-4"/>
          <w:vertAlign w:val="baseline"/>
        </w:rPr>
        <w:t> </w:t>
      </w:r>
      <w:r>
        <w:rPr>
          <w:vertAlign w:val="baseline"/>
        </w:rPr>
        <w:t>institutions</w:t>
      </w:r>
      <w:r>
        <w:rPr>
          <w:spacing w:val="-4"/>
          <w:vertAlign w:val="baseline"/>
        </w:rPr>
        <w:t> </w:t>
      </w:r>
      <w:r>
        <w:rPr>
          <w:vertAlign w:val="baseline"/>
        </w:rPr>
        <w:t>involves</w:t>
      </w:r>
      <w:r>
        <w:rPr>
          <w:spacing w:val="-4"/>
          <w:vertAlign w:val="baseline"/>
        </w:rPr>
        <w:t> </w:t>
      </w:r>
      <w:r>
        <w:rPr>
          <w:vertAlign w:val="baseline"/>
        </w:rPr>
        <w:t>the</w:t>
      </w:r>
      <w:r>
        <w:rPr>
          <w:spacing w:val="-5"/>
          <w:vertAlign w:val="baseline"/>
        </w:rPr>
        <w:t> </w:t>
      </w:r>
      <w:r>
        <w:rPr>
          <w:vertAlign w:val="baseline"/>
        </w:rPr>
        <w:t>Centre’s staff giving presentations in collaboration with the lecturers in order to transfer knowledge on Universal Design.</w:t>
      </w:r>
    </w:p>
    <w:p>
      <w:pPr>
        <w:pStyle w:val="ListParagraph"/>
        <w:numPr>
          <w:ilvl w:val="0"/>
          <w:numId w:val="7"/>
        </w:numPr>
        <w:tabs>
          <w:tab w:pos="2422" w:val="left" w:leader="none"/>
        </w:tabs>
        <w:spacing w:line="240" w:lineRule="auto" w:before="240" w:after="0"/>
        <w:ind w:left="2422" w:right="1055" w:hanging="360"/>
        <w:jc w:val="left"/>
        <w:rPr>
          <w:sz w:val="26"/>
        </w:rPr>
      </w:pPr>
      <w:r>
        <w:rPr>
          <w:sz w:val="26"/>
        </w:rPr>
        <w:t>University</w:t>
      </w:r>
      <w:r>
        <w:rPr>
          <w:spacing w:val="-5"/>
          <w:sz w:val="26"/>
        </w:rPr>
        <w:t> </w:t>
      </w:r>
      <w:r>
        <w:rPr>
          <w:sz w:val="26"/>
        </w:rPr>
        <w:t>College</w:t>
      </w:r>
      <w:r>
        <w:rPr>
          <w:spacing w:val="-6"/>
          <w:sz w:val="26"/>
        </w:rPr>
        <w:t> </w:t>
      </w:r>
      <w:r>
        <w:rPr>
          <w:sz w:val="26"/>
        </w:rPr>
        <w:t>Dublin</w:t>
      </w:r>
      <w:r>
        <w:rPr>
          <w:spacing w:val="-6"/>
          <w:sz w:val="26"/>
        </w:rPr>
        <w:t> </w:t>
      </w:r>
      <w:r>
        <w:rPr>
          <w:sz w:val="26"/>
        </w:rPr>
        <w:t>(UCD)</w:t>
      </w:r>
      <w:r>
        <w:rPr>
          <w:spacing w:val="-4"/>
          <w:sz w:val="26"/>
        </w:rPr>
        <w:t> </w:t>
      </w:r>
      <w:r>
        <w:rPr>
          <w:sz w:val="26"/>
        </w:rPr>
        <w:t>to</w:t>
      </w:r>
      <w:r>
        <w:rPr>
          <w:spacing w:val="-6"/>
          <w:sz w:val="26"/>
        </w:rPr>
        <w:t> </w:t>
      </w:r>
      <w:r>
        <w:rPr>
          <w:sz w:val="26"/>
        </w:rPr>
        <w:t>final</w:t>
      </w:r>
      <w:r>
        <w:rPr>
          <w:spacing w:val="-6"/>
          <w:sz w:val="26"/>
        </w:rPr>
        <w:t> </w:t>
      </w:r>
      <w:r>
        <w:rPr>
          <w:sz w:val="26"/>
        </w:rPr>
        <w:t>year</w:t>
      </w:r>
      <w:r>
        <w:rPr>
          <w:spacing w:val="-6"/>
          <w:sz w:val="26"/>
        </w:rPr>
        <w:t> </w:t>
      </w:r>
      <w:r>
        <w:rPr>
          <w:sz w:val="26"/>
        </w:rPr>
        <w:t>Architecture</w:t>
      </w:r>
      <w:r>
        <w:rPr>
          <w:spacing w:val="-4"/>
          <w:sz w:val="26"/>
        </w:rPr>
        <w:t> </w:t>
      </w:r>
      <w:r>
        <w:rPr>
          <w:sz w:val="26"/>
        </w:rPr>
        <w:t>Masters students and Disability Studies Masters students</w:t>
      </w:r>
    </w:p>
    <w:p>
      <w:pPr>
        <w:pStyle w:val="ListParagraph"/>
        <w:spacing w:after="0" w:line="240" w:lineRule="auto"/>
        <w:jc w:val="left"/>
        <w:rPr>
          <w:sz w:val="26"/>
        </w:rPr>
        <w:sectPr>
          <w:pgSz w:w="11910" w:h="16850"/>
          <w:pgMar w:header="0" w:footer="811" w:top="1880" w:bottom="1000" w:left="283" w:right="992"/>
        </w:sectPr>
      </w:pPr>
    </w:p>
    <w:p>
      <w:pPr>
        <w:pStyle w:val="ListParagraph"/>
        <w:numPr>
          <w:ilvl w:val="0"/>
          <w:numId w:val="7"/>
        </w:numPr>
        <w:tabs>
          <w:tab w:pos="2422" w:val="left" w:leader="none"/>
        </w:tabs>
        <w:spacing w:line="240" w:lineRule="auto" w:before="78" w:after="0"/>
        <w:ind w:left="2422" w:right="1089" w:hanging="360"/>
        <w:jc w:val="left"/>
        <w:rPr>
          <w:sz w:val="26"/>
        </w:rPr>
      </w:pPr>
      <w:r>
        <w:rPr>
          <w:sz w:val="26"/>
        </w:rPr>
        <w:t>First year Occupational Therapy students from the Discipline of Occupational</w:t>
      </w:r>
      <w:r>
        <w:rPr>
          <w:spacing w:val="-6"/>
          <w:sz w:val="26"/>
        </w:rPr>
        <w:t> </w:t>
      </w:r>
      <w:r>
        <w:rPr>
          <w:sz w:val="26"/>
        </w:rPr>
        <w:t>Therapy,</w:t>
      </w:r>
      <w:r>
        <w:rPr>
          <w:spacing w:val="-3"/>
          <w:sz w:val="26"/>
        </w:rPr>
        <w:t> </w:t>
      </w:r>
      <w:r>
        <w:rPr>
          <w:sz w:val="26"/>
        </w:rPr>
        <w:t>Trinity</w:t>
      </w:r>
      <w:r>
        <w:rPr>
          <w:spacing w:val="-6"/>
          <w:sz w:val="26"/>
        </w:rPr>
        <w:t> </w:t>
      </w:r>
      <w:r>
        <w:rPr>
          <w:sz w:val="26"/>
        </w:rPr>
        <w:t>Centre</w:t>
      </w:r>
      <w:r>
        <w:rPr>
          <w:spacing w:val="-5"/>
          <w:sz w:val="26"/>
        </w:rPr>
        <w:t> </w:t>
      </w:r>
      <w:r>
        <w:rPr>
          <w:sz w:val="26"/>
        </w:rPr>
        <w:t>for</w:t>
      </w:r>
      <w:r>
        <w:rPr>
          <w:spacing w:val="-6"/>
          <w:sz w:val="26"/>
        </w:rPr>
        <w:t> </w:t>
      </w:r>
      <w:r>
        <w:rPr>
          <w:sz w:val="26"/>
        </w:rPr>
        <w:t>Health</w:t>
      </w:r>
      <w:r>
        <w:rPr>
          <w:spacing w:val="-6"/>
          <w:sz w:val="26"/>
        </w:rPr>
        <w:t> </w:t>
      </w:r>
      <w:r>
        <w:rPr>
          <w:sz w:val="26"/>
        </w:rPr>
        <w:t>Science,</w:t>
      </w:r>
      <w:r>
        <w:rPr>
          <w:spacing w:val="-6"/>
          <w:sz w:val="26"/>
        </w:rPr>
        <w:t> </w:t>
      </w:r>
      <w:r>
        <w:rPr>
          <w:sz w:val="26"/>
        </w:rPr>
        <w:t>St.</w:t>
      </w:r>
      <w:r>
        <w:rPr>
          <w:spacing w:val="-6"/>
          <w:sz w:val="26"/>
        </w:rPr>
        <w:t> </w:t>
      </w:r>
      <w:r>
        <w:rPr>
          <w:sz w:val="26"/>
        </w:rPr>
        <w:t>James' </w:t>
      </w:r>
      <w:r>
        <w:rPr>
          <w:spacing w:val="-2"/>
          <w:sz w:val="26"/>
        </w:rPr>
        <w:t>Hospital.</w:t>
      </w:r>
    </w:p>
    <w:p>
      <w:pPr>
        <w:pStyle w:val="ListParagraph"/>
        <w:numPr>
          <w:ilvl w:val="0"/>
          <w:numId w:val="7"/>
        </w:numPr>
        <w:tabs>
          <w:tab w:pos="2422" w:val="left" w:leader="none"/>
        </w:tabs>
        <w:spacing w:line="240" w:lineRule="auto" w:before="0" w:after="0"/>
        <w:ind w:left="2422" w:right="1244" w:hanging="360"/>
        <w:jc w:val="left"/>
        <w:rPr>
          <w:sz w:val="26"/>
        </w:rPr>
      </w:pPr>
      <w:r>
        <w:rPr>
          <w:sz w:val="26"/>
        </w:rPr>
        <w:t>UCD</w:t>
      </w:r>
      <w:r>
        <w:rPr>
          <w:spacing w:val="-8"/>
          <w:sz w:val="26"/>
        </w:rPr>
        <w:t> </w:t>
      </w:r>
      <w:r>
        <w:rPr>
          <w:sz w:val="26"/>
        </w:rPr>
        <w:t>(University</w:t>
      </w:r>
      <w:r>
        <w:rPr>
          <w:spacing w:val="-8"/>
          <w:sz w:val="26"/>
        </w:rPr>
        <w:t> </w:t>
      </w:r>
      <w:r>
        <w:rPr>
          <w:sz w:val="26"/>
        </w:rPr>
        <w:t>College</w:t>
      </w:r>
      <w:r>
        <w:rPr>
          <w:spacing w:val="-8"/>
          <w:sz w:val="26"/>
        </w:rPr>
        <w:t> </w:t>
      </w:r>
      <w:r>
        <w:rPr>
          <w:sz w:val="26"/>
        </w:rPr>
        <w:t>Dublin)</w:t>
      </w:r>
      <w:r>
        <w:rPr>
          <w:spacing w:val="-8"/>
          <w:sz w:val="26"/>
        </w:rPr>
        <w:t> </w:t>
      </w:r>
      <w:r>
        <w:rPr>
          <w:sz w:val="26"/>
        </w:rPr>
        <w:t>Biomedical</w:t>
      </w:r>
      <w:r>
        <w:rPr>
          <w:spacing w:val="-5"/>
          <w:sz w:val="26"/>
        </w:rPr>
        <w:t> </w:t>
      </w:r>
      <w:r>
        <w:rPr>
          <w:sz w:val="26"/>
        </w:rPr>
        <w:t>Engineering,</w:t>
      </w:r>
      <w:r>
        <w:rPr>
          <w:spacing w:val="-8"/>
          <w:sz w:val="26"/>
        </w:rPr>
        <w:t> </w:t>
      </w:r>
      <w:r>
        <w:rPr>
          <w:sz w:val="26"/>
        </w:rPr>
        <w:t>masters students module on Rehabilitation Engineering with a focus on Assistive Technology and Universal Design.</w:t>
      </w:r>
    </w:p>
    <w:p>
      <w:pPr>
        <w:pStyle w:val="Heading3"/>
        <w:spacing w:before="253"/>
        <w:ind w:right="988"/>
      </w:pPr>
      <w:r>
        <w:rPr>
          <w:color w:val="BE2195"/>
        </w:rPr>
        <w:t>Promote awareness and understanding of Universal</w:t>
      </w:r>
      <w:r>
        <w:rPr>
          <w:color w:val="BE2195"/>
          <w:spacing w:val="-8"/>
        </w:rPr>
        <w:t> </w:t>
      </w:r>
      <w:r>
        <w:rPr>
          <w:color w:val="BE2195"/>
        </w:rPr>
        <w:t>Design</w:t>
      </w:r>
      <w:r>
        <w:rPr>
          <w:color w:val="BE2195"/>
          <w:spacing w:val="-8"/>
        </w:rPr>
        <w:t> </w:t>
      </w:r>
      <w:r>
        <w:rPr>
          <w:color w:val="BE2195"/>
        </w:rPr>
        <w:t>in</w:t>
      </w:r>
      <w:r>
        <w:rPr>
          <w:color w:val="BE2195"/>
          <w:spacing w:val="-8"/>
        </w:rPr>
        <w:t> </w:t>
      </w:r>
      <w:r>
        <w:rPr>
          <w:color w:val="BE2195"/>
        </w:rPr>
        <w:t>the</w:t>
      </w:r>
      <w:r>
        <w:rPr>
          <w:color w:val="BE2195"/>
          <w:spacing w:val="-9"/>
        </w:rPr>
        <w:t> </w:t>
      </w:r>
      <w:r>
        <w:rPr>
          <w:color w:val="BE2195"/>
        </w:rPr>
        <w:t>built</w:t>
      </w:r>
      <w:r>
        <w:rPr>
          <w:color w:val="BE2195"/>
          <w:spacing w:val="-7"/>
        </w:rPr>
        <w:t> </w:t>
      </w:r>
      <w:r>
        <w:rPr>
          <w:color w:val="BE2195"/>
        </w:rPr>
        <w:t>environment, products, services, and information and communication technologies</w:t>
      </w:r>
    </w:p>
    <w:p>
      <w:pPr>
        <w:pStyle w:val="BodyText"/>
        <w:spacing w:before="91"/>
        <w:rPr>
          <w:rFonts w:ascii="Rockwell"/>
          <w:b/>
          <w:sz w:val="32"/>
        </w:rPr>
      </w:pPr>
    </w:p>
    <w:p>
      <w:pPr>
        <w:pStyle w:val="Heading5"/>
        <w:rPr>
          <w:rFonts w:ascii="Rockwell"/>
        </w:rPr>
      </w:pPr>
      <w:r>
        <w:rPr>
          <w:rFonts w:ascii="Rockwell"/>
          <w:color w:val="BE2195"/>
        </w:rPr>
        <w:t>Universal</w:t>
      </w:r>
      <w:r>
        <w:rPr>
          <w:rFonts w:ascii="Rockwell"/>
          <w:color w:val="BE2195"/>
          <w:spacing w:val="-12"/>
        </w:rPr>
        <w:t> </w:t>
      </w:r>
      <w:r>
        <w:rPr>
          <w:rFonts w:ascii="Rockwell"/>
          <w:color w:val="BE2195"/>
        </w:rPr>
        <w:t>Design</w:t>
      </w:r>
      <w:r>
        <w:rPr>
          <w:rFonts w:ascii="Rockwell"/>
          <w:color w:val="BE2195"/>
          <w:spacing w:val="-10"/>
        </w:rPr>
        <w:t> </w:t>
      </w:r>
      <w:r>
        <w:rPr>
          <w:rFonts w:ascii="Rockwell"/>
          <w:color w:val="BE2195"/>
        </w:rPr>
        <w:t>Grand</w:t>
      </w:r>
      <w:r>
        <w:rPr>
          <w:rFonts w:ascii="Rockwell"/>
          <w:color w:val="BE2195"/>
          <w:spacing w:val="-11"/>
        </w:rPr>
        <w:t> </w:t>
      </w:r>
      <w:r>
        <w:rPr>
          <w:rFonts w:ascii="Rockwell"/>
          <w:color w:val="BE2195"/>
        </w:rPr>
        <w:t>Challenge</w:t>
      </w:r>
      <w:r>
        <w:rPr>
          <w:rFonts w:ascii="Rockwell"/>
          <w:color w:val="BE2195"/>
          <w:spacing w:val="-12"/>
        </w:rPr>
        <w:t> </w:t>
      </w:r>
      <w:r>
        <w:rPr>
          <w:rFonts w:ascii="Rockwell"/>
          <w:color w:val="BE2195"/>
          <w:spacing w:val="-4"/>
        </w:rPr>
        <w:t>2017</w:t>
      </w:r>
    </w:p>
    <w:p>
      <w:pPr>
        <w:pStyle w:val="BodyText"/>
        <w:spacing w:before="26"/>
        <w:ind w:left="1702" w:right="988"/>
      </w:pPr>
      <w:r>
        <w:rPr/>
        <w:t>As in previous years, the Universal Design Grand Challenge for 2017 featured three separate award categories for Technology, Built Environment and Products and Services, which served to attract a higher number</w:t>
      </w:r>
      <w:r>
        <w:rPr>
          <w:spacing w:val="-4"/>
        </w:rPr>
        <w:t> </w:t>
      </w:r>
      <w:r>
        <w:rPr/>
        <w:t>of</w:t>
      </w:r>
      <w:r>
        <w:rPr>
          <w:spacing w:val="-4"/>
        </w:rPr>
        <w:t> </w:t>
      </w:r>
      <w:r>
        <w:rPr/>
        <w:t>high</w:t>
      </w:r>
      <w:r>
        <w:rPr>
          <w:spacing w:val="-2"/>
        </w:rPr>
        <w:t> </w:t>
      </w:r>
      <w:r>
        <w:rPr/>
        <w:t>quality</w:t>
      </w:r>
      <w:r>
        <w:rPr>
          <w:spacing w:val="-2"/>
        </w:rPr>
        <w:t> </w:t>
      </w:r>
      <w:r>
        <w:rPr/>
        <w:t>entries.</w:t>
      </w:r>
      <w:r>
        <w:rPr>
          <w:spacing w:val="-3"/>
        </w:rPr>
        <w:t> </w:t>
      </w:r>
      <w:r>
        <w:rPr/>
        <w:t>The</w:t>
      </w:r>
      <w:r>
        <w:rPr>
          <w:spacing w:val="-4"/>
        </w:rPr>
        <w:t> </w:t>
      </w:r>
      <w:r>
        <w:rPr/>
        <w:t>UDGC</w:t>
      </w:r>
      <w:r>
        <w:rPr>
          <w:spacing w:val="-5"/>
        </w:rPr>
        <w:t> </w:t>
      </w:r>
      <w:r>
        <w:rPr/>
        <w:t>event</w:t>
      </w:r>
      <w:r>
        <w:rPr>
          <w:spacing w:val="-4"/>
        </w:rPr>
        <w:t> </w:t>
      </w:r>
      <w:r>
        <w:rPr/>
        <w:t>took</w:t>
      </w:r>
      <w:r>
        <w:rPr>
          <w:spacing w:val="-4"/>
        </w:rPr>
        <w:t> </w:t>
      </w:r>
      <w:r>
        <w:rPr/>
        <w:t>place</w:t>
      </w:r>
      <w:r>
        <w:rPr>
          <w:spacing w:val="-4"/>
        </w:rPr>
        <w:t> </w:t>
      </w:r>
      <w:r>
        <w:rPr/>
        <w:t>at</w:t>
      </w:r>
      <w:r>
        <w:rPr>
          <w:spacing w:val="-4"/>
        </w:rPr>
        <w:t> </w:t>
      </w:r>
      <w:r>
        <w:rPr/>
        <w:t>the Gibson Hotel on 25 May 2017, with over 100 guests from academia and industry. George Boyle, architect and former president of the Institute of Design Ireland gave the keynote address.</w:t>
      </w:r>
    </w:p>
    <w:p>
      <w:pPr>
        <w:pStyle w:val="BodyText"/>
        <w:spacing w:before="242"/>
        <w:ind w:left="1702"/>
      </w:pPr>
      <w:r>
        <w:rPr/>
        <w:t>This</w:t>
      </w:r>
      <w:r>
        <w:rPr>
          <w:spacing w:val="-7"/>
        </w:rPr>
        <w:t> </w:t>
      </w:r>
      <w:r>
        <w:rPr/>
        <w:t>year’s</w:t>
      </w:r>
      <w:r>
        <w:rPr>
          <w:spacing w:val="-6"/>
        </w:rPr>
        <w:t> </w:t>
      </w:r>
      <w:r>
        <w:rPr/>
        <w:t>winners</w:t>
      </w:r>
      <w:r>
        <w:rPr>
          <w:spacing w:val="-6"/>
        </w:rPr>
        <w:t> </w:t>
      </w:r>
      <w:r>
        <w:rPr>
          <w:spacing w:val="-2"/>
        </w:rPr>
        <w:t>were:</w:t>
      </w:r>
    </w:p>
    <w:p>
      <w:pPr>
        <w:pStyle w:val="ListParagraph"/>
        <w:numPr>
          <w:ilvl w:val="0"/>
          <w:numId w:val="7"/>
        </w:numPr>
        <w:tabs>
          <w:tab w:pos="2422" w:val="left" w:leader="none"/>
        </w:tabs>
        <w:spacing w:line="240" w:lineRule="auto" w:before="237" w:after="0"/>
        <w:ind w:left="2422" w:right="1027" w:hanging="360"/>
        <w:jc w:val="left"/>
        <w:rPr>
          <w:sz w:val="26"/>
        </w:rPr>
      </w:pPr>
      <w:r>
        <w:rPr>
          <w:sz w:val="26"/>
        </w:rPr>
        <w:t>Aine O’Reilly from University of Limerick won the “Judges Choice Award”</w:t>
      </w:r>
      <w:r>
        <w:rPr>
          <w:spacing w:val="-7"/>
          <w:sz w:val="26"/>
        </w:rPr>
        <w:t> </w:t>
      </w:r>
      <w:r>
        <w:rPr>
          <w:sz w:val="26"/>
        </w:rPr>
        <w:t>for</w:t>
      </w:r>
      <w:r>
        <w:rPr>
          <w:spacing w:val="-6"/>
          <w:sz w:val="26"/>
        </w:rPr>
        <w:t> </w:t>
      </w:r>
      <w:r>
        <w:rPr>
          <w:sz w:val="26"/>
        </w:rPr>
        <w:t>Information</w:t>
      </w:r>
      <w:r>
        <w:rPr>
          <w:spacing w:val="-7"/>
          <w:sz w:val="26"/>
        </w:rPr>
        <w:t> </w:t>
      </w:r>
      <w:r>
        <w:rPr>
          <w:sz w:val="26"/>
        </w:rPr>
        <w:t>and</w:t>
      </w:r>
      <w:r>
        <w:rPr>
          <w:spacing w:val="-5"/>
          <w:sz w:val="26"/>
        </w:rPr>
        <w:t> </w:t>
      </w:r>
      <w:r>
        <w:rPr>
          <w:sz w:val="26"/>
        </w:rPr>
        <w:t>Communication</w:t>
      </w:r>
      <w:r>
        <w:rPr>
          <w:spacing w:val="-5"/>
          <w:sz w:val="26"/>
        </w:rPr>
        <w:t> </w:t>
      </w:r>
      <w:r>
        <w:rPr>
          <w:sz w:val="26"/>
        </w:rPr>
        <w:t>Technology</w:t>
      </w:r>
      <w:r>
        <w:rPr>
          <w:spacing w:val="-8"/>
          <w:sz w:val="26"/>
        </w:rPr>
        <w:t> </w:t>
      </w:r>
      <w:r>
        <w:rPr>
          <w:sz w:val="26"/>
        </w:rPr>
        <w:t>for</w:t>
      </w:r>
      <w:r>
        <w:rPr>
          <w:spacing w:val="-7"/>
          <w:sz w:val="26"/>
        </w:rPr>
        <w:t> </w:t>
      </w:r>
      <w:r>
        <w:rPr>
          <w:sz w:val="26"/>
        </w:rPr>
        <w:t>“Zobi” – a new design of hardware and software that allows children with diabetes to monitor their own blood sugar levels.</w:t>
      </w:r>
    </w:p>
    <w:p>
      <w:pPr>
        <w:pStyle w:val="ListParagraph"/>
        <w:numPr>
          <w:ilvl w:val="0"/>
          <w:numId w:val="7"/>
        </w:numPr>
        <w:tabs>
          <w:tab w:pos="2422" w:val="left" w:leader="none"/>
        </w:tabs>
        <w:spacing w:line="240" w:lineRule="auto" w:before="1" w:after="0"/>
        <w:ind w:left="2422" w:right="1207" w:hanging="360"/>
        <w:jc w:val="left"/>
        <w:rPr>
          <w:sz w:val="26"/>
        </w:rPr>
      </w:pPr>
      <w:r>
        <w:rPr>
          <w:sz w:val="26"/>
        </w:rPr>
        <w:t>Sarah</w:t>
      </w:r>
      <w:r>
        <w:rPr>
          <w:spacing w:val="-3"/>
          <w:sz w:val="26"/>
        </w:rPr>
        <w:t> </w:t>
      </w:r>
      <w:r>
        <w:rPr>
          <w:sz w:val="26"/>
        </w:rPr>
        <w:t>Twaddle</w:t>
      </w:r>
      <w:r>
        <w:rPr>
          <w:spacing w:val="-4"/>
          <w:sz w:val="26"/>
        </w:rPr>
        <w:t> </w:t>
      </w:r>
      <w:r>
        <w:rPr>
          <w:sz w:val="26"/>
        </w:rPr>
        <w:t>and</w:t>
      </w:r>
      <w:r>
        <w:rPr>
          <w:spacing w:val="-5"/>
          <w:sz w:val="26"/>
        </w:rPr>
        <w:t> </w:t>
      </w:r>
      <w:r>
        <w:rPr>
          <w:sz w:val="26"/>
        </w:rPr>
        <w:t>Megan</w:t>
      </w:r>
      <w:r>
        <w:rPr>
          <w:spacing w:val="-5"/>
          <w:sz w:val="26"/>
        </w:rPr>
        <w:t> </w:t>
      </w:r>
      <w:r>
        <w:rPr>
          <w:sz w:val="26"/>
        </w:rPr>
        <w:t>Sands</w:t>
      </w:r>
      <w:r>
        <w:rPr>
          <w:spacing w:val="-4"/>
          <w:sz w:val="26"/>
        </w:rPr>
        <w:t> </w:t>
      </w:r>
      <w:r>
        <w:rPr>
          <w:sz w:val="26"/>
        </w:rPr>
        <w:t>from</w:t>
      </w:r>
      <w:r>
        <w:rPr>
          <w:spacing w:val="-3"/>
          <w:sz w:val="26"/>
        </w:rPr>
        <w:t> </w:t>
      </w:r>
      <w:r>
        <w:rPr>
          <w:sz w:val="26"/>
        </w:rPr>
        <w:t>National</w:t>
      </w:r>
      <w:r>
        <w:rPr>
          <w:spacing w:val="-5"/>
          <w:sz w:val="26"/>
        </w:rPr>
        <w:t> </w:t>
      </w:r>
      <w:r>
        <w:rPr>
          <w:sz w:val="26"/>
        </w:rPr>
        <w:t>College</w:t>
      </w:r>
      <w:r>
        <w:rPr>
          <w:spacing w:val="-4"/>
          <w:sz w:val="26"/>
        </w:rPr>
        <w:t> </w:t>
      </w:r>
      <w:r>
        <w:rPr>
          <w:sz w:val="26"/>
        </w:rPr>
        <w:t>of Art</w:t>
      </w:r>
      <w:r>
        <w:rPr>
          <w:spacing w:val="-5"/>
          <w:sz w:val="26"/>
        </w:rPr>
        <w:t> </w:t>
      </w:r>
      <w:r>
        <w:rPr>
          <w:sz w:val="26"/>
        </w:rPr>
        <w:t>and Design</w:t>
      </w:r>
      <w:r>
        <w:rPr>
          <w:spacing w:val="-4"/>
          <w:sz w:val="26"/>
        </w:rPr>
        <w:t> </w:t>
      </w:r>
      <w:r>
        <w:rPr>
          <w:sz w:val="26"/>
        </w:rPr>
        <w:t>won</w:t>
      </w:r>
      <w:r>
        <w:rPr>
          <w:spacing w:val="-4"/>
          <w:sz w:val="26"/>
        </w:rPr>
        <w:t> </w:t>
      </w:r>
      <w:r>
        <w:rPr>
          <w:sz w:val="26"/>
        </w:rPr>
        <w:t>the</w:t>
      </w:r>
      <w:r>
        <w:rPr>
          <w:spacing w:val="-4"/>
          <w:sz w:val="26"/>
        </w:rPr>
        <w:t> </w:t>
      </w:r>
      <w:r>
        <w:rPr>
          <w:sz w:val="26"/>
        </w:rPr>
        <w:t>“Judges</w:t>
      </w:r>
      <w:r>
        <w:rPr>
          <w:spacing w:val="-4"/>
          <w:sz w:val="26"/>
        </w:rPr>
        <w:t> </w:t>
      </w:r>
      <w:r>
        <w:rPr>
          <w:sz w:val="26"/>
        </w:rPr>
        <w:t>Choice</w:t>
      </w:r>
      <w:r>
        <w:rPr>
          <w:spacing w:val="-4"/>
          <w:sz w:val="26"/>
        </w:rPr>
        <w:t> </w:t>
      </w:r>
      <w:r>
        <w:rPr>
          <w:sz w:val="26"/>
        </w:rPr>
        <w:t>Award</w:t>
      </w:r>
      <w:r>
        <w:rPr>
          <w:spacing w:val="-4"/>
          <w:sz w:val="26"/>
        </w:rPr>
        <w:t> </w:t>
      </w:r>
      <w:r>
        <w:rPr>
          <w:sz w:val="26"/>
        </w:rPr>
        <w:t>for</w:t>
      </w:r>
      <w:r>
        <w:rPr>
          <w:spacing w:val="-4"/>
          <w:sz w:val="26"/>
        </w:rPr>
        <w:t> </w:t>
      </w:r>
      <w:r>
        <w:rPr>
          <w:sz w:val="26"/>
        </w:rPr>
        <w:t>Products</w:t>
      </w:r>
      <w:r>
        <w:rPr>
          <w:spacing w:val="-4"/>
          <w:sz w:val="26"/>
        </w:rPr>
        <w:t> </w:t>
      </w:r>
      <w:r>
        <w:rPr>
          <w:sz w:val="26"/>
        </w:rPr>
        <w:t>and</w:t>
      </w:r>
      <w:r>
        <w:rPr>
          <w:spacing w:val="-3"/>
          <w:sz w:val="26"/>
        </w:rPr>
        <w:t> </w:t>
      </w:r>
      <w:r>
        <w:rPr>
          <w:sz w:val="26"/>
        </w:rPr>
        <w:t>Services” for</w:t>
      </w:r>
      <w:r>
        <w:rPr>
          <w:spacing w:val="-1"/>
          <w:sz w:val="26"/>
        </w:rPr>
        <w:t> </w:t>
      </w:r>
      <w:r>
        <w:rPr>
          <w:sz w:val="26"/>
        </w:rPr>
        <w:t>“Positive</w:t>
      </w:r>
      <w:r>
        <w:rPr>
          <w:spacing w:val="-1"/>
          <w:sz w:val="26"/>
        </w:rPr>
        <w:t> </w:t>
      </w:r>
      <w:r>
        <w:rPr>
          <w:sz w:val="26"/>
        </w:rPr>
        <w:t>Future+” -</w:t>
      </w:r>
      <w:r>
        <w:rPr>
          <w:spacing w:val="-1"/>
          <w:sz w:val="26"/>
        </w:rPr>
        <w:t> </w:t>
      </w:r>
      <w:r>
        <w:rPr>
          <w:sz w:val="26"/>
        </w:rPr>
        <w:t>an</w:t>
      </w:r>
      <w:r>
        <w:rPr>
          <w:spacing w:val="-1"/>
          <w:sz w:val="26"/>
        </w:rPr>
        <w:t> </w:t>
      </w:r>
      <w:r>
        <w:rPr>
          <w:sz w:val="26"/>
        </w:rPr>
        <w:t>innovative packaging</w:t>
      </w:r>
      <w:r>
        <w:rPr>
          <w:spacing w:val="-1"/>
          <w:sz w:val="26"/>
        </w:rPr>
        <w:t> </w:t>
      </w:r>
      <w:r>
        <w:rPr>
          <w:sz w:val="26"/>
        </w:rPr>
        <w:t>design,</w:t>
      </w:r>
      <w:r>
        <w:rPr>
          <w:spacing w:val="-1"/>
          <w:sz w:val="26"/>
        </w:rPr>
        <w:t> </w:t>
      </w:r>
      <w:r>
        <w:rPr>
          <w:sz w:val="26"/>
        </w:rPr>
        <w:t>awareness campaign and mobile network support system for anti-retroviral medication in Sub Saharan Africa.</w:t>
      </w:r>
    </w:p>
    <w:p>
      <w:pPr>
        <w:pStyle w:val="ListParagraph"/>
        <w:numPr>
          <w:ilvl w:val="0"/>
          <w:numId w:val="7"/>
        </w:numPr>
        <w:tabs>
          <w:tab w:pos="2422" w:val="left" w:leader="none"/>
        </w:tabs>
        <w:spacing w:line="240" w:lineRule="auto" w:before="2" w:after="0"/>
        <w:ind w:left="2422" w:right="1507" w:hanging="360"/>
        <w:jc w:val="left"/>
        <w:rPr>
          <w:sz w:val="26"/>
        </w:rPr>
      </w:pPr>
      <w:r>
        <w:rPr>
          <w:sz w:val="26"/>
        </w:rPr>
        <w:t>Cormac</w:t>
      </w:r>
      <w:r>
        <w:rPr>
          <w:spacing w:val="-6"/>
          <w:sz w:val="26"/>
        </w:rPr>
        <w:t> </w:t>
      </w:r>
      <w:r>
        <w:rPr>
          <w:sz w:val="26"/>
        </w:rPr>
        <w:t>Altman,</w:t>
      </w:r>
      <w:r>
        <w:rPr>
          <w:spacing w:val="-6"/>
          <w:sz w:val="26"/>
        </w:rPr>
        <w:t> </w:t>
      </w:r>
      <w:r>
        <w:rPr>
          <w:sz w:val="26"/>
        </w:rPr>
        <w:t>Ross</w:t>
      </w:r>
      <w:r>
        <w:rPr>
          <w:spacing w:val="-5"/>
          <w:sz w:val="26"/>
        </w:rPr>
        <w:t> </w:t>
      </w:r>
      <w:r>
        <w:rPr>
          <w:sz w:val="26"/>
        </w:rPr>
        <w:t>Delaney,</w:t>
      </w:r>
      <w:r>
        <w:rPr>
          <w:spacing w:val="-6"/>
          <w:sz w:val="26"/>
        </w:rPr>
        <w:t> </w:t>
      </w:r>
      <w:r>
        <w:rPr>
          <w:sz w:val="26"/>
        </w:rPr>
        <w:t>Ciaran</w:t>
      </w:r>
      <w:r>
        <w:rPr>
          <w:spacing w:val="-6"/>
          <w:sz w:val="26"/>
        </w:rPr>
        <w:t> </w:t>
      </w:r>
      <w:r>
        <w:rPr>
          <w:sz w:val="26"/>
        </w:rPr>
        <w:t>Sullivan</w:t>
      </w:r>
      <w:r>
        <w:rPr>
          <w:spacing w:val="-6"/>
          <w:sz w:val="26"/>
        </w:rPr>
        <w:t> </w:t>
      </w:r>
      <w:r>
        <w:rPr>
          <w:sz w:val="26"/>
        </w:rPr>
        <w:t>and</w:t>
      </w:r>
      <w:r>
        <w:rPr>
          <w:spacing w:val="-6"/>
          <w:sz w:val="26"/>
        </w:rPr>
        <w:t> </w:t>
      </w:r>
      <w:r>
        <w:rPr>
          <w:sz w:val="26"/>
        </w:rPr>
        <w:t>Will</w:t>
      </w:r>
      <w:r>
        <w:rPr>
          <w:spacing w:val="-5"/>
          <w:sz w:val="26"/>
        </w:rPr>
        <w:t> </w:t>
      </w:r>
      <w:r>
        <w:rPr>
          <w:sz w:val="26"/>
        </w:rPr>
        <w:t>D’Arcy from Dublin Institute of Technology won the “People’s Choice</w:t>
      </w:r>
    </w:p>
    <w:p>
      <w:pPr>
        <w:pStyle w:val="BodyText"/>
        <w:ind w:left="2422" w:right="988"/>
      </w:pPr>
      <w:r>
        <w:rPr/>
        <w:t>award”</w:t>
      </w:r>
      <w:r>
        <w:rPr>
          <w:spacing w:val="-5"/>
        </w:rPr>
        <w:t> </w:t>
      </w:r>
      <w:r>
        <w:rPr/>
        <w:t>for</w:t>
      </w:r>
      <w:r>
        <w:rPr>
          <w:spacing w:val="-4"/>
        </w:rPr>
        <w:t> </w:t>
      </w:r>
      <w:r>
        <w:rPr/>
        <w:t>Odee</w:t>
      </w:r>
      <w:r>
        <w:rPr>
          <w:spacing w:val="-2"/>
        </w:rPr>
        <w:t> </w:t>
      </w:r>
      <w:r>
        <w:rPr/>
        <w:t>Smart</w:t>
      </w:r>
      <w:r>
        <w:rPr>
          <w:spacing w:val="-5"/>
        </w:rPr>
        <w:t> </w:t>
      </w:r>
      <w:r>
        <w:rPr/>
        <w:t>Hub</w:t>
      </w:r>
      <w:r>
        <w:rPr>
          <w:spacing w:val="-2"/>
        </w:rPr>
        <w:t> </w:t>
      </w:r>
      <w:r>
        <w:rPr/>
        <w:t>–</w:t>
      </w:r>
      <w:r>
        <w:rPr>
          <w:spacing w:val="-5"/>
        </w:rPr>
        <w:t> </w:t>
      </w:r>
      <w:r>
        <w:rPr/>
        <w:t>a</w:t>
      </w:r>
      <w:r>
        <w:rPr>
          <w:spacing w:val="-3"/>
        </w:rPr>
        <w:t> </w:t>
      </w:r>
      <w:r>
        <w:rPr/>
        <w:t>monitoring</w:t>
      </w:r>
      <w:r>
        <w:rPr>
          <w:spacing w:val="-5"/>
        </w:rPr>
        <w:t> </w:t>
      </w:r>
      <w:r>
        <w:rPr/>
        <w:t>hub</w:t>
      </w:r>
      <w:r>
        <w:rPr>
          <w:spacing w:val="-5"/>
        </w:rPr>
        <w:t> </w:t>
      </w:r>
      <w:r>
        <w:rPr/>
        <w:t>to</w:t>
      </w:r>
      <w:r>
        <w:rPr>
          <w:spacing w:val="-4"/>
        </w:rPr>
        <w:t> </w:t>
      </w:r>
      <w:r>
        <w:rPr/>
        <w:t>support</w:t>
      </w:r>
      <w:r>
        <w:rPr>
          <w:spacing w:val="-5"/>
        </w:rPr>
        <w:t> </w:t>
      </w:r>
      <w:r>
        <w:rPr/>
        <w:t>people who are at risk of falling in a non-intrusive manner that respects </w:t>
      </w:r>
      <w:r>
        <w:rPr>
          <w:spacing w:val="-2"/>
        </w:rPr>
        <w:t>privacy.</w:t>
      </w:r>
    </w:p>
    <w:p>
      <w:pPr>
        <w:pStyle w:val="BodyText"/>
        <w:ind w:left="1702" w:right="1019"/>
        <w:jc w:val="both"/>
      </w:pPr>
      <w:r>
        <w:rPr/>
        <w:t>The Enterprise Ireland “Universal Design Commercialisation Award” went to</w:t>
      </w:r>
      <w:r>
        <w:rPr>
          <w:spacing w:val="-4"/>
        </w:rPr>
        <w:t> </w:t>
      </w:r>
      <w:r>
        <w:rPr/>
        <w:t>Fiachra</w:t>
      </w:r>
      <w:r>
        <w:rPr>
          <w:spacing w:val="-5"/>
        </w:rPr>
        <w:t> </w:t>
      </w:r>
      <w:r>
        <w:rPr/>
        <w:t>Doherty,</w:t>
      </w:r>
      <w:r>
        <w:rPr>
          <w:spacing w:val="-3"/>
        </w:rPr>
        <w:t> </w:t>
      </w:r>
      <w:r>
        <w:rPr/>
        <w:t>Clodagh</w:t>
      </w:r>
      <w:r>
        <w:rPr>
          <w:spacing w:val="-5"/>
        </w:rPr>
        <w:t> </w:t>
      </w:r>
      <w:r>
        <w:rPr/>
        <w:t>Dunne,</w:t>
      </w:r>
      <w:r>
        <w:rPr>
          <w:spacing w:val="-4"/>
        </w:rPr>
        <w:t> </w:t>
      </w:r>
      <w:r>
        <w:rPr/>
        <w:t>Conor</w:t>
      </w:r>
      <w:r>
        <w:rPr>
          <w:spacing w:val="-3"/>
        </w:rPr>
        <w:t> </w:t>
      </w:r>
      <w:r>
        <w:rPr/>
        <w:t>Molloy</w:t>
      </w:r>
      <w:r>
        <w:rPr>
          <w:spacing w:val="-5"/>
        </w:rPr>
        <w:t> </w:t>
      </w:r>
      <w:r>
        <w:rPr/>
        <w:t>and</w:t>
      </w:r>
      <w:r>
        <w:rPr>
          <w:spacing w:val="-5"/>
        </w:rPr>
        <w:t> </w:t>
      </w:r>
      <w:r>
        <w:rPr/>
        <w:t>Jamie</w:t>
      </w:r>
      <w:r>
        <w:rPr>
          <w:spacing w:val="-4"/>
        </w:rPr>
        <w:t> </w:t>
      </w:r>
      <w:r>
        <w:rPr/>
        <w:t>Carroll</w:t>
      </w:r>
      <w:r>
        <w:rPr>
          <w:spacing w:val="-4"/>
        </w:rPr>
        <w:t> </w:t>
      </w:r>
      <w:r>
        <w:rPr/>
        <w:t>from University College Dublin for their “PnP Analytics software” solution to</w:t>
      </w:r>
    </w:p>
    <w:p>
      <w:pPr>
        <w:pStyle w:val="BodyText"/>
        <w:spacing w:after="0"/>
        <w:jc w:val="both"/>
        <w:sectPr>
          <w:pgSz w:w="11910" w:h="16850"/>
          <w:pgMar w:header="0" w:footer="811" w:top="1880" w:bottom="1000" w:left="283" w:right="992"/>
        </w:sectPr>
      </w:pPr>
    </w:p>
    <w:p>
      <w:pPr>
        <w:pStyle w:val="BodyText"/>
        <w:spacing w:before="79"/>
        <w:ind w:left="1702" w:right="988"/>
      </w:pPr>
      <w:r>
        <w:rPr/>
        <w:t>use</w:t>
      </w:r>
      <w:r>
        <w:rPr>
          <w:spacing w:val="-3"/>
        </w:rPr>
        <w:t> </w:t>
      </w:r>
      <w:r>
        <w:rPr/>
        <w:t>data</w:t>
      </w:r>
      <w:r>
        <w:rPr>
          <w:spacing w:val="-3"/>
        </w:rPr>
        <w:t> </w:t>
      </w:r>
      <w:r>
        <w:rPr/>
        <w:t>from</w:t>
      </w:r>
      <w:r>
        <w:rPr>
          <w:spacing w:val="-3"/>
        </w:rPr>
        <w:t> </w:t>
      </w:r>
      <w:r>
        <w:rPr/>
        <w:t>a</w:t>
      </w:r>
      <w:r>
        <w:rPr>
          <w:spacing w:val="-2"/>
        </w:rPr>
        <w:t> </w:t>
      </w:r>
      <w:r>
        <w:rPr/>
        <w:t>pressure</w:t>
      </w:r>
      <w:r>
        <w:rPr>
          <w:spacing w:val="-2"/>
        </w:rPr>
        <w:t> </w:t>
      </w:r>
      <w:r>
        <w:rPr/>
        <w:t>mat</w:t>
      </w:r>
      <w:r>
        <w:rPr>
          <w:spacing w:val="-3"/>
        </w:rPr>
        <w:t> </w:t>
      </w:r>
      <w:r>
        <w:rPr/>
        <w:t>to</w:t>
      </w:r>
      <w:r>
        <w:rPr>
          <w:spacing w:val="-2"/>
        </w:rPr>
        <w:t> </w:t>
      </w:r>
      <w:r>
        <w:rPr/>
        <w:t>assess</w:t>
      </w:r>
      <w:r>
        <w:rPr>
          <w:spacing w:val="-2"/>
        </w:rPr>
        <w:t> </w:t>
      </w:r>
      <w:r>
        <w:rPr/>
        <w:t>the</w:t>
      </w:r>
      <w:r>
        <w:rPr>
          <w:spacing w:val="-3"/>
        </w:rPr>
        <w:t> </w:t>
      </w:r>
      <w:r>
        <w:rPr/>
        <w:t>risk</w:t>
      </w:r>
      <w:r>
        <w:rPr>
          <w:spacing w:val="-3"/>
        </w:rPr>
        <w:t> </w:t>
      </w:r>
      <w:r>
        <w:rPr/>
        <w:t>of</w:t>
      </w:r>
      <w:r>
        <w:rPr>
          <w:spacing w:val="-3"/>
        </w:rPr>
        <w:t> </w:t>
      </w:r>
      <w:r>
        <w:rPr/>
        <w:t>pressure</w:t>
      </w:r>
      <w:r>
        <w:rPr>
          <w:spacing w:val="-2"/>
        </w:rPr>
        <w:t> </w:t>
      </w:r>
      <w:r>
        <w:rPr/>
        <w:t>ulcers</w:t>
      </w:r>
      <w:r>
        <w:rPr>
          <w:spacing w:val="-2"/>
        </w:rPr>
        <w:t> </w:t>
      </w:r>
      <w:r>
        <w:rPr/>
        <w:t>for</w:t>
      </w:r>
      <w:r>
        <w:rPr>
          <w:spacing w:val="-3"/>
        </w:rPr>
        <w:t> </w:t>
      </w:r>
      <w:r>
        <w:rPr/>
        <w:t>a patient in a hospital bed.</w:t>
      </w:r>
    </w:p>
    <w:p>
      <w:pPr>
        <w:pStyle w:val="Heading5"/>
        <w:spacing w:before="251"/>
        <w:ind w:right="988"/>
        <w:rPr>
          <w:rFonts w:ascii="Rockwell" w:hAnsi="Rockwell"/>
        </w:rPr>
      </w:pPr>
      <w:r>
        <w:rPr>
          <w:rFonts w:ascii="Rockwell" w:hAnsi="Rockwell"/>
          <w:color w:val="BE2195"/>
        </w:rPr>
        <w:t>Smart</w:t>
      </w:r>
      <w:r>
        <w:rPr>
          <w:rFonts w:ascii="Rockwell" w:hAnsi="Rockwell"/>
          <w:color w:val="BE2195"/>
          <w:spacing w:val="-3"/>
        </w:rPr>
        <w:t> </w:t>
      </w:r>
      <w:r>
        <w:rPr>
          <w:rFonts w:ascii="Rockwell" w:hAnsi="Rockwell"/>
          <w:color w:val="BE2195"/>
        </w:rPr>
        <w:t>Ageing</w:t>
      </w:r>
      <w:r>
        <w:rPr>
          <w:rFonts w:ascii="Rockwell" w:hAnsi="Rockwell"/>
          <w:color w:val="BE2195"/>
          <w:spacing w:val="-3"/>
        </w:rPr>
        <w:t> </w:t>
      </w:r>
      <w:r>
        <w:rPr>
          <w:rFonts w:ascii="Rockwell" w:hAnsi="Rockwell"/>
          <w:color w:val="BE2195"/>
        </w:rPr>
        <w:t>-</w:t>
      </w:r>
      <w:r>
        <w:rPr>
          <w:rFonts w:ascii="Rockwell" w:hAnsi="Rockwell"/>
          <w:color w:val="BE2195"/>
          <w:spacing w:val="-5"/>
        </w:rPr>
        <w:t> </w:t>
      </w:r>
      <w:r>
        <w:rPr>
          <w:rFonts w:ascii="Rockwell" w:hAnsi="Rockwell"/>
          <w:color w:val="BE2195"/>
        </w:rPr>
        <w:t>Homes</w:t>
      </w:r>
      <w:r>
        <w:rPr>
          <w:rFonts w:ascii="Rockwell" w:hAnsi="Rockwell"/>
          <w:color w:val="BE2195"/>
          <w:spacing w:val="-5"/>
        </w:rPr>
        <w:t> </w:t>
      </w:r>
      <w:r>
        <w:rPr>
          <w:rFonts w:ascii="Rockwell" w:hAnsi="Rockwell"/>
          <w:color w:val="BE2195"/>
        </w:rPr>
        <w:t>for</w:t>
      </w:r>
      <w:r>
        <w:rPr>
          <w:rFonts w:ascii="Rockwell" w:hAnsi="Rockwell"/>
          <w:color w:val="BE2195"/>
          <w:spacing w:val="-6"/>
        </w:rPr>
        <w:t> </w:t>
      </w:r>
      <w:r>
        <w:rPr>
          <w:rFonts w:ascii="Rockwell" w:hAnsi="Rockwell"/>
          <w:color w:val="BE2195"/>
        </w:rPr>
        <w:t>Smart</w:t>
      </w:r>
      <w:r>
        <w:rPr>
          <w:rFonts w:ascii="Rockwell" w:hAnsi="Rockwell"/>
          <w:color w:val="BE2195"/>
          <w:spacing w:val="-5"/>
        </w:rPr>
        <w:t> </w:t>
      </w:r>
      <w:r>
        <w:rPr>
          <w:rFonts w:ascii="Rockwell" w:hAnsi="Rockwell"/>
          <w:color w:val="BE2195"/>
        </w:rPr>
        <w:t>Ageing</w:t>
      </w:r>
      <w:r>
        <w:rPr>
          <w:rFonts w:ascii="Rockwell" w:hAnsi="Rockwell"/>
          <w:color w:val="BE2195"/>
          <w:spacing w:val="-1"/>
        </w:rPr>
        <w:t> </w:t>
      </w:r>
      <w:r>
        <w:rPr>
          <w:rFonts w:ascii="Rockwell" w:hAnsi="Rockwell"/>
          <w:color w:val="BE2195"/>
        </w:rPr>
        <w:t>–</w:t>
      </w:r>
      <w:r>
        <w:rPr>
          <w:rFonts w:ascii="Rockwell" w:hAnsi="Rockwell"/>
          <w:color w:val="BE2195"/>
          <w:spacing w:val="-5"/>
        </w:rPr>
        <w:t> </w:t>
      </w:r>
      <w:r>
        <w:rPr>
          <w:rFonts w:ascii="Rockwell" w:hAnsi="Rockwell"/>
          <w:color w:val="BE2195"/>
        </w:rPr>
        <w:t>Universal</w:t>
      </w:r>
      <w:r>
        <w:rPr>
          <w:rFonts w:ascii="Rockwell" w:hAnsi="Rockwell"/>
          <w:color w:val="BE2195"/>
          <w:spacing w:val="-5"/>
        </w:rPr>
        <w:t> </w:t>
      </w:r>
      <w:r>
        <w:rPr>
          <w:rFonts w:ascii="Rockwell" w:hAnsi="Rockwell"/>
          <w:color w:val="BE2195"/>
        </w:rPr>
        <w:t>Design </w:t>
      </w:r>
      <w:r>
        <w:rPr>
          <w:rFonts w:ascii="Rockwell" w:hAnsi="Rockwell"/>
          <w:color w:val="BE2195"/>
          <w:spacing w:val="-2"/>
        </w:rPr>
        <w:t>Challenge</w:t>
      </w:r>
    </w:p>
    <w:p>
      <w:pPr>
        <w:pStyle w:val="BodyText"/>
        <w:spacing w:before="28"/>
        <w:ind w:left="1702" w:right="1080"/>
      </w:pPr>
      <w:r>
        <w:rPr/>
        <w:t>The</w:t>
      </w:r>
      <w:r>
        <w:rPr>
          <w:spacing w:val="-2"/>
        </w:rPr>
        <w:t> </w:t>
      </w:r>
      <w:r>
        <w:rPr>
          <w:b/>
        </w:rPr>
        <w:t>Programme</w:t>
      </w:r>
      <w:r>
        <w:rPr>
          <w:b/>
          <w:spacing w:val="-1"/>
        </w:rPr>
        <w:t> </w:t>
      </w:r>
      <w:r>
        <w:rPr>
          <w:b/>
        </w:rPr>
        <w:t>of Actions</w:t>
      </w:r>
      <w:r>
        <w:rPr>
          <w:b/>
          <w:spacing w:val="-2"/>
        </w:rPr>
        <w:t> </w:t>
      </w:r>
      <w:r>
        <w:rPr>
          <w:b/>
        </w:rPr>
        <w:t>for</w:t>
      </w:r>
      <w:r>
        <w:rPr>
          <w:b/>
          <w:spacing w:val="-3"/>
        </w:rPr>
        <w:t> </w:t>
      </w:r>
      <w:r>
        <w:rPr>
          <w:b/>
        </w:rPr>
        <w:t>Smart Ageing </w:t>
      </w:r>
      <w:r>
        <w:rPr/>
        <w:t>was</w:t>
      </w:r>
      <w:r>
        <w:rPr>
          <w:spacing w:val="-2"/>
        </w:rPr>
        <w:t> </w:t>
      </w:r>
      <w:r>
        <w:rPr/>
        <w:t>published</w:t>
      </w:r>
      <w:r>
        <w:rPr>
          <w:spacing w:val="-2"/>
        </w:rPr>
        <w:t> </w:t>
      </w:r>
      <w:r>
        <w:rPr/>
        <w:t>by</w:t>
      </w:r>
      <w:r>
        <w:rPr>
          <w:spacing w:val="-2"/>
        </w:rPr>
        <w:t> </w:t>
      </w:r>
      <w:r>
        <w:rPr/>
        <w:t>the Department of the Taoiseach in May 2016 with actions due for delivery over</w:t>
      </w:r>
      <w:r>
        <w:rPr>
          <w:spacing w:val="-5"/>
        </w:rPr>
        <w:t> </w:t>
      </w:r>
      <w:r>
        <w:rPr/>
        <w:t>the</w:t>
      </w:r>
      <w:r>
        <w:rPr>
          <w:spacing w:val="-4"/>
        </w:rPr>
        <w:t> </w:t>
      </w:r>
      <w:r>
        <w:rPr/>
        <w:t>period</w:t>
      </w:r>
      <w:r>
        <w:rPr>
          <w:spacing w:val="-5"/>
        </w:rPr>
        <w:t> </w:t>
      </w:r>
      <w:r>
        <w:rPr/>
        <w:t>2016–2018</w:t>
      </w:r>
      <w:r>
        <w:rPr>
          <w:spacing w:val="-5"/>
        </w:rPr>
        <w:t> </w:t>
      </w:r>
      <w:r>
        <w:rPr/>
        <w:t>by</w:t>
      </w:r>
      <w:r>
        <w:rPr>
          <w:spacing w:val="-3"/>
        </w:rPr>
        <w:t> </w:t>
      </w:r>
      <w:r>
        <w:rPr/>
        <w:t>the</w:t>
      </w:r>
      <w:r>
        <w:rPr>
          <w:spacing w:val="-5"/>
        </w:rPr>
        <w:t> </w:t>
      </w:r>
      <w:r>
        <w:rPr/>
        <w:t>relevant</w:t>
      </w:r>
      <w:r>
        <w:rPr>
          <w:spacing w:val="-5"/>
        </w:rPr>
        <w:t> </w:t>
      </w:r>
      <w:r>
        <w:rPr/>
        <w:t>government</w:t>
      </w:r>
      <w:r>
        <w:rPr>
          <w:spacing w:val="-5"/>
        </w:rPr>
        <w:t> </w:t>
      </w:r>
      <w:r>
        <w:rPr/>
        <w:t>departments</w:t>
      </w:r>
      <w:r>
        <w:rPr>
          <w:spacing w:val="-4"/>
        </w:rPr>
        <w:t> </w:t>
      </w:r>
      <w:r>
        <w:rPr/>
        <w:t>and agencies. The programme includes a number for delivery by the NDA’s Centre for Excellence in Universal Design in collaboration with other </w:t>
      </w:r>
      <w:r>
        <w:rPr>
          <w:spacing w:val="-2"/>
        </w:rPr>
        <w:t>stakeholders.</w:t>
      </w:r>
    </w:p>
    <w:p>
      <w:pPr>
        <w:pStyle w:val="BodyText"/>
        <w:spacing w:before="241"/>
        <w:ind w:left="1702" w:right="988"/>
      </w:pPr>
      <w:r>
        <w:rPr/>
        <w:t>One such action entailed the partnership project between the Centre and Department of Housing, Planning, and Local Government to develop the Homes for Smart Aging Universal Design Challenge (HSAUDC). This competition sought innovative ideas or design concepts for homes, both new</w:t>
      </w:r>
      <w:r>
        <w:rPr>
          <w:spacing w:val="-3"/>
        </w:rPr>
        <w:t> </w:t>
      </w:r>
      <w:r>
        <w:rPr/>
        <w:t>and</w:t>
      </w:r>
      <w:r>
        <w:rPr>
          <w:spacing w:val="-5"/>
        </w:rPr>
        <w:t> </w:t>
      </w:r>
      <w:r>
        <w:rPr/>
        <w:t>existing,</w:t>
      </w:r>
      <w:r>
        <w:rPr>
          <w:spacing w:val="-2"/>
        </w:rPr>
        <w:t> </w:t>
      </w:r>
      <w:r>
        <w:rPr/>
        <w:t>demonstrating</w:t>
      </w:r>
      <w:r>
        <w:rPr>
          <w:spacing w:val="-5"/>
        </w:rPr>
        <w:t> </w:t>
      </w:r>
      <w:r>
        <w:rPr/>
        <w:t>how</w:t>
      </w:r>
      <w:r>
        <w:rPr>
          <w:spacing w:val="-3"/>
        </w:rPr>
        <w:t> </w:t>
      </w:r>
      <w:r>
        <w:rPr/>
        <w:t>homes</w:t>
      </w:r>
      <w:r>
        <w:rPr>
          <w:spacing w:val="-4"/>
        </w:rPr>
        <w:t> </w:t>
      </w:r>
      <w:r>
        <w:rPr/>
        <w:t>can</w:t>
      </w:r>
      <w:r>
        <w:rPr>
          <w:spacing w:val="-4"/>
        </w:rPr>
        <w:t> </w:t>
      </w:r>
      <w:r>
        <w:rPr/>
        <w:t>support</w:t>
      </w:r>
      <w:r>
        <w:rPr>
          <w:spacing w:val="-5"/>
        </w:rPr>
        <w:t> </w:t>
      </w:r>
      <w:r>
        <w:rPr/>
        <w:t>people</w:t>
      </w:r>
      <w:r>
        <w:rPr>
          <w:spacing w:val="-5"/>
        </w:rPr>
        <w:t> </w:t>
      </w:r>
      <w:r>
        <w:rPr/>
        <w:t>to</w:t>
      </w:r>
      <w:r>
        <w:rPr>
          <w:spacing w:val="-2"/>
        </w:rPr>
        <w:t> </w:t>
      </w:r>
      <w:r>
        <w:rPr/>
        <w:t>remain or be better integrated in their communities as they age. The project included a focus on smart technologies. The Centre developed and guided on the approach to the Challenge with the Department through 2016, and the call for entries was launched in January 2017. The Centre was also a member of the steering group that oversaw the rollout of this project in 2017, which also included stakeholders from local authorities, the construction sector, the RIAI and Enterprise Ireland. Overall prize money was made available by the Department of Housing and totalled €100,000 with five €10,000 awards for commended entries after the first round and the grand prize of €50,000 for the ultimate winner.</w:t>
      </w:r>
    </w:p>
    <w:p>
      <w:pPr>
        <w:pStyle w:val="BodyText"/>
        <w:spacing w:before="239"/>
        <w:ind w:left="1702" w:right="1099"/>
      </w:pPr>
      <w:r>
        <w:rPr/>
        <w:t>There were over sixty design ideas submitted, from which </w:t>
      </w:r>
      <w:hyperlink r:id="rId8">
        <w:r>
          <w:rPr/>
          <w:t>five</w:t>
        </w:r>
      </w:hyperlink>
      <w:r>
        <w:rPr/>
        <w:t> </w:t>
      </w:r>
      <w:hyperlink r:id="rId8">
        <w:r>
          <w:rPr/>
          <w:t>commended</w:t>
        </w:r>
        <w:r>
          <w:rPr>
            <w:spacing w:val="-5"/>
          </w:rPr>
          <w:t> </w:t>
        </w:r>
        <w:r>
          <w:rPr/>
          <w:t>entries</w:t>
        </w:r>
      </w:hyperlink>
      <w:r>
        <w:rPr>
          <w:spacing w:val="-3"/>
        </w:rPr>
        <w:t> </w:t>
      </w:r>
      <w:r>
        <w:rPr/>
        <w:t>were</w:t>
      </w:r>
      <w:r>
        <w:rPr>
          <w:spacing w:val="-5"/>
        </w:rPr>
        <w:t> </w:t>
      </w:r>
      <w:r>
        <w:rPr/>
        <w:t>selected</w:t>
      </w:r>
      <w:r>
        <w:rPr>
          <w:spacing w:val="-4"/>
        </w:rPr>
        <w:t> </w:t>
      </w:r>
      <w:r>
        <w:rPr/>
        <w:t>to</w:t>
      </w:r>
      <w:r>
        <w:rPr>
          <w:spacing w:val="-4"/>
        </w:rPr>
        <w:t> </w:t>
      </w:r>
      <w:r>
        <w:rPr/>
        <w:t>present</w:t>
      </w:r>
      <w:r>
        <w:rPr>
          <w:spacing w:val="-5"/>
        </w:rPr>
        <w:t> </w:t>
      </w:r>
      <w:r>
        <w:rPr/>
        <w:t>fully</w:t>
      </w:r>
      <w:r>
        <w:rPr>
          <w:spacing w:val="-4"/>
        </w:rPr>
        <w:t> </w:t>
      </w:r>
      <w:r>
        <w:rPr/>
        <w:t>developed</w:t>
      </w:r>
      <w:r>
        <w:rPr>
          <w:spacing w:val="-5"/>
        </w:rPr>
        <w:t> </w:t>
      </w:r>
      <w:r>
        <w:rPr/>
        <w:t>design</w:t>
      </w:r>
      <w:r>
        <w:rPr>
          <w:spacing w:val="-5"/>
        </w:rPr>
        <w:t> </w:t>
      </w:r>
      <w:r>
        <w:rPr/>
        <w:t>ideas to the HSAUDC Jury in 2017. The award event took place in Dublin Castle on Wednesday 28 June with Minister Damien English representing the Department of Housing and the Rebuilding Ireland Strategy.</w:t>
      </w:r>
    </w:p>
    <w:p>
      <w:pPr>
        <w:pStyle w:val="BodyText"/>
        <w:spacing w:before="240"/>
        <w:ind w:left="1702" w:right="1048"/>
      </w:pPr>
      <w:r>
        <w:rPr/>
        <w:t>The</w:t>
      </w:r>
      <w:r>
        <w:rPr>
          <w:spacing w:val="-4"/>
        </w:rPr>
        <w:t> </w:t>
      </w:r>
      <w:r>
        <w:rPr/>
        <w:t>overall</w:t>
      </w:r>
      <w:r>
        <w:rPr>
          <w:spacing w:val="-3"/>
        </w:rPr>
        <w:t> </w:t>
      </w:r>
      <w:r>
        <w:rPr/>
        <w:t>award</w:t>
      </w:r>
      <w:r>
        <w:rPr>
          <w:spacing w:val="-4"/>
        </w:rPr>
        <w:t> </w:t>
      </w:r>
      <w:r>
        <w:rPr/>
        <w:t>was</w:t>
      </w:r>
      <w:r>
        <w:rPr>
          <w:spacing w:val="-1"/>
        </w:rPr>
        <w:t> </w:t>
      </w:r>
      <w:r>
        <w:rPr/>
        <w:t>made</w:t>
      </w:r>
      <w:r>
        <w:rPr>
          <w:spacing w:val="-4"/>
        </w:rPr>
        <w:t> </w:t>
      </w:r>
      <w:r>
        <w:rPr/>
        <w:t>to</w:t>
      </w:r>
      <w:r>
        <w:rPr>
          <w:spacing w:val="-3"/>
        </w:rPr>
        <w:t> </w:t>
      </w:r>
      <w:r>
        <w:rPr/>
        <w:t>the</w:t>
      </w:r>
      <w:r>
        <w:rPr>
          <w:spacing w:val="-1"/>
        </w:rPr>
        <w:t> </w:t>
      </w:r>
      <w:r>
        <w:rPr/>
        <w:t>Abhaile</w:t>
      </w:r>
      <w:r>
        <w:rPr>
          <w:spacing w:val="-4"/>
        </w:rPr>
        <w:t> </w:t>
      </w:r>
      <w:r>
        <w:rPr/>
        <w:t>Project.</w:t>
      </w:r>
      <w:r>
        <w:rPr>
          <w:spacing w:val="-3"/>
        </w:rPr>
        <w:t> </w:t>
      </w:r>
      <w:r>
        <w:rPr/>
        <w:t>The</w:t>
      </w:r>
      <w:r>
        <w:rPr>
          <w:spacing w:val="-4"/>
        </w:rPr>
        <w:t> </w:t>
      </w:r>
      <w:r>
        <w:rPr/>
        <w:t>Abhaile</w:t>
      </w:r>
      <w:r>
        <w:rPr>
          <w:spacing w:val="-4"/>
        </w:rPr>
        <w:t> </w:t>
      </w:r>
      <w:r>
        <w:rPr/>
        <w:t>Project</w:t>
      </w:r>
      <w:r>
        <w:rPr>
          <w:spacing w:val="-4"/>
        </w:rPr>
        <w:t> </w:t>
      </w:r>
      <w:r>
        <w:rPr/>
        <w:t>is developing an innovative new solution to help address the housing needs of an ageing population, through creating much needed new one</w:t>
      </w:r>
      <w:r>
        <w:rPr>
          <w:rFonts w:ascii="Cambria Math"/>
        </w:rPr>
        <w:t>-</w:t>
      </w:r>
      <w:r>
        <w:rPr/>
        <w:t>bedroomed rental capacity from the existing housing stock in mature urban areas from a Universal Design approach. Abhaile supports homeowners to reconfigure their two</w:t>
      </w:r>
      <w:r>
        <w:rPr>
          <w:rFonts w:ascii="Cambria Math"/>
        </w:rPr>
        <w:t>-</w:t>
      </w:r>
      <w:r>
        <w:rPr/>
        <w:t>storey house:</w:t>
      </w:r>
      <w:r>
        <w:rPr>
          <w:spacing w:val="40"/>
        </w:rPr>
        <w:t> </w:t>
      </w:r>
      <w:r>
        <w:rPr/>
        <w:t>future</w:t>
      </w:r>
      <w:r>
        <w:rPr>
          <w:rFonts w:ascii="Cambria Math"/>
        </w:rPr>
        <w:t>-</w:t>
      </w:r>
      <w:r>
        <w:rPr/>
        <w:t>proofing the garden level by creating an independent living area suitable for the older homeowner, eliminating the need to use the stairs; and creating an affordable, single occupancy, one</w:t>
      </w:r>
      <w:r>
        <w:rPr>
          <w:rFonts w:ascii="Cambria Math"/>
        </w:rPr>
        <w:t>-</w:t>
      </w:r>
      <w:r>
        <w:rPr/>
        <w:t>bedroomed rental unit upstairs (subject</w:t>
      </w:r>
    </w:p>
    <w:p>
      <w:pPr>
        <w:pStyle w:val="BodyText"/>
        <w:spacing w:after="0"/>
        <w:sectPr>
          <w:pgSz w:w="11910" w:h="16850"/>
          <w:pgMar w:header="0" w:footer="811" w:top="1880" w:bottom="1000" w:left="283" w:right="992"/>
        </w:sectPr>
      </w:pPr>
    </w:p>
    <w:p>
      <w:pPr>
        <w:pStyle w:val="BodyText"/>
        <w:spacing w:before="79"/>
        <w:ind w:left="1702" w:right="1354"/>
      </w:pPr>
      <w:r>
        <w:rPr/>
        <w:t>to</w:t>
      </w:r>
      <w:r>
        <w:rPr>
          <w:spacing w:val="-4"/>
        </w:rPr>
        <w:t> </w:t>
      </w:r>
      <w:r>
        <w:rPr/>
        <w:t>local</w:t>
      </w:r>
      <w:r>
        <w:rPr>
          <w:spacing w:val="-4"/>
        </w:rPr>
        <w:t> </w:t>
      </w:r>
      <w:r>
        <w:rPr/>
        <w:t>authority</w:t>
      </w:r>
      <w:r>
        <w:rPr>
          <w:spacing w:val="-5"/>
        </w:rPr>
        <w:t> </w:t>
      </w:r>
      <w:r>
        <w:rPr/>
        <w:t>agreement).</w:t>
      </w:r>
      <w:r>
        <w:rPr>
          <w:spacing w:val="-1"/>
        </w:rPr>
        <w:t> </w:t>
      </w:r>
      <w:r>
        <w:rPr/>
        <w:t>An</w:t>
      </w:r>
      <w:r>
        <w:rPr>
          <w:spacing w:val="-5"/>
        </w:rPr>
        <w:t> </w:t>
      </w:r>
      <w:r>
        <w:rPr/>
        <w:t>important</w:t>
      </w:r>
      <w:r>
        <w:rPr>
          <w:spacing w:val="-3"/>
        </w:rPr>
        <w:t> </w:t>
      </w:r>
      <w:r>
        <w:rPr/>
        <w:t>aspect</w:t>
      </w:r>
      <w:r>
        <w:rPr>
          <w:spacing w:val="-5"/>
        </w:rPr>
        <w:t> </w:t>
      </w:r>
      <w:r>
        <w:rPr/>
        <w:t>of</w:t>
      </w:r>
      <w:r>
        <w:rPr>
          <w:spacing w:val="-5"/>
        </w:rPr>
        <w:t> </w:t>
      </w:r>
      <w:r>
        <w:rPr/>
        <w:t>the</w:t>
      </w:r>
      <w:r>
        <w:rPr>
          <w:spacing w:val="-4"/>
        </w:rPr>
        <w:t> </w:t>
      </w:r>
      <w:r>
        <w:rPr/>
        <w:t>design</w:t>
      </w:r>
      <w:r>
        <w:rPr>
          <w:spacing w:val="-5"/>
        </w:rPr>
        <w:t> </w:t>
      </w:r>
      <w:r>
        <w:rPr/>
        <w:t>is</w:t>
      </w:r>
      <w:r>
        <w:rPr>
          <w:spacing w:val="-3"/>
        </w:rPr>
        <w:t> </w:t>
      </w:r>
      <w:r>
        <w:rPr/>
        <w:t>to allow the homeowner to live securely and independently downstairs, whilst promoting interaction with the person living upstairs, thereby reducing isolation.</w:t>
      </w:r>
    </w:p>
    <w:p>
      <w:pPr>
        <w:pStyle w:val="BodyText"/>
        <w:spacing w:before="238"/>
        <w:ind w:left="1702" w:right="999"/>
      </w:pPr>
      <w:r>
        <w:rPr/>
        <w:t>A</w:t>
      </w:r>
      <w:r>
        <w:rPr>
          <w:spacing w:val="-5"/>
        </w:rPr>
        <w:t> </w:t>
      </w:r>
      <w:r>
        <w:rPr/>
        <w:t>publication</w:t>
      </w:r>
      <w:r>
        <w:rPr>
          <w:spacing w:val="-4"/>
        </w:rPr>
        <w:t> </w:t>
      </w:r>
      <w:r>
        <w:rPr/>
        <w:t>is</w:t>
      </w:r>
      <w:r>
        <w:rPr>
          <w:spacing w:val="-4"/>
        </w:rPr>
        <w:t> </w:t>
      </w:r>
      <w:r>
        <w:rPr/>
        <w:t>now</w:t>
      </w:r>
      <w:r>
        <w:rPr>
          <w:spacing w:val="-4"/>
        </w:rPr>
        <w:t> </w:t>
      </w:r>
      <w:r>
        <w:rPr/>
        <w:t>being</w:t>
      </w:r>
      <w:r>
        <w:rPr>
          <w:spacing w:val="-3"/>
        </w:rPr>
        <w:t> </w:t>
      </w:r>
      <w:r>
        <w:rPr/>
        <w:t>developed</w:t>
      </w:r>
      <w:r>
        <w:rPr>
          <w:spacing w:val="-5"/>
        </w:rPr>
        <w:t> </w:t>
      </w:r>
      <w:r>
        <w:rPr/>
        <w:t>to</w:t>
      </w:r>
      <w:r>
        <w:rPr>
          <w:spacing w:val="-3"/>
        </w:rPr>
        <w:t> </w:t>
      </w:r>
      <w:r>
        <w:rPr/>
        <w:t>showcase</w:t>
      </w:r>
      <w:r>
        <w:rPr>
          <w:spacing w:val="-5"/>
        </w:rPr>
        <w:t> </w:t>
      </w:r>
      <w:r>
        <w:rPr/>
        <w:t>the</w:t>
      </w:r>
      <w:r>
        <w:rPr>
          <w:spacing w:val="-4"/>
        </w:rPr>
        <w:t> </w:t>
      </w:r>
      <w:r>
        <w:rPr/>
        <w:t>Challenge</w:t>
      </w:r>
      <w:r>
        <w:rPr>
          <w:spacing w:val="-4"/>
        </w:rPr>
        <w:t> </w:t>
      </w:r>
      <w:r>
        <w:rPr/>
        <w:t>approach, the Universal Design principles underpinning it, and the full range of entries. This will be launched in early 2018.</w:t>
      </w:r>
    </w:p>
    <w:p>
      <w:pPr>
        <w:pStyle w:val="Heading5"/>
        <w:spacing w:before="254"/>
        <w:rPr>
          <w:rFonts w:ascii="Rockwell"/>
        </w:rPr>
      </w:pPr>
      <w:r>
        <w:rPr>
          <w:rFonts w:ascii="Rockwell"/>
          <w:color w:val="BE2195"/>
        </w:rPr>
        <w:t>Resource</w:t>
      </w:r>
      <w:r>
        <w:rPr>
          <w:rFonts w:ascii="Rockwell"/>
          <w:color w:val="BE2195"/>
          <w:spacing w:val="-9"/>
        </w:rPr>
        <w:t> </w:t>
      </w:r>
      <w:r>
        <w:rPr>
          <w:rFonts w:ascii="Rockwell"/>
          <w:color w:val="BE2195"/>
        </w:rPr>
        <w:t>for</w:t>
      </w:r>
      <w:r>
        <w:rPr>
          <w:rFonts w:ascii="Rockwell"/>
          <w:color w:val="BE2195"/>
          <w:spacing w:val="-11"/>
        </w:rPr>
        <w:t> </w:t>
      </w:r>
      <w:r>
        <w:rPr>
          <w:rFonts w:ascii="Rockwell"/>
          <w:color w:val="BE2195"/>
        </w:rPr>
        <w:t>Universal</w:t>
      </w:r>
      <w:r>
        <w:rPr>
          <w:rFonts w:ascii="Rockwell"/>
          <w:color w:val="BE2195"/>
          <w:spacing w:val="-10"/>
        </w:rPr>
        <w:t> </w:t>
      </w:r>
      <w:r>
        <w:rPr>
          <w:rFonts w:ascii="Rockwell"/>
          <w:color w:val="BE2195"/>
        </w:rPr>
        <w:t>Design</w:t>
      </w:r>
      <w:r>
        <w:rPr>
          <w:rFonts w:ascii="Rockwell"/>
          <w:color w:val="BE2195"/>
          <w:spacing w:val="-9"/>
        </w:rPr>
        <w:t> </w:t>
      </w:r>
      <w:r>
        <w:rPr>
          <w:rFonts w:ascii="Rockwell"/>
          <w:color w:val="BE2195"/>
        </w:rPr>
        <w:t>Housing</w:t>
      </w:r>
      <w:r>
        <w:rPr>
          <w:rFonts w:ascii="Rockwell"/>
          <w:color w:val="BE2195"/>
          <w:spacing w:val="-9"/>
        </w:rPr>
        <w:t> </w:t>
      </w:r>
      <w:r>
        <w:rPr>
          <w:rFonts w:ascii="Rockwell"/>
          <w:color w:val="BE2195"/>
          <w:spacing w:val="-2"/>
        </w:rPr>
        <w:t>Adaptations</w:t>
      </w:r>
    </w:p>
    <w:p>
      <w:pPr>
        <w:pStyle w:val="BodyText"/>
        <w:spacing w:before="27"/>
        <w:ind w:left="1702" w:right="988"/>
      </w:pPr>
      <w:r>
        <w:rPr/>
        <w:t>The</w:t>
      </w:r>
      <w:r>
        <w:rPr>
          <w:spacing w:val="-4"/>
        </w:rPr>
        <w:t> </w:t>
      </w:r>
      <w:r>
        <w:rPr/>
        <w:t>Centre</w:t>
      </w:r>
      <w:r>
        <w:rPr>
          <w:spacing w:val="-3"/>
        </w:rPr>
        <w:t> </w:t>
      </w:r>
      <w:r>
        <w:rPr/>
        <w:t>is</w:t>
      </w:r>
      <w:r>
        <w:rPr>
          <w:spacing w:val="-3"/>
        </w:rPr>
        <w:t> </w:t>
      </w:r>
      <w:r>
        <w:rPr/>
        <w:t>also</w:t>
      </w:r>
      <w:r>
        <w:rPr>
          <w:spacing w:val="-3"/>
        </w:rPr>
        <w:t> </w:t>
      </w:r>
      <w:r>
        <w:rPr/>
        <w:t>engaging</w:t>
      </w:r>
      <w:r>
        <w:rPr>
          <w:spacing w:val="-4"/>
        </w:rPr>
        <w:t> </w:t>
      </w:r>
      <w:r>
        <w:rPr/>
        <w:t>with</w:t>
      </w:r>
      <w:r>
        <w:rPr>
          <w:spacing w:val="-4"/>
        </w:rPr>
        <w:t> </w:t>
      </w:r>
      <w:r>
        <w:rPr/>
        <w:t>the</w:t>
      </w:r>
      <w:r>
        <w:rPr>
          <w:spacing w:val="-4"/>
        </w:rPr>
        <w:t> </w:t>
      </w:r>
      <w:r>
        <w:rPr/>
        <w:t>Department</w:t>
      </w:r>
      <w:r>
        <w:rPr>
          <w:spacing w:val="-4"/>
        </w:rPr>
        <w:t> </w:t>
      </w:r>
      <w:r>
        <w:rPr/>
        <w:t>of</w:t>
      </w:r>
      <w:r>
        <w:rPr>
          <w:spacing w:val="-4"/>
        </w:rPr>
        <w:t> </w:t>
      </w:r>
      <w:r>
        <w:rPr/>
        <w:t>Housing,</w:t>
      </w:r>
      <w:r>
        <w:rPr>
          <w:spacing w:val="-4"/>
        </w:rPr>
        <w:t> </w:t>
      </w:r>
      <w:r>
        <w:rPr/>
        <w:t>Planning</w:t>
      </w:r>
      <w:r>
        <w:rPr>
          <w:spacing w:val="-3"/>
        </w:rPr>
        <w:t> </w:t>
      </w:r>
      <w:r>
        <w:rPr/>
        <w:t>and Local Government to explore ways of creating a virtual centre of excellence for best practice examples and resources related to housing adaptations</w:t>
      </w:r>
      <w:r>
        <w:rPr>
          <w:spacing w:val="-1"/>
        </w:rPr>
        <w:t> </w:t>
      </w:r>
      <w:r>
        <w:rPr/>
        <w:t>for</w:t>
      </w:r>
      <w:r>
        <w:rPr>
          <w:spacing w:val="-3"/>
        </w:rPr>
        <w:t> </w:t>
      </w:r>
      <w:r>
        <w:rPr/>
        <w:t>older</w:t>
      </w:r>
      <w:r>
        <w:rPr>
          <w:spacing w:val="-2"/>
        </w:rPr>
        <w:t> </w:t>
      </w:r>
      <w:r>
        <w:rPr/>
        <w:t>persons</w:t>
      </w:r>
      <w:r>
        <w:rPr>
          <w:spacing w:val="-2"/>
        </w:rPr>
        <w:t> </w:t>
      </w:r>
      <w:r>
        <w:rPr/>
        <w:t>with</w:t>
      </w:r>
      <w:r>
        <w:rPr>
          <w:spacing w:val="-3"/>
        </w:rPr>
        <w:t> </w:t>
      </w:r>
      <w:r>
        <w:rPr/>
        <w:t>a</w:t>
      </w:r>
      <w:r>
        <w:rPr>
          <w:spacing w:val="-3"/>
        </w:rPr>
        <w:t> </w:t>
      </w:r>
      <w:r>
        <w:rPr/>
        <w:t>focus</w:t>
      </w:r>
      <w:r>
        <w:rPr>
          <w:spacing w:val="-2"/>
        </w:rPr>
        <w:t> </w:t>
      </w:r>
      <w:r>
        <w:rPr/>
        <w:t>on Universal</w:t>
      </w:r>
      <w:r>
        <w:rPr>
          <w:spacing w:val="-3"/>
        </w:rPr>
        <w:t> </w:t>
      </w:r>
      <w:r>
        <w:rPr/>
        <w:t>Design.</w:t>
      </w:r>
      <w:r>
        <w:rPr>
          <w:spacing w:val="-2"/>
        </w:rPr>
        <w:t> </w:t>
      </w:r>
      <w:r>
        <w:rPr/>
        <w:t>This work will be progressed in 2018.</w:t>
      </w:r>
    </w:p>
    <w:p>
      <w:pPr>
        <w:pStyle w:val="Heading5"/>
        <w:spacing w:before="255"/>
        <w:rPr>
          <w:rFonts w:ascii="Rockwell"/>
        </w:rPr>
      </w:pPr>
      <w:r>
        <w:rPr>
          <w:rFonts w:ascii="Rockwell"/>
          <w:color w:val="BE2195"/>
        </w:rPr>
        <w:t>Universal</w:t>
      </w:r>
      <w:r>
        <w:rPr>
          <w:rFonts w:ascii="Rockwell"/>
          <w:color w:val="BE2195"/>
          <w:spacing w:val="-10"/>
        </w:rPr>
        <w:t> </w:t>
      </w:r>
      <w:r>
        <w:rPr>
          <w:rFonts w:ascii="Rockwell"/>
          <w:color w:val="BE2195"/>
        </w:rPr>
        <w:t>Design</w:t>
      </w:r>
      <w:r>
        <w:rPr>
          <w:rFonts w:ascii="Rockwell"/>
          <w:color w:val="BE2195"/>
          <w:spacing w:val="-8"/>
        </w:rPr>
        <w:t> </w:t>
      </w:r>
      <w:r>
        <w:rPr>
          <w:rFonts w:ascii="Rockwell"/>
          <w:color w:val="BE2195"/>
        </w:rPr>
        <w:t>Toolkit</w:t>
      </w:r>
      <w:r>
        <w:rPr>
          <w:rFonts w:ascii="Rockwell"/>
          <w:color w:val="BE2195"/>
          <w:spacing w:val="-8"/>
        </w:rPr>
        <w:t> </w:t>
      </w:r>
      <w:r>
        <w:rPr>
          <w:rFonts w:ascii="Rockwell"/>
          <w:color w:val="BE2195"/>
        </w:rPr>
        <w:t>for</w:t>
      </w:r>
      <w:r>
        <w:rPr>
          <w:rFonts w:ascii="Rockwell"/>
          <w:color w:val="BE2195"/>
          <w:spacing w:val="-9"/>
        </w:rPr>
        <w:t> </w:t>
      </w:r>
      <w:r>
        <w:rPr>
          <w:rFonts w:ascii="Rockwell"/>
          <w:color w:val="BE2195"/>
        </w:rPr>
        <w:t>the</w:t>
      </w:r>
      <w:r>
        <w:rPr>
          <w:rFonts w:ascii="Rockwell"/>
          <w:color w:val="BE2195"/>
          <w:spacing w:val="-9"/>
        </w:rPr>
        <w:t> </w:t>
      </w:r>
      <w:r>
        <w:rPr>
          <w:rFonts w:ascii="Rockwell"/>
          <w:color w:val="BE2195"/>
        </w:rPr>
        <w:t>Public</w:t>
      </w:r>
      <w:r>
        <w:rPr>
          <w:rFonts w:ascii="Rockwell"/>
          <w:color w:val="BE2195"/>
          <w:spacing w:val="-10"/>
        </w:rPr>
        <w:t> </w:t>
      </w:r>
      <w:r>
        <w:rPr>
          <w:rFonts w:ascii="Rockwell"/>
          <w:color w:val="BE2195"/>
          <w:spacing w:val="-2"/>
        </w:rPr>
        <w:t>Service</w:t>
      </w:r>
    </w:p>
    <w:p>
      <w:pPr>
        <w:pStyle w:val="BodyText"/>
        <w:spacing w:before="25"/>
        <w:ind w:left="1702" w:right="1049"/>
      </w:pPr>
      <w:r>
        <w:rPr/>
        <mc:AlternateContent>
          <mc:Choice Requires="wps">
            <w:drawing>
              <wp:anchor distT="0" distB="0" distL="0" distR="0" allowOverlap="1" layoutInCell="1" locked="0" behindDoc="1" simplePos="0" relativeHeight="485337600">
                <wp:simplePos x="0" y="0"/>
                <wp:positionH relativeFrom="page">
                  <wp:posOffset>1260652</wp:posOffset>
                </wp:positionH>
                <wp:positionV relativeFrom="paragraph">
                  <wp:posOffset>189478</wp:posOffset>
                </wp:positionV>
                <wp:extent cx="5003165" cy="156718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003165" cy="1567180"/>
                        </a:xfrm>
                        <a:custGeom>
                          <a:avLst/>
                          <a:gdLst/>
                          <a:ahLst/>
                          <a:cxnLst/>
                          <a:rect l="l" t="t" r="r" b="b"/>
                          <a:pathLst>
                            <a:path w="5003165" h="1567180">
                              <a:moveTo>
                                <a:pt x="5002657" y="765302"/>
                              </a:moveTo>
                              <a:lnTo>
                                <a:pt x="4525645" y="765302"/>
                              </a:lnTo>
                              <a:lnTo>
                                <a:pt x="4525645" y="609854"/>
                              </a:lnTo>
                              <a:lnTo>
                                <a:pt x="4999609" y="609854"/>
                              </a:lnTo>
                              <a:lnTo>
                                <a:pt x="4999609" y="382778"/>
                              </a:lnTo>
                              <a:lnTo>
                                <a:pt x="4623181" y="382778"/>
                              </a:lnTo>
                              <a:lnTo>
                                <a:pt x="4623181" y="227076"/>
                              </a:lnTo>
                              <a:lnTo>
                                <a:pt x="4874641" y="227076"/>
                              </a:lnTo>
                              <a:lnTo>
                                <a:pt x="4874641" y="0"/>
                              </a:lnTo>
                              <a:lnTo>
                                <a:pt x="0" y="0"/>
                              </a:lnTo>
                              <a:lnTo>
                                <a:pt x="0" y="190449"/>
                              </a:lnTo>
                              <a:lnTo>
                                <a:pt x="0" y="227076"/>
                              </a:lnTo>
                              <a:lnTo>
                                <a:pt x="0" y="1566926"/>
                              </a:lnTo>
                              <a:lnTo>
                                <a:pt x="4755769" y="1566926"/>
                              </a:lnTo>
                              <a:lnTo>
                                <a:pt x="4755769" y="1374902"/>
                              </a:lnTo>
                              <a:lnTo>
                                <a:pt x="4798441" y="1374902"/>
                              </a:lnTo>
                              <a:lnTo>
                                <a:pt x="4798441" y="1184402"/>
                              </a:lnTo>
                              <a:lnTo>
                                <a:pt x="4975225" y="1184402"/>
                              </a:lnTo>
                              <a:lnTo>
                                <a:pt x="4975225" y="992378"/>
                              </a:lnTo>
                              <a:lnTo>
                                <a:pt x="5002657" y="992378"/>
                              </a:lnTo>
                              <a:lnTo>
                                <a:pt x="5002657" y="765302"/>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14.919548pt;width:393.95pt;height:123.4pt;mso-position-horizontal-relative:page;mso-position-vertical-relative:paragraph;z-index:-17978880" id="docshape3" coordorigin="1985,298" coordsize="7879,2468" path="m9863,1504l9112,1504,9112,1259,9859,1259,9859,901,9266,901,9266,656,9662,656,9662,298,1985,298,1985,598,1985,656,1985,2766,9475,2766,9475,2464,9542,2464,9542,2164,9820,2164,9820,1861,9863,1861,9863,1504xe" filled="true" fillcolor="#ffffff" stroked="false">
                <v:path arrowok="t"/>
                <v:fill type="solid"/>
                <w10:wrap type="none"/>
              </v:shape>
            </w:pict>
          </mc:Fallback>
        </mc:AlternateContent>
      </w:r>
      <w:r>
        <w:rPr/>
        <w:t>The Centre has developed Universal Design toolkits for service sectors focused on customer services. During 2017, the Centre developed these toolkits to apply to customer engagement in public sector services in collaboration</w:t>
      </w:r>
      <w:r>
        <w:rPr>
          <w:spacing w:val="-5"/>
        </w:rPr>
        <w:t> </w:t>
      </w:r>
      <w:r>
        <w:rPr/>
        <w:t>with</w:t>
      </w:r>
      <w:r>
        <w:rPr>
          <w:spacing w:val="-2"/>
        </w:rPr>
        <w:t> </w:t>
      </w:r>
      <w:r>
        <w:rPr/>
        <w:t>the</w:t>
      </w:r>
      <w:r>
        <w:rPr>
          <w:spacing w:val="-4"/>
        </w:rPr>
        <w:t> </w:t>
      </w:r>
      <w:r>
        <w:rPr/>
        <w:t>Department</w:t>
      </w:r>
      <w:r>
        <w:rPr>
          <w:spacing w:val="-5"/>
        </w:rPr>
        <w:t> </w:t>
      </w:r>
      <w:r>
        <w:rPr/>
        <w:t>of</w:t>
      </w:r>
      <w:r>
        <w:rPr>
          <w:spacing w:val="-3"/>
        </w:rPr>
        <w:t> </w:t>
      </w:r>
      <w:r>
        <w:rPr/>
        <w:t>Public</w:t>
      </w:r>
      <w:r>
        <w:rPr>
          <w:spacing w:val="-3"/>
        </w:rPr>
        <w:t> </w:t>
      </w:r>
      <w:r>
        <w:rPr/>
        <w:t>Expenditure</w:t>
      </w:r>
      <w:r>
        <w:rPr>
          <w:spacing w:val="-4"/>
        </w:rPr>
        <w:t> </w:t>
      </w:r>
      <w:r>
        <w:rPr/>
        <w:t>and</w:t>
      </w:r>
      <w:r>
        <w:rPr>
          <w:spacing w:val="-3"/>
        </w:rPr>
        <w:t> </w:t>
      </w:r>
      <w:r>
        <w:rPr/>
        <w:t>Reform.</w:t>
      </w:r>
      <w:r>
        <w:rPr>
          <w:spacing w:val="-4"/>
        </w:rPr>
        <w:t> </w:t>
      </w:r>
      <w:r>
        <w:rPr/>
        <w:t>The Centre was a member of a Working Group from the Department’s Quality</w:t>
      </w:r>
      <w:r>
        <w:rPr>
          <w:spacing w:val="-5"/>
        </w:rPr>
        <w:t> </w:t>
      </w:r>
      <w:r>
        <w:rPr/>
        <w:t>Customer</w:t>
      </w:r>
      <w:r>
        <w:rPr>
          <w:spacing w:val="-5"/>
        </w:rPr>
        <w:t> </w:t>
      </w:r>
      <w:r>
        <w:rPr/>
        <w:t>Service</w:t>
      </w:r>
      <w:r>
        <w:rPr>
          <w:spacing w:val="-5"/>
        </w:rPr>
        <w:t> </w:t>
      </w:r>
      <w:r>
        <w:rPr/>
        <w:t>Offices</w:t>
      </w:r>
      <w:r>
        <w:rPr>
          <w:spacing w:val="-4"/>
        </w:rPr>
        <w:t> </w:t>
      </w:r>
      <w:r>
        <w:rPr/>
        <w:t>Network</w:t>
      </w:r>
      <w:r>
        <w:rPr>
          <w:spacing w:val="-1"/>
        </w:rPr>
        <w:t> </w:t>
      </w:r>
      <w:r>
        <w:rPr/>
        <w:t>and</w:t>
      </w:r>
      <w:r>
        <w:rPr>
          <w:spacing w:val="-5"/>
        </w:rPr>
        <w:t> </w:t>
      </w:r>
      <w:r>
        <w:rPr/>
        <w:t>collaborated</w:t>
      </w:r>
      <w:r>
        <w:rPr>
          <w:spacing w:val="-3"/>
        </w:rPr>
        <w:t> </w:t>
      </w:r>
      <w:r>
        <w:rPr/>
        <w:t>with</w:t>
      </w:r>
      <w:r>
        <w:rPr>
          <w:spacing w:val="-5"/>
        </w:rPr>
        <w:t> </w:t>
      </w:r>
      <w:r>
        <w:rPr/>
        <w:t>them</w:t>
      </w:r>
      <w:r>
        <w:rPr>
          <w:spacing w:val="-3"/>
        </w:rPr>
        <w:t> </w:t>
      </w:r>
      <w:r>
        <w:rPr/>
        <w:t>to develop a single Toolkit for use across the Public Sector. Workshops with the Working Group were led by the Centre to understand and address the specific requirements of the public sector in developing the toolkit.</w:t>
      </w:r>
    </w:p>
    <w:p>
      <w:pPr>
        <w:pStyle w:val="BodyText"/>
        <w:spacing w:line="301" w:lineRule="exact" w:before="241"/>
        <w:ind w:left="1702"/>
      </w:pPr>
      <w:r>
        <w:rPr/>
        <mc:AlternateContent>
          <mc:Choice Requires="wps">
            <w:drawing>
              <wp:anchor distT="0" distB="0" distL="0" distR="0" allowOverlap="1" layoutInCell="1" locked="0" behindDoc="1" simplePos="0" relativeHeight="485338112">
                <wp:simplePos x="0" y="0"/>
                <wp:positionH relativeFrom="page">
                  <wp:posOffset>1260652</wp:posOffset>
                </wp:positionH>
                <wp:positionV relativeFrom="paragraph">
                  <wp:posOffset>325226</wp:posOffset>
                </wp:positionV>
                <wp:extent cx="4917440" cy="61150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4917440" cy="611505"/>
                        </a:xfrm>
                        <a:custGeom>
                          <a:avLst/>
                          <a:gdLst/>
                          <a:ahLst/>
                          <a:cxnLst/>
                          <a:rect l="l" t="t" r="r" b="b"/>
                          <a:pathLst>
                            <a:path w="4917440" h="611505">
                              <a:moveTo>
                                <a:pt x="4917389" y="0"/>
                              </a:moveTo>
                              <a:lnTo>
                                <a:pt x="1896186" y="0"/>
                              </a:lnTo>
                              <a:lnTo>
                                <a:pt x="1896186" y="192100"/>
                              </a:lnTo>
                              <a:lnTo>
                                <a:pt x="0" y="192100"/>
                              </a:lnTo>
                              <a:lnTo>
                                <a:pt x="0" y="384124"/>
                              </a:lnTo>
                              <a:lnTo>
                                <a:pt x="0" y="419481"/>
                              </a:lnTo>
                              <a:lnTo>
                                <a:pt x="0" y="611505"/>
                              </a:lnTo>
                              <a:lnTo>
                                <a:pt x="1205788" y="611505"/>
                              </a:lnTo>
                              <a:lnTo>
                                <a:pt x="1205788" y="419481"/>
                              </a:lnTo>
                              <a:lnTo>
                                <a:pt x="4617085" y="419481"/>
                              </a:lnTo>
                              <a:lnTo>
                                <a:pt x="4617085" y="227076"/>
                              </a:lnTo>
                              <a:lnTo>
                                <a:pt x="4917389" y="227076"/>
                              </a:lnTo>
                              <a:lnTo>
                                <a:pt x="491738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25.608402pt;width:387.2pt;height:48.15pt;mso-position-horizontal-relative:page;mso-position-vertical-relative:paragraph;z-index:-17978368" id="docshape4" coordorigin="1985,512" coordsize="7744,963" path="m9729,512l4971,512,4971,815,1985,815,1985,1117,1985,1173,1985,1475,3884,1475,3884,1173,9256,1173,9256,870,9729,870,9729,512xe" filled="true" fillcolor="#ffffff" stroked="false">
                <v:path arrowok="t"/>
                <v:fill type="solid"/>
                <w10:wrap type="none"/>
              </v:shape>
            </w:pict>
          </mc:Fallback>
        </mc:AlternateContent>
      </w:r>
      <w:r>
        <w:rPr/>
        <w:t>The</w:t>
      </w:r>
      <w:r>
        <w:rPr>
          <w:spacing w:val="-9"/>
        </w:rPr>
        <w:t> </w:t>
      </w:r>
      <w:r>
        <w:rPr/>
        <w:t>“Customer</w:t>
      </w:r>
      <w:r>
        <w:rPr>
          <w:spacing w:val="-8"/>
        </w:rPr>
        <w:t> </w:t>
      </w:r>
      <w:r>
        <w:rPr/>
        <w:t>Communications</w:t>
      </w:r>
      <w:r>
        <w:rPr>
          <w:spacing w:val="-8"/>
        </w:rPr>
        <w:t> </w:t>
      </w:r>
      <w:r>
        <w:rPr/>
        <w:t>Toolkit</w:t>
      </w:r>
      <w:r>
        <w:rPr>
          <w:spacing w:val="-8"/>
        </w:rPr>
        <w:t> </w:t>
      </w:r>
      <w:r>
        <w:rPr/>
        <w:t>for</w:t>
      </w:r>
      <w:r>
        <w:rPr>
          <w:spacing w:val="-8"/>
        </w:rPr>
        <w:t> </w:t>
      </w:r>
      <w:r>
        <w:rPr/>
        <w:t>the</w:t>
      </w:r>
      <w:r>
        <w:rPr>
          <w:spacing w:val="-8"/>
        </w:rPr>
        <w:t> </w:t>
      </w:r>
      <w:r>
        <w:rPr/>
        <w:t>Public</w:t>
      </w:r>
      <w:r>
        <w:rPr>
          <w:spacing w:val="-6"/>
        </w:rPr>
        <w:t> </w:t>
      </w:r>
      <w:r>
        <w:rPr/>
        <w:t>Service</w:t>
      </w:r>
      <w:r>
        <w:rPr>
          <w:spacing w:val="-5"/>
        </w:rPr>
        <w:t> </w:t>
      </w:r>
      <w:r>
        <w:rPr/>
        <w:t>–</w:t>
      </w:r>
      <w:r>
        <w:rPr>
          <w:spacing w:val="-6"/>
        </w:rPr>
        <w:t> </w:t>
      </w:r>
      <w:r>
        <w:rPr>
          <w:spacing w:val="-10"/>
        </w:rPr>
        <w:t>A</w:t>
      </w:r>
    </w:p>
    <w:p>
      <w:pPr>
        <w:pStyle w:val="BodyText"/>
        <w:ind w:left="1702" w:right="988"/>
      </w:pPr>
      <w:r>
        <w:rPr/>
        <w:t>Universal Design Approach”, which provides guidance and advice on how to improve customer engagement approaches, using the principles of Universal Design, was launched on the 27 June 2017 by the Minister for Finance, Paschal Donohoe. The Toolkit has been widely disseminated to public</w:t>
      </w:r>
      <w:r>
        <w:rPr>
          <w:spacing w:val="-4"/>
        </w:rPr>
        <w:t> </w:t>
      </w:r>
      <w:r>
        <w:rPr/>
        <w:t>sector</w:t>
      </w:r>
      <w:r>
        <w:rPr>
          <w:spacing w:val="-5"/>
        </w:rPr>
        <w:t> </w:t>
      </w:r>
      <w:r>
        <w:rPr/>
        <w:t>bodies.</w:t>
      </w:r>
      <w:r>
        <w:rPr>
          <w:spacing w:val="-2"/>
        </w:rPr>
        <w:t> </w:t>
      </w:r>
      <w:r>
        <w:rPr/>
        <w:t>Follow</w:t>
      </w:r>
      <w:r>
        <w:rPr>
          <w:spacing w:val="-4"/>
        </w:rPr>
        <w:t> </w:t>
      </w:r>
      <w:r>
        <w:rPr/>
        <w:t>up</w:t>
      </w:r>
      <w:r>
        <w:rPr>
          <w:spacing w:val="-4"/>
        </w:rPr>
        <w:t> </w:t>
      </w:r>
      <w:r>
        <w:rPr/>
        <w:t>work</w:t>
      </w:r>
      <w:r>
        <w:rPr>
          <w:spacing w:val="-4"/>
        </w:rPr>
        <w:t> </w:t>
      </w:r>
      <w:r>
        <w:rPr/>
        <w:t>on</w:t>
      </w:r>
      <w:r>
        <w:rPr>
          <w:spacing w:val="-4"/>
        </w:rPr>
        <w:t> </w:t>
      </w:r>
      <w:r>
        <w:rPr/>
        <w:t>dissemination</w:t>
      </w:r>
      <w:r>
        <w:rPr>
          <w:spacing w:val="-5"/>
        </w:rPr>
        <w:t> </w:t>
      </w:r>
      <w:r>
        <w:rPr/>
        <w:t>and</w:t>
      </w:r>
      <w:r>
        <w:rPr>
          <w:spacing w:val="-4"/>
        </w:rPr>
        <w:t> </w:t>
      </w:r>
      <w:r>
        <w:rPr/>
        <w:t>implementation has continued between the Department, the Centre and other public </w:t>
      </w:r>
      <w:r>
        <w:rPr>
          <w:spacing w:val="-2"/>
        </w:rPr>
        <w:t>agencies.</w:t>
      </w:r>
    </w:p>
    <w:p>
      <w:pPr>
        <w:pStyle w:val="Heading5"/>
        <w:spacing w:before="254"/>
        <w:rPr>
          <w:rFonts w:ascii="Rockwell"/>
        </w:rPr>
      </w:pPr>
      <w:r>
        <w:rPr>
          <w:rFonts w:ascii="Rockwell"/>
          <w:color w:val="BE2195"/>
        </w:rPr>
        <w:t>RIAI</w:t>
      </w:r>
      <w:r>
        <w:rPr>
          <w:rFonts w:ascii="Rockwell"/>
          <w:color w:val="BE2195"/>
          <w:spacing w:val="-8"/>
        </w:rPr>
        <w:t> </w:t>
      </w:r>
      <w:r>
        <w:rPr>
          <w:rFonts w:ascii="Rockwell"/>
          <w:color w:val="BE2195"/>
        </w:rPr>
        <w:t>Annual</w:t>
      </w:r>
      <w:r>
        <w:rPr>
          <w:rFonts w:ascii="Rockwell"/>
          <w:color w:val="BE2195"/>
          <w:spacing w:val="-9"/>
        </w:rPr>
        <w:t> </w:t>
      </w:r>
      <w:r>
        <w:rPr>
          <w:rFonts w:ascii="Rockwell"/>
          <w:color w:val="BE2195"/>
        </w:rPr>
        <w:t>Awards</w:t>
      </w:r>
      <w:r>
        <w:rPr>
          <w:rFonts w:ascii="Rockwell"/>
          <w:color w:val="BE2195"/>
          <w:spacing w:val="-9"/>
        </w:rPr>
        <w:t> </w:t>
      </w:r>
      <w:r>
        <w:rPr>
          <w:rFonts w:ascii="Rockwell"/>
          <w:color w:val="BE2195"/>
        </w:rPr>
        <w:t>2017:</w:t>
      </w:r>
      <w:r>
        <w:rPr>
          <w:rFonts w:ascii="Rockwell"/>
          <w:color w:val="BE2195"/>
          <w:spacing w:val="-10"/>
        </w:rPr>
        <w:t> </w:t>
      </w:r>
      <w:r>
        <w:rPr>
          <w:rFonts w:ascii="Rockwell"/>
          <w:color w:val="BE2195"/>
        </w:rPr>
        <w:t>Universal</w:t>
      </w:r>
      <w:r>
        <w:rPr>
          <w:rFonts w:ascii="Rockwell"/>
          <w:color w:val="BE2195"/>
          <w:spacing w:val="-5"/>
        </w:rPr>
        <w:t> </w:t>
      </w:r>
      <w:r>
        <w:rPr>
          <w:rFonts w:ascii="Rockwell"/>
          <w:color w:val="BE2195"/>
        </w:rPr>
        <w:t>Design</w:t>
      </w:r>
      <w:r>
        <w:rPr>
          <w:rFonts w:ascii="Rockwell"/>
          <w:color w:val="BE2195"/>
          <w:spacing w:val="-6"/>
        </w:rPr>
        <w:t> </w:t>
      </w:r>
      <w:r>
        <w:rPr>
          <w:rFonts w:ascii="Rockwell"/>
          <w:color w:val="BE2195"/>
          <w:spacing w:val="-2"/>
        </w:rPr>
        <w:t>Category</w:t>
      </w:r>
    </w:p>
    <w:p>
      <w:pPr>
        <w:pStyle w:val="BodyText"/>
        <w:spacing w:before="227"/>
        <w:ind w:left="1702" w:right="1080"/>
      </w:pPr>
      <w:r>
        <w:rPr/>
        <w:t>The</w:t>
      </w:r>
      <w:r>
        <w:rPr>
          <w:spacing w:val="-4"/>
        </w:rPr>
        <w:t> </w:t>
      </w:r>
      <w:r>
        <w:rPr/>
        <w:t>NDA</w:t>
      </w:r>
      <w:r>
        <w:rPr>
          <w:spacing w:val="-4"/>
        </w:rPr>
        <w:t> </w:t>
      </w:r>
      <w:r>
        <w:rPr/>
        <w:t>sponsored</w:t>
      </w:r>
      <w:r>
        <w:rPr>
          <w:spacing w:val="-2"/>
        </w:rPr>
        <w:t> </w:t>
      </w:r>
      <w:r>
        <w:rPr/>
        <w:t>a</w:t>
      </w:r>
      <w:r>
        <w:rPr>
          <w:spacing w:val="-4"/>
        </w:rPr>
        <w:t> </w:t>
      </w:r>
      <w:r>
        <w:rPr/>
        <w:t>Universal</w:t>
      </w:r>
      <w:r>
        <w:rPr>
          <w:spacing w:val="-4"/>
        </w:rPr>
        <w:t> </w:t>
      </w:r>
      <w:r>
        <w:rPr/>
        <w:t>Design</w:t>
      </w:r>
      <w:r>
        <w:rPr>
          <w:spacing w:val="-3"/>
        </w:rPr>
        <w:t> </w:t>
      </w:r>
      <w:r>
        <w:rPr/>
        <w:t>category</w:t>
      </w:r>
      <w:r>
        <w:rPr>
          <w:spacing w:val="-4"/>
        </w:rPr>
        <w:t> </w:t>
      </w:r>
      <w:r>
        <w:rPr/>
        <w:t>in</w:t>
      </w:r>
      <w:r>
        <w:rPr>
          <w:spacing w:val="-4"/>
        </w:rPr>
        <w:t> </w:t>
      </w:r>
      <w:r>
        <w:rPr/>
        <w:t>the</w:t>
      </w:r>
      <w:r>
        <w:rPr>
          <w:spacing w:val="-1"/>
        </w:rPr>
        <w:t> </w:t>
      </w:r>
      <w:r>
        <w:rPr/>
        <w:t>Royal</w:t>
      </w:r>
      <w:r>
        <w:rPr>
          <w:spacing w:val="-4"/>
        </w:rPr>
        <w:t> </w:t>
      </w:r>
      <w:r>
        <w:rPr/>
        <w:t>Institute</w:t>
      </w:r>
      <w:r>
        <w:rPr>
          <w:spacing w:val="-3"/>
        </w:rPr>
        <w:t> </w:t>
      </w:r>
      <w:r>
        <w:rPr/>
        <w:t>of Architects of Ireland’s Annual Awards for a fifth year. The Centre is represented on the Jury for the Universal Design Award category.</w:t>
      </w:r>
    </w:p>
    <w:p>
      <w:pPr>
        <w:pStyle w:val="BodyText"/>
        <w:spacing w:after="0"/>
        <w:sectPr>
          <w:pgSz w:w="11910" w:h="16850"/>
          <w:pgMar w:header="0" w:footer="811" w:top="1880" w:bottom="1000" w:left="283" w:right="992"/>
        </w:sectPr>
      </w:pPr>
    </w:p>
    <w:p>
      <w:pPr>
        <w:pStyle w:val="BodyText"/>
        <w:spacing w:before="79"/>
        <w:ind w:left="1702" w:right="988"/>
      </w:pPr>
      <w:r>
        <w:rPr/>
        <w:t>A</w:t>
      </w:r>
      <w:r>
        <w:rPr>
          <w:spacing w:val="-3"/>
        </w:rPr>
        <w:t> </w:t>
      </w:r>
      <w:r>
        <w:rPr/>
        <w:t>shortlist</w:t>
      </w:r>
      <w:r>
        <w:rPr>
          <w:spacing w:val="-3"/>
        </w:rPr>
        <w:t> </w:t>
      </w:r>
      <w:r>
        <w:rPr/>
        <w:t>of</w:t>
      </w:r>
      <w:r>
        <w:rPr>
          <w:spacing w:val="-3"/>
        </w:rPr>
        <w:t> </w:t>
      </w:r>
      <w:r>
        <w:rPr/>
        <w:t>buildings</w:t>
      </w:r>
      <w:r>
        <w:rPr>
          <w:spacing w:val="-4"/>
        </w:rPr>
        <w:t> </w:t>
      </w:r>
      <w:r>
        <w:rPr/>
        <w:t>were</w:t>
      </w:r>
      <w:r>
        <w:rPr>
          <w:spacing w:val="-3"/>
        </w:rPr>
        <w:t> </w:t>
      </w:r>
      <w:r>
        <w:rPr/>
        <w:t>selected</w:t>
      </w:r>
      <w:r>
        <w:rPr>
          <w:spacing w:val="-3"/>
        </w:rPr>
        <w:t> </w:t>
      </w:r>
      <w:r>
        <w:rPr/>
        <w:t>to</w:t>
      </w:r>
      <w:r>
        <w:rPr>
          <w:spacing w:val="-2"/>
        </w:rPr>
        <w:t> </w:t>
      </w:r>
      <w:r>
        <w:rPr/>
        <w:t>visit</w:t>
      </w:r>
      <w:r>
        <w:rPr>
          <w:spacing w:val="-3"/>
        </w:rPr>
        <w:t> </w:t>
      </w:r>
      <w:r>
        <w:rPr/>
        <w:t>as</w:t>
      </w:r>
      <w:r>
        <w:rPr>
          <w:spacing w:val="-3"/>
        </w:rPr>
        <w:t> </w:t>
      </w:r>
      <w:r>
        <w:rPr/>
        <w:t>part</w:t>
      </w:r>
      <w:r>
        <w:rPr>
          <w:spacing w:val="-3"/>
        </w:rPr>
        <w:t> </w:t>
      </w:r>
      <w:r>
        <w:rPr/>
        <w:t>of</w:t>
      </w:r>
      <w:r>
        <w:rPr>
          <w:spacing w:val="-3"/>
        </w:rPr>
        <w:t> </w:t>
      </w:r>
      <w:r>
        <w:rPr/>
        <w:t>the</w:t>
      </w:r>
      <w:r>
        <w:rPr>
          <w:spacing w:val="-3"/>
        </w:rPr>
        <w:t> </w:t>
      </w:r>
      <w:r>
        <w:rPr/>
        <w:t>judging</w:t>
      </w:r>
      <w:r>
        <w:rPr>
          <w:spacing w:val="-3"/>
        </w:rPr>
        <w:t> </w:t>
      </w:r>
      <w:r>
        <w:rPr/>
        <w:t>process. Renowned architect, Merritt Bucholz was the Chair of the Jury. Two buildings were selected as joint winners. The winners were the new</w:t>
      </w:r>
    </w:p>
    <w:p>
      <w:pPr>
        <w:pStyle w:val="BodyText"/>
        <w:ind w:left="1702" w:right="1418"/>
        <w:jc w:val="both"/>
      </w:pPr>
      <w:r>
        <w:rPr/>
        <w:t>Central</w:t>
      </w:r>
      <w:r>
        <w:rPr>
          <w:spacing w:val="-5"/>
        </w:rPr>
        <w:t> </w:t>
      </w:r>
      <w:r>
        <w:rPr/>
        <w:t>Bank</w:t>
      </w:r>
      <w:r>
        <w:rPr>
          <w:spacing w:val="-5"/>
        </w:rPr>
        <w:t> </w:t>
      </w:r>
      <w:r>
        <w:rPr/>
        <w:t>in</w:t>
      </w:r>
      <w:r>
        <w:rPr>
          <w:spacing w:val="-3"/>
        </w:rPr>
        <w:t> </w:t>
      </w:r>
      <w:r>
        <w:rPr/>
        <w:t>Dublin</w:t>
      </w:r>
      <w:r>
        <w:rPr>
          <w:spacing w:val="-3"/>
        </w:rPr>
        <w:t> </w:t>
      </w:r>
      <w:r>
        <w:rPr/>
        <w:t>and</w:t>
      </w:r>
      <w:r>
        <w:rPr>
          <w:spacing w:val="-5"/>
        </w:rPr>
        <w:t> </w:t>
      </w:r>
      <w:r>
        <w:rPr/>
        <w:t>the</w:t>
      </w:r>
      <w:r>
        <w:rPr>
          <w:spacing w:val="-5"/>
        </w:rPr>
        <w:t> </w:t>
      </w:r>
      <w:r>
        <w:rPr/>
        <w:t>Elizabeth’s</w:t>
      </w:r>
      <w:r>
        <w:rPr>
          <w:spacing w:val="-4"/>
        </w:rPr>
        <w:t> </w:t>
      </w:r>
      <w:r>
        <w:rPr/>
        <w:t>Tree</w:t>
      </w:r>
      <w:r>
        <w:rPr>
          <w:spacing w:val="-4"/>
        </w:rPr>
        <w:t> </w:t>
      </w:r>
      <w:r>
        <w:rPr/>
        <w:t>House</w:t>
      </w:r>
      <w:r>
        <w:rPr>
          <w:spacing w:val="-5"/>
        </w:rPr>
        <w:t> </w:t>
      </w:r>
      <w:r>
        <w:rPr/>
        <w:t>in</w:t>
      </w:r>
      <w:r>
        <w:rPr>
          <w:spacing w:val="-5"/>
        </w:rPr>
        <w:t> </w:t>
      </w:r>
      <w:r>
        <w:rPr/>
        <w:t>Barrettstown Children’s</w:t>
      </w:r>
      <w:r>
        <w:rPr>
          <w:spacing w:val="-3"/>
        </w:rPr>
        <w:t> </w:t>
      </w:r>
      <w:r>
        <w:rPr/>
        <w:t>Camp</w:t>
      </w:r>
      <w:r>
        <w:rPr>
          <w:spacing w:val="-4"/>
        </w:rPr>
        <w:t> </w:t>
      </w:r>
      <w:r>
        <w:rPr/>
        <w:t>in</w:t>
      </w:r>
      <w:r>
        <w:rPr>
          <w:spacing w:val="-4"/>
        </w:rPr>
        <w:t> </w:t>
      </w:r>
      <w:r>
        <w:rPr/>
        <w:t>Kildare.</w:t>
      </w:r>
      <w:r>
        <w:rPr>
          <w:spacing w:val="-3"/>
        </w:rPr>
        <w:t> </w:t>
      </w:r>
      <w:r>
        <w:rPr/>
        <w:t>This</w:t>
      </w:r>
      <w:r>
        <w:rPr>
          <w:spacing w:val="-3"/>
        </w:rPr>
        <w:t> </w:t>
      </w:r>
      <w:r>
        <w:rPr/>
        <w:t>awards</w:t>
      </w:r>
      <w:r>
        <w:rPr>
          <w:spacing w:val="-2"/>
        </w:rPr>
        <w:t> </w:t>
      </w:r>
      <w:r>
        <w:rPr/>
        <w:t>event</w:t>
      </w:r>
      <w:r>
        <w:rPr>
          <w:spacing w:val="-3"/>
        </w:rPr>
        <w:t> </w:t>
      </w:r>
      <w:r>
        <w:rPr/>
        <w:t>continues</w:t>
      </w:r>
      <w:r>
        <w:rPr>
          <w:spacing w:val="-3"/>
        </w:rPr>
        <w:t> </w:t>
      </w:r>
      <w:r>
        <w:rPr/>
        <w:t>to</w:t>
      </w:r>
      <w:r>
        <w:rPr>
          <w:spacing w:val="-3"/>
        </w:rPr>
        <w:t> </w:t>
      </w:r>
      <w:r>
        <w:rPr/>
        <w:t>attach</w:t>
      </w:r>
      <w:r>
        <w:rPr>
          <w:spacing w:val="-4"/>
        </w:rPr>
        <w:t> </w:t>
      </w:r>
      <w:r>
        <w:rPr/>
        <w:t>high quality design entries under the Universal Design category.</w:t>
      </w:r>
    </w:p>
    <w:p>
      <w:pPr>
        <w:pStyle w:val="Heading5"/>
        <w:spacing w:before="253"/>
        <w:rPr>
          <w:rFonts w:ascii="Rockwell"/>
        </w:rPr>
      </w:pPr>
      <w:r>
        <w:rPr>
          <w:rFonts w:ascii="Rockwell"/>
          <w:color w:val="BE2195"/>
        </w:rPr>
        <w:t>Irish</w:t>
      </w:r>
      <w:r>
        <w:rPr>
          <w:rFonts w:ascii="Rockwell"/>
          <w:color w:val="BE2195"/>
          <w:spacing w:val="-11"/>
        </w:rPr>
        <w:t> </w:t>
      </w:r>
      <w:r>
        <w:rPr>
          <w:rFonts w:ascii="Rockwell"/>
          <w:color w:val="BE2195"/>
        </w:rPr>
        <w:t>Internet</w:t>
      </w:r>
      <w:r>
        <w:rPr>
          <w:rFonts w:ascii="Rockwell"/>
          <w:color w:val="BE2195"/>
          <w:spacing w:val="-8"/>
        </w:rPr>
        <w:t> </w:t>
      </w:r>
      <w:r>
        <w:rPr>
          <w:rFonts w:ascii="Rockwell"/>
          <w:color w:val="BE2195"/>
        </w:rPr>
        <w:t>Awards</w:t>
      </w:r>
      <w:r>
        <w:rPr>
          <w:rFonts w:ascii="Rockwell"/>
          <w:color w:val="BE2195"/>
          <w:spacing w:val="-10"/>
        </w:rPr>
        <w:t> </w:t>
      </w:r>
      <w:r>
        <w:rPr>
          <w:rFonts w:ascii="Rockwell"/>
          <w:color w:val="BE2195"/>
        </w:rPr>
        <w:t>2017:</w:t>
      </w:r>
      <w:r>
        <w:rPr>
          <w:rFonts w:ascii="Rockwell"/>
          <w:color w:val="BE2195"/>
          <w:spacing w:val="-10"/>
        </w:rPr>
        <w:t> </w:t>
      </w:r>
      <w:r>
        <w:rPr>
          <w:rFonts w:ascii="Rockwell"/>
          <w:color w:val="BE2195"/>
        </w:rPr>
        <w:t>Universal</w:t>
      </w:r>
      <w:r>
        <w:rPr>
          <w:rFonts w:ascii="Rockwell"/>
          <w:color w:val="BE2195"/>
          <w:spacing w:val="-7"/>
        </w:rPr>
        <w:t> </w:t>
      </w:r>
      <w:r>
        <w:rPr>
          <w:rFonts w:ascii="Rockwell"/>
          <w:color w:val="BE2195"/>
        </w:rPr>
        <w:t>Design</w:t>
      </w:r>
      <w:r>
        <w:rPr>
          <w:rFonts w:ascii="Rockwell"/>
          <w:color w:val="BE2195"/>
          <w:spacing w:val="-6"/>
        </w:rPr>
        <w:t> </w:t>
      </w:r>
      <w:r>
        <w:rPr>
          <w:rFonts w:ascii="Rockwell"/>
          <w:color w:val="BE2195"/>
          <w:spacing w:val="-2"/>
        </w:rPr>
        <w:t>Category</w:t>
      </w:r>
    </w:p>
    <w:p>
      <w:pPr>
        <w:pStyle w:val="BodyText"/>
        <w:spacing w:before="25"/>
        <w:ind w:left="1702" w:right="1038"/>
      </w:pPr>
      <w:r>
        <w:rPr/>
        <w:t>The NDA continued to sponsor a Universal Design category in the Irish Internet</w:t>
      </w:r>
      <w:r>
        <w:rPr>
          <w:spacing w:val="-6"/>
        </w:rPr>
        <w:t> </w:t>
      </w:r>
      <w:r>
        <w:rPr/>
        <w:t>Awards</w:t>
      </w:r>
      <w:r>
        <w:rPr>
          <w:spacing w:val="-4"/>
        </w:rPr>
        <w:t> </w:t>
      </w:r>
      <w:r>
        <w:rPr/>
        <w:t>to</w:t>
      </w:r>
      <w:r>
        <w:rPr>
          <w:spacing w:val="-5"/>
        </w:rPr>
        <w:t> </w:t>
      </w:r>
      <w:r>
        <w:rPr/>
        <w:t>enhance</w:t>
      </w:r>
      <w:r>
        <w:rPr>
          <w:spacing w:val="-6"/>
        </w:rPr>
        <w:t> </w:t>
      </w:r>
      <w:r>
        <w:rPr/>
        <w:t>understanding</w:t>
      </w:r>
      <w:r>
        <w:rPr>
          <w:spacing w:val="-6"/>
        </w:rPr>
        <w:t> </w:t>
      </w:r>
      <w:r>
        <w:rPr/>
        <w:t>of</w:t>
      </w:r>
      <w:r>
        <w:rPr>
          <w:spacing w:val="-1"/>
        </w:rPr>
        <w:t> </w:t>
      </w:r>
      <w:r>
        <w:rPr/>
        <w:t>Universal</w:t>
      </w:r>
      <w:r>
        <w:rPr>
          <w:spacing w:val="-6"/>
        </w:rPr>
        <w:t> </w:t>
      </w:r>
      <w:r>
        <w:rPr/>
        <w:t>Design</w:t>
      </w:r>
      <w:r>
        <w:rPr>
          <w:spacing w:val="-6"/>
        </w:rPr>
        <w:t> </w:t>
      </w:r>
      <w:r>
        <w:rPr/>
        <w:t>particularly within the ICT and Web sectors. The successful project in 2017 was focused on an education website.</w:t>
      </w:r>
    </w:p>
    <w:p>
      <w:pPr>
        <w:pStyle w:val="Heading5"/>
        <w:spacing w:before="254"/>
        <w:ind w:right="988"/>
        <w:rPr>
          <w:rFonts w:ascii="Rockwell"/>
        </w:rPr>
      </w:pPr>
      <w:r>
        <w:rPr>
          <w:rFonts w:ascii="Rockwell"/>
          <w:color w:val="BE2195"/>
        </w:rPr>
        <w:t>Institute</w:t>
      </w:r>
      <w:r>
        <w:rPr>
          <w:rFonts w:ascii="Rockwell"/>
          <w:color w:val="BE2195"/>
          <w:spacing w:val="-7"/>
        </w:rPr>
        <w:t> </w:t>
      </w:r>
      <w:r>
        <w:rPr>
          <w:rFonts w:ascii="Rockwell"/>
          <w:color w:val="BE2195"/>
        </w:rPr>
        <w:t>of</w:t>
      </w:r>
      <w:r>
        <w:rPr>
          <w:rFonts w:ascii="Rockwell"/>
          <w:color w:val="BE2195"/>
          <w:spacing w:val="-7"/>
        </w:rPr>
        <w:t> </w:t>
      </w:r>
      <w:r>
        <w:rPr>
          <w:rFonts w:ascii="Rockwell"/>
          <w:color w:val="BE2195"/>
        </w:rPr>
        <w:t>Designers</w:t>
      </w:r>
      <w:r>
        <w:rPr>
          <w:rFonts w:ascii="Rockwell"/>
          <w:color w:val="BE2195"/>
          <w:spacing w:val="-7"/>
        </w:rPr>
        <w:t> </w:t>
      </w:r>
      <w:r>
        <w:rPr>
          <w:rFonts w:ascii="Rockwell"/>
          <w:color w:val="BE2195"/>
        </w:rPr>
        <w:t>Ireland</w:t>
      </w:r>
      <w:r>
        <w:rPr>
          <w:rFonts w:ascii="Rockwell"/>
          <w:color w:val="BE2195"/>
          <w:spacing w:val="-4"/>
        </w:rPr>
        <w:t> </w:t>
      </w:r>
      <w:r>
        <w:rPr>
          <w:rFonts w:ascii="Rockwell"/>
          <w:color w:val="BE2195"/>
        </w:rPr>
        <w:t>Awards</w:t>
      </w:r>
      <w:r>
        <w:rPr>
          <w:rFonts w:ascii="Rockwell"/>
          <w:color w:val="BE2195"/>
          <w:spacing w:val="-5"/>
        </w:rPr>
        <w:t> </w:t>
      </w:r>
      <w:r>
        <w:rPr>
          <w:rFonts w:ascii="Rockwell"/>
          <w:color w:val="BE2195"/>
        </w:rPr>
        <w:t>2016:</w:t>
      </w:r>
      <w:r>
        <w:rPr>
          <w:rFonts w:ascii="Rockwell"/>
          <w:color w:val="BE2195"/>
          <w:spacing w:val="-3"/>
        </w:rPr>
        <w:t> </w:t>
      </w:r>
      <w:r>
        <w:rPr>
          <w:rFonts w:ascii="Rockwell"/>
          <w:color w:val="BE2195"/>
        </w:rPr>
        <w:t>Universal</w:t>
      </w:r>
      <w:r>
        <w:rPr>
          <w:rFonts w:ascii="Rockwell"/>
          <w:color w:val="BE2195"/>
          <w:spacing w:val="-7"/>
        </w:rPr>
        <w:t> </w:t>
      </w:r>
      <w:r>
        <w:rPr>
          <w:rFonts w:ascii="Rockwell"/>
          <w:color w:val="BE2195"/>
        </w:rPr>
        <w:t>Design </w:t>
      </w:r>
      <w:r>
        <w:rPr>
          <w:rFonts w:ascii="Rockwell"/>
          <w:color w:val="BE2195"/>
          <w:spacing w:val="-2"/>
        </w:rPr>
        <w:t>Category</w:t>
      </w:r>
    </w:p>
    <w:p>
      <w:pPr>
        <w:pStyle w:val="BodyText"/>
        <w:spacing w:before="27"/>
        <w:ind w:left="1702" w:right="988"/>
      </w:pPr>
      <w:r>
        <w:rPr/>
        <w:t>An important partnership has been developed with the Institute of Designers Ireland (IDI) over the last number of years. IDI represent the design profession in Ireland with approximately 4,000 members.</w:t>
      </w:r>
      <w:r>
        <w:rPr>
          <w:spacing w:val="40"/>
        </w:rPr>
        <w:t> </w:t>
      </w:r>
      <w:r>
        <w:rPr/>
        <w:t>The Centre’s</w:t>
      </w:r>
      <w:r>
        <w:rPr>
          <w:spacing w:val="-4"/>
        </w:rPr>
        <w:t> </w:t>
      </w:r>
      <w:r>
        <w:rPr/>
        <w:t>Advisor</w:t>
      </w:r>
      <w:r>
        <w:rPr>
          <w:spacing w:val="-5"/>
        </w:rPr>
        <w:t> </w:t>
      </w:r>
      <w:r>
        <w:rPr/>
        <w:t>on</w:t>
      </w:r>
      <w:r>
        <w:rPr>
          <w:spacing w:val="-5"/>
        </w:rPr>
        <w:t> </w:t>
      </w:r>
      <w:r>
        <w:rPr/>
        <w:t>products</w:t>
      </w:r>
      <w:r>
        <w:rPr>
          <w:spacing w:val="-4"/>
        </w:rPr>
        <w:t> </w:t>
      </w:r>
      <w:r>
        <w:rPr/>
        <w:t>and</w:t>
      </w:r>
      <w:r>
        <w:rPr>
          <w:spacing w:val="-5"/>
        </w:rPr>
        <w:t> </w:t>
      </w:r>
      <w:r>
        <w:rPr/>
        <w:t>services</w:t>
      </w:r>
      <w:r>
        <w:rPr>
          <w:spacing w:val="-3"/>
        </w:rPr>
        <w:t> </w:t>
      </w:r>
      <w:r>
        <w:rPr/>
        <w:t>is member</w:t>
      </w:r>
      <w:r>
        <w:rPr>
          <w:spacing w:val="-5"/>
        </w:rPr>
        <w:t> </w:t>
      </w:r>
      <w:r>
        <w:rPr/>
        <w:t>of</w:t>
      </w:r>
      <w:r>
        <w:rPr>
          <w:spacing w:val="-5"/>
        </w:rPr>
        <w:t> </w:t>
      </w:r>
      <w:r>
        <w:rPr/>
        <w:t>the</w:t>
      </w:r>
      <w:r>
        <w:rPr>
          <w:spacing w:val="-5"/>
        </w:rPr>
        <w:t> </w:t>
      </w:r>
      <w:r>
        <w:rPr/>
        <w:t>IDI</w:t>
      </w:r>
      <w:r>
        <w:rPr>
          <w:spacing w:val="-5"/>
        </w:rPr>
        <w:t> </w:t>
      </w:r>
      <w:r>
        <w:rPr/>
        <w:t>council, which ensures Universal Design is part of its agenda. The Centre also participated as Jurors in the Institute of Designers Ireland Awards 2017.</w:t>
      </w:r>
    </w:p>
    <w:p>
      <w:pPr>
        <w:pStyle w:val="BodyText"/>
        <w:spacing w:line="244" w:lineRule="auto" w:before="254"/>
        <w:ind w:left="1702" w:right="995"/>
      </w:pPr>
      <w:r>
        <w:rPr>
          <w:rFonts w:ascii="Rockwell"/>
          <w:b/>
          <w:color w:val="BE2195"/>
        </w:rPr>
        <w:t>Office of the Government Chief Information Officer (OGCIO) </w:t>
      </w:r>
      <w:r>
        <w:rPr/>
        <w:t>The Centre continued to engage with the Office of the Government Chief Information Officer to guide on adoption of universal design in public sector</w:t>
      </w:r>
      <w:r>
        <w:rPr>
          <w:spacing w:val="-4"/>
        </w:rPr>
        <w:t> </w:t>
      </w:r>
      <w:r>
        <w:rPr/>
        <w:t>ICT.</w:t>
      </w:r>
      <w:r>
        <w:rPr>
          <w:spacing w:val="-3"/>
        </w:rPr>
        <w:t> </w:t>
      </w:r>
      <w:r>
        <w:rPr/>
        <w:t>Work</w:t>
      </w:r>
      <w:r>
        <w:rPr>
          <w:spacing w:val="-3"/>
        </w:rPr>
        <w:t> </w:t>
      </w:r>
      <w:r>
        <w:rPr/>
        <w:t>included</w:t>
      </w:r>
      <w:r>
        <w:rPr>
          <w:spacing w:val="-4"/>
        </w:rPr>
        <w:t> </w:t>
      </w:r>
      <w:r>
        <w:rPr/>
        <w:t>practical</w:t>
      </w:r>
      <w:r>
        <w:rPr>
          <w:spacing w:val="-3"/>
        </w:rPr>
        <w:t> </w:t>
      </w:r>
      <w:r>
        <w:rPr/>
        <w:t>advice</w:t>
      </w:r>
      <w:r>
        <w:rPr>
          <w:spacing w:val="-4"/>
        </w:rPr>
        <w:t> </w:t>
      </w:r>
      <w:r>
        <w:rPr/>
        <w:t>by</w:t>
      </w:r>
      <w:r>
        <w:rPr>
          <w:spacing w:val="-4"/>
        </w:rPr>
        <w:t> </w:t>
      </w:r>
      <w:r>
        <w:rPr/>
        <w:t>the</w:t>
      </w:r>
      <w:r>
        <w:rPr>
          <w:spacing w:val="-1"/>
        </w:rPr>
        <w:t> </w:t>
      </w:r>
      <w:r>
        <w:rPr/>
        <w:t>Centre on</w:t>
      </w:r>
      <w:r>
        <w:rPr>
          <w:spacing w:val="-4"/>
        </w:rPr>
        <w:t> </w:t>
      </w:r>
      <w:r>
        <w:rPr/>
        <w:t>a</w:t>
      </w:r>
      <w:r>
        <w:rPr>
          <w:spacing w:val="-4"/>
        </w:rPr>
        <w:t> </w:t>
      </w:r>
      <w:r>
        <w:rPr/>
        <w:t>draft</w:t>
      </w:r>
      <w:r>
        <w:rPr>
          <w:spacing w:val="-2"/>
        </w:rPr>
        <w:t> </w:t>
      </w:r>
      <w:r>
        <w:rPr/>
        <w:t>design of the new gov.ie portal page. Further engagement is ongoing.</w:t>
      </w:r>
    </w:p>
    <w:p>
      <w:pPr>
        <w:pStyle w:val="Heading5"/>
        <w:spacing w:before="251"/>
        <w:rPr>
          <w:rFonts w:ascii="Rockwell"/>
        </w:rPr>
      </w:pPr>
      <w:r>
        <w:rPr>
          <w:rFonts w:ascii="Rockwell"/>
          <w:color w:val="BE2195"/>
        </w:rPr>
        <w:t>Launch</w:t>
      </w:r>
      <w:r>
        <w:rPr>
          <w:rFonts w:ascii="Rockwell"/>
          <w:color w:val="BE2195"/>
          <w:spacing w:val="-7"/>
        </w:rPr>
        <w:t> </w:t>
      </w:r>
      <w:r>
        <w:rPr>
          <w:rFonts w:ascii="Rockwell"/>
          <w:color w:val="BE2195"/>
        </w:rPr>
        <w:t>of</w:t>
      </w:r>
      <w:r>
        <w:rPr>
          <w:rFonts w:ascii="Rockwell"/>
          <w:color w:val="BE2195"/>
          <w:spacing w:val="-9"/>
        </w:rPr>
        <w:t> </w:t>
      </w:r>
      <w:r>
        <w:rPr>
          <w:rFonts w:ascii="Rockwell"/>
          <w:color w:val="BE2195"/>
        </w:rPr>
        <w:t>National</w:t>
      </w:r>
      <w:r>
        <w:rPr>
          <w:rFonts w:ascii="Rockwell"/>
          <w:color w:val="BE2195"/>
          <w:spacing w:val="-7"/>
        </w:rPr>
        <w:t> </w:t>
      </w:r>
      <w:r>
        <w:rPr>
          <w:rFonts w:ascii="Rockwell"/>
          <w:color w:val="BE2195"/>
        </w:rPr>
        <w:t>Planning</w:t>
      </w:r>
      <w:r>
        <w:rPr>
          <w:rFonts w:ascii="Rockwell"/>
          <w:color w:val="BE2195"/>
          <w:spacing w:val="-7"/>
        </w:rPr>
        <w:t> </w:t>
      </w:r>
      <w:r>
        <w:rPr>
          <w:rFonts w:ascii="Rockwell"/>
          <w:color w:val="BE2195"/>
          <w:spacing w:val="-2"/>
        </w:rPr>
        <w:t>Framework</w:t>
      </w:r>
    </w:p>
    <w:p>
      <w:pPr>
        <w:pStyle w:val="BodyText"/>
        <w:spacing w:before="26"/>
        <w:ind w:left="1702" w:right="1099"/>
      </w:pPr>
      <w:r>
        <w:rPr/>
        <mc:AlternateContent>
          <mc:Choice Requires="wps">
            <w:drawing>
              <wp:anchor distT="0" distB="0" distL="0" distR="0" allowOverlap="1" layoutInCell="1" locked="0" behindDoc="1" simplePos="0" relativeHeight="485338624">
                <wp:simplePos x="0" y="0"/>
                <wp:positionH relativeFrom="page">
                  <wp:posOffset>1260652</wp:posOffset>
                </wp:positionH>
                <wp:positionV relativeFrom="paragraph">
                  <wp:posOffset>380420</wp:posOffset>
                </wp:positionV>
                <wp:extent cx="4687570" cy="80327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4687570" cy="803275"/>
                        </a:xfrm>
                        <a:custGeom>
                          <a:avLst/>
                          <a:gdLst/>
                          <a:ahLst/>
                          <a:cxnLst/>
                          <a:rect l="l" t="t" r="r" b="b"/>
                          <a:pathLst>
                            <a:path w="4687570" h="803275">
                              <a:moveTo>
                                <a:pt x="4687189" y="0"/>
                              </a:moveTo>
                              <a:lnTo>
                                <a:pt x="4191584" y="0"/>
                              </a:lnTo>
                              <a:lnTo>
                                <a:pt x="4191584" y="192024"/>
                              </a:lnTo>
                              <a:lnTo>
                                <a:pt x="0" y="192024"/>
                              </a:lnTo>
                              <a:lnTo>
                                <a:pt x="0" y="803148"/>
                              </a:lnTo>
                              <a:lnTo>
                                <a:pt x="4322699" y="803148"/>
                              </a:lnTo>
                              <a:lnTo>
                                <a:pt x="4322699" y="611124"/>
                              </a:lnTo>
                              <a:lnTo>
                                <a:pt x="4402201" y="611124"/>
                              </a:lnTo>
                              <a:lnTo>
                                <a:pt x="4402201" y="419100"/>
                              </a:lnTo>
                              <a:lnTo>
                                <a:pt x="4639945" y="419100"/>
                              </a:lnTo>
                              <a:lnTo>
                                <a:pt x="4639945" y="227076"/>
                              </a:lnTo>
                              <a:lnTo>
                                <a:pt x="4687189" y="227076"/>
                              </a:lnTo>
                              <a:lnTo>
                                <a:pt x="468718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99.264008pt;margin-top:29.95437pt;width:369.1pt;height:63.25pt;mso-position-horizontal-relative:page;mso-position-vertical-relative:paragraph;z-index:-17977856" id="docshape5" coordorigin="1985,599" coordsize="7382,1265" path="m9367,599l8586,599,8586,901,1985,901,1985,1864,8793,1864,8793,1561,8918,1561,8918,1259,9292,1259,9292,957,9367,957,9367,599xe" filled="true" fillcolor="#ffffff" stroked="false">
                <v:path arrowok="t"/>
                <v:fill type="solid"/>
                <w10:wrap type="none"/>
              </v:shape>
            </w:pict>
          </mc:Fallback>
        </mc:AlternateContent>
      </w:r>
      <w:r>
        <w:rPr/>
        <w:t>The Centre submitted advice in relation to the National Planning Framework</w:t>
      </w:r>
      <w:r>
        <w:rPr>
          <w:spacing w:val="-2"/>
        </w:rPr>
        <w:t> </w:t>
      </w:r>
      <w:r>
        <w:rPr/>
        <w:t>being</w:t>
      </w:r>
      <w:r>
        <w:rPr>
          <w:spacing w:val="-5"/>
        </w:rPr>
        <w:t> </w:t>
      </w:r>
      <w:r>
        <w:rPr/>
        <w:t>developed</w:t>
      </w:r>
      <w:r>
        <w:rPr>
          <w:spacing w:val="-5"/>
        </w:rPr>
        <w:t> </w:t>
      </w:r>
      <w:r>
        <w:rPr/>
        <w:t>by</w:t>
      </w:r>
      <w:r>
        <w:rPr>
          <w:spacing w:val="-5"/>
        </w:rPr>
        <w:t> </w:t>
      </w:r>
      <w:r>
        <w:rPr/>
        <w:t>the</w:t>
      </w:r>
      <w:r>
        <w:rPr>
          <w:spacing w:val="-5"/>
        </w:rPr>
        <w:t> </w:t>
      </w:r>
      <w:r>
        <w:rPr/>
        <w:t>Department</w:t>
      </w:r>
      <w:r>
        <w:rPr>
          <w:spacing w:val="-5"/>
        </w:rPr>
        <w:t> </w:t>
      </w:r>
      <w:r>
        <w:rPr/>
        <w:t>of</w:t>
      </w:r>
      <w:r>
        <w:rPr>
          <w:spacing w:val="-5"/>
        </w:rPr>
        <w:t> </w:t>
      </w:r>
      <w:r>
        <w:rPr/>
        <w:t>Housing,</w:t>
      </w:r>
      <w:r>
        <w:rPr>
          <w:spacing w:val="-5"/>
        </w:rPr>
        <w:t> </w:t>
      </w:r>
      <w:r>
        <w:rPr/>
        <w:t>Planning</w:t>
      </w:r>
      <w:r>
        <w:rPr>
          <w:spacing w:val="-5"/>
        </w:rPr>
        <w:t> </w:t>
      </w:r>
      <w:r>
        <w:rPr/>
        <w:t>and Local Government, in response to the consultation document ‘Ireland 2040 –Our Plan’. The submission highlighted the need for a Universal Design approach to planning in Ireland and guided on the relevant Universal Design resources to support delivery of this approach.</w:t>
      </w:r>
    </w:p>
    <w:p>
      <w:pPr>
        <w:pStyle w:val="Heading5"/>
        <w:spacing w:before="253"/>
        <w:rPr>
          <w:rFonts w:ascii="Rockwell"/>
        </w:rPr>
      </w:pPr>
      <w:r>
        <w:rPr>
          <w:rFonts w:ascii="Rockwell"/>
          <w:color w:val="BE2195"/>
        </w:rPr>
        <w:t>Early</w:t>
      </w:r>
      <w:r>
        <w:rPr>
          <w:rFonts w:ascii="Rockwell"/>
          <w:color w:val="BE2195"/>
          <w:spacing w:val="-9"/>
        </w:rPr>
        <w:t> </w:t>
      </w:r>
      <w:r>
        <w:rPr>
          <w:rFonts w:ascii="Rockwell"/>
          <w:color w:val="BE2195"/>
        </w:rPr>
        <w:t>Years</w:t>
      </w:r>
      <w:r>
        <w:rPr>
          <w:rFonts w:ascii="Rockwell"/>
          <w:color w:val="BE2195"/>
          <w:spacing w:val="-9"/>
        </w:rPr>
        <w:t> </w:t>
      </w:r>
      <w:r>
        <w:rPr>
          <w:rFonts w:ascii="Rockwell"/>
          <w:color w:val="BE2195"/>
        </w:rPr>
        <w:t>Settings</w:t>
      </w:r>
      <w:r>
        <w:rPr>
          <w:rFonts w:ascii="Rockwell"/>
          <w:color w:val="BE2195"/>
          <w:spacing w:val="-8"/>
        </w:rPr>
        <w:t> </w:t>
      </w:r>
      <w:r>
        <w:rPr>
          <w:rFonts w:ascii="Rockwell"/>
          <w:color w:val="BE2195"/>
        </w:rPr>
        <w:t>from</w:t>
      </w:r>
      <w:r>
        <w:rPr>
          <w:rFonts w:ascii="Rockwell"/>
          <w:color w:val="BE2195"/>
          <w:spacing w:val="-9"/>
        </w:rPr>
        <w:t> </w:t>
      </w:r>
      <w:r>
        <w:rPr>
          <w:rFonts w:ascii="Rockwell"/>
          <w:color w:val="BE2195"/>
        </w:rPr>
        <w:t>a</w:t>
      </w:r>
      <w:r>
        <w:rPr>
          <w:rFonts w:ascii="Rockwell"/>
          <w:color w:val="BE2195"/>
          <w:spacing w:val="-8"/>
        </w:rPr>
        <w:t> </w:t>
      </w:r>
      <w:r>
        <w:rPr>
          <w:rFonts w:ascii="Rockwell"/>
          <w:color w:val="BE2195"/>
        </w:rPr>
        <w:t>Universal</w:t>
      </w:r>
      <w:r>
        <w:rPr>
          <w:rFonts w:ascii="Rockwell"/>
          <w:color w:val="BE2195"/>
          <w:spacing w:val="-7"/>
        </w:rPr>
        <w:t> </w:t>
      </w:r>
      <w:r>
        <w:rPr>
          <w:rFonts w:ascii="Rockwell"/>
          <w:color w:val="BE2195"/>
        </w:rPr>
        <w:t>Design</w:t>
      </w:r>
      <w:r>
        <w:rPr>
          <w:rFonts w:ascii="Rockwell"/>
          <w:color w:val="BE2195"/>
          <w:spacing w:val="-7"/>
        </w:rPr>
        <w:t> </w:t>
      </w:r>
      <w:r>
        <w:rPr>
          <w:rFonts w:ascii="Rockwell"/>
          <w:color w:val="BE2195"/>
          <w:spacing w:val="-2"/>
        </w:rPr>
        <w:t>Approach</w:t>
      </w:r>
    </w:p>
    <w:p>
      <w:pPr>
        <w:pStyle w:val="BodyText"/>
        <w:spacing w:before="28"/>
        <w:ind w:left="1702" w:right="1080"/>
      </w:pPr>
      <w:r>
        <w:rPr/>
        <w:t>The</w:t>
      </w:r>
      <w:r>
        <w:rPr>
          <w:spacing w:val="-3"/>
        </w:rPr>
        <w:t> </w:t>
      </w:r>
      <w:r>
        <w:rPr/>
        <w:t>Centre commenced</w:t>
      </w:r>
      <w:r>
        <w:rPr>
          <w:spacing w:val="-3"/>
        </w:rPr>
        <w:t> </w:t>
      </w:r>
      <w:r>
        <w:rPr/>
        <w:t>a</w:t>
      </w:r>
      <w:r>
        <w:rPr>
          <w:spacing w:val="-3"/>
        </w:rPr>
        <w:t> </w:t>
      </w:r>
      <w:r>
        <w:rPr/>
        <w:t>project</w:t>
      </w:r>
      <w:r>
        <w:rPr>
          <w:spacing w:val="-3"/>
        </w:rPr>
        <w:t> </w:t>
      </w:r>
      <w:r>
        <w:rPr/>
        <w:t>in</w:t>
      </w:r>
      <w:r>
        <w:rPr>
          <w:spacing w:val="-2"/>
        </w:rPr>
        <w:t> </w:t>
      </w:r>
      <w:r>
        <w:rPr/>
        <w:t>partnership</w:t>
      </w:r>
      <w:r>
        <w:rPr>
          <w:spacing w:val="-3"/>
        </w:rPr>
        <w:t> </w:t>
      </w:r>
      <w:r>
        <w:rPr/>
        <w:t>with</w:t>
      </w:r>
      <w:r>
        <w:rPr>
          <w:spacing w:val="-3"/>
        </w:rPr>
        <w:t> </w:t>
      </w:r>
      <w:r>
        <w:rPr/>
        <w:t>the</w:t>
      </w:r>
      <w:r>
        <w:rPr>
          <w:spacing w:val="-3"/>
        </w:rPr>
        <w:t> </w:t>
      </w:r>
      <w:r>
        <w:rPr/>
        <w:t>Department</w:t>
      </w:r>
      <w:r>
        <w:rPr>
          <w:spacing w:val="-3"/>
        </w:rPr>
        <w:t> </w:t>
      </w:r>
      <w:r>
        <w:rPr/>
        <w:t>of Children and Youth Affairs to support the development of an audit tool for</w:t>
      </w:r>
      <w:r>
        <w:rPr>
          <w:spacing w:val="-4"/>
        </w:rPr>
        <w:t> </w:t>
      </w:r>
      <w:r>
        <w:rPr/>
        <w:t>use</w:t>
      </w:r>
      <w:r>
        <w:rPr>
          <w:spacing w:val="-4"/>
        </w:rPr>
        <w:t> </w:t>
      </w:r>
      <w:r>
        <w:rPr/>
        <w:t>by</w:t>
      </w:r>
      <w:r>
        <w:rPr>
          <w:spacing w:val="-4"/>
        </w:rPr>
        <w:t> </w:t>
      </w:r>
      <w:r>
        <w:rPr/>
        <w:t>early</w:t>
      </w:r>
      <w:r>
        <w:rPr>
          <w:spacing w:val="-4"/>
        </w:rPr>
        <w:t> </w:t>
      </w:r>
      <w:r>
        <w:rPr/>
        <w:t>years</w:t>
      </w:r>
      <w:r>
        <w:rPr>
          <w:spacing w:val="-1"/>
        </w:rPr>
        <w:t> </w:t>
      </w:r>
      <w:r>
        <w:rPr/>
        <w:t>practitioners</w:t>
      </w:r>
      <w:r>
        <w:rPr>
          <w:spacing w:val="-4"/>
        </w:rPr>
        <w:t> </w:t>
      </w:r>
      <w:r>
        <w:rPr/>
        <w:t>and</w:t>
      </w:r>
      <w:r>
        <w:rPr>
          <w:spacing w:val="-4"/>
        </w:rPr>
        <w:t> </w:t>
      </w:r>
      <w:r>
        <w:rPr/>
        <w:t>guidelines</w:t>
      </w:r>
      <w:r>
        <w:rPr>
          <w:spacing w:val="-3"/>
        </w:rPr>
        <w:t> </w:t>
      </w:r>
      <w:r>
        <w:rPr/>
        <w:t>for the</w:t>
      </w:r>
      <w:r>
        <w:rPr>
          <w:spacing w:val="-4"/>
        </w:rPr>
        <w:t> </w:t>
      </w:r>
      <w:r>
        <w:rPr/>
        <w:t>universal</w:t>
      </w:r>
      <w:r>
        <w:rPr>
          <w:spacing w:val="-4"/>
        </w:rPr>
        <w:t> </w:t>
      </w:r>
      <w:r>
        <w:rPr/>
        <w:t>design of early years settings. During 2017, this included the development of a tender to support this work. The project will continue in 2018.</w:t>
      </w:r>
    </w:p>
    <w:p>
      <w:pPr>
        <w:pStyle w:val="BodyText"/>
        <w:spacing w:after="0"/>
        <w:sectPr>
          <w:pgSz w:w="11910" w:h="16850"/>
          <w:pgMar w:header="0" w:footer="811" w:top="1880" w:bottom="1000" w:left="283" w:right="992"/>
        </w:sectPr>
      </w:pPr>
    </w:p>
    <w:p>
      <w:pPr>
        <w:pStyle w:val="Heading3"/>
        <w:spacing w:before="72"/>
        <w:ind w:right="1610"/>
        <w:jc w:val="both"/>
      </w:pPr>
      <w:r>
        <w:rPr>
          <w:color w:val="BE2195"/>
        </w:rPr>
        <w:t>Further</w:t>
      </w:r>
      <w:r>
        <w:rPr>
          <w:color w:val="BE2195"/>
          <w:spacing w:val="-7"/>
        </w:rPr>
        <w:t> </w:t>
      </w:r>
      <w:r>
        <w:rPr>
          <w:color w:val="BE2195"/>
        </w:rPr>
        <w:t>develop</w:t>
      </w:r>
      <w:r>
        <w:rPr>
          <w:color w:val="BE2195"/>
          <w:spacing w:val="-7"/>
        </w:rPr>
        <w:t> </w:t>
      </w:r>
      <w:r>
        <w:rPr>
          <w:color w:val="BE2195"/>
        </w:rPr>
        <w:t>the</w:t>
      </w:r>
      <w:r>
        <w:rPr>
          <w:color w:val="BE2195"/>
          <w:spacing w:val="-6"/>
        </w:rPr>
        <w:t> </w:t>
      </w:r>
      <w:r>
        <w:rPr>
          <w:color w:val="BE2195"/>
        </w:rPr>
        <w:t>network</w:t>
      </w:r>
      <w:r>
        <w:rPr>
          <w:color w:val="BE2195"/>
          <w:spacing w:val="-5"/>
        </w:rPr>
        <w:t> </w:t>
      </w:r>
      <w:r>
        <w:rPr>
          <w:color w:val="BE2195"/>
        </w:rPr>
        <w:t>of</w:t>
      </w:r>
      <w:r>
        <w:rPr>
          <w:color w:val="BE2195"/>
          <w:spacing w:val="-7"/>
        </w:rPr>
        <w:t> </w:t>
      </w:r>
      <w:r>
        <w:rPr>
          <w:color w:val="BE2195"/>
        </w:rPr>
        <w:t>champions</w:t>
      </w:r>
      <w:r>
        <w:rPr>
          <w:color w:val="BE2195"/>
          <w:spacing w:val="-8"/>
        </w:rPr>
        <w:t> </w:t>
      </w:r>
      <w:r>
        <w:rPr>
          <w:color w:val="BE2195"/>
        </w:rPr>
        <w:t>and extend the knowledge base of good practice in Universal Design</w:t>
      </w:r>
    </w:p>
    <w:p>
      <w:pPr>
        <w:pStyle w:val="BodyText"/>
        <w:spacing w:before="209"/>
        <w:rPr>
          <w:rFonts w:ascii="Rockwell"/>
          <w:b/>
          <w:sz w:val="32"/>
        </w:rPr>
      </w:pPr>
    </w:p>
    <w:p>
      <w:pPr>
        <w:pStyle w:val="Heading5"/>
        <w:ind w:right="988"/>
        <w:rPr>
          <w:rFonts w:ascii="Rockwell"/>
        </w:rPr>
      </w:pPr>
      <w:r>
        <w:rPr>
          <w:rFonts w:ascii="Rockwell"/>
          <w:color w:val="BE2195"/>
        </w:rPr>
        <w:t>Dementia</w:t>
      </w:r>
      <w:r>
        <w:rPr>
          <w:rFonts w:ascii="Rockwell"/>
          <w:color w:val="BE2195"/>
          <w:spacing w:val="-6"/>
        </w:rPr>
        <w:t> </w:t>
      </w:r>
      <w:r>
        <w:rPr>
          <w:rFonts w:ascii="Rockwell"/>
          <w:color w:val="BE2195"/>
        </w:rPr>
        <w:t>Friendly</w:t>
      </w:r>
      <w:r>
        <w:rPr>
          <w:rFonts w:ascii="Rockwell"/>
          <w:color w:val="BE2195"/>
          <w:spacing w:val="-4"/>
        </w:rPr>
        <w:t> </w:t>
      </w:r>
      <w:r>
        <w:rPr>
          <w:rFonts w:ascii="Rockwell"/>
          <w:color w:val="BE2195"/>
        </w:rPr>
        <w:t>Hospital</w:t>
      </w:r>
      <w:r>
        <w:rPr>
          <w:rFonts w:ascii="Rockwell"/>
          <w:color w:val="BE2195"/>
          <w:spacing w:val="-6"/>
        </w:rPr>
        <w:t> </w:t>
      </w:r>
      <w:r>
        <w:rPr>
          <w:rFonts w:ascii="Rockwell"/>
          <w:color w:val="BE2195"/>
        </w:rPr>
        <w:t>Design</w:t>
      </w:r>
      <w:r>
        <w:rPr>
          <w:rFonts w:ascii="Rockwell"/>
          <w:color w:val="BE2195"/>
          <w:spacing w:val="-5"/>
        </w:rPr>
        <w:t> </w:t>
      </w:r>
      <w:r>
        <w:rPr>
          <w:rFonts w:ascii="Rockwell"/>
          <w:color w:val="BE2195"/>
        </w:rPr>
        <w:t>from</w:t>
      </w:r>
      <w:r>
        <w:rPr>
          <w:rFonts w:ascii="Rockwell"/>
          <w:color w:val="BE2195"/>
          <w:spacing w:val="-6"/>
        </w:rPr>
        <w:t> </w:t>
      </w:r>
      <w:r>
        <w:rPr>
          <w:rFonts w:ascii="Rockwell"/>
          <w:color w:val="BE2195"/>
        </w:rPr>
        <w:t>a</w:t>
      </w:r>
      <w:r>
        <w:rPr>
          <w:rFonts w:ascii="Rockwell"/>
          <w:color w:val="BE2195"/>
          <w:spacing w:val="-6"/>
        </w:rPr>
        <w:t> </w:t>
      </w:r>
      <w:r>
        <w:rPr>
          <w:rFonts w:ascii="Rockwell"/>
          <w:color w:val="BE2195"/>
        </w:rPr>
        <w:t>Universal</w:t>
      </w:r>
      <w:r>
        <w:rPr>
          <w:rFonts w:ascii="Rockwell"/>
          <w:color w:val="BE2195"/>
          <w:spacing w:val="-6"/>
        </w:rPr>
        <w:t> </w:t>
      </w:r>
      <w:r>
        <w:rPr>
          <w:rFonts w:ascii="Rockwell"/>
          <w:color w:val="BE2195"/>
        </w:rPr>
        <w:t>Design Approach workshop</w:t>
      </w:r>
    </w:p>
    <w:p>
      <w:pPr>
        <w:pStyle w:val="BodyText"/>
        <w:spacing w:before="25"/>
        <w:ind w:left="1702" w:right="1080"/>
      </w:pPr>
      <w:r>
        <w:rPr/>
        <w:t>The Centre hosted the Dementia Friendly Hospital Design from a Universal Design Approach workshop. As part of the HRB-funded research project Dementia Friendly Irish Hospitals:</w:t>
      </w:r>
      <w:r>
        <w:rPr>
          <w:spacing w:val="40"/>
        </w:rPr>
        <w:t> </w:t>
      </w:r>
      <w:r>
        <w:rPr/>
        <w:t>Opportunities, Barriers, Costs, and Solutions, the stakeholder workshop discussed the outputs of the research to-date and the development of the proposed guidelines.</w:t>
      </w:r>
      <w:r>
        <w:rPr>
          <w:spacing w:val="-3"/>
        </w:rPr>
        <w:t> </w:t>
      </w:r>
      <w:r>
        <w:rPr/>
        <w:t>This</w:t>
      </w:r>
      <w:r>
        <w:rPr>
          <w:spacing w:val="-3"/>
        </w:rPr>
        <w:t> </w:t>
      </w:r>
      <w:r>
        <w:rPr/>
        <w:t>project</w:t>
      </w:r>
      <w:r>
        <w:rPr>
          <w:spacing w:val="-4"/>
        </w:rPr>
        <w:t> </w:t>
      </w:r>
      <w:r>
        <w:rPr/>
        <w:t>is</w:t>
      </w:r>
      <w:r>
        <w:rPr>
          <w:spacing w:val="-3"/>
        </w:rPr>
        <w:t> </w:t>
      </w:r>
      <w:r>
        <w:rPr/>
        <w:t>being</w:t>
      </w:r>
      <w:r>
        <w:rPr>
          <w:spacing w:val="-4"/>
        </w:rPr>
        <w:t> </w:t>
      </w:r>
      <w:r>
        <w:rPr/>
        <w:t>led</w:t>
      </w:r>
      <w:r>
        <w:rPr>
          <w:spacing w:val="-4"/>
        </w:rPr>
        <w:t> </w:t>
      </w:r>
      <w:r>
        <w:rPr/>
        <w:t>by</w:t>
      </w:r>
      <w:r>
        <w:rPr>
          <w:spacing w:val="-5"/>
        </w:rPr>
        <w:t> </w:t>
      </w:r>
      <w:r>
        <w:rPr/>
        <w:t>Prof</w:t>
      </w:r>
      <w:r>
        <w:rPr>
          <w:spacing w:val="-4"/>
        </w:rPr>
        <w:t> </w:t>
      </w:r>
      <w:r>
        <w:rPr/>
        <w:t>Des</w:t>
      </w:r>
      <w:r>
        <w:rPr>
          <w:spacing w:val="-2"/>
        </w:rPr>
        <w:t> </w:t>
      </w:r>
      <w:r>
        <w:rPr/>
        <w:t>O’Neill gerontologist</w:t>
      </w:r>
      <w:r>
        <w:rPr>
          <w:spacing w:val="-4"/>
        </w:rPr>
        <w:t> </w:t>
      </w:r>
      <w:r>
        <w:rPr/>
        <w:t>and the research team in TrinityHaus Trinity College Dublin.</w:t>
      </w:r>
    </w:p>
    <w:p>
      <w:pPr>
        <w:pStyle w:val="BodyText"/>
        <w:spacing w:before="16"/>
      </w:pPr>
    </w:p>
    <w:p>
      <w:pPr>
        <w:pStyle w:val="Heading5"/>
        <w:rPr>
          <w:rFonts w:ascii="Rockwell"/>
        </w:rPr>
      </w:pPr>
      <w:r>
        <w:rPr>
          <w:rFonts w:ascii="Rockwell"/>
          <w:color w:val="BE2195"/>
        </w:rPr>
        <w:t>European</w:t>
      </w:r>
      <w:r>
        <w:rPr>
          <w:rFonts w:ascii="Rockwell"/>
          <w:color w:val="BE2195"/>
          <w:spacing w:val="-9"/>
        </w:rPr>
        <w:t> </w:t>
      </w:r>
      <w:r>
        <w:rPr>
          <w:rFonts w:ascii="Rockwell"/>
          <w:color w:val="BE2195"/>
        </w:rPr>
        <w:t>Healthcare</w:t>
      </w:r>
      <w:r>
        <w:rPr>
          <w:rFonts w:ascii="Rockwell"/>
          <w:color w:val="BE2195"/>
          <w:spacing w:val="-11"/>
        </w:rPr>
        <w:t> </w:t>
      </w:r>
      <w:r>
        <w:rPr>
          <w:rFonts w:ascii="Rockwell"/>
          <w:color w:val="BE2195"/>
        </w:rPr>
        <w:t>Deign</w:t>
      </w:r>
      <w:r>
        <w:rPr>
          <w:rFonts w:ascii="Rockwell"/>
          <w:color w:val="BE2195"/>
          <w:spacing w:val="-8"/>
        </w:rPr>
        <w:t> </w:t>
      </w:r>
      <w:r>
        <w:rPr>
          <w:rFonts w:ascii="Rockwell"/>
          <w:color w:val="BE2195"/>
        </w:rPr>
        <w:t>2017</w:t>
      </w:r>
      <w:r>
        <w:rPr>
          <w:rFonts w:ascii="Rockwell"/>
          <w:color w:val="BE2195"/>
          <w:spacing w:val="-10"/>
        </w:rPr>
        <w:t> </w:t>
      </w:r>
      <w:r>
        <w:rPr>
          <w:rFonts w:ascii="Rockwell"/>
          <w:color w:val="BE2195"/>
        </w:rPr>
        <w:t>Congress,</w:t>
      </w:r>
      <w:r>
        <w:rPr>
          <w:rFonts w:ascii="Rockwell"/>
          <w:color w:val="BE2195"/>
          <w:spacing w:val="-10"/>
        </w:rPr>
        <w:t> </w:t>
      </w:r>
      <w:r>
        <w:rPr>
          <w:rFonts w:ascii="Rockwell"/>
          <w:color w:val="BE2195"/>
        </w:rPr>
        <w:t>London,</w:t>
      </w:r>
      <w:r>
        <w:rPr>
          <w:rFonts w:ascii="Rockwell"/>
          <w:color w:val="BE2195"/>
          <w:spacing w:val="-11"/>
        </w:rPr>
        <w:t> </w:t>
      </w:r>
      <w:r>
        <w:rPr>
          <w:rFonts w:ascii="Rockwell"/>
          <w:color w:val="BE2195"/>
          <w:spacing w:val="-2"/>
        </w:rPr>
        <w:t>England</w:t>
      </w:r>
    </w:p>
    <w:p>
      <w:pPr>
        <w:pStyle w:val="BodyText"/>
        <w:spacing w:before="227"/>
        <w:ind w:left="1702" w:right="1044"/>
      </w:pPr>
      <w:r>
        <w:rPr/>
        <w:t>The Centre presented at the European Healthcare Design 2017 Congress as part of the Clinicians for Design workshops. The title of the workshop was </w:t>
      </w:r>
      <w:r>
        <w:rPr>
          <w:b/>
        </w:rPr>
        <w:t>Universal Design: homes and healthcare buildings for an ageing population. </w:t>
      </w:r>
      <w:r>
        <w:rPr/>
        <w:t>Co-presenters were Diana Anderson MD, Dochitect,</w:t>
      </w:r>
      <w:r>
        <w:rPr>
          <w:spacing w:val="-5"/>
        </w:rPr>
        <w:t> </w:t>
      </w:r>
      <w:r>
        <w:rPr/>
        <w:t>Human</w:t>
      </w:r>
      <w:r>
        <w:rPr>
          <w:spacing w:val="-6"/>
        </w:rPr>
        <w:t> </w:t>
      </w:r>
      <w:r>
        <w:rPr/>
        <w:t>Experience</w:t>
      </w:r>
      <w:r>
        <w:rPr>
          <w:spacing w:val="-5"/>
        </w:rPr>
        <w:t> </w:t>
      </w:r>
      <w:r>
        <w:rPr/>
        <w:t>Lab,</w:t>
      </w:r>
      <w:r>
        <w:rPr>
          <w:spacing w:val="-5"/>
        </w:rPr>
        <w:t> </w:t>
      </w:r>
      <w:r>
        <w:rPr/>
        <w:t>USA,</w:t>
      </w:r>
      <w:r>
        <w:rPr>
          <w:spacing w:val="-5"/>
        </w:rPr>
        <w:t> </w:t>
      </w:r>
      <w:r>
        <w:rPr/>
        <w:t>Prof</w:t>
      </w:r>
      <w:r>
        <w:rPr>
          <w:spacing w:val="-4"/>
        </w:rPr>
        <w:t> </w:t>
      </w:r>
      <w:r>
        <w:rPr/>
        <w:t>Des</w:t>
      </w:r>
      <w:r>
        <w:rPr>
          <w:spacing w:val="-4"/>
        </w:rPr>
        <w:t> </w:t>
      </w:r>
      <w:r>
        <w:rPr/>
        <w:t>O’Neill</w:t>
      </w:r>
      <w:r>
        <w:rPr>
          <w:spacing w:val="-5"/>
        </w:rPr>
        <w:t> </w:t>
      </w:r>
      <w:r>
        <w:rPr/>
        <w:t>MD,</w:t>
      </w:r>
      <w:r>
        <w:rPr>
          <w:spacing w:val="-5"/>
        </w:rPr>
        <w:t> </w:t>
      </w:r>
      <w:r>
        <w:rPr/>
        <w:t>Consultant physician in geriatric and stroke medicine, and professor in medical gerontology, Tallaght Hospital and Trinity College, Dublin, and</w:t>
      </w:r>
    </w:p>
    <w:p>
      <w:pPr>
        <w:pStyle w:val="BodyText"/>
        <w:spacing w:line="301" w:lineRule="exact"/>
        <w:ind w:left="1702"/>
      </w:pPr>
      <w:r>
        <w:rPr/>
        <w:t>Thomas</w:t>
      </w:r>
      <w:r>
        <w:rPr>
          <w:spacing w:val="-11"/>
        </w:rPr>
        <w:t> </w:t>
      </w:r>
      <w:r>
        <w:rPr/>
        <w:t>Grey,</w:t>
      </w:r>
      <w:r>
        <w:rPr>
          <w:spacing w:val="-7"/>
        </w:rPr>
        <w:t> </w:t>
      </w:r>
      <w:r>
        <w:rPr/>
        <w:t>Research</w:t>
      </w:r>
      <w:r>
        <w:rPr>
          <w:spacing w:val="-10"/>
        </w:rPr>
        <w:t> </w:t>
      </w:r>
      <w:r>
        <w:rPr/>
        <w:t>fellow,</w:t>
      </w:r>
      <w:r>
        <w:rPr>
          <w:spacing w:val="-10"/>
        </w:rPr>
        <w:t> </w:t>
      </w:r>
      <w:r>
        <w:rPr/>
        <w:t>Trinity</w:t>
      </w:r>
      <w:r>
        <w:rPr>
          <w:spacing w:val="-10"/>
        </w:rPr>
        <w:t> </w:t>
      </w:r>
      <w:r>
        <w:rPr/>
        <w:t>Haus,</w:t>
      </w:r>
      <w:r>
        <w:rPr>
          <w:spacing w:val="-8"/>
        </w:rPr>
        <w:t> </w:t>
      </w:r>
      <w:r>
        <w:rPr/>
        <w:t>Trinity</w:t>
      </w:r>
      <w:r>
        <w:rPr>
          <w:spacing w:val="-11"/>
        </w:rPr>
        <w:t> </w:t>
      </w:r>
      <w:r>
        <w:rPr/>
        <w:t>College,</w:t>
      </w:r>
      <w:r>
        <w:rPr>
          <w:spacing w:val="-9"/>
        </w:rPr>
        <w:t> </w:t>
      </w:r>
      <w:r>
        <w:rPr>
          <w:spacing w:val="-2"/>
        </w:rPr>
        <w:t>Ireland.</w:t>
      </w:r>
    </w:p>
    <w:p>
      <w:pPr>
        <w:spacing w:line="249" w:lineRule="auto" w:before="253"/>
        <w:ind w:left="1702" w:right="1249" w:firstLine="0"/>
        <w:jc w:val="left"/>
        <w:rPr>
          <w:sz w:val="26"/>
        </w:rPr>
      </w:pPr>
      <w:r>
        <w:rPr>
          <w:rFonts w:ascii="Rockwell"/>
          <w:b/>
          <w:color w:val="BE2195"/>
          <w:sz w:val="26"/>
        </w:rPr>
        <w:t>National</w:t>
      </w:r>
      <w:r>
        <w:rPr>
          <w:rFonts w:ascii="Rockwell"/>
          <w:b/>
          <w:color w:val="BE2195"/>
          <w:spacing w:val="-5"/>
          <w:sz w:val="26"/>
        </w:rPr>
        <w:t> </w:t>
      </w:r>
      <w:r>
        <w:rPr>
          <w:rFonts w:ascii="Rockwell"/>
          <w:b/>
          <w:color w:val="BE2195"/>
          <w:sz w:val="26"/>
        </w:rPr>
        <w:t>Convention</w:t>
      </w:r>
      <w:r>
        <w:rPr>
          <w:rFonts w:ascii="Rockwell"/>
          <w:b/>
          <w:color w:val="BE2195"/>
          <w:spacing w:val="-5"/>
          <w:sz w:val="26"/>
        </w:rPr>
        <w:t> </w:t>
      </w:r>
      <w:r>
        <w:rPr>
          <w:rFonts w:ascii="Rockwell"/>
          <w:b/>
          <w:color w:val="BE2195"/>
          <w:sz w:val="26"/>
        </w:rPr>
        <w:t>of</w:t>
      </w:r>
      <w:r>
        <w:rPr>
          <w:rFonts w:ascii="Rockwell"/>
          <w:b/>
          <w:color w:val="BE2195"/>
          <w:spacing w:val="-7"/>
          <w:sz w:val="26"/>
        </w:rPr>
        <w:t> </w:t>
      </w:r>
      <w:r>
        <w:rPr>
          <w:rFonts w:ascii="Rockwell"/>
          <w:b/>
          <w:color w:val="BE2195"/>
          <w:sz w:val="26"/>
        </w:rPr>
        <w:t>Older</w:t>
      </w:r>
      <w:r>
        <w:rPr>
          <w:rFonts w:ascii="Rockwell"/>
          <w:b/>
          <w:color w:val="BE2195"/>
          <w:spacing w:val="-7"/>
          <w:sz w:val="26"/>
        </w:rPr>
        <w:t> </w:t>
      </w:r>
      <w:r>
        <w:rPr>
          <w:rFonts w:ascii="Rockwell"/>
          <w:b/>
          <w:color w:val="BE2195"/>
          <w:sz w:val="26"/>
        </w:rPr>
        <w:t>Peoples</w:t>
      </w:r>
      <w:r>
        <w:rPr>
          <w:rFonts w:ascii="Rockwell"/>
          <w:b/>
          <w:color w:val="BE2195"/>
          <w:spacing w:val="-7"/>
          <w:sz w:val="26"/>
        </w:rPr>
        <w:t> </w:t>
      </w:r>
      <w:r>
        <w:rPr>
          <w:rFonts w:ascii="Rockwell"/>
          <w:b/>
          <w:color w:val="BE2195"/>
          <w:sz w:val="26"/>
        </w:rPr>
        <w:t>Councils</w:t>
      </w:r>
      <w:r>
        <w:rPr>
          <w:rFonts w:ascii="Rockwell"/>
          <w:b/>
          <w:color w:val="BE2195"/>
          <w:spacing w:val="-5"/>
          <w:sz w:val="26"/>
        </w:rPr>
        <w:t> </w:t>
      </w:r>
      <w:r>
        <w:rPr>
          <w:rFonts w:ascii="Rockwell"/>
          <w:b/>
          <w:color w:val="BE2195"/>
          <w:sz w:val="26"/>
        </w:rPr>
        <w:t>of</w:t>
      </w:r>
      <w:r>
        <w:rPr>
          <w:rFonts w:ascii="Rockwell"/>
          <w:b/>
          <w:color w:val="BE2195"/>
          <w:spacing w:val="-7"/>
          <w:sz w:val="26"/>
        </w:rPr>
        <w:t> </w:t>
      </w:r>
      <w:r>
        <w:rPr>
          <w:rFonts w:ascii="Rockwell"/>
          <w:b/>
          <w:color w:val="BE2195"/>
          <w:sz w:val="26"/>
        </w:rPr>
        <w:t>Ireland </w:t>
      </w:r>
      <w:r>
        <w:rPr>
          <w:sz w:val="26"/>
        </w:rPr>
        <w:t>The Centre presented at the National Convention of Older Peoples Councils of Ireland as part of </w:t>
      </w:r>
      <w:r>
        <w:rPr>
          <w:color w:val="2E2E2E"/>
          <w:sz w:val="26"/>
        </w:rPr>
        <w:t>Limerick Age Friendly Programme. The</w:t>
      </w:r>
    </w:p>
    <w:p>
      <w:pPr>
        <w:pStyle w:val="BodyText"/>
        <w:ind w:left="1702" w:right="1035"/>
      </w:pPr>
      <w:r>
        <w:rPr>
          <w:color w:val="2E2E2E"/>
        </w:rPr>
        <w:t>presentation</w:t>
      </w:r>
      <w:r>
        <w:rPr>
          <w:color w:val="2E2E2E"/>
          <w:spacing w:val="-5"/>
        </w:rPr>
        <w:t> </w:t>
      </w:r>
      <w:r>
        <w:rPr>
          <w:color w:val="2E2E2E"/>
        </w:rPr>
        <w:t>was</w:t>
      </w:r>
      <w:r>
        <w:rPr>
          <w:color w:val="2E2E2E"/>
          <w:spacing w:val="-5"/>
        </w:rPr>
        <w:t> </w:t>
      </w:r>
      <w:r>
        <w:rPr>
          <w:color w:val="2E2E2E"/>
        </w:rPr>
        <w:t>titled</w:t>
      </w:r>
      <w:r>
        <w:rPr>
          <w:color w:val="2E2E2E"/>
          <w:spacing w:val="-3"/>
        </w:rPr>
        <w:t> </w:t>
      </w:r>
      <w:r>
        <w:rPr>
          <w:color w:val="2E2E2E"/>
        </w:rPr>
        <w:t>“how</w:t>
      </w:r>
      <w:r>
        <w:rPr>
          <w:color w:val="2E2E2E"/>
          <w:spacing w:val="-5"/>
        </w:rPr>
        <w:t> </w:t>
      </w:r>
      <w:r>
        <w:rPr>
          <w:color w:val="2E2E2E"/>
        </w:rPr>
        <w:t>implementing</w:t>
      </w:r>
      <w:r>
        <w:rPr>
          <w:color w:val="2E2E2E"/>
          <w:spacing w:val="-4"/>
        </w:rPr>
        <w:t> </w:t>
      </w:r>
      <w:r>
        <w:rPr>
          <w:color w:val="2E2E2E"/>
        </w:rPr>
        <w:t>Universal</w:t>
      </w:r>
      <w:r>
        <w:rPr>
          <w:color w:val="2E2E2E"/>
          <w:spacing w:val="-5"/>
        </w:rPr>
        <w:t> </w:t>
      </w:r>
      <w:r>
        <w:rPr>
          <w:color w:val="2E2E2E"/>
        </w:rPr>
        <w:t>Design</w:t>
      </w:r>
      <w:r>
        <w:rPr>
          <w:color w:val="2E2E2E"/>
          <w:spacing w:val="-5"/>
        </w:rPr>
        <w:t> </w:t>
      </w:r>
      <w:r>
        <w:rPr>
          <w:color w:val="2E2E2E"/>
        </w:rPr>
        <w:t>principles</w:t>
      </w:r>
      <w:r>
        <w:rPr>
          <w:color w:val="2E2E2E"/>
          <w:spacing w:val="-4"/>
        </w:rPr>
        <w:t> </w:t>
      </w:r>
      <w:r>
        <w:rPr>
          <w:color w:val="2E2E2E"/>
        </w:rPr>
        <w:t>will provide people with housing that is suitable for older people at a range of life stages." This was informed by the Centre’s work and resources to guide Universal Design homes.</w:t>
      </w:r>
    </w:p>
    <w:p>
      <w:pPr>
        <w:pStyle w:val="Heading5"/>
        <w:spacing w:before="245"/>
        <w:rPr>
          <w:rFonts w:ascii="Rockwell"/>
        </w:rPr>
      </w:pPr>
      <w:r>
        <w:rPr>
          <w:rFonts w:ascii="Rockwell"/>
          <w:color w:val="BE2195"/>
        </w:rPr>
        <w:t>Universal</w:t>
      </w:r>
      <w:r>
        <w:rPr>
          <w:rFonts w:ascii="Rockwell"/>
          <w:color w:val="BE2195"/>
          <w:spacing w:val="-14"/>
        </w:rPr>
        <w:t> </w:t>
      </w:r>
      <w:r>
        <w:rPr>
          <w:rFonts w:ascii="Rockwell"/>
          <w:color w:val="BE2195"/>
        </w:rPr>
        <w:t>Design</w:t>
      </w:r>
      <w:r>
        <w:rPr>
          <w:rFonts w:ascii="Rockwell"/>
          <w:color w:val="BE2195"/>
          <w:spacing w:val="-9"/>
        </w:rPr>
        <w:t> </w:t>
      </w:r>
      <w:r>
        <w:rPr>
          <w:rFonts w:ascii="Rockwell"/>
          <w:color w:val="BE2195"/>
        </w:rPr>
        <w:t>presentations</w:t>
      </w:r>
      <w:r>
        <w:rPr>
          <w:rFonts w:ascii="Rockwell"/>
          <w:color w:val="BE2195"/>
          <w:spacing w:val="-12"/>
        </w:rPr>
        <w:t> </w:t>
      </w:r>
      <w:r>
        <w:rPr>
          <w:rFonts w:ascii="Rockwell"/>
          <w:color w:val="BE2195"/>
        </w:rPr>
        <w:t>to</w:t>
      </w:r>
      <w:r>
        <w:rPr>
          <w:rFonts w:ascii="Rockwell"/>
          <w:color w:val="BE2195"/>
          <w:spacing w:val="-11"/>
        </w:rPr>
        <w:t> </w:t>
      </w:r>
      <w:r>
        <w:rPr>
          <w:rFonts w:ascii="Rockwell"/>
          <w:color w:val="BE2195"/>
        </w:rPr>
        <w:t>National</w:t>
      </w:r>
      <w:r>
        <w:rPr>
          <w:rFonts w:ascii="Rockwell"/>
          <w:color w:val="BE2195"/>
          <w:spacing w:val="-11"/>
        </w:rPr>
        <w:t> </w:t>
      </w:r>
      <w:r>
        <w:rPr>
          <w:rFonts w:ascii="Rockwell"/>
          <w:color w:val="BE2195"/>
          <w:spacing w:val="-2"/>
        </w:rPr>
        <w:t>Stakeholders</w:t>
      </w:r>
    </w:p>
    <w:p>
      <w:pPr>
        <w:pStyle w:val="BodyText"/>
        <w:spacing w:before="28"/>
        <w:ind w:left="1702"/>
      </w:pPr>
      <w:r>
        <w:rPr/>
        <w:t>The</w:t>
      </w:r>
      <w:r>
        <w:rPr>
          <w:spacing w:val="-8"/>
        </w:rPr>
        <w:t> </w:t>
      </w:r>
      <w:r>
        <w:rPr/>
        <w:t>Centre</w:t>
      </w:r>
      <w:r>
        <w:rPr>
          <w:spacing w:val="-6"/>
        </w:rPr>
        <w:t> </w:t>
      </w:r>
      <w:r>
        <w:rPr/>
        <w:t>also</w:t>
      </w:r>
      <w:r>
        <w:rPr>
          <w:spacing w:val="-7"/>
        </w:rPr>
        <w:t> </w:t>
      </w:r>
      <w:r>
        <w:rPr/>
        <w:t>presented</w:t>
      </w:r>
      <w:r>
        <w:rPr>
          <w:spacing w:val="-8"/>
        </w:rPr>
        <w:t> </w:t>
      </w:r>
      <w:r>
        <w:rPr>
          <w:spacing w:val="-5"/>
        </w:rPr>
        <w:t>at:</w:t>
      </w:r>
    </w:p>
    <w:p>
      <w:pPr>
        <w:pStyle w:val="ListParagraph"/>
        <w:numPr>
          <w:ilvl w:val="0"/>
          <w:numId w:val="8"/>
        </w:numPr>
        <w:tabs>
          <w:tab w:pos="2422" w:val="left" w:leader="none"/>
        </w:tabs>
        <w:spacing w:line="240" w:lineRule="auto" w:before="238" w:after="0"/>
        <w:ind w:left="2422" w:right="1097" w:hanging="360"/>
        <w:jc w:val="left"/>
        <w:rPr>
          <w:rFonts w:ascii="Symbol" w:hAnsi="Symbol"/>
          <w:sz w:val="26"/>
        </w:rPr>
      </w:pPr>
      <w:r>
        <w:rPr>
          <w:sz w:val="26"/>
        </w:rPr>
        <w:t>the</w:t>
      </w:r>
      <w:r>
        <w:rPr>
          <w:spacing w:val="-5"/>
          <w:sz w:val="26"/>
        </w:rPr>
        <w:t> </w:t>
      </w:r>
      <w:r>
        <w:rPr>
          <w:sz w:val="26"/>
        </w:rPr>
        <w:t>UD-TODAY</w:t>
      </w:r>
      <w:r>
        <w:rPr>
          <w:spacing w:val="-5"/>
          <w:sz w:val="26"/>
        </w:rPr>
        <w:t> </w:t>
      </w:r>
      <w:r>
        <w:rPr>
          <w:sz w:val="26"/>
        </w:rPr>
        <w:t>conference</w:t>
      </w:r>
      <w:r>
        <w:rPr>
          <w:spacing w:val="-5"/>
          <w:sz w:val="26"/>
        </w:rPr>
        <w:t> </w:t>
      </w:r>
      <w:r>
        <w:rPr>
          <w:sz w:val="26"/>
        </w:rPr>
        <w:t>in</w:t>
      </w:r>
      <w:r>
        <w:rPr>
          <w:spacing w:val="-5"/>
          <w:sz w:val="26"/>
        </w:rPr>
        <w:t> </w:t>
      </w:r>
      <w:r>
        <w:rPr>
          <w:sz w:val="26"/>
        </w:rPr>
        <w:t>the</w:t>
      </w:r>
      <w:r>
        <w:rPr>
          <w:spacing w:val="40"/>
          <w:sz w:val="26"/>
        </w:rPr>
        <w:t> </w:t>
      </w:r>
      <w:r>
        <w:rPr>
          <w:sz w:val="26"/>
        </w:rPr>
        <w:t>USA</w:t>
      </w:r>
      <w:r>
        <w:rPr>
          <w:spacing w:val="-5"/>
          <w:sz w:val="26"/>
        </w:rPr>
        <w:t> </w:t>
      </w:r>
      <w:r>
        <w:rPr>
          <w:sz w:val="26"/>
        </w:rPr>
        <w:t>with</w:t>
      </w:r>
      <w:r>
        <w:rPr>
          <w:spacing w:val="-3"/>
          <w:sz w:val="26"/>
        </w:rPr>
        <w:t> </w:t>
      </w:r>
      <w:r>
        <w:rPr>
          <w:sz w:val="26"/>
        </w:rPr>
        <w:t>international</w:t>
      </w:r>
      <w:r>
        <w:rPr>
          <w:spacing w:val="-5"/>
          <w:sz w:val="26"/>
        </w:rPr>
        <w:t> </w:t>
      </w:r>
      <w:r>
        <w:rPr>
          <w:sz w:val="26"/>
        </w:rPr>
        <w:t>experts on the progress and outputs of the Centre over the past 10 years.</w:t>
      </w:r>
    </w:p>
    <w:p>
      <w:pPr>
        <w:pStyle w:val="ListParagraph"/>
        <w:numPr>
          <w:ilvl w:val="0"/>
          <w:numId w:val="8"/>
        </w:numPr>
        <w:tabs>
          <w:tab w:pos="2422" w:val="left" w:leader="none"/>
        </w:tabs>
        <w:spacing w:line="240" w:lineRule="auto" w:before="1" w:after="0"/>
        <w:ind w:left="2422" w:right="1128" w:hanging="360"/>
        <w:jc w:val="left"/>
        <w:rPr>
          <w:rFonts w:ascii="Symbol" w:hAnsi="Symbol"/>
          <w:color w:val="202020"/>
          <w:sz w:val="26"/>
        </w:rPr>
      </w:pPr>
      <w:r>
        <w:rPr>
          <w:sz w:val="26"/>
        </w:rPr>
        <w:t>AHEAD (</w:t>
      </w:r>
      <w:r>
        <w:rPr>
          <w:color w:val="252525"/>
          <w:sz w:val="26"/>
        </w:rPr>
        <w:t>Association for Higher Education Access &amp; Disability) series</w:t>
      </w:r>
      <w:r>
        <w:rPr>
          <w:color w:val="252525"/>
          <w:spacing w:val="-4"/>
          <w:sz w:val="26"/>
        </w:rPr>
        <w:t> </w:t>
      </w:r>
      <w:r>
        <w:rPr>
          <w:color w:val="252525"/>
          <w:sz w:val="26"/>
        </w:rPr>
        <w:t>on</w:t>
      </w:r>
      <w:r>
        <w:rPr>
          <w:color w:val="252525"/>
          <w:spacing w:val="-6"/>
          <w:sz w:val="26"/>
        </w:rPr>
        <w:t> </w:t>
      </w:r>
      <w:r>
        <w:rPr>
          <w:color w:val="252525"/>
          <w:sz w:val="26"/>
        </w:rPr>
        <w:t>inclusive</w:t>
      </w:r>
      <w:r>
        <w:rPr>
          <w:color w:val="252525"/>
          <w:spacing w:val="-6"/>
          <w:sz w:val="26"/>
        </w:rPr>
        <w:t> </w:t>
      </w:r>
      <w:r>
        <w:rPr>
          <w:color w:val="252525"/>
          <w:sz w:val="26"/>
        </w:rPr>
        <w:t>education</w:t>
      </w:r>
      <w:r>
        <w:rPr>
          <w:color w:val="252525"/>
          <w:spacing w:val="-6"/>
          <w:sz w:val="26"/>
        </w:rPr>
        <w:t> </w:t>
      </w:r>
      <w:r>
        <w:rPr>
          <w:color w:val="252525"/>
          <w:sz w:val="26"/>
        </w:rPr>
        <w:t>for</w:t>
      </w:r>
      <w:r>
        <w:rPr>
          <w:color w:val="252525"/>
          <w:spacing w:val="-6"/>
          <w:sz w:val="26"/>
        </w:rPr>
        <w:t> </w:t>
      </w:r>
      <w:r>
        <w:rPr>
          <w:color w:val="252525"/>
          <w:sz w:val="26"/>
        </w:rPr>
        <w:t>the</w:t>
      </w:r>
      <w:r>
        <w:rPr>
          <w:color w:val="252525"/>
          <w:spacing w:val="-1"/>
          <w:sz w:val="26"/>
        </w:rPr>
        <w:t> </w:t>
      </w:r>
      <w:r>
        <w:rPr>
          <w:color w:val="171717"/>
          <w:sz w:val="26"/>
        </w:rPr>
        <w:t>Further</w:t>
      </w:r>
      <w:r>
        <w:rPr>
          <w:color w:val="171717"/>
          <w:spacing w:val="-3"/>
          <w:sz w:val="26"/>
        </w:rPr>
        <w:t> </w:t>
      </w:r>
      <w:r>
        <w:rPr>
          <w:color w:val="171717"/>
          <w:sz w:val="26"/>
        </w:rPr>
        <w:t>Education</w:t>
      </w:r>
      <w:r>
        <w:rPr>
          <w:color w:val="171717"/>
          <w:spacing w:val="-4"/>
          <w:sz w:val="26"/>
        </w:rPr>
        <w:t> </w:t>
      </w:r>
      <w:r>
        <w:rPr>
          <w:color w:val="171717"/>
          <w:sz w:val="26"/>
        </w:rPr>
        <w:t>Sector</w:t>
      </w:r>
      <w:r>
        <w:rPr>
          <w:color w:val="171717"/>
          <w:spacing w:val="-6"/>
          <w:sz w:val="26"/>
        </w:rPr>
        <w:t> </w:t>
      </w:r>
      <w:r>
        <w:rPr>
          <w:color w:val="171717"/>
          <w:sz w:val="26"/>
        </w:rPr>
        <w:t>with</w:t>
      </w:r>
    </w:p>
    <w:p>
      <w:pPr>
        <w:pStyle w:val="ListParagraph"/>
        <w:spacing w:after="0" w:line="240" w:lineRule="auto"/>
        <w:jc w:val="left"/>
        <w:rPr>
          <w:rFonts w:ascii="Symbol" w:hAnsi="Symbol"/>
          <w:sz w:val="26"/>
        </w:rPr>
        <w:sectPr>
          <w:pgSz w:w="11910" w:h="16850"/>
          <w:pgMar w:header="0" w:footer="811" w:top="1900" w:bottom="1000" w:left="283" w:right="992"/>
        </w:sectPr>
      </w:pPr>
    </w:p>
    <w:p>
      <w:pPr>
        <w:pStyle w:val="BodyText"/>
        <w:spacing w:before="79"/>
        <w:ind w:left="2422" w:right="988"/>
      </w:pPr>
      <w:r>
        <w:rPr>
          <w:color w:val="171717"/>
        </w:rPr>
        <w:t>a</w:t>
      </w:r>
      <w:r>
        <w:rPr>
          <w:color w:val="171717"/>
          <w:spacing w:val="-5"/>
        </w:rPr>
        <w:t> </w:t>
      </w:r>
      <w:r>
        <w:rPr>
          <w:color w:val="171717"/>
        </w:rPr>
        <w:t>focus</w:t>
      </w:r>
      <w:r>
        <w:rPr>
          <w:color w:val="171717"/>
          <w:spacing w:val="-4"/>
        </w:rPr>
        <w:t> </w:t>
      </w:r>
      <w:r>
        <w:rPr>
          <w:color w:val="171717"/>
        </w:rPr>
        <w:t>on</w:t>
      </w:r>
      <w:r>
        <w:rPr>
          <w:color w:val="171717"/>
          <w:spacing w:val="-5"/>
        </w:rPr>
        <w:t> </w:t>
      </w:r>
      <w:r>
        <w:rPr>
          <w:color w:val="171717"/>
        </w:rPr>
        <w:t>collaboration</w:t>
      </w:r>
      <w:r>
        <w:rPr>
          <w:color w:val="171717"/>
          <w:spacing w:val="-5"/>
        </w:rPr>
        <w:t> </w:t>
      </w:r>
      <w:r>
        <w:rPr>
          <w:color w:val="171717"/>
        </w:rPr>
        <w:t>to</w:t>
      </w:r>
      <w:r>
        <w:rPr>
          <w:color w:val="171717"/>
          <w:spacing w:val="-4"/>
        </w:rPr>
        <w:t> </w:t>
      </w:r>
      <w:r>
        <w:rPr>
          <w:color w:val="171717"/>
        </w:rPr>
        <w:t>develop</w:t>
      </w:r>
      <w:r>
        <w:rPr>
          <w:color w:val="171717"/>
          <w:spacing w:val="-5"/>
        </w:rPr>
        <w:t> </w:t>
      </w:r>
      <w:r>
        <w:rPr>
          <w:color w:val="171717"/>
        </w:rPr>
        <w:t>teaching</w:t>
      </w:r>
      <w:r>
        <w:rPr>
          <w:color w:val="171717"/>
          <w:spacing w:val="-2"/>
        </w:rPr>
        <w:t> </w:t>
      </w:r>
      <w:r>
        <w:rPr>
          <w:color w:val="171717"/>
        </w:rPr>
        <w:t>to</w:t>
      </w:r>
      <w:r>
        <w:rPr>
          <w:color w:val="171717"/>
          <w:spacing w:val="-4"/>
        </w:rPr>
        <w:t> </w:t>
      </w:r>
      <w:r>
        <w:rPr>
          <w:color w:val="171717"/>
        </w:rPr>
        <w:t>be</w:t>
      </w:r>
      <w:r>
        <w:rPr>
          <w:color w:val="171717"/>
          <w:spacing w:val="-5"/>
        </w:rPr>
        <w:t> </w:t>
      </w:r>
      <w:r>
        <w:rPr>
          <w:color w:val="171717"/>
        </w:rPr>
        <w:t>more</w:t>
      </w:r>
      <w:r>
        <w:rPr>
          <w:color w:val="171717"/>
          <w:spacing w:val="-4"/>
        </w:rPr>
        <w:t> </w:t>
      </w:r>
      <w:r>
        <w:rPr>
          <w:color w:val="171717"/>
        </w:rPr>
        <w:t>inclusive</w:t>
      </w:r>
      <w:r>
        <w:rPr>
          <w:color w:val="171717"/>
          <w:spacing w:val="-5"/>
        </w:rPr>
        <w:t> </w:t>
      </w:r>
      <w:r>
        <w:rPr>
          <w:color w:val="171717"/>
        </w:rPr>
        <w:t>in line with the Universal Design Learning Model.</w:t>
      </w:r>
    </w:p>
    <w:p>
      <w:pPr>
        <w:pStyle w:val="ListParagraph"/>
        <w:numPr>
          <w:ilvl w:val="0"/>
          <w:numId w:val="8"/>
        </w:numPr>
        <w:tabs>
          <w:tab w:pos="2422" w:val="left" w:leader="none"/>
        </w:tabs>
        <w:spacing w:line="240" w:lineRule="auto" w:before="0" w:after="0"/>
        <w:ind w:left="2422" w:right="1081" w:hanging="360"/>
        <w:jc w:val="left"/>
        <w:rPr>
          <w:rFonts w:ascii="Symbol" w:hAnsi="Symbol"/>
          <w:sz w:val="26"/>
        </w:rPr>
      </w:pPr>
      <w:r>
        <w:rPr>
          <w:sz w:val="26"/>
        </w:rPr>
        <w:t>Chartered</w:t>
      </w:r>
      <w:r>
        <w:rPr>
          <w:spacing w:val="-7"/>
          <w:sz w:val="26"/>
        </w:rPr>
        <w:t> </w:t>
      </w:r>
      <w:r>
        <w:rPr>
          <w:sz w:val="26"/>
        </w:rPr>
        <w:t>Physiotherapists</w:t>
      </w:r>
      <w:r>
        <w:rPr>
          <w:spacing w:val="-6"/>
          <w:sz w:val="26"/>
        </w:rPr>
        <w:t> </w:t>
      </w:r>
      <w:r>
        <w:rPr>
          <w:sz w:val="26"/>
        </w:rPr>
        <w:t>in</w:t>
      </w:r>
      <w:r>
        <w:rPr>
          <w:spacing w:val="-6"/>
          <w:sz w:val="26"/>
        </w:rPr>
        <w:t> </w:t>
      </w:r>
      <w:r>
        <w:rPr>
          <w:sz w:val="26"/>
        </w:rPr>
        <w:t>Occupational</w:t>
      </w:r>
      <w:r>
        <w:rPr>
          <w:spacing w:val="-4"/>
          <w:sz w:val="26"/>
        </w:rPr>
        <w:t> </w:t>
      </w:r>
      <w:r>
        <w:rPr>
          <w:sz w:val="26"/>
        </w:rPr>
        <w:t>Health</w:t>
      </w:r>
      <w:r>
        <w:rPr>
          <w:spacing w:val="-7"/>
          <w:sz w:val="26"/>
        </w:rPr>
        <w:t> </w:t>
      </w:r>
      <w:r>
        <w:rPr>
          <w:sz w:val="26"/>
        </w:rPr>
        <w:t>and</w:t>
      </w:r>
      <w:r>
        <w:rPr>
          <w:spacing w:val="-7"/>
          <w:sz w:val="26"/>
        </w:rPr>
        <w:t> </w:t>
      </w:r>
      <w:r>
        <w:rPr>
          <w:sz w:val="26"/>
        </w:rPr>
        <w:t>Ergonomics study day and AGM with a focus on human body size design </w:t>
      </w:r>
      <w:r>
        <w:rPr>
          <w:spacing w:val="-2"/>
          <w:sz w:val="26"/>
        </w:rPr>
        <w:t>guidance.</w:t>
      </w:r>
    </w:p>
    <w:p>
      <w:pPr>
        <w:pStyle w:val="ListParagraph"/>
        <w:numPr>
          <w:ilvl w:val="0"/>
          <w:numId w:val="8"/>
        </w:numPr>
        <w:tabs>
          <w:tab w:pos="2422" w:val="left" w:leader="none"/>
        </w:tabs>
        <w:spacing w:line="240" w:lineRule="auto" w:before="0" w:after="0"/>
        <w:ind w:left="2422" w:right="1129" w:hanging="360"/>
        <w:jc w:val="left"/>
        <w:rPr>
          <w:rFonts w:ascii="Symbol" w:hAnsi="Symbol"/>
          <w:sz w:val="26"/>
        </w:rPr>
      </w:pPr>
      <w:r>
        <w:rPr>
          <w:sz w:val="26"/>
        </w:rPr>
        <w:t>Office</w:t>
      </w:r>
      <w:r>
        <w:rPr>
          <w:spacing w:val="-6"/>
          <w:sz w:val="26"/>
        </w:rPr>
        <w:t> </w:t>
      </w:r>
      <w:r>
        <w:rPr>
          <w:sz w:val="26"/>
        </w:rPr>
        <w:t>of</w:t>
      </w:r>
      <w:r>
        <w:rPr>
          <w:spacing w:val="-6"/>
          <w:sz w:val="26"/>
        </w:rPr>
        <w:t> </w:t>
      </w:r>
      <w:r>
        <w:rPr>
          <w:sz w:val="26"/>
        </w:rPr>
        <w:t>Public</w:t>
      </w:r>
      <w:r>
        <w:rPr>
          <w:spacing w:val="-6"/>
          <w:sz w:val="26"/>
        </w:rPr>
        <w:t> </w:t>
      </w:r>
      <w:r>
        <w:rPr>
          <w:sz w:val="26"/>
        </w:rPr>
        <w:t>Works</w:t>
      </w:r>
      <w:r>
        <w:rPr>
          <w:spacing w:val="-2"/>
          <w:sz w:val="26"/>
        </w:rPr>
        <w:t> </w:t>
      </w:r>
      <w:r>
        <w:rPr>
          <w:sz w:val="26"/>
        </w:rPr>
        <w:t>Joint</w:t>
      </w:r>
      <w:r>
        <w:rPr>
          <w:spacing w:val="-6"/>
          <w:sz w:val="26"/>
        </w:rPr>
        <w:t> </w:t>
      </w:r>
      <w:r>
        <w:rPr>
          <w:sz w:val="26"/>
        </w:rPr>
        <w:t>Partnership</w:t>
      </w:r>
      <w:r>
        <w:rPr>
          <w:spacing w:val="-6"/>
          <w:sz w:val="26"/>
        </w:rPr>
        <w:t> </w:t>
      </w:r>
      <w:r>
        <w:rPr>
          <w:sz w:val="26"/>
        </w:rPr>
        <w:t>Committees</w:t>
      </w:r>
      <w:r>
        <w:rPr>
          <w:spacing w:val="-4"/>
          <w:sz w:val="26"/>
        </w:rPr>
        <w:t> </w:t>
      </w:r>
      <w:r>
        <w:rPr>
          <w:sz w:val="26"/>
        </w:rPr>
        <w:t>Meeting</w:t>
      </w:r>
      <w:r>
        <w:rPr>
          <w:spacing w:val="-6"/>
          <w:sz w:val="26"/>
        </w:rPr>
        <w:t> </w:t>
      </w:r>
      <w:r>
        <w:rPr>
          <w:sz w:val="26"/>
        </w:rPr>
        <w:t>with a focus on Customer communications design guidance.</w:t>
      </w:r>
    </w:p>
    <w:p>
      <w:pPr>
        <w:pStyle w:val="Heading5"/>
        <w:spacing w:before="252"/>
        <w:rPr>
          <w:rFonts w:ascii="Rockwell"/>
        </w:rPr>
      </w:pPr>
      <w:r>
        <w:rPr>
          <w:rFonts w:ascii="Rockwell"/>
          <w:color w:val="BE2195"/>
        </w:rPr>
        <w:t>Universal</w:t>
      </w:r>
      <w:r>
        <w:rPr>
          <w:rFonts w:ascii="Rockwell"/>
          <w:color w:val="BE2195"/>
          <w:spacing w:val="-11"/>
        </w:rPr>
        <w:t> </w:t>
      </w:r>
      <w:r>
        <w:rPr>
          <w:rFonts w:ascii="Rockwell"/>
          <w:color w:val="BE2195"/>
        </w:rPr>
        <w:t>Design</w:t>
      </w:r>
      <w:r>
        <w:rPr>
          <w:rFonts w:ascii="Rockwell"/>
          <w:color w:val="BE2195"/>
          <w:spacing w:val="-7"/>
        </w:rPr>
        <w:t> </w:t>
      </w:r>
      <w:r>
        <w:rPr>
          <w:rFonts w:ascii="Rockwell"/>
          <w:color w:val="BE2195"/>
        </w:rPr>
        <w:t>2018</w:t>
      </w:r>
      <w:r>
        <w:rPr>
          <w:rFonts w:ascii="Rockwell"/>
          <w:color w:val="BE2195"/>
          <w:spacing w:val="-10"/>
        </w:rPr>
        <w:t> </w:t>
      </w:r>
      <w:r>
        <w:rPr>
          <w:rFonts w:ascii="Rockwell"/>
          <w:color w:val="BE2195"/>
          <w:spacing w:val="-2"/>
        </w:rPr>
        <w:t>Conference</w:t>
      </w:r>
    </w:p>
    <w:p>
      <w:pPr>
        <w:pStyle w:val="BodyText"/>
        <w:spacing w:before="89"/>
        <w:ind w:left="1702" w:right="1099"/>
      </w:pPr>
      <w:r>
        <w:rPr/>
        <w:t>Further to a previous conference by the Centre to focus on Universal Design in education, the Centre commenced preparations on a joint project with higher education bodies on an international conference to take place in October 2018 in Dublin. This conference will be hosted in partnership</w:t>
      </w:r>
      <w:r>
        <w:rPr>
          <w:spacing w:val="-6"/>
        </w:rPr>
        <w:t> </w:t>
      </w:r>
      <w:r>
        <w:rPr/>
        <w:t>with</w:t>
      </w:r>
      <w:r>
        <w:rPr>
          <w:spacing w:val="-6"/>
        </w:rPr>
        <w:t> </w:t>
      </w:r>
      <w:r>
        <w:rPr/>
        <w:t>the</w:t>
      </w:r>
      <w:r>
        <w:rPr>
          <w:spacing w:val="-6"/>
        </w:rPr>
        <w:t> </w:t>
      </w:r>
      <w:r>
        <w:rPr/>
        <w:t>Higher</w:t>
      </w:r>
      <w:r>
        <w:rPr>
          <w:spacing w:val="-5"/>
        </w:rPr>
        <w:t> </w:t>
      </w:r>
      <w:r>
        <w:rPr/>
        <w:t>Education</w:t>
      </w:r>
      <w:r>
        <w:rPr>
          <w:spacing w:val="-6"/>
        </w:rPr>
        <w:t> </w:t>
      </w:r>
      <w:r>
        <w:rPr/>
        <w:t>in</w:t>
      </w:r>
      <w:r>
        <w:rPr>
          <w:spacing w:val="-4"/>
        </w:rPr>
        <w:t> </w:t>
      </w:r>
      <w:r>
        <w:rPr/>
        <w:t>Transformation</w:t>
      </w:r>
      <w:r>
        <w:rPr>
          <w:spacing w:val="-6"/>
        </w:rPr>
        <w:t> </w:t>
      </w:r>
      <w:r>
        <w:rPr/>
        <w:t>conference. The HEIT conferences are part of a collaboration between UOIT, Durham College, the Institute of Technology, Blanchardstown, the Institute of Technology, Tallaght, and the Dublin Institute of Technology. The conference website will be available in 2018 (</w:t>
      </w:r>
      <w:hyperlink r:id="rId9">
        <w:r>
          <w:rPr>
            <w:color w:val="0000FF"/>
            <w:u w:val="single" w:color="0000FF"/>
          </w:rPr>
          <w:t>www.udheit2018.com</w:t>
        </w:r>
      </w:hyperlink>
      <w:r>
        <w:rPr>
          <w:color w:val="0000FF"/>
          <w:u w:val="single" w:color="0000FF"/>
        </w:rPr>
        <w:t>)</w:t>
      </w:r>
    </w:p>
    <w:p>
      <w:pPr>
        <w:pStyle w:val="BodyText"/>
        <w:spacing w:after="0"/>
        <w:sectPr>
          <w:pgSz w:w="11910" w:h="16850"/>
          <w:pgMar w:header="0" w:footer="811" w:top="1880" w:bottom="1000" w:left="283" w:right="992"/>
        </w:sectPr>
      </w:pPr>
    </w:p>
    <w:p>
      <w:pPr>
        <w:spacing w:before="78"/>
        <w:ind w:left="1702" w:right="0" w:firstLine="0"/>
        <w:jc w:val="left"/>
        <w:rPr>
          <w:rFonts w:ascii="Rockwell"/>
          <w:b/>
          <w:sz w:val="56"/>
        </w:rPr>
      </w:pPr>
      <w:bookmarkStart w:name="_bookmark4" w:id="5"/>
      <w:bookmarkEnd w:id="5"/>
      <w:r>
        <w:rPr/>
      </w:r>
      <w:r>
        <w:rPr>
          <w:rFonts w:ascii="Rockwell"/>
          <w:color w:val="BE2195"/>
          <w:sz w:val="56"/>
        </w:rPr>
        <w:t>Strategic</w:t>
      </w:r>
      <w:r>
        <w:rPr>
          <w:rFonts w:ascii="Rockwell"/>
          <w:color w:val="BE2195"/>
          <w:spacing w:val="-14"/>
          <w:sz w:val="56"/>
        </w:rPr>
        <w:t> </w:t>
      </w:r>
      <w:r>
        <w:rPr>
          <w:rFonts w:ascii="Rockwell"/>
          <w:color w:val="BE2195"/>
          <w:sz w:val="56"/>
        </w:rPr>
        <w:t>Priority</w:t>
      </w:r>
      <w:r>
        <w:rPr>
          <w:rFonts w:ascii="Rockwell"/>
          <w:color w:val="BE2195"/>
          <w:spacing w:val="-19"/>
          <w:sz w:val="56"/>
        </w:rPr>
        <w:t> </w:t>
      </w:r>
      <w:r>
        <w:rPr>
          <w:rFonts w:ascii="Rockwell"/>
          <w:color w:val="BE2195"/>
          <w:spacing w:val="-5"/>
          <w:sz w:val="56"/>
        </w:rPr>
        <w:t>3</w:t>
      </w:r>
      <w:r>
        <w:rPr>
          <w:rFonts w:ascii="Rockwell"/>
          <w:b/>
          <w:color w:val="BE2195"/>
          <w:spacing w:val="-5"/>
          <w:sz w:val="56"/>
        </w:rPr>
        <w:t>:</w:t>
      </w:r>
    </w:p>
    <w:p>
      <w:pPr>
        <w:pStyle w:val="Heading2"/>
        <w:spacing w:before="0"/>
      </w:pPr>
      <w:r>
        <w:rPr>
          <w:color w:val="BE2195"/>
        </w:rPr>
        <w:t>An</w:t>
      </w:r>
      <w:r>
        <w:rPr>
          <w:color w:val="BE2195"/>
          <w:spacing w:val="-16"/>
        </w:rPr>
        <w:t> </w:t>
      </w:r>
      <w:r>
        <w:rPr>
          <w:color w:val="BE2195"/>
        </w:rPr>
        <w:t>effective</w:t>
      </w:r>
      <w:r>
        <w:rPr>
          <w:color w:val="BE2195"/>
          <w:spacing w:val="-17"/>
        </w:rPr>
        <w:t> </w:t>
      </w:r>
      <w:r>
        <w:rPr>
          <w:color w:val="BE2195"/>
        </w:rPr>
        <w:t>and</w:t>
      </w:r>
      <w:r>
        <w:rPr>
          <w:color w:val="BE2195"/>
          <w:spacing w:val="-17"/>
        </w:rPr>
        <w:t> </w:t>
      </w:r>
      <w:r>
        <w:rPr>
          <w:color w:val="BE2195"/>
        </w:rPr>
        <w:t>efficient </w:t>
      </w:r>
      <w:r>
        <w:rPr>
          <w:color w:val="BE2195"/>
          <w:spacing w:val="-2"/>
        </w:rPr>
        <w:t>organisation</w:t>
      </w:r>
    </w:p>
    <w:p>
      <w:pPr>
        <w:spacing w:before="120"/>
        <w:ind w:left="1702" w:right="1099" w:firstLine="0"/>
        <w:jc w:val="left"/>
        <w:rPr>
          <w:b/>
          <w:sz w:val="26"/>
        </w:rPr>
      </w:pPr>
      <w:r>
        <w:rPr>
          <w:b/>
          <w:sz w:val="26"/>
        </w:rPr>
        <w:t>To</w:t>
      </w:r>
      <w:r>
        <w:rPr>
          <w:b/>
          <w:spacing w:val="-5"/>
          <w:sz w:val="26"/>
        </w:rPr>
        <w:t> </w:t>
      </w:r>
      <w:r>
        <w:rPr>
          <w:b/>
          <w:sz w:val="26"/>
        </w:rPr>
        <w:t>lead</w:t>
      </w:r>
      <w:r>
        <w:rPr>
          <w:b/>
          <w:spacing w:val="-3"/>
          <w:sz w:val="26"/>
        </w:rPr>
        <w:t> </w:t>
      </w:r>
      <w:r>
        <w:rPr>
          <w:b/>
          <w:sz w:val="26"/>
        </w:rPr>
        <w:t>and</w:t>
      </w:r>
      <w:r>
        <w:rPr>
          <w:b/>
          <w:spacing w:val="-5"/>
          <w:sz w:val="26"/>
        </w:rPr>
        <w:t> </w:t>
      </w:r>
      <w:r>
        <w:rPr>
          <w:b/>
          <w:sz w:val="26"/>
        </w:rPr>
        <w:t>promote</w:t>
      </w:r>
      <w:r>
        <w:rPr>
          <w:b/>
          <w:spacing w:val="-4"/>
          <w:sz w:val="26"/>
        </w:rPr>
        <w:t> </w:t>
      </w:r>
      <w:r>
        <w:rPr>
          <w:b/>
          <w:sz w:val="26"/>
        </w:rPr>
        <w:t>an</w:t>
      </w:r>
      <w:r>
        <w:rPr>
          <w:b/>
          <w:spacing w:val="-5"/>
          <w:sz w:val="26"/>
        </w:rPr>
        <w:t> </w:t>
      </w:r>
      <w:r>
        <w:rPr>
          <w:b/>
          <w:sz w:val="26"/>
        </w:rPr>
        <w:t>effective</w:t>
      </w:r>
      <w:r>
        <w:rPr>
          <w:b/>
          <w:spacing w:val="-5"/>
          <w:sz w:val="26"/>
        </w:rPr>
        <w:t> </w:t>
      </w:r>
      <w:r>
        <w:rPr>
          <w:b/>
          <w:sz w:val="26"/>
        </w:rPr>
        <w:t>and</w:t>
      </w:r>
      <w:r>
        <w:rPr>
          <w:b/>
          <w:spacing w:val="-5"/>
          <w:sz w:val="26"/>
        </w:rPr>
        <w:t> </w:t>
      </w:r>
      <w:r>
        <w:rPr>
          <w:b/>
          <w:sz w:val="26"/>
        </w:rPr>
        <w:t>efficient</w:t>
      </w:r>
      <w:r>
        <w:rPr>
          <w:b/>
          <w:spacing w:val="-5"/>
          <w:sz w:val="26"/>
        </w:rPr>
        <w:t> </w:t>
      </w:r>
      <w:r>
        <w:rPr>
          <w:b/>
          <w:sz w:val="26"/>
        </w:rPr>
        <w:t>organisation</w:t>
      </w:r>
      <w:r>
        <w:rPr>
          <w:b/>
          <w:spacing w:val="-3"/>
          <w:sz w:val="26"/>
        </w:rPr>
        <w:t> </w:t>
      </w:r>
      <w:r>
        <w:rPr>
          <w:b/>
          <w:sz w:val="26"/>
        </w:rPr>
        <w:t>to enable the National Disability Authority to deliver on its strategic objectives.</w:t>
      </w:r>
    </w:p>
    <w:p>
      <w:pPr>
        <w:spacing w:before="241"/>
        <w:ind w:left="1702" w:right="1099" w:firstLine="0"/>
        <w:jc w:val="left"/>
        <w:rPr>
          <w:b/>
          <w:sz w:val="26"/>
        </w:rPr>
      </w:pPr>
      <w:r>
        <w:rPr>
          <w:b/>
          <w:sz w:val="26"/>
        </w:rPr>
        <w:t>To effectively lead and foster a culture of flexibility, responsibility,</w:t>
      </w:r>
      <w:r>
        <w:rPr>
          <w:b/>
          <w:spacing w:val="-7"/>
          <w:sz w:val="26"/>
        </w:rPr>
        <w:t> </w:t>
      </w:r>
      <w:r>
        <w:rPr>
          <w:b/>
          <w:sz w:val="26"/>
        </w:rPr>
        <w:t>innovation</w:t>
      </w:r>
      <w:r>
        <w:rPr>
          <w:b/>
          <w:spacing w:val="-5"/>
          <w:sz w:val="26"/>
        </w:rPr>
        <w:t> </w:t>
      </w:r>
      <w:r>
        <w:rPr>
          <w:b/>
          <w:sz w:val="26"/>
        </w:rPr>
        <w:t>and</w:t>
      </w:r>
      <w:r>
        <w:rPr>
          <w:b/>
          <w:spacing w:val="-4"/>
          <w:sz w:val="26"/>
        </w:rPr>
        <w:t> </w:t>
      </w:r>
      <w:r>
        <w:rPr>
          <w:b/>
          <w:sz w:val="26"/>
        </w:rPr>
        <w:t>a</w:t>
      </w:r>
      <w:r>
        <w:rPr>
          <w:b/>
          <w:spacing w:val="-7"/>
          <w:sz w:val="26"/>
        </w:rPr>
        <w:t> </w:t>
      </w:r>
      <w:r>
        <w:rPr>
          <w:b/>
          <w:sz w:val="26"/>
        </w:rPr>
        <w:t>high</w:t>
      </w:r>
      <w:r>
        <w:rPr>
          <w:b/>
          <w:spacing w:val="-7"/>
          <w:sz w:val="26"/>
        </w:rPr>
        <w:t> </w:t>
      </w:r>
      <w:r>
        <w:rPr>
          <w:b/>
          <w:sz w:val="26"/>
        </w:rPr>
        <w:t>performing</w:t>
      </w:r>
      <w:r>
        <w:rPr>
          <w:b/>
          <w:spacing w:val="-7"/>
          <w:sz w:val="26"/>
        </w:rPr>
        <w:t> </w:t>
      </w:r>
      <w:r>
        <w:rPr>
          <w:b/>
          <w:sz w:val="26"/>
        </w:rPr>
        <w:t>organisation</w:t>
      </w:r>
      <w:r>
        <w:rPr>
          <w:b/>
          <w:spacing w:val="-7"/>
          <w:sz w:val="26"/>
        </w:rPr>
        <w:t> </w:t>
      </w:r>
      <w:r>
        <w:rPr>
          <w:b/>
          <w:sz w:val="26"/>
        </w:rPr>
        <w:t>in the achievement of its objectives.</w:t>
      </w:r>
    </w:p>
    <w:p>
      <w:pPr>
        <w:pStyle w:val="Heading3"/>
      </w:pPr>
      <w:r>
        <w:rPr>
          <w:color w:val="BE2195"/>
        </w:rPr>
        <w:t>Staff</w:t>
      </w:r>
      <w:r>
        <w:rPr>
          <w:color w:val="BE2195"/>
          <w:spacing w:val="-9"/>
        </w:rPr>
        <w:t> </w:t>
      </w:r>
      <w:r>
        <w:rPr>
          <w:color w:val="BE2195"/>
          <w:spacing w:val="-2"/>
        </w:rPr>
        <w:t>Resources</w:t>
      </w:r>
    </w:p>
    <w:p>
      <w:pPr>
        <w:pStyle w:val="BodyText"/>
        <w:spacing w:before="105"/>
        <w:ind w:left="1702" w:right="1080"/>
      </w:pPr>
      <w:r>
        <w:rPr/>
        <w:t>There were a number of staff recruitments during 2017 primarily as a result</w:t>
      </w:r>
      <w:r>
        <w:rPr>
          <w:spacing w:val="-5"/>
        </w:rPr>
        <w:t> </w:t>
      </w:r>
      <w:r>
        <w:rPr/>
        <w:t>of</w:t>
      </w:r>
      <w:r>
        <w:rPr>
          <w:spacing w:val="-5"/>
        </w:rPr>
        <w:t> </w:t>
      </w:r>
      <w:r>
        <w:rPr/>
        <w:t>retirement</w:t>
      </w:r>
      <w:r>
        <w:rPr>
          <w:spacing w:val="-5"/>
        </w:rPr>
        <w:t> </w:t>
      </w:r>
      <w:r>
        <w:rPr/>
        <w:t>and</w:t>
      </w:r>
      <w:r>
        <w:rPr>
          <w:spacing w:val="-5"/>
        </w:rPr>
        <w:t> </w:t>
      </w:r>
      <w:r>
        <w:rPr/>
        <w:t>secondments</w:t>
      </w:r>
      <w:r>
        <w:rPr>
          <w:spacing w:val="-1"/>
        </w:rPr>
        <w:t> </w:t>
      </w:r>
      <w:r>
        <w:rPr/>
        <w:t>in</w:t>
      </w:r>
      <w:r>
        <w:rPr>
          <w:spacing w:val="-5"/>
        </w:rPr>
        <w:t> </w:t>
      </w:r>
      <w:r>
        <w:rPr/>
        <w:t>the</w:t>
      </w:r>
      <w:r>
        <w:rPr>
          <w:spacing w:val="-2"/>
        </w:rPr>
        <w:t> </w:t>
      </w:r>
      <w:r>
        <w:rPr/>
        <w:t>areas</w:t>
      </w:r>
      <w:r>
        <w:rPr>
          <w:spacing w:val="-5"/>
        </w:rPr>
        <w:t> </w:t>
      </w:r>
      <w:r>
        <w:rPr/>
        <w:t>of</w:t>
      </w:r>
      <w:r>
        <w:rPr>
          <w:spacing w:val="-5"/>
        </w:rPr>
        <w:t> </w:t>
      </w:r>
      <w:r>
        <w:rPr/>
        <w:t>research,</w:t>
      </w:r>
      <w:r>
        <w:rPr>
          <w:spacing w:val="-5"/>
        </w:rPr>
        <w:t> </w:t>
      </w:r>
      <w:r>
        <w:rPr/>
        <w:t>standards, policy, corporate governance and administration.</w:t>
      </w:r>
    </w:p>
    <w:p>
      <w:pPr>
        <w:pStyle w:val="Heading3"/>
      </w:pPr>
      <w:r>
        <w:rPr>
          <w:color w:val="BE2195"/>
        </w:rPr>
        <w:t>Training</w:t>
      </w:r>
      <w:r>
        <w:rPr>
          <w:color w:val="BE2195"/>
          <w:spacing w:val="-9"/>
        </w:rPr>
        <w:t> </w:t>
      </w:r>
      <w:r>
        <w:rPr>
          <w:color w:val="BE2195"/>
        </w:rPr>
        <w:t>and</w:t>
      </w:r>
      <w:r>
        <w:rPr>
          <w:color w:val="BE2195"/>
          <w:spacing w:val="-11"/>
        </w:rPr>
        <w:t> </w:t>
      </w:r>
      <w:r>
        <w:rPr>
          <w:color w:val="BE2195"/>
          <w:spacing w:val="-2"/>
        </w:rPr>
        <w:t>Development</w:t>
      </w:r>
    </w:p>
    <w:p>
      <w:pPr>
        <w:pStyle w:val="BodyText"/>
        <w:spacing w:before="108"/>
        <w:ind w:left="1702" w:right="1080"/>
      </w:pPr>
      <w:r>
        <w:rPr/>
        <w:t>The NDA continued to roll out a training and development plan for staff informed</w:t>
      </w:r>
      <w:r>
        <w:rPr>
          <w:spacing w:val="-8"/>
        </w:rPr>
        <w:t> </w:t>
      </w:r>
      <w:r>
        <w:rPr/>
        <w:t>by</w:t>
      </w:r>
      <w:r>
        <w:rPr>
          <w:spacing w:val="-8"/>
        </w:rPr>
        <w:t> </w:t>
      </w:r>
      <w:r>
        <w:rPr/>
        <w:t>the</w:t>
      </w:r>
      <w:r>
        <w:rPr>
          <w:spacing w:val="-5"/>
        </w:rPr>
        <w:t> </w:t>
      </w:r>
      <w:r>
        <w:rPr/>
        <w:t>Performance</w:t>
      </w:r>
      <w:r>
        <w:rPr>
          <w:spacing w:val="-5"/>
        </w:rPr>
        <w:t> </w:t>
      </w:r>
      <w:r>
        <w:rPr/>
        <w:t>Development</w:t>
      </w:r>
      <w:r>
        <w:rPr>
          <w:spacing w:val="-6"/>
        </w:rPr>
        <w:t> </w:t>
      </w:r>
      <w:r>
        <w:rPr/>
        <w:t>Management</w:t>
      </w:r>
      <w:r>
        <w:rPr>
          <w:spacing w:val="-6"/>
        </w:rPr>
        <w:t> </w:t>
      </w:r>
      <w:r>
        <w:rPr/>
        <w:t>System</w:t>
      </w:r>
      <w:r>
        <w:rPr>
          <w:spacing w:val="-6"/>
        </w:rPr>
        <w:t> </w:t>
      </w:r>
      <w:r>
        <w:rPr/>
        <w:t>(PMDS) and individual employee needs. This included attendance at seminars, training sessions and access to coaching supports which included</w:t>
      </w:r>
    </w:p>
    <w:p>
      <w:pPr>
        <w:pStyle w:val="BodyText"/>
        <w:spacing w:before="239"/>
      </w:pPr>
    </w:p>
    <w:p>
      <w:pPr>
        <w:pStyle w:val="ListParagraph"/>
        <w:numPr>
          <w:ilvl w:val="0"/>
          <w:numId w:val="8"/>
        </w:numPr>
        <w:tabs>
          <w:tab w:pos="2409" w:val="left" w:leader="none"/>
        </w:tabs>
        <w:spacing w:line="240" w:lineRule="auto" w:before="0" w:after="0"/>
        <w:ind w:left="2409" w:right="0" w:hanging="280"/>
        <w:jc w:val="left"/>
        <w:rPr>
          <w:rFonts w:ascii="Symbol" w:hAnsi="Symbol"/>
          <w:sz w:val="26"/>
        </w:rPr>
      </w:pPr>
      <w:r>
        <w:rPr>
          <w:sz w:val="26"/>
        </w:rPr>
        <w:t>Transforming</w:t>
      </w:r>
      <w:r>
        <w:rPr>
          <w:spacing w:val="-7"/>
          <w:sz w:val="26"/>
        </w:rPr>
        <w:t> </w:t>
      </w:r>
      <w:r>
        <w:rPr>
          <w:sz w:val="26"/>
        </w:rPr>
        <w:t>Care</w:t>
      </w:r>
      <w:r>
        <w:rPr>
          <w:spacing w:val="-7"/>
          <w:sz w:val="26"/>
        </w:rPr>
        <w:t> </w:t>
      </w:r>
      <w:r>
        <w:rPr>
          <w:sz w:val="26"/>
        </w:rPr>
        <w:t>for</w:t>
      </w:r>
      <w:r>
        <w:rPr>
          <w:spacing w:val="-6"/>
          <w:sz w:val="26"/>
        </w:rPr>
        <w:t> </w:t>
      </w:r>
      <w:r>
        <w:rPr>
          <w:sz w:val="26"/>
        </w:rPr>
        <w:t>People</w:t>
      </w:r>
      <w:r>
        <w:rPr>
          <w:spacing w:val="-9"/>
          <w:sz w:val="26"/>
        </w:rPr>
        <w:t> </w:t>
      </w:r>
      <w:r>
        <w:rPr>
          <w:sz w:val="26"/>
        </w:rPr>
        <w:t>with</w:t>
      </w:r>
      <w:r>
        <w:rPr>
          <w:spacing w:val="-9"/>
          <w:sz w:val="26"/>
        </w:rPr>
        <w:t> </w:t>
      </w:r>
      <w:r>
        <w:rPr>
          <w:sz w:val="26"/>
        </w:rPr>
        <w:t>Learning</w:t>
      </w:r>
      <w:r>
        <w:rPr>
          <w:spacing w:val="-7"/>
          <w:sz w:val="26"/>
        </w:rPr>
        <w:t> </w:t>
      </w:r>
      <w:r>
        <w:rPr>
          <w:spacing w:val="-2"/>
          <w:sz w:val="26"/>
        </w:rPr>
        <w:t>Disabilities</w:t>
      </w:r>
    </w:p>
    <w:p>
      <w:pPr>
        <w:pStyle w:val="ListParagraph"/>
        <w:numPr>
          <w:ilvl w:val="0"/>
          <w:numId w:val="8"/>
        </w:numPr>
        <w:tabs>
          <w:tab w:pos="2422" w:val="left" w:leader="none"/>
        </w:tabs>
        <w:spacing w:line="240" w:lineRule="auto" w:before="0" w:after="0"/>
        <w:ind w:left="2422" w:right="1147" w:hanging="360"/>
        <w:jc w:val="left"/>
        <w:rPr>
          <w:rFonts w:ascii="Symbol" w:hAnsi="Symbol"/>
          <w:sz w:val="26"/>
        </w:rPr>
      </w:pPr>
      <w:r>
        <w:rPr>
          <w:sz w:val="26"/>
        </w:rPr>
        <w:t>Developing</w:t>
      </w:r>
      <w:r>
        <w:rPr>
          <w:spacing w:val="-5"/>
          <w:sz w:val="26"/>
        </w:rPr>
        <w:t> </w:t>
      </w:r>
      <w:r>
        <w:rPr>
          <w:sz w:val="26"/>
        </w:rPr>
        <w:t>integration</w:t>
      </w:r>
      <w:r>
        <w:rPr>
          <w:spacing w:val="-4"/>
          <w:sz w:val="26"/>
        </w:rPr>
        <w:t> </w:t>
      </w:r>
      <w:r>
        <w:rPr>
          <w:sz w:val="26"/>
        </w:rPr>
        <w:t>Policy</w:t>
      </w:r>
      <w:r>
        <w:rPr>
          <w:spacing w:val="-6"/>
          <w:sz w:val="26"/>
        </w:rPr>
        <w:t> </w:t>
      </w:r>
      <w:r>
        <w:rPr>
          <w:sz w:val="26"/>
        </w:rPr>
        <w:t>in</w:t>
      </w:r>
      <w:r>
        <w:rPr>
          <w:spacing w:val="-5"/>
          <w:sz w:val="26"/>
        </w:rPr>
        <w:t> </w:t>
      </w:r>
      <w:r>
        <w:rPr>
          <w:sz w:val="26"/>
        </w:rPr>
        <w:t>the</w:t>
      </w:r>
      <w:r>
        <w:rPr>
          <w:spacing w:val="-5"/>
          <w:sz w:val="26"/>
        </w:rPr>
        <w:t> </w:t>
      </w:r>
      <w:r>
        <w:rPr>
          <w:sz w:val="26"/>
        </w:rPr>
        <w:t>Public</w:t>
      </w:r>
      <w:r>
        <w:rPr>
          <w:spacing w:val="-4"/>
          <w:sz w:val="26"/>
        </w:rPr>
        <w:t> </w:t>
      </w:r>
      <w:r>
        <w:rPr>
          <w:sz w:val="26"/>
        </w:rPr>
        <w:t>Sector:</w:t>
      </w:r>
      <w:r>
        <w:rPr>
          <w:spacing w:val="-4"/>
          <w:sz w:val="26"/>
        </w:rPr>
        <w:t> </w:t>
      </w:r>
      <w:r>
        <w:rPr>
          <w:sz w:val="26"/>
        </w:rPr>
        <w:t>A</w:t>
      </w:r>
      <w:r>
        <w:rPr>
          <w:spacing w:val="-5"/>
          <w:sz w:val="26"/>
        </w:rPr>
        <w:t> </w:t>
      </w:r>
      <w:r>
        <w:rPr>
          <w:sz w:val="26"/>
        </w:rPr>
        <w:t>Human</w:t>
      </w:r>
      <w:r>
        <w:rPr>
          <w:spacing w:val="-5"/>
          <w:sz w:val="26"/>
        </w:rPr>
        <w:t> </w:t>
      </w:r>
      <w:r>
        <w:rPr>
          <w:sz w:val="26"/>
        </w:rPr>
        <w:t>Rights </w:t>
      </w:r>
      <w:r>
        <w:rPr>
          <w:spacing w:val="-2"/>
          <w:sz w:val="26"/>
        </w:rPr>
        <w:t>Approach</w:t>
      </w:r>
    </w:p>
    <w:p>
      <w:pPr>
        <w:pStyle w:val="ListParagraph"/>
        <w:numPr>
          <w:ilvl w:val="0"/>
          <w:numId w:val="8"/>
        </w:numPr>
        <w:tabs>
          <w:tab w:pos="2422" w:val="left" w:leader="none"/>
        </w:tabs>
        <w:spacing w:line="321" w:lineRule="exact" w:before="0" w:after="0"/>
        <w:ind w:left="2422" w:right="0" w:hanging="360"/>
        <w:jc w:val="left"/>
        <w:rPr>
          <w:rFonts w:ascii="Symbol" w:hAnsi="Symbol"/>
          <w:sz w:val="26"/>
        </w:rPr>
      </w:pPr>
      <w:r>
        <w:rPr>
          <w:sz w:val="26"/>
        </w:rPr>
        <w:t>Employment</w:t>
      </w:r>
      <w:r>
        <w:rPr>
          <w:spacing w:val="-9"/>
          <w:sz w:val="26"/>
        </w:rPr>
        <w:t> </w:t>
      </w:r>
      <w:r>
        <w:rPr>
          <w:sz w:val="26"/>
        </w:rPr>
        <w:t>and</w:t>
      </w:r>
      <w:r>
        <w:rPr>
          <w:spacing w:val="-6"/>
          <w:sz w:val="26"/>
        </w:rPr>
        <w:t> </w:t>
      </w:r>
      <w:r>
        <w:rPr>
          <w:sz w:val="26"/>
        </w:rPr>
        <w:t>Compliance</w:t>
      </w:r>
      <w:r>
        <w:rPr>
          <w:spacing w:val="-8"/>
          <w:sz w:val="26"/>
        </w:rPr>
        <w:t> </w:t>
      </w:r>
      <w:r>
        <w:rPr>
          <w:sz w:val="26"/>
        </w:rPr>
        <w:t>Laws</w:t>
      </w:r>
      <w:r>
        <w:rPr>
          <w:spacing w:val="-8"/>
          <w:sz w:val="26"/>
        </w:rPr>
        <w:t> </w:t>
      </w:r>
      <w:r>
        <w:rPr>
          <w:sz w:val="26"/>
        </w:rPr>
        <w:t>in</w:t>
      </w:r>
      <w:r>
        <w:rPr>
          <w:spacing w:val="-8"/>
          <w:sz w:val="26"/>
        </w:rPr>
        <w:t> </w:t>
      </w:r>
      <w:r>
        <w:rPr>
          <w:sz w:val="26"/>
        </w:rPr>
        <w:t>the</w:t>
      </w:r>
      <w:r>
        <w:rPr>
          <w:spacing w:val="-8"/>
          <w:sz w:val="26"/>
        </w:rPr>
        <w:t> </w:t>
      </w:r>
      <w:r>
        <w:rPr>
          <w:sz w:val="26"/>
        </w:rPr>
        <w:t>Public</w:t>
      </w:r>
      <w:r>
        <w:rPr>
          <w:spacing w:val="-9"/>
          <w:sz w:val="26"/>
        </w:rPr>
        <w:t> </w:t>
      </w:r>
      <w:r>
        <w:rPr>
          <w:spacing w:val="-2"/>
          <w:sz w:val="26"/>
        </w:rPr>
        <w:t>Sector</w:t>
      </w:r>
    </w:p>
    <w:p>
      <w:pPr>
        <w:pStyle w:val="ListParagraph"/>
        <w:numPr>
          <w:ilvl w:val="0"/>
          <w:numId w:val="8"/>
        </w:numPr>
        <w:tabs>
          <w:tab w:pos="2422" w:val="left" w:leader="none"/>
        </w:tabs>
        <w:spacing w:line="240" w:lineRule="auto" w:before="0" w:after="0"/>
        <w:ind w:left="2422" w:right="1834" w:hanging="360"/>
        <w:jc w:val="left"/>
        <w:rPr>
          <w:rFonts w:ascii="Symbol" w:hAnsi="Symbol"/>
          <w:sz w:val="26"/>
        </w:rPr>
      </w:pPr>
      <w:r>
        <w:rPr>
          <w:sz w:val="26"/>
        </w:rPr>
        <w:t>Data</w:t>
      </w:r>
      <w:r>
        <w:rPr>
          <w:spacing w:val="-5"/>
          <w:sz w:val="26"/>
        </w:rPr>
        <w:t> </w:t>
      </w:r>
      <w:r>
        <w:rPr>
          <w:sz w:val="26"/>
        </w:rPr>
        <w:t>Protection</w:t>
      </w:r>
      <w:r>
        <w:rPr>
          <w:spacing w:val="-5"/>
          <w:sz w:val="26"/>
        </w:rPr>
        <w:t> </w:t>
      </w:r>
      <w:r>
        <w:rPr>
          <w:sz w:val="26"/>
        </w:rPr>
        <w:t>Law</w:t>
      </w:r>
      <w:r>
        <w:rPr>
          <w:spacing w:val="-5"/>
          <w:sz w:val="26"/>
        </w:rPr>
        <w:t> </w:t>
      </w:r>
      <w:r>
        <w:rPr>
          <w:sz w:val="26"/>
        </w:rPr>
        <w:t>in</w:t>
      </w:r>
      <w:r>
        <w:rPr>
          <w:spacing w:val="-3"/>
          <w:sz w:val="26"/>
        </w:rPr>
        <w:t> </w:t>
      </w:r>
      <w:r>
        <w:rPr>
          <w:sz w:val="26"/>
        </w:rPr>
        <w:t>Ireland</w:t>
      </w:r>
      <w:r>
        <w:rPr>
          <w:spacing w:val="-5"/>
          <w:sz w:val="26"/>
        </w:rPr>
        <w:t> </w:t>
      </w:r>
      <w:r>
        <w:rPr>
          <w:sz w:val="26"/>
        </w:rPr>
        <w:t>&amp;</w:t>
      </w:r>
      <w:r>
        <w:rPr>
          <w:spacing w:val="-5"/>
          <w:sz w:val="26"/>
        </w:rPr>
        <w:t> </w:t>
      </w:r>
      <w:r>
        <w:rPr>
          <w:sz w:val="26"/>
        </w:rPr>
        <w:t>EU's</w:t>
      </w:r>
      <w:r>
        <w:rPr>
          <w:spacing w:val="-5"/>
          <w:sz w:val="26"/>
        </w:rPr>
        <w:t> </w:t>
      </w:r>
      <w:r>
        <w:rPr>
          <w:sz w:val="26"/>
        </w:rPr>
        <w:t>New</w:t>
      </w:r>
      <w:r>
        <w:rPr>
          <w:spacing w:val="-4"/>
          <w:sz w:val="26"/>
        </w:rPr>
        <w:t> </w:t>
      </w:r>
      <w:r>
        <w:rPr>
          <w:sz w:val="26"/>
        </w:rPr>
        <w:t>Data</w:t>
      </w:r>
      <w:r>
        <w:rPr>
          <w:spacing w:val="-5"/>
          <w:sz w:val="26"/>
        </w:rPr>
        <w:t> </w:t>
      </w:r>
      <w:r>
        <w:rPr>
          <w:sz w:val="26"/>
        </w:rPr>
        <w:t>Protection </w:t>
      </w:r>
      <w:r>
        <w:rPr>
          <w:spacing w:val="-2"/>
          <w:sz w:val="26"/>
        </w:rPr>
        <w:t>Regulation</w:t>
      </w:r>
    </w:p>
    <w:p>
      <w:pPr>
        <w:pStyle w:val="ListParagraph"/>
        <w:numPr>
          <w:ilvl w:val="0"/>
          <w:numId w:val="8"/>
        </w:numPr>
        <w:tabs>
          <w:tab w:pos="2422" w:val="left" w:leader="none"/>
        </w:tabs>
        <w:spacing w:line="240" w:lineRule="auto" w:before="2" w:after="0"/>
        <w:ind w:left="2422" w:right="0" w:hanging="360"/>
        <w:jc w:val="left"/>
        <w:rPr>
          <w:rFonts w:ascii="Symbol" w:hAnsi="Symbol"/>
          <w:sz w:val="26"/>
        </w:rPr>
      </w:pPr>
      <w:r>
        <w:rPr>
          <w:sz w:val="26"/>
        </w:rPr>
        <w:t>Disability</w:t>
      </w:r>
      <w:r>
        <w:rPr>
          <w:spacing w:val="-13"/>
          <w:sz w:val="26"/>
        </w:rPr>
        <w:t> </w:t>
      </w:r>
      <w:r>
        <w:rPr>
          <w:sz w:val="26"/>
        </w:rPr>
        <w:t>Equality</w:t>
      </w:r>
      <w:r>
        <w:rPr>
          <w:spacing w:val="-12"/>
          <w:sz w:val="26"/>
        </w:rPr>
        <w:t> </w:t>
      </w:r>
      <w:r>
        <w:rPr>
          <w:spacing w:val="-2"/>
          <w:sz w:val="26"/>
        </w:rPr>
        <w:t>Training</w:t>
      </w:r>
    </w:p>
    <w:p>
      <w:pPr>
        <w:pStyle w:val="ListParagraph"/>
        <w:numPr>
          <w:ilvl w:val="0"/>
          <w:numId w:val="8"/>
        </w:numPr>
        <w:tabs>
          <w:tab w:pos="2422" w:val="left" w:leader="none"/>
        </w:tabs>
        <w:spacing w:line="240" w:lineRule="auto" w:before="0" w:after="0"/>
        <w:ind w:left="2422" w:right="0" w:hanging="360"/>
        <w:jc w:val="left"/>
        <w:rPr>
          <w:rFonts w:ascii="Symbol" w:hAnsi="Symbol"/>
          <w:sz w:val="26"/>
        </w:rPr>
      </w:pPr>
      <w:r>
        <w:rPr>
          <w:sz w:val="26"/>
        </w:rPr>
        <w:t>Health</w:t>
      </w:r>
      <w:r>
        <w:rPr>
          <w:spacing w:val="-7"/>
          <w:sz w:val="26"/>
        </w:rPr>
        <w:t> </w:t>
      </w:r>
      <w:r>
        <w:rPr>
          <w:sz w:val="26"/>
        </w:rPr>
        <w:t>and</w:t>
      </w:r>
      <w:r>
        <w:rPr>
          <w:spacing w:val="-5"/>
          <w:sz w:val="26"/>
        </w:rPr>
        <w:t> </w:t>
      </w:r>
      <w:r>
        <w:rPr>
          <w:sz w:val="26"/>
        </w:rPr>
        <w:t>Safety</w:t>
      </w:r>
      <w:r>
        <w:rPr>
          <w:spacing w:val="-3"/>
          <w:sz w:val="26"/>
        </w:rPr>
        <w:t> </w:t>
      </w:r>
      <w:r>
        <w:rPr>
          <w:spacing w:val="-2"/>
          <w:sz w:val="26"/>
        </w:rPr>
        <w:t>Training</w:t>
      </w:r>
    </w:p>
    <w:p>
      <w:pPr>
        <w:pStyle w:val="ListParagraph"/>
        <w:numPr>
          <w:ilvl w:val="0"/>
          <w:numId w:val="8"/>
        </w:numPr>
        <w:tabs>
          <w:tab w:pos="2422" w:val="left" w:leader="none"/>
        </w:tabs>
        <w:spacing w:line="320" w:lineRule="exact" w:before="0" w:after="0"/>
        <w:ind w:left="2422" w:right="0" w:hanging="360"/>
        <w:jc w:val="left"/>
        <w:rPr>
          <w:rFonts w:ascii="Symbol" w:hAnsi="Symbol"/>
          <w:sz w:val="26"/>
        </w:rPr>
      </w:pPr>
      <w:r>
        <w:rPr>
          <w:sz w:val="26"/>
        </w:rPr>
        <w:t>Risk</w:t>
      </w:r>
      <w:r>
        <w:rPr>
          <w:spacing w:val="-4"/>
          <w:sz w:val="26"/>
        </w:rPr>
        <w:t> </w:t>
      </w:r>
      <w:r>
        <w:rPr>
          <w:spacing w:val="-2"/>
          <w:sz w:val="26"/>
        </w:rPr>
        <w:t>Management</w:t>
      </w:r>
    </w:p>
    <w:p>
      <w:pPr>
        <w:pStyle w:val="ListParagraph"/>
        <w:numPr>
          <w:ilvl w:val="0"/>
          <w:numId w:val="8"/>
        </w:numPr>
        <w:tabs>
          <w:tab w:pos="2422" w:val="left" w:leader="none"/>
        </w:tabs>
        <w:spacing w:line="320" w:lineRule="exact" w:before="0" w:after="0"/>
        <w:ind w:left="2422" w:right="0" w:hanging="360"/>
        <w:jc w:val="left"/>
        <w:rPr>
          <w:rFonts w:ascii="Symbol" w:hAnsi="Symbol"/>
          <w:sz w:val="26"/>
        </w:rPr>
      </w:pPr>
      <w:r>
        <w:rPr>
          <w:sz w:val="26"/>
        </w:rPr>
        <w:t>Protected</w:t>
      </w:r>
      <w:r>
        <w:rPr>
          <w:spacing w:val="-11"/>
          <w:sz w:val="26"/>
        </w:rPr>
        <w:t> </w:t>
      </w:r>
      <w:r>
        <w:rPr>
          <w:spacing w:val="-2"/>
          <w:sz w:val="26"/>
        </w:rPr>
        <w:t>Disclosures</w:t>
      </w:r>
    </w:p>
    <w:p>
      <w:pPr>
        <w:pStyle w:val="ListParagraph"/>
        <w:numPr>
          <w:ilvl w:val="0"/>
          <w:numId w:val="8"/>
        </w:numPr>
        <w:tabs>
          <w:tab w:pos="2422" w:val="left" w:leader="none"/>
        </w:tabs>
        <w:spacing w:line="240" w:lineRule="auto" w:before="0" w:after="0"/>
        <w:ind w:left="2422" w:right="0" w:hanging="360"/>
        <w:jc w:val="left"/>
        <w:rPr>
          <w:rFonts w:ascii="Symbol" w:hAnsi="Symbol"/>
          <w:sz w:val="26"/>
        </w:rPr>
      </w:pPr>
      <w:r>
        <w:rPr>
          <w:sz w:val="26"/>
        </w:rPr>
        <w:t>ICT</w:t>
      </w:r>
      <w:r>
        <w:rPr>
          <w:spacing w:val="-9"/>
          <w:sz w:val="26"/>
        </w:rPr>
        <w:t> </w:t>
      </w:r>
      <w:r>
        <w:rPr>
          <w:sz w:val="26"/>
        </w:rPr>
        <w:t>relevant</w:t>
      </w:r>
      <w:r>
        <w:rPr>
          <w:spacing w:val="-9"/>
          <w:sz w:val="26"/>
        </w:rPr>
        <w:t> </w:t>
      </w:r>
      <w:r>
        <w:rPr>
          <w:spacing w:val="-2"/>
          <w:sz w:val="26"/>
        </w:rPr>
        <w:t>training</w:t>
      </w:r>
    </w:p>
    <w:p>
      <w:pPr>
        <w:pStyle w:val="ListParagraph"/>
        <w:spacing w:after="0" w:line="240" w:lineRule="auto"/>
        <w:jc w:val="left"/>
        <w:rPr>
          <w:rFonts w:ascii="Symbol" w:hAnsi="Symbol"/>
          <w:sz w:val="26"/>
        </w:rPr>
        <w:sectPr>
          <w:pgSz w:w="11910" w:h="16850"/>
          <w:pgMar w:header="0" w:footer="811" w:top="1880" w:bottom="1000" w:left="283" w:right="992"/>
        </w:sectPr>
      </w:pPr>
    </w:p>
    <w:p>
      <w:pPr>
        <w:pStyle w:val="BodyText"/>
        <w:spacing w:before="79"/>
        <w:ind w:left="1702" w:right="988"/>
      </w:pPr>
      <w:r>
        <w:rPr/>
        <w:t>Staff</w:t>
      </w:r>
      <w:r>
        <w:rPr>
          <w:spacing w:val="-6"/>
        </w:rPr>
        <w:t> </w:t>
      </w:r>
      <w:r>
        <w:rPr/>
        <w:t>also</w:t>
      </w:r>
      <w:r>
        <w:rPr>
          <w:spacing w:val="-5"/>
        </w:rPr>
        <w:t> </w:t>
      </w:r>
      <w:r>
        <w:rPr/>
        <w:t>attended</w:t>
      </w:r>
      <w:r>
        <w:rPr>
          <w:spacing w:val="-6"/>
        </w:rPr>
        <w:t> </w:t>
      </w:r>
      <w:r>
        <w:rPr/>
        <w:t>conferences</w:t>
      </w:r>
      <w:r>
        <w:rPr>
          <w:spacing w:val="-4"/>
        </w:rPr>
        <w:t> </w:t>
      </w:r>
      <w:r>
        <w:rPr/>
        <w:t>on</w:t>
      </w:r>
      <w:r>
        <w:rPr>
          <w:spacing w:val="-6"/>
        </w:rPr>
        <w:t> </w:t>
      </w:r>
      <w:r>
        <w:rPr/>
        <w:t>relevant</w:t>
      </w:r>
      <w:r>
        <w:rPr>
          <w:spacing w:val="-6"/>
        </w:rPr>
        <w:t> </w:t>
      </w:r>
      <w:r>
        <w:rPr/>
        <w:t>work</w:t>
      </w:r>
      <w:r>
        <w:rPr>
          <w:spacing w:val="-5"/>
        </w:rPr>
        <w:t> </w:t>
      </w:r>
      <w:r>
        <w:rPr/>
        <w:t>themes</w:t>
      </w:r>
      <w:r>
        <w:rPr>
          <w:spacing w:val="-4"/>
        </w:rPr>
        <w:t> </w:t>
      </w:r>
      <w:r>
        <w:rPr/>
        <w:t>including Employment, Supported Decision Making, Homecare Supports, Personalised Budgets, Housing, Transport and Universal Design.</w:t>
      </w:r>
    </w:p>
    <w:p>
      <w:pPr>
        <w:pStyle w:val="BodyText"/>
      </w:pPr>
    </w:p>
    <w:p>
      <w:pPr>
        <w:pStyle w:val="Heading5"/>
        <w:spacing w:before="1"/>
      </w:pPr>
      <w:r>
        <w:rPr/>
        <w:t>Partnership</w:t>
      </w:r>
      <w:r>
        <w:rPr>
          <w:spacing w:val="-17"/>
        </w:rPr>
        <w:t> </w:t>
      </w:r>
      <w:r>
        <w:rPr>
          <w:spacing w:val="-2"/>
        </w:rPr>
        <w:t>Committee</w:t>
      </w:r>
    </w:p>
    <w:p>
      <w:pPr>
        <w:pStyle w:val="BodyText"/>
        <w:spacing w:before="238"/>
        <w:ind w:left="1702" w:right="1099"/>
      </w:pPr>
      <w:r>
        <w:rPr/>
        <w:t>The Partnership Committee met on 5 occasions providing a forum to guide</w:t>
      </w:r>
      <w:r>
        <w:rPr>
          <w:spacing w:val="-4"/>
        </w:rPr>
        <w:t> </w:t>
      </w:r>
      <w:r>
        <w:rPr/>
        <w:t>on</w:t>
      </w:r>
      <w:r>
        <w:rPr>
          <w:spacing w:val="-4"/>
        </w:rPr>
        <w:t> </w:t>
      </w:r>
      <w:r>
        <w:rPr/>
        <w:t>an</w:t>
      </w:r>
      <w:r>
        <w:rPr>
          <w:spacing w:val="-5"/>
        </w:rPr>
        <w:t> </w:t>
      </w:r>
      <w:r>
        <w:rPr/>
        <w:t>improved</w:t>
      </w:r>
      <w:r>
        <w:rPr>
          <w:spacing w:val="-3"/>
        </w:rPr>
        <w:t> </w:t>
      </w:r>
      <w:r>
        <w:rPr/>
        <w:t>work</w:t>
      </w:r>
      <w:r>
        <w:rPr>
          <w:spacing w:val="-4"/>
        </w:rPr>
        <w:t> </w:t>
      </w:r>
      <w:r>
        <w:rPr/>
        <w:t>environment.</w:t>
      </w:r>
      <w:r>
        <w:rPr>
          <w:spacing w:val="-1"/>
        </w:rPr>
        <w:t> </w:t>
      </w:r>
      <w:r>
        <w:rPr/>
        <w:t>Its</w:t>
      </w:r>
      <w:r>
        <w:rPr>
          <w:spacing w:val="-4"/>
        </w:rPr>
        <w:t> </w:t>
      </w:r>
      <w:r>
        <w:rPr/>
        <w:t>work</w:t>
      </w:r>
      <w:r>
        <w:rPr>
          <w:spacing w:val="-4"/>
        </w:rPr>
        <w:t> </w:t>
      </w:r>
      <w:r>
        <w:rPr/>
        <w:t>included</w:t>
      </w:r>
      <w:r>
        <w:rPr>
          <w:spacing w:val="-5"/>
        </w:rPr>
        <w:t> </w:t>
      </w:r>
      <w:r>
        <w:rPr/>
        <w:t>guidance</w:t>
      </w:r>
      <w:r>
        <w:rPr>
          <w:spacing w:val="-2"/>
        </w:rPr>
        <w:t> </w:t>
      </w:r>
      <w:r>
        <w:rPr/>
        <w:t>on the annual Staff Suggestion Scheme and co-ordinating social events for </w:t>
      </w:r>
      <w:r>
        <w:rPr>
          <w:spacing w:val="-2"/>
        </w:rPr>
        <w:t>staff.</w:t>
      </w:r>
    </w:p>
    <w:p>
      <w:pPr>
        <w:pStyle w:val="Heading3"/>
        <w:spacing w:before="255"/>
      </w:pPr>
      <w:r>
        <w:rPr>
          <w:color w:val="BE2195"/>
        </w:rPr>
        <w:t>Shared</w:t>
      </w:r>
      <w:r>
        <w:rPr>
          <w:color w:val="BE2195"/>
          <w:spacing w:val="-12"/>
        </w:rPr>
        <w:t> </w:t>
      </w:r>
      <w:r>
        <w:rPr>
          <w:color w:val="BE2195"/>
          <w:spacing w:val="-2"/>
        </w:rPr>
        <w:t>Services</w:t>
      </w:r>
    </w:p>
    <w:p>
      <w:pPr>
        <w:pStyle w:val="BodyText"/>
        <w:spacing w:before="106"/>
        <w:ind w:left="1702" w:right="1099"/>
      </w:pPr>
      <w:r>
        <w:rPr/>
        <w:t>The NDA continued to avail of financial shared services and an ICT support service from the Department of Justice and Equality. The Department</w:t>
      </w:r>
      <w:r>
        <w:rPr>
          <w:spacing w:val="-2"/>
        </w:rPr>
        <w:t> </w:t>
      </w:r>
      <w:r>
        <w:rPr/>
        <w:t>also</w:t>
      </w:r>
      <w:r>
        <w:rPr>
          <w:spacing w:val="-4"/>
        </w:rPr>
        <w:t> </w:t>
      </w:r>
      <w:r>
        <w:rPr/>
        <w:t>provides</w:t>
      </w:r>
      <w:r>
        <w:rPr>
          <w:spacing w:val="-3"/>
        </w:rPr>
        <w:t> </w:t>
      </w:r>
      <w:r>
        <w:rPr/>
        <w:t>an</w:t>
      </w:r>
      <w:r>
        <w:rPr>
          <w:spacing w:val="-5"/>
        </w:rPr>
        <w:t> </w:t>
      </w:r>
      <w:r>
        <w:rPr/>
        <w:t>internal</w:t>
      </w:r>
      <w:r>
        <w:rPr>
          <w:spacing w:val="-4"/>
        </w:rPr>
        <w:t> </w:t>
      </w:r>
      <w:r>
        <w:rPr/>
        <w:t>audit</w:t>
      </w:r>
      <w:r>
        <w:rPr>
          <w:spacing w:val="-5"/>
        </w:rPr>
        <w:t> </w:t>
      </w:r>
      <w:r>
        <w:rPr/>
        <w:t>service</w:t>
      </w:r>
      <w:r>
        <w:rPr>
          <w:spacing w:val="-5"/>
        </w:rPr>
        <w:t> </w:t>
      </w:r>
      <w:r>
        <w:rPr/>
        <w:t>to</w:t>
      </w:r>
      <w:r>
        <w:rPr>
          <w:spacing w:val="-3"/>
        </w:rPr>
        <w:t> </w:t>
      </w:r>
      <w:r>
        <w:rPr/>
        <w:t>the</w:t>
      </w:r>
      <w:r>
        <w:rPr>
          <w:spacing w:val="-1"/>
        </w:rPr>
        <w:t> </w:t>
      </w:r>
      <w:r>
        <w:rPr/>
        <w:t>NDA.</w:t>
      </w:r>
      <w:r>
        <w:rPr>
          <w:spacing w:val="-4"/>
        </w:rPr>
        <w:t> </w:t>
      </w:r>
      <w:r>
        <w:rPr/>
        <w:t>The</w:t>
      </w:r>
    </w:p>
    <w:p>
      <w:pPr>
        <w:pStyle w:val="BodyText"/>
        <w:ind w:left="1702" w:right="1099"/>
      </w:pPr>
      <w:r>
        <w:rPr/>
        <w:t>NDA’s</w:t>
      </w:r>
      <w:r>
        <w:rPr>
          <w:spacing w:val="-4"/>
        </w:rPr>
        <w:t> </w:t>
      </w:r>
      <w:r>
        <w:rPr/>
        <w:t>payroll,</w:t>
      </w:r>
      <w:r>
        <w:rPr>
          <w:spacing w:val="-4"/>
        </w:rPr>
        <w:t> </w:t>
      </w:r>
      <w:r>
        <w:rPr/>
        <w:t>pension</w:t>
      </w:r>
      <w:r>
        <w:rPr>
          <w:spacing w:val="-5"/>
        </w:rPr>
        <w:t> </w:t>
      </w:r>
      <w:r>
        <w:rPr/>
        <w:t>and</w:t>
      </w:r>
      <w:r>
        <w:rPr>
          <w:spacing w:val="-5"/>
        </w:rPr>
        <w:t> </w:t>
      </w:r>
      <w:r>
        <w:rPr/>
        <w:t>travel</w:t>
      </w:r>
      <w:r>
        <w:rPr>
          <w:spacing w:val="-5"/>
        </w:rPr>
        <w:t> </w:t>
      </w:r>
      <w:r>
        <w:rPr/>
        <w:t>and</w:t>
      </w:r>
      <w:r>
        <w:rPr>
          <w:spacing w:val="-5"/>
        </w:rPr>
        <w:t> </w:t>
      </w:r>
      <w:r>
        <w:rPr/>
        <w:t>subsistence</w:t>
      </w:r>
      <w:r>
        <w:rPr>
          <w:spacing w:val="-5"/>
        </w:rPr>
        <w:t> </w:t>
      </w:r>
      <w:r>
        <w:rPr/>
        <w:t>processing</w:t>
      </w:r>
      <w:r>
        <w:rPr>
          <w:spacing w:val="-5"/>
        </w:rPr>
        <w:t> </w:t>
      </w:r>
      <w:r>
        <w:rPr/>
        <w:t>is</w:t>
      </w:r>
      <w:r>
        <w:rPr>
          <w:spacing w:val="-4"/>
        </w:rPr>
        <w:t> </w:t>
      </w:r>
      <w:r>
        <w:rPr/>
        <w:t>provided by the Payroll Shared Service Centre under the Department of Public Expenditure and Reform.</w:t>
      </w:r>
    </w:p>
    <w:p>
      <w:pPr>
        <w:pStyle w:val="Heading3"/>
      </w:pPr>
      <w:r>
        <w:rPr>
          <w:color w:val="BE2195"/>
        </w:rPr>
        <w:t>Finance</w:t>
      </w:r>
      <w:r>
        <w:rPr>
          <w:color w:val="BE2195"/>
          <w:spacing w:val="-12"/>
        </w:rPr>
        <w:t> </w:t>
      </w:r>
      <w:r>
        <w:rPr>
          <w:color w:val="BE2195"/>
        </w:rPr>
        <w:t>and</w:t>
      </w:r>
      <w:r>
        <w:rPr>
          <w:color w:val="BE2195"/>
          <w:spacing w:val="-11"/>
        </w:rPr>
        <w:t> </w:t>
      </w:r>
      <w:r>
        <w:rPr>
          <w:color w:val="BE2195"/>
          <w:spacing w:val="-2"/>
        </w:rPr>
        <w:t>Governance</w:t>
      </w:r>
    </w:p>
    <w:p>
      <w:pPr>
        <w:pStyle w:val="BodyText"/>
        <w:spacing w:before="105"/>
        <w:ind w:left="1702" w:right="988"/>
      </w:pPr>
      <w:r>
        <w:rPr/>
        <w:t>In</w:t>
      </w:r>
      <w:r>
        <w:rPr>
          <w:spacing w:val="-4"/>
        </w:rPr>
        <w:t> </w:t>
      </w:r>
      <w:r>
        <w:rPr/>
        <w:t>line</w:t>
      </w:r>
      <w:r>
        <w:rPr>
          <w:spacing w:val="-4"/>
        </w:rPr>
        <w:t> </w:t>
      </w:r>
      <w:r>
        <w:rPr/>
        <w:t>with</w:t>
      </w:r>
      <w:r>
        <w:rPr>
          <w:spacing w:val="-4"/>
        </w:rPr>
        <w:t> </w:t>
      </w:r>
      <w:r>
        <w:rPr/>
        <w:t>the</w:t>
      </w:r>
      <w:r>
        <w:rPr>
          <w:spacing w:val="-4"/>
        </w:rPr>
        <w:t> </w:t>
      </w:r>
      <w:r>
        <w:rPr/>
        <w:t>National</w:t>
      </w:r>
      <w:r>
        <w:rPr>
          <w:spacing w:val="-4"/>
        </w:rPr>
        <w:t> </w:t>
      </w:r>
      <w:r>
        <w:rPr/>
        <w:t>Disability</w:t>
      </w:r>
      <w:r>
        <w:rPr>
          <w:spacing w:val="-4"/>
        </w:rPr>
        <w:t> </w:t>
      </w:r>
      <w:r>
        <w:rPr/>
        <w:t>Authority</w:t>
      </w:r>
      <w:r>
        <w:rPr>
          <w:spacing w:val="-2"/>
        </w:rPr>
        <w:t> </w:t>
      </w:r>
      <w:r>
        <w:rPr/>
        <w:t>Act</w:t>
      </w:r>
      <w:r>
        <w:rPr>
          <w:spacing w:val="-4"/>
        </w:rPr>
        <w:t> </w:t>
      </w:r>
      <w:r>
        <w:rPr/>
        <w:t>1999,</w:t>
      </w:r>
      <w:r>
        <w:rPr>
          <w:spacing w:val="-3"/>
        </w:rPr>
        <w:t> </w:t>
      </w:r>
      <w:r>
        <w:rPr/>
        <w:t>the</w:t>
      </w:r>
      <w:r>
        <w:rPr>
          <w:spacing w:val="-4"/>
        </w:rPr>
        <w:t> </w:t>
      </w:r>
      <w:r>
        <w:rPr/>
        <w:t>NDA</w:t>
      </w:r>
      <w:r>
        <w:rPr>
          <w:spacing w:val="-4"/>
        </w:rPr>
        <w:t> </w:t>
      </w:r>
      <w:r>
        <w:rPr/>
        <w:t>prepared and</w:t>
      </w:r>
      <w:r>
        <w:rPr>
          <w:spacing w:val="-2"/>
        </w:rPr>
        <w:t> </w:t>
      </w:r>
      <w:r>
        <w:rPr/>
        <w:t>submitted financial accounts</w:t>
      </w:r>
      <w:r>
        <w:rPr>
          <w:spacing w:val="-1"/>
        </w:rPr>
        <w:t> </w:t>
      </w:r>
      <w:r>
        <w:rPr/>
        <w:t>for</w:t>
      </w:r>
      <w:r>
        <w:rPr>
          <w:spacing w:val="-2"/>
        </w:rPr>
        <w:t> </w:t>
      </w:r>
      <w:r>
        <w:rPr/>
        <w:t>2016</w:t>
      </w:r>
      <w:r>
        <w:rPr>
          <w:spacing w:val="-1"/>
        </w:rPr>
        <w:t> </w:t>
      </w:r>
      <w:r>
        <w:rPr/>
        <w:t>to</w:t>
      </w:r>
      <w:r>
        <w:rPr>
          <w:spacing w:val="-1"/>
        </w:rPr>
        <w:t> </w:t>
      </w:r>
      <w:r>
        <w:rPr/>
        <w:t>the</w:t>
      </w:r>
      <w:r>
        <w:rPr>
          <w:spacing w:val="-2"/>
        </w:rPr>
        <w:t> </w:t>
      </w:r>
      <w:r>
        <w:rPr/>
        <w:t>Comptroller</w:t>
      </w:r>
      <w:r>
        <w:rPr>
          <w:spacing w:val="-1"/>
        </w:rPr>
        <w:t> </w:t>
      </w:r>
      <w:r>
        <w:rPr/>
        <w:t>and Auditor General, using the new FRS 102 Standard adopted in 2016. The NDA submitted the approved financial accounts and Annual Report for 2016 to the Minister on 1 July 2017.</w:t>
      </w:r>
    </w:p>
    <w:p>
      <w:pPr>
        <w:pStyle w:val="BodyText"/>
        <w:spacing w:before="240"/>
        <w:ind w:left="1702" w:right="988"/>
      </w:pPr>
      <w:r>
        <w:rPr/>
        <w:t>The</w:t>
      </w:r>
      <w:r>
        <w:rPr>
          <w:spacing w:val="-1"/>
        </w:rPr>
        <w:t> </w:t>
      </w:r>
      <w:r>
        <w:rPr/>
        <w:t>Authority met</w:t>
      </w:r>
      <w:r>
        <w:rPr>
          <w:spacing w:val="-1"/>
        </w:rPr>
        <w:t> </w:t>
      </w:r>
      <w:r>
        <w:rPr/>
        <w:t>six times in</w:t>
      </w:r>
      <w:r>
        <w:rPr>
          <w:spacing w:val="-1"/>
        </w:rPr>
        <w:t> </w:t>
      </w:r>
      <w:r>
        <w:rPr/>
        <w:t>2017. The</w:t>
      </w:r>
      <w:r>
        <w:rPr>
          <w:spacing w:val="-1"/>
        </w:rPr>
        <w:t> </w:t>
      </w:r>
      <w:r>
        <w:rPr/>
        <w:t>Audit</w:t>
      </w:r>
      <w:r>
        <w:rPr>
          <w:spacing w:val="-1"/>
        </w:rPr>
        <w:t> </w:t>
      </w:r>
      <w:r>
        <w:rPr/>
        <w:t>Committee</w:t>
      </w:r>
      <w:r>
        <w:rPr>
          <w:spacing w:val="-1"/>
        </w:rPr>
        <w:t> </w:t>
      </w:r>
      <w:r>
        <w:rPr/>
        <w:t>met</w:t>
      </w:r>
      <w:r>
        <w:rPr>
          <w:spacing w:val="-1"/>
        </w:rPr>
        <w:t> </w:t>
      </w:r>
      <w:r>
        <w:rPr/>
        <w:t>five</w:t>
      </w:r>
      <w:r>
        <w:rPr>
          <w:spacing w:val="-1"/>
        </w:rPr>
        <w:t> </w:t>
      </w:r>
      <w:r>
        <w:rPr/>
        <w:t>times in 2017, and reviewed its terms of reference. The Chairman delivered the committee’s annual report at the Authority’s last meeting of 2017. The Finance</w:t>
      </w:r>
      <w:r>
        <w:rPr>
          <w:spacing w:val="-4"/>
        </w:rPr>
        <w:t> </w:t>
      </w:r>
      <w:r>
        <w:rPr/>
        <w:t>Committee</w:t>
      </w:r>
      <w:r>
        <w:rPr>
          <w:spacing w:val="-4"/>
        </w:rPr>
        <w:t> </w:t>
      </w:r>
      <w:r>
        <w:rPr/>
        <w:t>met</w:t>
      </w:r>
      <w:r>
        <w:rPr>
          <w:spacing w:val="-4"/>
        </w:rPr>
        <w:t> </w:t>
      </w:r>
      <w:r>
        <w:rPr/>
        <w:t>six</w:t>
      </w:r>
      <w:r>
        <w:rPr>
          <w:spacing w:val="-4"/>
        </w:rPr>
        <w:t> </w:t>
      </w:r>
      <w:r>
        <w:rPr/>
        <w:t>times</w:t>
      </w:r>
      <w:r>
        <w:rPr>
          <w:spacing w:val="-3"/>
        </w:rPr>
        <w:t> </w:t>
      </w:r>
      <w:r>
        <w:rPr/>
        <w:t>in</w:t>
      </w:r>
      <w:r>
        <w:rPr>
          <w:spacing w:val="-4"/>
        </w:rPr>
        <w:t> </w:t>
      </w:r>
      <w:r>
        <w:rPr/>
        <w:t>2017, and</w:t>
      </w:r>
      <w:r>
        <w:rPr>
          <w:spacing w:val="-4"/>
        </w:rPr>
        <w:t> </w:t>
      </w:r>
      <w:r>
        <w:rPr/>
        <w:t>monitored</w:t>
      </w:r>
      <w:r>
        <w:rPr>
          <w:spacing w:val="-4"/>
        </w:rPr>
        <w:t> </w:t>
      </w:r>
      <w:r>
        <w:rPr/>
        <w:t>and</w:t>
      </w:r>
      <w:r>
        <w:rPr>
          <w:spacing w:val="-4"/>
        </w:rPr>
        <w:t> </w:t>
      </w:r>
      <w:r>
        <w:rPr/>
        <w:t>reported</w:t>
      </w:r>
      <w:r>
        <w:rPr>
          <w:spacing w:val="-4"/>
        </w:rPr>
        <w:t> </w:t>
      </w:r>
      <w:r>
        <w:rPr/>
        <w:t>on the NDA’s expenditure.</w:t>
      </w:r>
    </w:p>
    <w:p>
      <w:pPr>
        <w:pStyle w:val="BodyText"/>
        <w:spacing w:before="242"/>
        <w:ind w:left="1702" w:right="988"/>
      </w:pPr>
      <w:r>
        <w:rPr/>
        <w:t>An independent review of internal financial controls in the NDA was undertaken in March 2016.</w:t>
      </w:r>
      <w:r>
        <w:rPr>
          <w:spacing w:val="40"/>
        </w:rPr>
        <w:t> </w:t>
      </w:r>
      <w:r>
        <w:rPr/>
        <w:t>An internal audit was also undertaken of the NDA</w:t>
      </w:r>
      <w:r>
        <w:rPr>
          <w:spacing w:val="-5"/>
        </w:rPr>
        <w:t> </w:t>
      </w:r>
      <w:r>
        <w:rPr/>
        <w:t>project</w:t>
      </w:r>
      <w:r>
        <w:rPr>
          <w:spacing w:val="-3"/>
        </w:rPr>
        <w:t> </w:t>
      </w:r>
      <w:r>
        <w:rPr/>
        <w:t>management</w:t>
      </w:r>
      <w:r>
        <w:rPr>
          <w:spacing w:val="-5"/>
        </w:rPr>
        <w:t> </w:t>
      </w:r>
      <w:r>
        <w:rPr/>
        <w:t>system.</w:t>
      </w:r>
      <w:r>
        <w:rPr>
          <w:spacing w:val="40"/>
        </w:rPr>
        <w:t> </w:t>
      </w:r>
      <w:r>
        <w:rPr/>
        <w:t>Both</w:t>
      </w:r>
      <w:r>
        <w:rPr>
          <w:spacing w:val="-5"/>
        </w:rPr>
        <w:t> </w:t>
      </w:r>
      <w:r>
        <w:rPr/>
        <w:t>audit</w:t>
      </w:r>
      <w:r>
        <w:rPr>
          <w:spacing w:val="-5"/>
        </w:rPr>
        <w:t> </w:t>
      </w:r>
      <w:r>
        <w:rPr/>
        <w:t>reports</w:t>
      </w:r>
      <w:r>
        <w:rPr>
          <w:spacing w:val="-3"/>
        </w:rPr>
        <w:t> </w:t>
      </w:r>
      <w:r>
        <w:rPr/>
        <w:t>were</w:t>
      </w:r>
      <w:r>
        <w:rPr>
          <w:spacing w:val="-4"/>
        </w:rPr>
        <w:t> </w:t>
      </w:r>
      <w:r>
        <w:rPr/>
        <w:t>considered</w:t>
      </w:r>
      <w:r>
        <w:rPr>
          <w:spacing w:val="-5"/>
        </w:rPr>
        <w:t> </w:t>
      </w:r>
      <w:r>
        <w:rPr/>
        <w:t>by the Audit Committee and Authority as appropriate.</w:t>
      </w:r>
    </w:p>
    <w:p>
      <w:pPr>
        <w:pStyle w:val="BodyText"/>
        <w:spacing w:before="239"/>
        <w:ind w:left="1702" w:right="988"/>
      </w:pPr>
      <w:r>
        <w:rPr/>
        <w:t>The NDA also has a Risk Management Committee which comprises 2 independent members, one of who is the chairperson, and the senior management group.</w:t>
      </w:r>
      <w:r>
        <w:rPr>
          <w:spacing w:val="40"/>
        </w:rPr>
        <w:t> </w:t>
      </w:r>
      <w:r>
        <w:rPr/>
        <w:t>The Chairman reports to the Audit Committee. During</w:t>
      </w:r>
      <w:r>
        <w:rPr>
          <w:spacing w:val="-4"/>
        </w:rPr>
        <w:t> </w:t>
      </w:r>
      <w:r>
        <w:rPr/>
        <w:t>2017,</w:t>
      </w:r>
      <w:r>
        <w:rPr>
          <w:spacing w:val="-3"/>
        </w:rPr>
        <w:t> </w:t>
      </w:r>
      <w:r>
        <w:rPr/>
        <w:t>work</w:t>
      </w:r>
      <w:r>
        <w:rPr>
          <w:spacing w:val="-3"/>
        </w:rPr>
        <w:t> </w:t>
      </w:r>
      <w:r>
        <w:rPr/>
        <w:t>was</w:t>
      </w:r>
      <w:r>
        <w:rPr>
          <w:spacing w:val="-3"/>
        </w:rPr>
        <w:t> </w:t>
      </w:r>
      <w:r>
        <w:rPr/>
        <w:t>advanced</w:t>
      </w:r>
      <w:r>
        <w:rPr>
          <w:spacing w:val="-4"/>
        </w:rPr>
        <w:t> </w:t>
      </w:r>
      <w:r>
        <w:rPr/>
        <w:t>on</w:t>
      </w:r>
      <w:r>
        <w:rPr>
          <w:spacing w:val="-4"/>
        </w:rPr>
        <w:t> </w:t>
      </w:r>
      <w:r>
        <w:rPr/>
        <w:t>a</w:t>
      </w:r>
      <w:r>
        <w:rPr>
          <w:spacing w:val="-4"/>
        </w:rPr>
        <w:t> </w:t>
      </w:r>
      <w:r>
        <w:rPr/>
        <w:t>revised</w:t>
      </w:r>
      <w:r>
        <w:rPr>
          <w:spacing w:val="-4"/>
        </w:rPr>
        <w:t> </w:t>
      </w:r>
      <w:r>
        <w:rPr/>
        <w:t>Risk</w:t>
      </w:r>
      <w:r>
        <w:rPr>
          <w:spacing w:val="-4"/>
        </w:rPr>
        <w:t> </w:t>
      </w:r>
      <w:r>
        <w:rPr/>
        <w:t>Register</w:t>
      </w:r>
      <w:r>
        <w:rPr>
          <w:spacing w:val="-3"/>
        </w:rPr>
        <w:t> </w:t>
      </w:r>
      <w:r>
        <w:rPr/>
        <w:t>and</w:t>
      </w:r>
      <w:r>
        <w:rPr>
          <w:spacing w:val="-4"/>
        </w:rPr>
        <w:t> </w:t>
      </w:r>
      <w:r>
        <w:rPr/>
        <w:t>the</w:t>
      </w:r>
      <w:r>
        <w:rPr>
          <w:spacing w:val="-1"/>
        </w:rPr>
        <w:t> </w:t>
      </w:r>
      <w:r>
        <w:rPr/>
        <w:t>terms of reference were approved by the Authority.</w:t>
      </w:r>
    </w:p>
    <w:p>
      <w:pPr>
        <w:pStyle w:val="BodyText"/>
        <w:spacing w:after="0"/>
        <w:sectPr>
          <w:pgSz w:w="11910" w:h="16850"/>
          <w:pgMar w:header="0" w:footer="811" w:top="1880" w:bottom="1000" w:left="283" w:right="992"/>
        </w:sectPr>
      </w:pPr>
    </w:p>
    <w:p>
      <w:pPr>
        <w:pStyle w:val="BodyText"/>
        <w:spacing w:before="79"/>
        <w:ind w:left="1702" w:right="1005"/>
      </w:pPr>
      <w:r>
        <w:rPr/>
        <w:t>The NDA Risk Management Committee reviewed the Risk Register and submitted a revised register for 2017/18 for consideration by the Authority.</w:t>
      </w:r>
      <w:r>
        <w:rPr>
          <w:spacing w:val="-3"/>
        </w:rPr>
        <w:t> </w:t>
      </w:r>
      <w:r>
        <w:rPr/>
        <w:t>In</w:t>
      </w:r>
      <w:r>
        <w:rPr>
          <w:spacing w:val="-4"/>
        </w:rPr>
        <w:t> </w:t>
      </w:r>
      <w:r>
        <w:rPr/>
        <w:t>line</w:t>
      </w:r>
      <w:r>
        <w:rPr>
          <w:spacing w:val="-4"/>
        </w:rPr>
        <w:t> </w:t>
      </w:r>
      <w:r>
        <w:rPr/>
        <w:t>with</w:t>
      </w:r>
      <w:r>
        <w:rPr>
          <w:spacing w:val="-2"/>
        </w:rPr>
        <w:t> </w:t>
      </w:r>
      <w:r>
        <w:rPr/>
        <w:t>the</w:t>
      </w:r>
      <w:r>
        <w:rPr>
          <w:spacing w:val="-4"/>
        </w:rPr>
        <w:t> </w:t>
      </w:r>
      <w:r>
        <w:rPr/>
        <w:t>requirement</w:t>
      </w:r>
      <w:r>
        <w:rPr>
          <w:spacing w:val="-4"/>
        </w:rPr>
        <w:t> </w:t>
      </w:r>
      <w:r>
        <w:rPr/>
        <w:t>under</w:t>
      </w:r>
      <w:r>
        <w:rPr>
          <w:spacing w:val="-1"/>
        </w:rPr>
        <w:t> </w:t>
      </w:r>
      <w:r>
        <w:rPr/>
        <w:t>the</w:t>
      </w:r>
      <w:r>
        <w:rPr>
          <w:spacing w:val="-4"/>
        </w:rPr>
        <w:t> </w:t>
      </w:r>
      <w:r>
        <w:rPr/>
        <w:t>Code</w:t>
      </w:r>
      <w:r>
        <w:rPr>
          <w:spacing w:val="-3"/>
        </w:rPr>
        <w:t> </w:t>
      </w:r>
      <w:r>
        <w:rPr/>
        <w:t>of</w:t>
      </w:r>
      <w:r>
        <w:rPr>
          <w:spacing w:val="-4"/>
        </w:rPr>
        <w:t> </w:t>
      </w:r>
      <w:r>
        <w:rPr/>
        <w:t>Practice</w:t>
      </w:r>
      <w:r>
        <w:rPr>
          <w:spacing w:val="-4"/>
        </w:rPr>
        <w:t> </w:t>
      </w:r>
      <w:r>
        <w:rPr/>
        <w:t>for</w:t>
      </w:r>
      <w:r>
        <w:rPr>
          <w:spacing w:val="-4"/>
        </w:rPr>
        <w:t> </w:t>
      </w:r>
      <w:r>
        <w:rPr/>
        <w:t>the Governance for State Bodies to publish these risks in the Annual Report, the top five risks within this register are outlined as follows:</w:t>
      </w:r>
    </w:p>
    <w:p>
      <w:pPr>
        <w:pStyle w:val="BodyText"/>
        <w:spacing w:before="33"/>
        <w:rPr>
          <w:sz w:val="20"/>
        </w:rPr>
      </w:pPr>
    </w:p>
    <w:tbl>
      <w:tblPr>
        <w:tblW w:w="0" w:type="auto"/>
        <w:jc w:val="left"/>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49"/>
        <w:gridCol w:w="4113"/>
      </w:tblGrid>
      <w:tr>
        <w:trPr>
          <w:trHeight w:val="302" w:hRule="atLeast"/>
        </w:trPr>
        <w:tc>
          <w:tcPr>
            <w:tcW w:w="4249" w:type="dxa"/>
          </w:tcPr>
          <w:p>
            <w:pPr>
              <w:pStyle w:val="TableParagraph"/>
              <w:spacing w:line="276" w:lineRule="exact"/>
              <w:ind w:left="107"/>
              <w:rPr>
                <w:b/>
                <w:sz w:val="26"/>
              </w:rPr>
            </w:pPr>
            <w:r>
              <w:rPr>
                <w:b/>
                <w:sz w:val="26"/>
              </w:rPr>
              <w:t>Risk</w:t>
            </w:r>
            <w:r>
              <w:rPr>
                <w:b/>
                <w:spacing w:val="-10"/>
                <w:sz w:val="26"/>
              </w:rPr>
              <w:t> </w:t>
            </w:r>
            <w:r>
              <w:rPr>
                <w:b/>
                <w:spacing w:val="-2"/>
                <w:sz w:val="26"/>
              </w:rPr>
              <w:t>Areas</w:t>
            </w:r>
          </w:p>
        </w:tc>
        <w:tc>
          <w:tcPr>
            <w:tcW w:w="4113" w:type="dxa"/>
          </w:tcPr>
          <w:p>
            <w:pPr>
              <w:pStyle w:val="TableParagraph"/>
              <w:spacing w:line="276" w:lineRule="exact"/>
              <w:ind w:left="107"/>
              <w:rPr>
                <w:b/>
                <w:sz w:val="26"/>
              </w:rPr>
            </w:pPr>
            <w:r>
              <w:rPr>
                <w:b/>
                <w:sz w:val="26"/>
              </w:rPr>
              <w:t>Controls</w:t>
            </w:r>
            <w:r>
              <w:rPr>
                <w:b/>
                <w:spacing w:val="-9"/>
                <w:sz w:val="26"/>
              </w:rPr>
              <w:t> </w:t>
            </w:r>
            <w:r>
              <w:rPr>
                <w:b/>
                <w:sz w:val="26"/>
              </w:rPr>
              <w:t>&amp;</w:t>
            </w:r>
            <w:r>
              <w:rPr>
                <w:b/>
                <w:spacing w:val="-8"/>
                <w:sz w:val="26"/>
              </w:rPr>
              <w:t> </w:t>
            </w:r>
            <w:r>
              <w:rPr>
                <w:b/>
                <w:spacing w:val="-2"/>
                <w:sz w:val="26"/>
              </w:rPr>
              <w:t>Mitigants</w:t>
            </w:r>
          </w:p>
        </w:tc>
      </w:tr>
      <w:tr>
        <w:trPr>
          <w:trHeight w:val="2412" w:hRule="atLeast"/>
        </w:trPr>
        <w:tc>
          <w:tcPr>
            <w:tcW w:w="4249" w:type="dxa"/>
          </w:tcPr>
          <w:p>
            <w:pPr>
              <w:pStyle w:val="TableParagraph"/>
              <w:spacing w:line="275" w:lineRule="exact"/>
              <w:ind w:left="107"/>
              <w:rPr>
                <w:sz w:val="26"/>
              </w:rPr>
            </w:pPr>
            <w:r>
              <w:rPr>
                <w:sz w:val="26"/>
              </w:rPr>
              <w:t>Quality</w:t>
            </w:r>
            <w:r>
              <w:rPr>
                <w:spacing w:val="-10"/>
                <w:sz w:val="26"/>
              </w:rPr>
              <w:t> </w:t>
            </w:r>
            <w:r>
              <w:rPr>
                <w:sz w:val="26"/>
              </w:rPr>
              <w:t>Assurance</w:t>
            </w:r>
            <w:r>
              <w:rPr>
                <w:spacing w:val="-9"/>
                <w:sz w:val="26"/>
              </w:rPr>
              <w:t> </w:t>
            </w:r>
            <w:r>
              <w:rPr>
                <w:sz w:val="26"/>
              </w:rPr>
              <w:t>of</w:t>
            </w:r>
            <w:r>
              <w:rPr>
                <w:spacing w:val="-5"/>
                <w:sz w:val="26"/>
              </w:rPr>
              <w:t> </w:t>
            </w:r>
            <w:r>
              <w:rPr>
                <w:sz w:val="26"/>
              </w:rPr>
              <w:t>Outputs</w:t>
            </w:r>
            <w:r>
              <w:rPr>
                <w:spacing w:val="-7"/>
                <w:sz w:val="26"/>
              </w:rPr>
              <w:t> </w:t>
            </w:r>
            <w:r>
              <w:rPr>
                <w:spacing w:val="-5"/>
                <w:sz w:val="26"/>
              </w:rPr>
              <w:t>to</w:t>
            </w:r>
          </w:p>
          <w:p>
            <w:pPr>
              <w:pStyle w:val="TableParagraph"/>
              <w:ind w:left="107"/>
              <w:rPr>
                <w:sz w:val="26"/>
              </w:rPr>
            </w:pPr>
            <w:r>
              <w:rPr>
                <w:sz w:val="26"/>
              </w:rPr>
              <w:t>deliver on statutory functions to address</w:t>
            </w:r>
            <w:r>
              <w:rPr>
                <w:spacing w:val="-10"/>
                <w:sz w:val="26"/>
              </w:rPr>
              <w:t> </w:t>
            </w:r>
            <w:r>
              <w:rPr>
                <w:sz w:val="26"/>
              </w:rPr>
              <w:t>any</w:t>
            </w:r>
            <w:r>
              <w:rPr>
                <w:spacing w:val="-12"/>
                <w:sz w:val="26"/>
              </w:rPr>
              <w:t> </w:t>
            </w:r>
            <w:r>
              <w:rPr>
                <w:sz w:val="26"/>
              </w:rPr>
              <w:t>challenges</w:t>
            </w:r>
            <w:r>
              <w:rPr>
                <w:spacing w:val="-10"/>
                <w:sz w:val="26"/>
              </w:rPr>
              <w:t> </w:t>
            </w:r>
            <w:r>
              <w:rPr>
                <w:sz w:val="26"/>
              </w:rPr>
              <w:t>to</w:t>
            </w:r>
            <w:r>
              <w:rPr>
                <w:spacing w:val="-10"/>
                <w:sz w:val="26"/>
              </w:rPr>
              <w:t> </w:t>
            </w:r>
            <w:r>
              <w:rPr>
                <w:sz w:val="26"/>
              </w:rPr>
              <w:t>consistent high quality information, advice and </w:t>
            </w:r>
            <w:r>
              <w:rPr>
                <w:spacing w:val="-2"/>
                <w:sz w:val="26"/>
              </w:rPr>
              <w:t>outputs.</w:t>
            </w:r>
          </w:p>
        </w:tc>
        <w:tc>
          <w:tcPr>
            <w:tcW w:w="4113" w:type="dxa"/>
          </w:tcPr>
          <w:p>
            <w:pPr>
              <w:pStyle w:val="TableParagraph"/>
              <w:spacing w:line="275" w:lineRule="exact"/>
              <w:ind w:left="107"/>
              <w:jc w:val="both"/>
              <w:rPr>
                <w:sz w:val="26"/>
              </w:rPr>
            </w:pPr>
            <w:r>
              <w:rPr>
                <w:sz w:val="26"/>
              </w:rPr>
              <w:t>Workforce</w:t>
            </w:r>
            <w:r>
              <w:rPr>
                <w:spacing w:val="-14"/>
                <w:sz w:val="26"/>
              </w:rPr>
              <w:t> </w:t>
            </w:r>
            <w:r>
              <w:rPr>
                <w:sz w:val="26"/>
              </w:rPr>
              <w:t>planning,</w:t>
            </w:r>
            <w:r>
              <w:rPr>
                <w:spacing w:val="-12"/>
                <w:sz w:val="26"/>
              </w:rPr>
              <w:t> </w:t>
            </w:r>
            <w:r>
              <w:rPr>
                <w:sz w:val="26"/>
              </w:rPr>
              <w:t>knowledge</w:t>
            </w:r>
            <w:r>
              <w:rPr>
                <w:spacing w:val="-13"/>
                <w:sz w:val="26"/>
              </w:rPr>
              <w:t> </w:t>
            </w:r>
            <w:r>
              <w:rPr>
                <w:spacing w:val="-5"/>
                <w:sz w:val="26"/>
              </w:rPr>
              <w:t>and</w:t>
            </w:r>
          </w:p>
          <w:p>
            <w:pPr>
              <w:pStyle w:val="TableParagraph"/>
              <w:ind w:left="107" w:right="596"/>
              <w:jc w:val="both"/>
              <w:rPr>
                <w:sz w:val="26"/>
              </w:rPr>
            </w:pPr>
            <w:r>
              <w:rPr>
                <w:sz w:val="26"/>
              </w:rPr>
              <w:t>skills development to effectively manage</w:t>
            </w:r>
            <w:r>
              <w:rPr>
                <w:spacing w:val="-11"/>
                <w:sz w:val="26"/>
              </w:rPr>
              <w:t> </w:t>
            </w:r>
            <w:r>
              <w:rPr>
                <w:sz w:val="26"/>
              </w:rPr>
              <w:t>resources</w:t>
            </w:r>
            <w:r>
              <w:rPr>
                <w:spacing w:val="-10"/>
                <w:sz w:val="26"/>
              </w:rPr>
              <w:t> </w:t>
            </w:r>
            <w:r>
              <w:rPr>
                <w:sz w:val="26"/>
              </w:rPr>
              <w:t>and</w:t>
            </w:r>
            <w:r>
              <w:rPr>
                <w:spacing w:val="-10"/>
                <w:sz w:val="26"/>
              </w:rPr>
              <w:t> </w:t>
            </w:r>
            <w:r>
              <w:rPr>
                <w:sz w:val="26"/>
              </w:rPr>
              <w:t>impact</w:t>
            </w:r>
            <w:r>
              <w:rPr>
                <w:spacing w:val="-11"/>
                <w:sz w:val="26"/>
              </w:rPr>
              <w:t> </w:t>
            </w:r>
            <w:r>
              <w:rPr>
                <w:sz w:val="26"/>
              </w:rPr>
              <w:t>of increased mobility</w:t>
            </w:r>
          </w:p>
          <w:p>
            <w:pPr>
              <w:pStyle w:val="TableParagraph"/>
              <w:ind w:left="107"/>
              <w:rPr>
                <w:sz w:val="26"/>
              </w:rPr>
            </w:pPr>
            <w:r>
              <w:rPr>
                <w:sz w:val="26"/>
              </w:rPr>
              <w:t>Quality and project management systems</w:t>
            </w:r>
            <w:r>
              <w:rPr>
                <w:spacing w:val="-10"/>
                <w:sz w:val="26"/>
              </w:rPr>
              <w:t> </w:t>
            </w:r>
            <w:r>
              <w:rPr>
                <w:sz w:val="26"/>
              </w:rPr>
              <w:t>in</w:t>
            </w:r>
            <w:r>
              <w:rPr>
                <w:spacing w:val="-10"/>
                <w:sz w:val="26"/>
              </w:rPr>
              <w:t> </w:t>
            </w:r>
            <w:r>
              <w:rPr>
                <w:sz w:val="26"/>
              </w:rPr>
              <w:t>place</w:t>
            </w:r>
            <w:r>
              <w:rPr>
                <w:spacing w:val="-10"/>
                <w:sz w:val="26"/>
              </w:rPr>
              <w:t> </w:t>
            </w:r>
            <w:r>
              <w:rPr>
                <w:sz w:val="26"/>
              </w:rPr>
              <w:t>for</w:t>
            </w:r>
            <w:r>
              <w:rPr>
                <w:spacing w:val="-10"/>
                <w:sz w:val="26"/>
              </w:rPr>
              <w:t> </w:t>
            </w:r>
            <w:r>
              <w:rPr>
                <w:sz w:val="26"/>
              </w:rPr>
              <w:t>commissioned </w:t>
            </w:r>
            <w:r>
              <w:rPr>
                <w:spacing w:val="-4"/>
                <w:sz w:val="26"/>
              </w:rPr>
              <w:t>work</w:t>
            </w:r>
          </w:p>
        </w:tc>
      </w:tr>
      <w:tr>
        <w:trPr>
          <w:trHeight w:val="1206" w:hRule="atLeast"/>
        </w:trPr>
        <w:tc>
          <w:tcPr>
            <w:tcW w:w="4249" w:type="dxa"/>
          </w:tcPr>
          <w:p>
            <w:pPr>
              <w:pStyle w:val="TableParagraph"/>
              <w:spacing w:line="276" w:lineRule="exact"/>
              <w:ind w:left="107"/>
              <w:rPr>
                <w:sz w:val="26"/>
              </w:rPr>
            </w:pPr>
            <w:r>
              <w:rPr>
                <w:sz w:val="26"/>
              </w:rPr>
              <w:t>Robust</w:t>
            </w:r>
            <w:r>
              <w:rPr>
                <w:spacing w:val="-8"/>
                <w:sz w:val="26"/>
              </w:rPr>
              <w:t> </w:t>
            </w:r>
            <w:r>
              <w:rPr>
                <w:sz w:val="26"/>
              </w:rPr>
              <w:t>financial</w:t>
            </w:r>
            <w:r>
              <w:rPr>
                <w:spacing w:val="-8"/>
                <w:sz w:val="26"/>
              </w:rPr>
              <w:t> </w:t>
            </w:r>
            <w:r>
              <w:rPr>
                <w:sz w:val="26"/>
              </w:rPr>
              <w:t>reporting</w:t>
            </w:r>
            <w:r>
              <w:rPr>
                <w:spacing w:val="-8"/>
                <w:sz w:val="26"/>
              </w:rPr>
              <w:t> </w:t>
            </w:r>
            <w:r>
              <w:rPr>
                <w:sz w:val="26"/>
              </w:rPr>
              <w:t>to</w:t>
            </w:r>
            <w:r>
              <w:rPr>
                <w:spacing w:val="-8"/>
                <w:sz w:val="26"/>
              </w:rPr>
              <w:t> </w:t>
            </w:r>
            <w:r>
              <w:rPr>
                <w:spacing w:val="-2"/>
                <w:sz w:val="26"/>
              </w:rPr>
              <w:t>ensure</w:t>
            </w:r>
          </w:p>
          <w:p>
            <w:pPr>
              <w:pStyle w:val="TableParagraph"/>
              <w:spacing w:before="1"/>
              <w:ind w:left="107"/>
              <w:rPr>
                <w:sz w:val="26"/>
              </w:rPr>
            </w:pPr>
            <w:r>
              <w:rPr>
                <w:sz w:val="26"/>
              </w:rPr>
              <w:t>and</w:t>
            </w:r>
            <w:r>
              <w:rPr>
                <w:spacing w:val="-11"/>
                <w:sz w:val="26"/>
              </w:rPr>
              <w:t> </w:t>
            </w:r>
            <w:r>
              <w:rPr>
                <w:sz w:val="26"/>
              </w:rPr>
              <w:t>maintain</w:t>
            </w:r>
            <w:r>
              <w:rPr>
                <w:spacing w:val="-11"/>
                <w:sz w:val="26"/>
              </w:rPr>
              <w:t> </w:t>
            </w:r>
            <w:r>
              <w:rPr>
                <w:sz w:val="26"/>
              </w:rPr>
              <w:t>consistent</w:t>
            </w:r>
            <w:r>
              <w:rPr>
                <w:spacing w:val="-10"/>
                <w:sz w:val="26"/>
              </w:rPr>
              <w:t> </w:t>
            </w:r>
            <w:r>
              <w:rPr>
                <w:sz w:val="26"/>
              </w:rPr>
              <w:t>and</w:t>
            </w:r>
            <w:r>
              <w:rPr>
                <w:spacing w:val="-11"/>
                <w:sz w:val="26"/>
              </w:rPr>
              <w:t> </w:t>
            </w:r>
            <w:r>
              <w:rPr>
                <w:sz w:val="26"/>
              </w:rPr>
              <w:t>robust financial reporting</w:t>
            </w:r>
          </w:p>
        </w:tc>
        <w:tc>
          <w:tcPr>
            <w:tcW w:w="4113" w:type="dxa"/>
          </w:tcPr>
          <w:p>
            <w:pPr>
              <w:pStyle w:val="TableParagraph"/>
              <w:spacing w:line="276" w:lineRule="exact"/>
              <w:ind w:left="107"/>
              <w:rPr>
                <w:sz w:val="26"/>
              </w:rPr>
            </w:pPr>
            <w:r>
              <w:rPr>
                <w:sz w:val="26"/>
              </w:rPr>
              <w:t>Continue</w:t>
            </w:r>
            <w:r>
              <w:rPr>
                <w:spacing w:val="-9"/>
                <w:sz w:val="26"/>
              </w:rPr>
              <w:t> </w:t>
            </w:r>
            <w:r>
              <w:rPr>
                <w:sz w:val="26"/>
              </w:rPr>
              <w:t>to</w:t>
            </w:r>
            <w:r>
              <w:rPr>
                <w:spacing w:val="-7"/>
                <w:sz w:val="26"/>
              </w:rPr>
              <w:t> </w:t>
            </w:r>
            <w:r>
              <w:rPr>
                <w:sz w:val="26"/>
              </w:rPr>
              <w:t>enhance</w:t>
            </w:r>
            <w:r>
              <w:rPr>
                <w:spacing w:val="-8"/>
                <w:sz w:val="26"/>
              </w:rPr>
              <w:t> </w:t>
            </w:r>
            <w:r>
              <w:rPr>
                <w:spacing w:val="-2"/>
                <w:sz w:val="26"/>
              </w:rPr>
              <w:t>procedures</w:t>
            </w:r>
          </w:p>
          <w:p>
            <w:pPr>
              <w:pStyle w:val="TableParagraph"/>
              <w:spacing w:line="301" w:lineRule="exact" w:before="1"/>
              <w:ind w:left="107"/>
              <w:rPr>
                <w:sz w:val="26"/>
              </w:rPr>
            </w:pPr>
            <w:r>
              <w:rPr>
                <w:sz w:val="26"/>
              </w:rPr>
              <w:t>and</w:t>
            </w:r>
            <w:r>
              <w:rPr>
                <w:spacing w:val="-9"/>
                <w:sz w:val="26"/>
              </w:rPr>
              <w:t> </w:t>
            </w:r>
            <w:r>
              <w:rPr>
                <w:sz w:val="26"/>
              </w:rPr>
              <w:t>ensure</w:t>
            </w:r>
            <w:r>
              <w:rPr>
                <w:spacing w:val="-8"/>
                <w:sz w:val="26"/>
              </w:rPr>
              <w:t> </w:t>
            </w:r>
            <w:r>
              <w:rPr>
                <w:sz w:val="26"/>
              </w:rPr>
              <w:t>consistent</w:t>
            </w:r>
            <w:r>
              <w:rPr>
                <w:spacing w:val="-7"/>
                <w:sz w:val="26"/>
              </w:rPr>
              <w:t> </w:t>
            </w:r>
            <w:r>
              <w:rPr>
                <w:spacing w:val="-2"/>
                <w:sz w:val="26"/>
              </w:rPr>
              <w:t>resource.</w:t>
            </w:r>
          </w:p>
          <w:p>
            <w:pPr>
              <w:pStyle w:val="TableParagraph"/>
              <w:ind w:left="107"/>
              <w:rPr>
                <w:sz w:val="26"/>
              </w:rPr>
            </w:pPr>
            <w:r>
              <w:rPr>
                <w:sz w:val="26"/>
              </w:rPr>
              <w:t>To</w:t>
            </w:r>
            <w:r>
              <w:rPr>
                <w:spacing w:val="-10"/>
                <w:sz w:val="26"/>
              </w:rPr>
              <w:t> </w:t>
            </w:r>
            <w:r>
              <w:rPr>
                <w:sz w:val="26"/>
              </w:rPr>
              <w:t>ensure</w:t>
            </w:r>
            <w:r>
              <w:rPr>
                <w:spacing w:val="-9"/>
                <w:sz w:val="26"/>
              </w:rPr>
              <w:t> </w:t>
            </w:r>
            <w:r>
              <w:rPr>
                <w:sz w:val="26"/>
              </w:rPr>
              <w:t>reports</w:t>
            </w:r>
            <w:r>
              <w:rPr>
                <w:spacing w:val="-8"/>
                <w:sz w:val="26"/>
              </w:rPr>
              <w:t> </w:t>
            </w:r>
            <w:r>
              <w:rPr>
                <w:sz w:val="26"/>
              </w:rPr>
              <w:t>received</w:t>
            </w:r>
            <w:r>
              <w:rPr>
                <w:spacing w:val="-10"/>
                <w:sz w:val="26"/>
              </w:rPr>
              <w:t> </w:t>
            </w:r>
            <w:r>
              <w:rPr>
                <w:sz w:val="26"/>
              </w:rPr>
              <w:t>by</w:t>
            </w:r>
            <w:r>
              <w:rPr>
                <w:spacing w:val="-8"/>
                <w:sz w:val="26"/>
              </w:rPr>
              <w:t> </w:t>
            </w:r>
            <w:r>
              <w:rPr>
                <w:sz w:val="26"/>
              </w:rPr>
              <w:t>NDA are to required standard.</w:t>
            </w:r>
          </w:p>
        </w:tc>
      </w:tr>
      <w:tr>
        <w:trPr>
          <w:trHeight w:val="1207" w:hRule="atLeast"/>
        </w:trPr>
        <w:tc>
          <w:tcPr>
            <w:tcW w:w="4249" w:type="dxa"/>
          </w:tcPr>
          <w:p>
            <w:pPr>
              <w:pStyle w:val="TableParagraph"/>
              <w:spacing w:line="275" w:lineRule="exact"/>
              <w:ind w:left="107"/>
              <w:rPr>
                <w:sz w:val="26"/>
              </w:rPr>
            </w:pPr>
            <w:r>
              <w:rPr>
                <w:sz w:val="26"/>
              </w:rPr>
              <w:t>Timely</w:t>
            </w:r>
            <w:r>
              <w:rPr>
                <w:spacing w:val="-13"/>
                <w:sz w:val="26"/>
              </w:rPr>
              <w:t> </w:t>
            </w:r>
            <w:r>
              <w:rPr>
                <w:sz w:val="26"/>
              </w:rPr>
              <w:t>governance</w:t>
            </w:r>
            <w:r>
              <w:rPr>
                <w:spacing w:val="-10"/>
                <w:sz w:val="26"/>
              </w:rPr>
              <w:t> </w:t>
            </w:r>
            <w:r>
              <w:rPr>
                <w:spacing w:val="-2"/>
                <w:sz w:val="26"/>
              </w:rPr>
              <w:t>compliance:</w:t>
            </w:r>
          </w:p>
          <w:p>
            <w:pPr>
              <w:pStyle w:val="TableParagraph"/>
              <w:ind w:left="107"/>
              <w:rPr>
                <w:sz w:val="26"/>
              </w:rPr>
            </w:pPr>
            <w:r>
              <w:rPr>
                <w:sz w:val="26"/>
              </w:rPr>
              <w:t>Ensuring meet all governance compliance</w:t>
            </w:r>
            <w:r>
              <w:rPr>
                <w:spacing w:val="-19"/>
                <w:sz w:val="26"/>
              </w:rPr>
              <w:t> </w:t>
            </w:r>
            <w:r>
              <w:rPr>
                <w:sz w:val="26"/>
              </w:rPr>
              <w:t>requirements</w:t>
            </w:r>
            <w:r>
              <w:rPr>
                <w:spacing w:val="-18"/>
                <w:sz w:val="26"/>
              </w:rPr>
              <w:t> </w:t>
            </w:r>
            <w:r>
              <w:rPr>
                <w:sz w:val="26"/>
              </w:rPr>
              <w:t>with legislative timeframes.</w:t>
            </w:r>
          </w:p>
        </w:tc>
        <w:tc>
          <w:tcPr>
            <w:tcW w:w="4113" w:type="dxa"/>
          </w:tcPr>
          <w:p>
            <w:pPr>
              <w:pStyle w:val="TableParagraph"/>
              <w:spacing w:line="275" w:lineRule="exact"/>
              <w:ind w:left="107"/>
              <w:rPr>
                <w:sz w:val="26"/>
              </w:rPr>
            </w:pPr>
            <w:r>
              <w:rPr>
                <w:sz w:val="26"/>
              </w:rPr>
              <w:t>Action</w:t>
            </w:r>
            <w:r>
              <w:rPr>
                <w:spacing w:val="-9"/>
                <w:sz w:val="26"/>
              </w:rPr>
              <w:t> </w:t>
            </w:r>
            <w:r>
              <w:rPr>
                <w:sz w:val="26"/>
              </w:rPr>
              <w:t>programme</w:t>
            </w:r>
            <w:r>
              <w:rPr>
                <w:spacing w:val="-9"/>
                <w:sz w:val="26"/>
              </w:rPr>
              <w:t> </w:t>
            </w:r>
            <w:r>
              <w:rPr>
                <w:sz w:val="26"/>
              </w:rPr>
              <w:t>to</w:t>
            </w:r>
            <w:r>
              <w:rPr>
                <w:spacing w:val="-5"/>
                <w:sz w:val="26"/>
              </w:rPr>
              <w:t> </w:t>
            </w:r>
            <w:r>
              <w:rPr>
                <w:sz w:val="26"/>
              </w:rPr>
              <w:t>review</w:t>
            </w:r>
            <w:r>
              <w:rPr>
                <w:spacing w:val="-7"/>
                <w:sz w:val="26"/>
              </w:rPr>
              <w:t> </w:t>
            </w:r>
            <w:r>
              <w:rPr>
                <w:spacing w:val="-5"/>
                <w:sz w:val="26"/>
              </w:rPr>
              <w:t>and</w:t>
            </w:r>
          </w:p>
          <w:p>
            <w:pPr>
              <w:pStyle w:val="TableParagraph"/>
              <w:ind w:left="107"/>
              <w:rPr>
                <w:sz w:val="26"/>
              </w:rPr>
            </w:pPr>
            <w:r>
              <w:rPr>
                <w:sz w:val="26"/>
              </w:rPr>
              <w:t>enhance</w:t>
            </w:r>
            <w:r>
              <w:rPr>
                <w:spacing w:val="-19"/>
                <w:sz w:val="26"/>
              </w:rPr>
              <w:t> </w:t>
            </w:r>
            <w:r>
              <w:rPr>
                <w:sz w:val="26"/>
              </w:rPr>
              <w:t>governance</w:t>
            </w:r>
            <w:r>
              <w:rPr>
                <w:spacing w:val="-18"/>
                <w:sz w:val="26"/>
              </w:rPr>
              <w:t> </w:t>
            </w:r>
            <w:r>
              <w:rPr>
                <w:sz w:val="26"/>
              </w:rPr>
              <w:t>improvements, including compliance with GDPR.</w:t>
            </w:r>
          </w:p>
        </w:tc>
      </w:tr>
      <w:tr>
        <w:trPr>
          <w:trHeight w:val="602" w:hRule="atLeast"/>
        </w:trPr>
        <w:tc>
          <w:tcPr>
            <w:tcW w:w="4249" w:type="dxa"/>
          </w:tcPr>
          <w:p>
            <w:pPr>
              <w:pStyle w:val="TableParagraph"/>
              <w:spacing w:line="273" w:lineRule="exact"/>
              <w:ind w:left="107"/>
              <w:rPr>
                <w:sz w:val="26"/>
              </w:rPr>
            </w:pPr>
            <w:r>
              <w:rPr>
                <w:sz w:val="26"/>
              </w:rPr>
              <w:t>Achieving</w:t>
            </w:r>
            <w:r>
              <w:rPr>
                <w:spacing w:val="-12"/>
                <w:sz w:val="26"/>
              </w:rPr>
              <w:t> </w:t>
            </w:r>
            <w:r>
              <w:rPr>
                <w:sz w:val="26"/>
              </w:rPr>
              <w:t>understanding</w:t>
            </w:r>
            <w:r>
              <w:rPr>
                <w:spacing w:val="-12"/>
                <w:sz w:val="26"/>
              </w:rPr>
              <w:t> </w:t>
            </w:r>
            <w:r>
              <w:rPr>
                <w:spacing w:val="-5"/>
                <w:sz w:val="26"/>
              </w:rPr>
              <w:t>and</w:t>
            </w:r>
          </w:p>
          <w:p>
            <w:pPr>
              <w:pStyle w:val="TableParagraph"/>
              <w:spacing w:before="1"/>
              <w:ind w:left="107"/>
              <w:rPr>
                <w:sz w:val="26"/>
              </w:rPr>
            </w:pPr>
            <w:r>
              <w:rPr>
                <w:sz w:val="26"/>
              </w:rPr>
              <w:t>awareness</w:t>
            </w:r>
            <w:r>
              <w:rPr>
                <w:spacing w:val="-6"/>
                <w:sz w:val="26"/>
              </w:rPr>
              <w:t> </w:t>
            </w:r>
            <w:r>
              <w:rPr>
                <w:sz w:val="26"/>
              </w:rPr>
              <w:t>of</w:t>
            </w:r>
            <w:r>
              <w:rPr>
                <w:spacing w:val="-6"/>
                <w:sz w:val="26"/>
              </w:rPr>
              <w:t> </w:t>
            </w:r>
            <w:r>
              <w:rPr>
                <w:sz w:val="26"/>
              </w:rPr>
              <w:t>NDA</w:t>
            </w:r>
            <w:r>
              <w:rPr>
                <w:spacing w:val="-6"/>
                <w:sz w:val="26"/>
              </w:rPr>
              <w:t> </w:t>
            </w:r>
            <w:r>
              <w:rPr>
                <w:sz w:val="26"/>
              </w:rPr>
              <w:t>role</w:t>
            </w:r>
            <w:r>
              <w:rPr>
                <w:spacing w:val="-6"/>
                <w:sz w:val="26"/>
              </w:rPr>
              <w:t> </w:t>
            </w:r>
            <w:r>
              <w:rPr>
                <w:sz w:val="26"/>
              </w:rPr>
              <w:t>and</w:t>
            </w:r>
            <w:r>
              <w:rPr>
                <w:spacing w:val="-6"/>
                <w:sz w:val="26"/>
              </w:rPr>
              <w:t> </w:t>
            </w:r>
            <w:r>
              <w:rPr>
                <w:spacing w:val="-2"/>
                <w:sz w:val="26"/>
              </w:rPr>
              <w:t>outputs</w:t>
            </w:r>
          </w:p>
        </w:tc>
        <w:tc>
          <w:tcPr>
            <w:tcW w:w="4113" w:type="dxa"/>
          </w:tcPr>
          <w:p>
            <w:pPr>
              <w:pStyle w:val="TableParagraph"/>
              <w:spacing w:line="273" w:lineRule="exact"/>
              <w:ind w:left="107"/>
              <w:rPr>
                <w:sz w:val="26"/>
              </w:rPr>
            </w:pPr>
            <w:r>
              <w:rPr>
                <w:sz w:val="26"/>
              </w:rPr>
              <w:t>Enhance</w:t>
            </w:r>
            <w:r>
              <w:rPr>
                <w:spacing w:val="-10"/>
                <w:sz w:val="26"/>
              </w:rPr>
              <w:t> </w:t>
            </w:r>
            <w:r>
              <w:rPr>
                <w:sz w:val="26"/>
              </w:rPr>
              <w:t>communications</w:t>
            </w:r>
            <w:r>
              <w:rPr>
                <w:spacing w:val="-12"/>
                <w:sz w:val="26"/>
              </w:rPr>
              <w:t> </w:t>
            </w:r>
            <w:r>
              <w:rPr>
                <w:sz w:val="26"/>
              </w:rPr>
              <w:t>through</w:t>
            </w:r>
            <w:r>
              <w:rPr>
                <w:spacing w:val="-12"/>
                <w:sz w:val="26"/>
              </w:rPr>
              <w:t> </w:t>
            </w:r>
            <w:r>
              <w:rPr>
                <w:spacing w:val="-5"/>
                <w:sz w:val="26"/>
              </w:rPr>
              <w:t>an</w:t>
            </w:r>
          </w:p>
          <w:p>
            <w:pPr>
              <w:pStyle w:val="TableParagraph"/>
              <w:spacing w:before="1"/>
              <w:ind w:left="107"/>
              <w:rPr>
                <w:sz w:val="26"/>
              </w:rPr>
            </w:pPr>
            <w:r>
              <w:rPr>
                <w:sz w:val="26"/>
              </w:rPr>
              <w:t>agreed</w:t>
            </w:r>
            <w:r>
              <w:rPr>
                <w:spacing w:val="-8"/>
                <w:sz w:val="26"/>
              </w:rPr>
              <w:t> </w:t>
            </w:r>
            <w:r>
              <w:rPr>
                <w:spacing w:val="-2"/>
                <w:sz w:val="26"/>
              </w:rPr>
              <w:t>plan.</w:t>
            </w:r>
          </w:p>
        </w:tc>
      </w:tr>
      <w:tr>
        <w:trPr>
          <w:trHeight w:val="1206" w:hRule="atLeast"/>
        </w:trPr>
        <w:tc>
          <w:tcPr>
            <w:tcW w:w="4249" w:type="dxa"/>
          </w:tcPr>
          <w:p>
            <w:pPr>
              <w:pStyle w:val="TableParagraph"/>
              <w:spacing w:line="275" w:lineRule="exact"/>
              <w:ind w:left="107"/>
              <w:rPr>
                <w:sz w:val="26"/>
              </w:rPr>
            </w:pPr>
            <w:r>
              <w:rPr>
                <w:sz w:val="26"/>
              </w:rPr>
              <w:t>Ensuring</w:t>
            </w:r>
            <w:r>
              <w:rPr>
                <w:spacing w:val="-12"/>
                <w:sz w:val="26"/>
              </w:rPr>
              <w:t> </w:t>
            </w:r>
            <w:r>
              <w:rPr>
                <w:sz w:val="26"/>
              </w:rPr>
              <w:t>effective</w:t>
            </w:r>
            <w:r>
              <w:rPr>
                <w:spacing w:val="-10"/>
                <w:sz w:val="26"/>
              </w:rPr>
              <w:t> </w:t>
            </w:r>
            <w:r>
              <w:rPr>
                <w:sz w:val="26"/>
              </w:rPr>
              <w:t>management</w:t>
            </w:r>
            <w:r>
              <w:rPr>
                <w:spacing w:val="-11"/>
                <w:sz w:val="26"/>
              </w:rPr>
              <w:t> </w:t>
            </w:r>
            <w:r>
              <w:rPr>
                <w:spacing w:val="-5"/>
                <w:sz w:val="26"/>
              </w:rPr>
              <w:t>of</w:t>
            </w:r>
          </w:p>
          <w:p>
            <w:pPr>
              <w:pStyle w:val="TableParagraph"/>
              <w:spacing w:line="301" w:lineRule="exact"/>
              <w:ind w:left="107"/>
              <w:rPr>
                <w:sz w:val="26"/>
              </w:rPr>
            </w:pPr>
            <w:r>
              <w:rPr>
                <w:sz w:val="26"/>
              </w:rPr>
              <w:t>premises,</w:t>
            </w:r>
            <w:r>
              <w:rPr>
                <w:spacing w:val="-8"/>
                <w:sz w:val="26"/>
              </w:rPr>
              <w:t> </w:t>
            </w:r>
            <w:r>
              <w:rPr>
                <w:sz w:val="26"/>
              </w:rPr>
              <w:t>facilities</w:t>
            </w:r>
            <w:r>
              <w:rPr>
                <w:spacing w:val="-6"/>
                <w:sz w:val="26"/>
              </w:rPr>
              <w:t> </w:t>
            </w:r>
            <w:r>
              <w:rPr>
                <w:sz w:val="26"/>
              </w:rPr>
              <w:t>and</w:t>
            </w:r>
            <w:r>
              <w:rPr>
                <w:spacing w:val="-8"/>
                <w:sz w:val="26"/>
              </w:rPr>
              <w:t> </w:t>
            </w:r>
            <w:r>
              <w:rPr>
                <w:spacing w:val="-2"/>
                <w:sz w:val="26"/>
              </w:rPr>
              <w:t>systems</w:t>
            </w:r>
          </w:p>
        </w:tc>
        <w:tc>
          <w:tcPr>
            <w:tcW w:w="4113" w:type="dxa"/>
          </w:tcPr>
          <w:p>
            <w:pPr>
              <w:pStyle w:val="TableParagraph"/>
              <w:spacing w:line="275" w:lineRule="exact"/>
              <w:ind w:left="107"/>
              <w:rPr>
                <w:sz w:val="26"/>
              </w:rPr>
            </w:pPr>
            <w:r>
              <w:rPr>
                <w:sz w:val="26"/>
              </w:rPr>
              <w:t>Facilities</w:t>
            </w:r>
            <w:r>
              <w:rPr>
                <w:spacing w:val="-11"/>
                <w:sz w:val="26"/>
              </w:rPr>
              <w:t> </w:t>
            </w:r>
            <w:r>
              <w:rPr>
                <w:sz w:val="26"/>
              </w:rPr>
              <w:t>management</w:t>
            </w:r>
            <w:r>
              <w:rPr>
                <w:spacing w:val="-10"/>
                <w:sz w:val="26"/>
              </w:rPr>
              <w:t> </w:t>
            </w:r>
            <w:r>
              <w:rPr>
                <w:sz w:val="26"/>
              </w:rPr>
              <w:t>support</w:t>
            </w:r>
            <w:r>
              <w:rPr>
                <w:spacing w:val="-12"/>
                <w:sz w:val="26"/>
              </w:rPr>
              <w:t> </w:t>
            </w:r>
            <w:r>
              <w:rPr>
                <w:spacing w:val="-5"/>
                <w:sz w:val="26"/>
              </w:rPr>
              <w:t>and</w:t>
            </w:r>
          </w:p>
          <w:p>
            <w:pPr>
              <w:pStyle w:val="TableParagraph"/>
              <w:spacing w:line="301" w:lineRule="exact"/>
              <w:ind w:left="107"/>
              <w:rPr>
                <w:sz w:val="26"/>
              </w:rPr>
            </w:pPr>
            <w:r>
              <w:rPr>
                <w:sz w:val="26"/>
              </w:rPr>
              <w:t>expertise</w:t>
            </w:r>
            <w:r>
              <w:rPr>
                <w:spacing w:val="-11"/>
                <w:sz w:val="26"/>
              </w:rPr>
              <w:t> </w:t>
            </w:r>
            <w:r>
              <w:rPr>
                <w:spacing w:val="-2"/>
                <w:sz w:val="26"/>
              </w:rPr>
              <w:t>engaged.</w:t>
            </w:r>
          </w:p>
          <w:p>
            <w:pPr>
              <w:pStyle w:val="TableParagraph"/>
              <w:spacing w:before="1"/>
              <w:ind w:left="107"/>
              <w:rPr>
                <w:sz w:val="26"/>
              </w:rPr>
            </w:pPr>
            <w:r>
              <w:rPr>
                <w:sz w:val="26"/>
              </w:rPr>
              <w:t>Regular</w:t>
            </w:r>
            <w:r>
              <w:rPr>
                <w:spacing w:val="-14"/>
                <w:sz w:val="26"/>
              </w:rPr>
              <w:t> </w:t>
            </w:r>
            <w:r>
              <w:rPr>
                <w:sz w:val="26"/>
              </w:rPr>
              <w:t>monitoring</w:t>
            </w:r>
            <w:r>
              <w:rPr>
                <w:spacing w:val="-15"/>
                <w:sz w:val="26"/>
              </w:rPr>
              <w:t> </w:t>
            </w:r>
            <w:r>
              <w:rPr>
                <w:sz w:val="26"/>
              </w:rPr>
              <w:t>to</w:t>
            </w:r>
            <w:r>
              <w:rPr>
                <w:spacing w:val="-13"/>
                <w:sz w:val="26"/>
              </w:rPr>
              <w:t> </w:t>
            </w:r>
            <w:r>
              <w:rPr>
                <w:sz w:val="26"/>
              </w:rPr>
              <w:t>enhance </w:t>
            </w:r>
            <w:r>
              <w:rPr>
                <w:spacing w:val="-2"/>
                <w:sz w:val="26"/>
              </w:rPr>
              <w:t>systems</w:t>
            </w:r>
          </w:p>
        </w:tc>
      </w:tr>
    </w:tbl>
    <w:p>
      <w:pPr>
        <w:pStyle w:val="BodyText"/>
        <w:spacing w:before="230"/>
      </w:pPr>
    </w:p>
    <w:p>
      <w:pPr>
        <w:pStyle w:val="Heading3"/>
        <w:spacing w:before="1"/>
      </w:pPr>
      <w:r>
        <w:rPr>
          <w:color w:val="BE2195"/>
        </w:rPr>
        <w:t>Health</w:t>
      </w:r>
      <w:r>
        <w:rPr>
          <w:color w:val="BE2195"/>
          <w:spacing w:val="-11"/>
        </w:rPr>
        <w:t> </w:t>
      </w:r>
      <w:r>
        <w:rPr>
          <w:color w:val="BE2195"/>
        </w:rPr>
        <w:t>and</w:t>
      </w:r>
      <w:r>
        <w:rPr>
          <w:color w:val="BE2195"/>
          <w:spacing w:val="-11"/>
        </w:rPr>
        <w:t> </w:t>
      </w:r>
      <w:r>
        <w:rPr>
          <w:color w:val="BE2195"/>
          <w:spacing w:val="-2"/>
        </w:rPr>
        <w:t>Safety</w:t>
      </w:r>
    </w:p>
    <w:p>
      <w:pPr>
        <w:pStyle w:val="BodyText"/>
        <w:spacing w:before="105"/>
        <w:ind w:left="1702" w:right="1099"/>
      </w:pPr>
      <w:r>
        <w:rPr/>
        <w:t>The NDA carried out works to update Fire Doors &amp; Exits within the premises,</w:t>
      </w:r>
      <w:r>
        <w:rPr>
          <w:spacing w:val="-1"/>
        </w:rPr>
        <w:t> </w:t>
      </w:r>
      <w:r>
        <w:rPr/>
        <w:t>including</w:t>
      </w:r>
      <w:r>
        <w:rPr>
          <w:spacing w:val="-2"/>
        </w:rPr>
        <w:t> </w:t>
      </w:r>
      <w:r>
        <w:rPr/>
        <w:t>work</w:t>
      </w:r>
      <w:r>
        <w:rPr>
          <w:spacing w:val="-1"/>
        </w:rPr>
        <w:t> </w:t>
      </w:r>
      <w:r>
        <w:rPr/>
        <w:t>on routes,</w:t>
      </w:r>
      <w:r>
        <w:rPr>
          <w:spacing w:val="-1"/>
        </w:rPr>
        <w:t> </w:t>
      </w:r>
      <w:r>
        <w:rPr/>
        <w:t>signage</w:t>
      </w:r>
      <w:r>
        <w:rPr>
          <w:spacing w:val="-2"/>
        </w:rPr>
        <w:t> </w:t>
      </w:r>
      <w:r>
        <w:rPr/>
        <w:t>and</w:t>
      </w:r>
      <w:r>
        <w:rPr>
          <w:spacing w:val="-2"/>
        </w:rPr>
        <w:t> </w:t>
      </w:r>
      <w:r>
        <w:rPr/>
        <w:t>lighting.</w:t>
      </w:r>
      <w:r>
        <w:rPr>
          <w:spacing w:val="-1"/>
        </w:rPr>
        <w:t> </w:t>
      </w:r>
      <w:r>
        <w:rPr/>
        <w:t>The</w:t>
      </w:r>
      <w:r>
        <w:rPr>
          <w:spacing w:val="-2"/>
        </w:rPr>
        <w:t> </w:t>
      </w:r>
      <w:r>
        <w:rPr/>
        <w:t>Emergency Lighting</w:t>
      </w:r>
      <w:r>
        <w:rPr>
          <w:spacing w:val="-5"/>
        </w:rPr>
        <w:t> </w:t>
      </w:r>
      <w:r>
        <w:rPr/>
        <w:t>was</w:t>
      </w:r>
      <w:r>
        <w:rPr>
          <w:spacing w:val="-5"/>
        </w:rPr>
        <w:t> </w:t>
      </w:r>
      <w:r>
        <w:rPr/>
        <w:t>also</w:t>
      </w:r>
      <w:r>
        <w:rPr>
          <w:spacing w:val="-4"/>
        </w:rPr>
        <w:t> </w:t>
      </w:r>
      <w:r>
        <w:rPr/>
        <w:t>updated</w:t>
      </w:r>
      <w:r>
        <w:rPr>
          <w:spacing w:val="-5"/>
        </w:rPr>
        <w:t> </w:t>
      </w:r>
      <w:r>
        <w:rPr/>
        <w:t>where</w:t>
      </w:r>
      <w:r>
        <w:rPr>
          <w:spacing w:val="-5"/>
        </w:rPr>
        <w:t> </w:t>
      </w:r>
      <w:r>
        <w:rPr/>
        <w:t>required.</w:t>
      </w:r>
      <w:r>
        <w:rPr>
          <w:spacing w:val="-5"/>
        </w:rPr>
        <w:t> </w:t>
      </w:r>
      <w:r>
        <w:rPr/>
        <w:t>The</w:t>
      </w:r>
      <w:r>
        <w:rPr>
          <w:spacing w:val="-5"/>
        </w:rPr>
        <w:t> </w:t>
      </w:r>
      <w:r>
        <w:rPr/>
        <w:t>NDA’s</w:t>
      </w:r>
      <w:r>
        <w:rPr>
          <w:spacing w:val="-3"/>
        </w:rPr>
        <w:t> </w:t>
      </w:r>
      <w:r>
        <w:rPr/>
        <w:t>Health</w:t>
      </w:r>
      <w:r>
        <w:rPr>
          <w:spacing w:val="-5"/>
        </w:rPr>
        <w:t> </w:t>
      </w:r>
      <w:r>
        <w:rPr/>
        <w:t>and</w:t>
      </w:r>
      <w:r>
        <w:rPr>
          <w:spacing w:val="-2"/>
        </w:rPr>
        <w:t> </w:t>
      </w:r>
      <w:r>
        <w:rPr/>
        <w:t>Safety Committee met 2 times in 2017, and continued to support the progression the Health and Safety agenda.</w:t>
      </w:r>
    </w:p>
    <w:p>
      <w:pPr>
        <w:pStyle w:val="BodyText"/>
        <w:spacing w:before="119"/>
        <w:ind w:left="1702" w:right="988"/>
      </w:pPr>
      <w:r>
        <w:rPr/>
        <w:t>The</w:t>
      </w:r>
      <w:r>
        <w:rPr>
          <w:spacing w:val="-4"/>
        </w:rPr>
        <w:t> </w:t>
      </w:r>
      <w:r>
        <w:rPr/>
        <w:t>NDA</w:t>
      </w:r>
      <w:r>
        <w:rPr>
          <w:spacing w:val="-4"/>
        </w:rPr>
        <w:t> </w:t>
      </w:r>
      <w:r>
        <w:rPr/>
        <w:t>finalised</w:t>
      </w:r>
      <w:r>
        <w:rPr>
          <w:spacing w:val="-4"/>
        </w:rPr>
        <w:t> </w:t>
      </w:r>
      <w:r>
        <w:rPr/>
        <w:t>a</w:t>
      </w:r>
      <w:r>
        <w:rPr>
          <w:spacing w:val="-4"/>
        </w:rPr>
        <w:t> </w:t>
      </w:r>
      <w:r>
        <w:rPr/>
        <w:t>revised</w:t>
      </w:r>
      <w:r>
        <w:rPr>
          <w:spacing w:val="-1"/>
        </w:rPr>
        <w:t> </w:t>
      </w:r>
      <w:r>
        <w:rPr/>
        <w:t>Safety</w:t>
      </w:r>
      <w:r>
        <w:rPr>
          <w:spacing w:val="-2"/>
        </w:rPr>
        <w:t> </w:t>
      </w:r>
      <w:r>
        <w:rPr/>
        <w:t>Statement</w:t>
      </w:r>
      <w:r>
        <w:rPr>
          <w:spacing w:val="-1"/>
        </w:rPr>
        <w:t> </w:t>
      </w:r>
      <w:r>
        <w:rPr/>
        <w:t>in</w:t>
      </w:r>
      <w:r>
        <w:rPr>
          <w:spacing w:val="-4"/>
        </w:rPr>
        <w:t> </w:t>
      </w:r>
      <w:r>
        <w:rPr/>
        <w:t>2017</w:t>
      </w:r>
      <w:r>
        <w:rPr>
          <w:spacing w:val="-4"/>
        </w:rPr>
        <w:t> </w:t>
      </w:r>
      <w:r>
        <w:rPr/>
        <w:t>with</w:t>
      </w:r>
      <w:r>
        <w:rPr>
          <w:spacing w:val="-4"/>
        </w:rPr>
        <w:t> </w:t>
      </w:r>
      <w:r>
        <w:rPr/>
        <w:t>the</w:t>
      </w:r>
      <w:r>
        <w:rPr>
          <w:spacing w:val="-4"/>
        </w:rPr>
        <w:t> </w:t>
      </w:r>
      <w:r>
        <w:rPr/>
        <w:t>support</w:t>
      </w:r>
      <w:r>
        <w:rPr>
          <w:spacing w:val="-4"/>
        </w:rPr>
        <w:t> </w:t>
      </w:r>
      <w:r>
        <w:rPr/>
        <w:t>of an external expert.</w:t>
      </w:r>
    </w:p>
    <w:p>
      <w:pPr>
        <w:pStyle w:val="BodyText"/>
        <w:spacing w:after="0"/>
        <w:sectPr>
          <w:pgSz w:w="11910" w:h="16850"/>
          <w:pgMar w:header="0" w:footer="811" w:top="1880" w:bottom="1000" w:left="283" w:right="992"/>
        </w:sectPr>
      </w:pPr>
    </w:p>
    <w:p>
      <w:pPr>
        <w:pStyle w:val="Heading3"/>
        <w:spacing w:before="72"/>
      </w:pPr>
      <w:r>
        <w:rPr>
          <w:color w:val="BE2195"/>
        </w:rPr>
        <w:t>Workplace</w:t>
      </w:r>
      <w:r>
        <w:rPr>
          <w:color w:val="BE2195"/>
          <w:spacing w:val="-19"/>
        </w:rPr>
        <w:t> </w:t>
      </w:r>
      <w:r>
        <w:rPr>
          <w:color w:val="BE2195"/>
          <w:spacing w:val="-2"/>
        </w:rPr>
        <w:t>Wellness</w:t>
      </w:r>
    </w:p>
    <w:p>
      <w:pPr>
        <w:pStyle w:val="BodyText"/>
        <w:spacing w:before="105"/>
        <w:ind w:left="1702" w:right="1038"/>
      </w:pPr>
      <w:r>
        <w:rPr/>
        <w:t>A series of staff lunchtime talks was arranged to actively support staff wellbeing. Topics covered included Wellbeing at Work and at Home, Sleep:</w:t>
      </w:r>
      <w:r>
        <w:rPr>
          <w:spacing w:val="-4"/>
        </w:rPr>
        <w:t> </w:t>
      </w:r>
      <w:r>
        <w:rPr/>
        <w:t>How</w:t>
      </w:r>
      <w:r>
        <w:rPr>
          <w:spacing w:val="-4"/>
        </w:rPr>
        <w:t> </w:t>
      </w:r>
      <w:r>
        <w:rPr/>
        <w:t>to</w:t>
      </w:r>
      <w:r>
        <w:rPr>
          <w:spacing w:val="-4"/>
        </w:rPr>
        <w:t> </w:t>
      </w:r>
      <w:r>
        <w:rPr/>
        <w:t>get</w:t>
      </w:r>
      <w:r>
        <w:rPr>
          <w:spacing w:val="-5"/>
        </w:rPr>
        <w:t> </w:t>
      </w:r>
      <w:r>
        <w:rPr/>
        <w:t>More,</w:t>
      </w:r>
      <w:r>
        <w:rPr>
          <w:spacing w:val="-3"/>
        </w:rPr>
        <w:t> </w:t>
      </w:r>
      <w:r>
        <w:rPr/>
        <w:t>Personal</w:t>
      </w:r>
      <w:r>
        <w:rPr>
          <w:spacing w:val="-5"/>
        </w:rPr>
        <w:t> </w:t>
      </w:r>
      <w:r>
        <w:rPr/>
        <w:t>Finances</w:t>
      </w:r>
      <w:r>
        <w:rPr>
          <w:spacing w:val="-3"/>
        </w:rPr>
        <w:t> </w:t>
      </w:r>
      <w:r>
        <w:rPr/>
        <w:t>and</w:t>
      </w:r>
      <w:r>
        <w:rPr>
          <w:spacing w:val="-5"/>
        </w:rPr>
        <w:t> </w:t>
      </w:r>
      <w:r>
        <w:rPr/>
        <w:t>Consumer</w:t>
      </w:r>
      <w:r>
        <w:rPr>
          <w:spacing w:val="-5"/>
        </w:rPr>
        <w:t> </w:t>
      </w:r>
      <w:r>
        <w:rPr/>
        <w:t>Information.</w:t>
      </w:r>
      <w:r>
        <w:rPr>
          <w:spacing w:val="-4"/>
        </w:rPr>
        <w:t> </w:t>
      </w:r>
      <w:r>
        <w:rPr/>
        <w:t>All sessions were well attended with positive feedback on the guest speakers.</w:t>
      </w:r>
    </w:p>
    <w:p>
      <w:pPr>
        <w:pStyle w:val="Heading3"/>
        <w:spacing w:before="255"/>
      </w:pPr>
      <w:r>
        <w:rPr>
          <w:color w:val="BE2195"/>
        </w:rPr>
        <w:t>Newsletter</w:t>
      </w:r>
      <w:r>
        <w:rPr>
          <w:color w:val="BE2195"/>
          <w:spacing w:val="-14"/>
        </w:rPr>
        <w:t> </w:t>
      </w:r>
      <w:r>
        <w:rPr>
          <w:color w:val="BE2195"/>
        </w:rPr>
        <w:t>for</w:t>
      </w:r>
      <w:r>
        <w:rPr>
          <w:color w:val="BE2195"/>
          <w:spacing w:val="-14"/>
        </w:rPr>
        <w:t> </w:t>
      </w:r>
      <w:r>
        <w:rPr>
          <w:color w:val="BE2195"/>
          <w:spacing w:val="-2"/>
        </w:rPr>
        <w:t>Staff</w:t>
      </w:r>
    </w:p>
    <w:p>
      <w:pPr>
        <w:pStyle w:val="BodyText"/>
        <w:spacing w:before="105"/>
        <w:ind w:left="1702" w:right="988"/>
      </w:pPr>
      <w:r>
        <w:rPr/>
        <w:t>An</w:t>
      </w:r>
      <w:r>
        <w:rPr>
          <w:spacing w:val="-6"/>
        </w:rPr>
        <w:t> </w:t>
      </w:r>
      <w:r>
        <w:rPr/>
        <w:t>in-house</w:t>
      </w:r>
      <w:r>
        <w:rPr>
          <w:spacing w:val="-5"/>
        </w:rPr>
        <w:t> </w:t>
      </w:r>
      <w:r>
        <w:rPr/>
        <w:t>newsletter</w:t>
      </w:r>
      <w:r>
        <w:rPr>
          <w:spacing w:val="-5"/>
        </w:rPr>
        <w:t> </w:t>
      </w:r>
      <w:r>
        <w:rPr/>
        <w:t>on</w:t>
      </w:r>
      <w:r>
        <w:rPr>
          <w:spacing w:val="-6"/>
        </w:rPr>
        <w:t> </w:t>
      </w:r>
      <w:r>
        <w:rPr/>
        <w:t>corporate</w:t>
      </w:r>
      <w:r>
        <w:rPr>
          <w:spacing w:val="-5"/>
        </w:rPr>
        <w:t> </w:t>
      </w:r>
      <w:r>
        <w:rPr/>
        <w:t>services</w:t>
      </w:r>
      <w:r>
        <w:rPr>
          <w:spacing w:val="-5"/>
        </w:rPr>
        <w:t> </w:t>
      </w:r>
      <w:r>
        <w:rPr/>
        <w:t>and</w:t>
      </w:r>
      <w:r>
        <w:rPr>
          <w:spacing w:val="-6"/>
        </w:rPr>
        <w:t> </w:t>
      </w:r>
      <w:r>
        <w:rPr/>
        <w:t>corporate</w:t>
      </w:r>
      <w:r>
        <w:rPr>
          <w:spacing w:val="-5"/>
        </w:rPr>
        <w:t> </w:t>
      </w:r>
      <w:r>
        <w:rPr/>
        <w:t>governance matters</w:t>
      </w:r>
      <w:r>
        <w:rPr>
          <w:spacing w:val="-5"/>
        </w:rPr>
        <w:t> </w:t>
      </w:r>
      <w:r>
        <w:rPr/>
        <w:t>was</w:t>
      </w:r>
      <w:r>
        <w:rPr>
          <w:spacing w:val="-4"/>
        </w:rPr>
        <w:t> </w:t>
      </w:r>
      <w:r>
        <w:rPr/>
        <w:t>introduced</w:t>
      </w:r>
      <w:r>
        <w:rPr>
          <w:spacing w:val="-6"/>
        </w:rPr>
        <w:t> </w:t>
      </w:r>
      <w:r>
        <w:rPr/>
        <w:t>in</w:t>
      </w:r>
      <w:r>
        <w:rPr>
          <w:spacing w:val="-7"/>
        </w:rPr>
        <w:t> </w:t>
      </w:r>
      <w:r>
        <w:rPr/>
        <w:t>2017</w:t>
      </w:r>
      <w:r>
        <w:rPr>
          <w:spacing w:val="-6"/>
        </w:rPr>
        <w:t> </w:t>
      </w:r>
      <w:r>
        <w:rPr/>
        <w:t>to</w:t>
      </w:r>
      <w:r>
        <w:rPr>
          <w:spacing w:val="-4"/>
        </w:rPr>
        <w:t> </w:t>
      </w:r>
      <w:r>
        <w:rPr/>
        <w:t>advise</w:t>
      </w:r>
      <w:r>
        <w:rPr>
          <w:spacing w:val="-6"/>
        </w:rPr>
        <w:t> </w:t>
      </w:r>
      <w:r>
        <w:rPr/>
        <w:t>staff</w:t>
      </w:r>
      <w:r>
        <w:rPr>
          <w:spacing w:val="-6"/>
        </w:rPr>
        <w:t> </w:t>
      </w:r>
      <w:r>
        <w:rPr/>
        <w:t>of</w:t>
      </w:r>
      <w:r>
        <w:rPr>
          <w:spacing w:val="-7"/>
        </w:rPr>
        <w:t> </w:t>
      </w:r>
      <w:r>
        <w:rPr/>
        <w:t>relevant</w:t>
      </w:r>
      <w:r>
        <w:rPr>
          <w:spacing w:val="-6"/>
        </w:rPr>
        <w:t> </w:t>
      </w:r>
      <w:r>
        <w:rPr>
          <w:spacing w:val="-2"/>
        </w:rPr>
        <w:t>developments.</w:t>
      </w:r>
    </w:p>
    <w:p>
      <w:pPr>
        <w:pStyle w:val="Heading3"/>
        <w:spacing w:before="256"/>
      </w:pPr>
      <w:r>
        <w:rPr>
          <w:color w:val="BE2195"/>
        </w:rPr>
        <w:t>Library</w:t>
      </w:r>
      <w:r>
        <w:rPr>
          <w:color w:val="BE2195"/>
          <w:spacing w:val="-13"/>
        </w:rPr>
        <w:t> </w:t>
      </w:r>
      <w:r>
        <w:rPr>
          <w:color w:val="BE2195"/>
        </w:rPr>
        <w:t>and</w:t>
      </w:r>
      <w:r>
        <w:rPr>
          <w:color w:val="BE2195"/>
          <w:spacing w:val="-12"/>
        </w:rPr>
        <w:t> </w:t>
      </w:r>
      <w:r>
        <w:rPr>
          <w:color w:val="BE2195"/>
        </w:rPr>
        <w:t>Information</w:t>
      </w:r>
      <w:r>
        <w:rPr>
          <w:color w:val="BE2195"/>
          <w:spacing w:val="-11"/>
        </w:rPr>
        <w:t> </w:t>
      </w:r>
      <w:r>
        <w:rPr>
          <w:color w:val="BE2195"/>
          <w:spacing w:val="-2"/>
        </w:rPr>
        <w:t>Resource</w:t>
      </w:r>
    </w:p>
    <w:p>
      <w:pPr>
        <w:pStyle w:val="BodyText"/>
        <w:spacing w:before="105"/>
        <w:ind w:left="1702" w:right="1444"/>
        <w:jc w:val="both"/>
      </w:pPr>
      <w:r>
        <w:rPr/>
        <w:t>The</w:t>
      </w:r>
      <w:r>
        <w:rPr>
          <w:spacing w:val="-1"/>
        </w:rPr>
        <w:t> </w:t>
      </w:r>
      <w:r>
        <w:rPr/>
        <w:t>NDA</w:t>
      </w:r>
      <w:r>
        <w:rPr>
          <w:spacing w:val="-1"/>
        </w:rPr>
        <w:t> </w:t>
      </w:r>
      <w:r>
        <w:rPr/>
        <w:t>Library</w:t>
      </w:r>
      <w:r>
        <w:rPr>
          <w:spacing w:val="-1"/>
        </w:rPr>
        <w:t> </w:t>
      </w:r>
      <w:r>
        <w:rPr/>
        <w:t>service</w:t>
      </w:r>
      <w:r>
        <w:rPr>
          <w:spacing w:val="-1"/>
        </w:rPr>
        <w:t> </w:t>
      </w:r>
      <w:r>
        <w:rPr/>
        <w:t>operated</w:t>
      </w:r>
      <w:r>
        <w:rPr>
          <w:spacing w:val="-1"/>
        </w:rPr>
        <w:t> </w:t>
      </w:r>
      <w:r>
        <w:rPr/>
        <w:t>until February</w:t>
      </w:r>
      <w:r>
        <w:rPr>
          <w:spacing w:val="-1"/>
        </w:rPr>
        <w:t> </w:t>
      </w:r>
      <w:r>
        <w:rPr/>
        <w:t>2016. An</w:t>
      </w:r>
      <w:r>
        <w:rPr>
          <w:spacing w:val="-1"/>
        </w:rPr>
        <w:t> </w:t>
      </w:r>
      <w:r>
        <w:rPr/>
        <w:t>alternative service arrangement continued to be pursued in 2017, while access to contracted</w:t>
      </w:r>
      <w:r>
        <w:rPr>
          <w:spacing w:val="-5"/>
        </w:rPr>
        <w:t> </w:t>
      </w:r>
      <w:r>
        <w:rPr/>
        <w:t>eJournal</w:t>
      </w:r>
      <w:r>
        <w:rPr>
          <w:spacing w:val="-5"/>
        </w:rPr>
        <w:t> </w:t>
      </w:r>
      <w:r>
        <w:rPr/>
        <w:t>service</w:t>
      </w:r>
      <w:r>
        <w:rPr>
          <w:spacing w:val="-5"/>
        </w:rPr>
        <w:t> </w:t>
      </w:r>
      <w:r>
        <w:rPr/>
        <w:t>continued</w:t>
      </w:r>
      <w:r>
        <w:rPr>
          <w:spacing w:val="-5"/>
        </w:rPr>
        <w:t> </w:t>
      </w:r>
      <w:r>
        <w:rPr/>
        <w:t>for</w:t>
      </w:r>
      <w:r>
        <w:rPr>
          <w:spacing w:val="-5"/>
        </w:rPr>
        <w:t> </w:t>
      </w:r>
      <w:r>
        <w:rPr/>
        <w:t>staff</w:t>
      </w:r>
      <w:r>
        <w:rPr>
          <w:spacing w:val="-5"/>
        </w:rPr>
        <w:t> </w:t>
      </w:r>
      <w:r>
        <w:rPr/>
        <w:t>and</w:t>
      </w:r>
      <w:r>
        <w:rPr>
          <w:spacing w:val="-5"/>
        </w:rPr>
        <w:t> </w:t>
      </w:r>
      <w:r>
        <w:rPr/>
        <w:t>new</w:t>
      </w:r>
      <w:r>
        <w:rPr>
          <w:spacing w:val="-3"/>
        </w:rPr>
        <w:t> </w:t>
      </w:r>
      <w:r>
        <w:rPr/>
        <w:t>materials</w:t>
      </w:r>
      <w:r>
        <w:rPr>
          <w:spacing w:val="-3"/>
        </w:rPr>
        <w:t> </w:t>
      </w:r>
      <w:r>
        <w:rPr/>
        <w:t>were acquired as appropriate to the work of the NDA.</w:t>
      </w:r>
    </w:p>
    <w:p>
      <w:pPr>
        <w:pStyle w:val="Heading3"/>
      </w:pPr>
      <w:r>
        <w:rPr>
          <w:color w:val="BE2195"/>
        </w:rPr>
        <w:t>NDA</w:t>
      </w:r>
      <w:r>
        <w:rPr>
          <w:color w:val="BE2195"/>
          <w:spacing w:val="-9"/>
        </w:rPr>
        <w:t> </w:t>
      </w:r>
      <w:r>
        <w:rPr>
          <w:color w:val="BE2195"/>
          <w:spacing w:val="-2"/>
        </w:rPr>
        <w:t>Newsletter</w:t>
      </w:r>
    </w:p>
    <w:p>
      <w:pPr>
        <w:pStyle w:val="BodyText"/>
        <w:spacing w:before="106"/>
        <w:ind w:left="1702" w:right="1005"/>
      </w:pPr>
      <w:r>
        <w:rPr/>
        <w:t>The NDA issued four issues of its newsletter in 2017 to a mailing list comprising over 2,000 stakeholders in March, May, September and December.</w:t>
      </w:r>
      <w:r>
        <w:rPr>
          <w:spacing w:val="-3"/>
        </w:rPr>
        <w:t> </w:t>
      </w:r>
      <w:r>
        <w:rPr/>
        <w:t>Issue</w:t>
      </w:r>
      <w:r>
        <w:rPr>
          <w:spacing w:val="-4"/>
        </w:rPr>
        <w:t> </w:t>
      </w:r>
      <w:r>
        <w:rPr/>
        <w:t>14</w:t>
      </w:r>
      <w:r>
        <w:rPr>
          <w:spacing w:val="-4"/>
        </w:rPr>
        <w:t> </w:t>
      </w:r>
      <w:r>
        <w:rPr/>
        <w:t>(March)</w:t>
      </w:r>
      <w:r>
        <w:rPr>
          <w:spacing w:val="-4"/>
        </w:rPr>
        <w:t> </w:t>
      </w:r>
      <w:r>
        <w:rPr/>
        <w:t>looked</w:t>
      </w:r>
      <w:r>
        <w:rPr>
          <w:spacing w:val="-4"/>
        </w:rPr>
        <w:t> </w:t>
      </w:r>
      <w:r>
        <w:rPr/>
        <w:t>back</w:t>
      </w:r>
      <w:r>
        <w:rPr>
          <w:spacing w:val="-4"/>
        </w:rPr>
        <w:t> </w:t>
      </w:r>
      <w:r>
        <w:rPr/>
        <w:t>at</w:t>
      </w:r>
      <w:r>
        <w:rPr>
          <w:spacing w:val="-2"/>
        </w:rPr>
        <w:t> </w:t>
      </w:r>
      <w:r>
        <w:rPr/>
        <w:t>some</w:t>
      </w:r>
      <w:r>
        <w:rPr>
          <w:spacing w:val="-4"/>
        </w:rPr>
        <w:t> </w:t>
      </w:r>
      <w:r>
        <w:rPr/>
        <w:t>of</w:t>
      </w:r>
      <w:r>
        <w:rPr>
          <w:spacing w:val="-4"/>
        </w:rPr>
        <w:t> </w:t>
      </w:r>
      <w:r>
        <w:rPr/>
        <w:t>the</w:t>
      </w:r>
      <w:r>
        <w:rPr>
          <w:spacing w:val="-4"/>
        </w:rPr>
        <w:t> </w:t>
      </w:r>
      <w:r>
        <w:rPr/>
        <w:t>highlights</w:t>
      </w:r>
      <w:r>
        <w:rPr>
          <w:spacing w:val="-3"/>
        </w:rPr>
        <w:t> </w:t>
      </w:r>
      <w:r>
        <w:rPr/>
        <w:t>of</w:t>
      </w:r>
      <w:r>
        <w:rPr>
          <w:spacing w:val="-4"/>
        </w:rPr>
        <w:t> </w:t>
      </w:r>
      <w:r>
        <w:rPr/>
        <w:t>2016, including that year’s Annual Conference and Universal Design Grand Challenge. Issue 15 (May), publicised the UD Grand Challenge for 2017, and also highlighted the research profiled at a seminar on employment transitions held in the NDA in April. Issue 16 (September) advertised the</w:t>
      </w:r>
    </w:p>
    <w:p>
      <w:pPr>
        <w:spacing w:before="1"/>
        <w:ind w:left="1702" w:right="1099" w:firstLine="0"/>
        <w:jc w:val="left"/>
        <w:rPr>
          <w:rFonts w:ascii="Rockwell" w:hAnsi="Rockwell"/>
          <w:sz w:val="26"/>
        </w:rPr>
      </w:pPr>
      <w:r>
        <w:rPr>
          <w:sz w:val="26"/>
        </w:rPr>
        <w:t>call for proposals for the NDA’s Research Promotion Scheme for 2017, and also highlighted the joint launch with Department of Public Expenditure</w:t>
      </w:r>
      <w:r>
        <w:rPr>
          <w:spacing w:val="-6"/>
          <w:sz w:val="26"/>
        </w:rPr>
        <w:t> </w:t>
      </w:r>
      <w:r>
        <w:rPr>
          <w:sz w:val="26"/>
        </w:rPr>
        <w:t>and</w:t>
      </w:r>
      <w:r>
        <w:rPr>
          <w:spacing w:val="-5"/>
          <w:sz w:val="26"/>
        </w:rPr>
        <w:t> </w:t>
      </w:r>
      <w:r>
        <w:rPr>
          <w:sz w:val="26"/>
        </w:rPr>
        <w:t>Reform</w:t>
      </w:r>
      <w:r>
        <w:rPr>
          <w:spacing w:val="-7"/>
          <w:sz w:val="26"/>
        </w:rPr>
        <w:t> </w:t>
      </w:r>
      <w:r>
        <w:rPr>
          <w:sz w:val="26"/>
        </w:rPr>
        <w:t>of</w:t>
      </w:r>
      <w:r>
        <w:rPr>
          <w:spacing w:val="-7"/>
          <w:sz w:val="26"/>
        </w:rPr>
        <w:t> </w:t>
      </w:r>
      <w:r>
        <w:rPr>
          <w:sz w:val="26"/>
        </w:rPr>
        <w:t>the</w:t>
      </w:r>
      <w:r>
        <w:rPr>
          <w:spacing w:val="-4"/>
          <w:sz w:val="26"/>
        </w:rPr>
        <w:t> </w:t>
      </w:r>
      <w:r>
        <w:rPr>
          <w:b/>
          <w:sz w:val="26"/>
        </w:rPr>
        <w:t>Customer</w:t>
      </w:r>
      <w:r>
        <w:rPr>
          <w:b/>
          <w:spacing w:val="-6"/>
          <w:sz w:val="26"/>
        </w:rPr>
        <w:t> </w:t>
      </w:r>
      <w:r>
        <w:rPr>
          <w:b/>
          <w:sz w:val="26"/>
        </w:rPr>
        <w:t>Communications</w:t>
      </w:r>
      <w:r>
        <w:rPr>
          <w:b/>
          <w:spacing w:val="-7"/>
          <w:sz w:val="26"/>
        </w:rPr>
        <w:t> </w:t>
      </w:r>
      <w:r>
        <w:rPr>
          <w:b/>
          <w:sz w:val="26"/>
        </w:rPr>
        <w:t>Toolkit for the Public Service – A Universal Design Approach</w:t>
      </w:r>
      <w:r>
        <w:rPr>
          <w:sz w:val="26"/>
        </w:rPr>
        <w:t>. The final issue for 2017 (December) showcased the NDA’s report on the fourth survey of </w:t>
      </w:r>
      <w:r>
        <w:rPr>
          <w:b/>
          <w:sz w:val="26"/>
        </w:rPr>
        <w:t>Public Attitudes to Disability</w:t>
      </w:r>
      <w:r>
        <w:rPr>
          <w:sz w:val="26"/>
        </w:rPr>
        <w:t>, as well as the presentations given at our 2017 Annual Conference</w:t>
      </w:r>
      <w:r>
        <w:rPr>
          <w:rFonts w:ascii="Rockwell" w:hAnsi="Rockwell"/>
          <w:sz w:val="26"/>
        </w:rPr>
        <w:t>.</w:t>
      </w:r>
    </w:p>
    <w:p>
      <w:pPr>
        <w:pStyle w:val="BodyText"/>
        <w:rPr>
          <w:rFonts w:ascii="Rockwell"/>
        </w:rPr>
      </w:pPr>
    </w:p>
    <w:p>
      <w:pPr>
        <w:pStyle w:val="BodyText"/>
        <w:spacing w:before="65"/>
        <w:rPr>
          <w:rFonts w:ascii="Rockwell"/>
        </w:rPr>
      </w:pPr>
    </w:p>
    <w:p>
      <w:pPr>
        <w:pStyle w:val="Heading3"/>
        <w:spacing w:before="1"/>
      </w:pPr>
      <w:r>
        <w:rPr>
          <w:color w:val="BE2195"/>
          <w:spacing w:val="-2"/>
        </w:rPr>
        <w:t>Accommodation</w:t>
      </w:r>
    </w:p>
    <w:p>
      <w:pPr>
        <w:pStyle w:val="BodyText"/>
        <w:spacing w:before="105"/>
        <w:ind w:left="1702" w:right="1099"/>
      </w:pPr>
      <w:r>
        <w:rPr/>
        <w:t>The NDA ensures the effective maintenance and use of its accommodation. During 2017 this included the completion of heating upgrading</w:t>
      </w:r>
      <w:r>
        <w:rPr>
          <w:spacing w:val="-4"/>
        </w:rPr>
        <w:t> </w:t>
      </w:r>
      <w:r>
        <w:rPr/>
        <w:t>and</w:t>
      </w:r>
      <w:r>
        <w:rPr>
          <w:spacing w:val="-4"/>
        </w:rPr>
        <w:t> </w:t>
      </w:r>
      <w:r>
        <w:rPr/>
        <w:t>the</w:t>
      </w:r>
      <w:r>
        <w:rPr>
          <w:spacing w:val="-4"/>
        </w:rPr>
        <w:t> </w:t>
      </w:r>
      <w:r>
        <w:rPr/>
        <w:t>repainting</w:t>
      </w:r>
      <w:r>
        <w:rPr>
          <w:spacing w:val="-4"/>
        </w:rPr>
        <w:t> </w:t>
      </w:r>
      <w:r>
        <w:rPr/>
        <w:t>of</w:t>
      </w:r>
      <w:r>
        <w:rPr>
          <w:spacing w:val="-4"/>
        </w:rPr>
        <w:t> </w:t>
      </w:r>
      <w:r>
        <w:rPr/>
        <w:t>the</w:t>
      </w:r>
      <w:r>
        <w:rPr>
          <w:spacing w:val="-3"/>
        </w:rPr>
        <w:t> </w:t>
      </w:r>
      <w:r>
        <w:rPr/>
        <w:t>entire</w:t>
      </w:r>
      <w:r>
        <w:rPr>
          <w:spacing w:val="-3"/>
        </w:rPr>
        <w:t> </w:t>
      </w:r>
      <w:r>
        <w:rPr/>
        <w:t>exterior</w:t>
      </w:r>
      <w:r>
        <w:rPr>
          <w:spacing w:val="-4"/>
        </w:rPr>
        <w:t> </w:t>
      </w:r>
      <w:r>
        <w:rPr/>
        <w:t>of</w:t>
      </w:r>
      <w:r>
        <w:rPr>
          <w:spacing w:val="-4"/>
        </w:rPr>
        <w:t> </w:t>
      </w:r>
      <w:r>
        <w:rPr/>
        <w:t>its</w:t>
      </w:r>
      <w:r>
        <w:rPr>
          <w:spacing w:val="-3"/>
        </w:rPr>
        <w:t> </w:t>
      </w:r>
      <w:r>
        <w:rPr/>
        <w:t>offices,</w:t>
      </w:r>
      <w:r>
        <w:rPr>
          <w:spacing w:val="-3"/>
        </w:rPr>
        <w:t> </w:t>
      </w:r>
      <w:r>
        <w:rPr/>
        <w:t>and</w:t>
      </w:r>
      <w:r>
        <w:rPr>
          <w:spacing w:val="-4"/>
        </w:rPr>
        <w:t> </w:t>
      </w:r>
      <w:r>
        <w:rPr/>
        <w:t>the cleaning and restoration of a decorative limestone trim on the listed structures fronting onto Clyde Road.</w:t>
      </w:r>
    </w:p>
    <w:p>
      <w:pPr>
        <w:pStyle w:val="BodyText"/>
        <w:spacing w:after="0"/>
        <w:sectPr>
          <w:pgSz w:w="11910" w:h="16850"/>
          <w:pgMar w:header="0" w:footer="811" w:top="1900" w:bottom="1000" w:left="283" w:right="992"/>
        </w:sectPr>
      </w:pPr>
    </w:p>
    <w:p>
      <w:pPr>
        <w:pStyle w:val="BodyText"/>
        <w:spacing w:before="79"/>
        <w:ind w:left="1702" w:right="988"/>
      </w:pPr>
      <w:r>
        <w:rPr/>
        <w:t>Since</w:t>
      </w:r>
      <w:r>
        <w:rPr>
          <w:spacing w:val="-4"/>
        </w:rPr>
        <w:t> </w:t>
      </w:r>
      <w:r>
        <w:rPr/>
        <w:t>1</w:t>
      </w:r>
      <w:r>
        <w:rPr>
          <w:spacing w:val="-4"/>
        </w:rPr>
        <w:t> </w:t>
      </w:r>
      <w:r>
        <w:rPr/>
        <w:t>July</w:t>
      </w:r>
      <w:r>
        <w:rPr>
          <w:spacing w:val="-4"/>
        </w:rPr>
        <w:t> </w:t>
      </w:r>
      <w:r>
        <w:rPr/>
        <w:t>2015</w:t>
      </w:r>
      <w:r>
        <w:rPr>
          <w:spacing w:val="-4"/>
        </w:rPr>
        <w:t> </w:t>
      </w:r>
      <w:r>
        <w:rPr/>
        <w:t>the</w:t>
      </w:r>
      <w:r>
        <w:rPr>
          <w:spacing w:val="-1"/>
        </w:rPr>
        <w:t> </w:t>
      </w:r>
      <w:r>
        <w:rPr/>
        <w:t>NDA</w:t>
      </w:r>
      <w:r>
        <w:rPr>
          <w:spacing w:val="-4"/>
        </w:rPr>
        <w:t> </w:t>
      </w:r>
      <w:r>
        <w:rPr/>
        <w:t>has</w:t>
      </w:r>
      <w:r>
        <w:rPr>
          <w:spacing w:val="-4"/>
        </w:rPr>
        <w:t> </w:t>
      </w:r>
      <w:r>
        <w:rPr/>
        <w:t>had</w:t>
      </w:r>
      <w:r>
        <w:rPr>
          <w:spacing w:val="-4"/>
        </w:rPr>
        <w:t> </w:t>
      </w:r>
      <w:r>
        <w:rPr/>
        <w:t>a</w:t>
      </w:r>
      <w:r>
        <w:rPr>
          <w:spacing w:val="-4"/>
        </w:rPr>
        <w:t> </w:t>
      </w:r>
      <w:r>
        <w:rPr/>
        <w:t>lease</w:t>
      </w:r>
      <w:r>
        <w:rPr>
          <w:spacing w:val="-3"/>
        </w:rPr>
        <w:t> </w:t>
      </w:r>
      <w:r>
        <w:rPr/>
        <w:t>agreement</w:t>
      </w:r>
      <w:r>
        <w:rPr>
          <w:spacing w:val="-4"/>
        </w:rPr>
        <w:t> </w:t>
      </w:r>
      <w:r>
        <w:rPr/>
        <w:t>in</w:t>
      </w:r>
      <w:r>
        <w:rPr>
          <w:spacing w:val="-4"/>
        </w:rPr>
        <w:t> </w:t>
      </w:r>
      <w:r>
        <w:rPr/>
        <w:t>place</w:t>
      </w:r>
      <w:r>
        <w:rPr>
          <w:spacing w:val="-4"/>
        </w:rPr>
        <w:t> </w:t>
      </w:r>
      <w:r>
        <w:rPr/>
        <w:t>with</w:t>
      </w:r>
      <w:r>
        <w:rPr>
          <w:spacing w:val="-1"/>
        </w:rPr>
        <w:t> </w:t>
      </w:r>
      <w:r>
        <w:rPr/>
        <w:t>tenants for a number of offices, from which the income is accrued as Appropriations in Aid to the Department of Justice and Equality. All relevant charges were applied in and income was transferred to the Department as appropriate in 2017.</w:t>
      </w:r>
    </w:p>
    <w:p>
      <w:pPr>
        <w:pStyle w:val="Heading3"/>
        <w:spacing w:before="252"/>
      </w:pPr>
      <w:r>
        <w:rPr>
          <w:color w:val="BE2195"/>
          <w:spacing w:val="-2"/>
        </w:rPr>
        <w:t>Energy</w:t>
      </w:r>
    </w:p>
    <w:p>
      <w:pPr>
        <w:pStyle w:val="Heading5"/>
        <w:spacing w:before="121"/>
        <w:rPr>
          <w:rFonts w:ascii="Rockwell"/>
        </w:rPr>
      </w:pPr>
      <w:r>
        <w:rPr>
          <w:rFonts w:ascii="Rockwell"/>
          <w:color w:val="BE2195"/>
        </w:rPr>
        <w:t>Overview</w:t>
      </w:r>
      <w:r>
        <w:rPr>
          <w:rFonts w:ascii="Rockwell"/>
          <w:color w:val="BE2195"/>
          <w:spacing w:val="-8"/>
        </w:rPr>
        <w:t> </w:t>
      </w:r>
      <w:r>
        <w:rPr>
          <w:rFonts w:ascii="Rockwell"/>
          <w:color w:val="BE2195"/>
        </w:rPr>
        <w:t>of</w:t>
      </w:r>
      <w:r>
        <w:rPr>
          <w:rFonts w:ascii="Rockwell"/>
          <w:color w:val="BE2195"/>
          <w:spacing w:val="-6"/>
        </w:rPr>
        <w:t> </w:t>
      </w:r>
      <w:r>
        <w:rPr>
          <w:rFonts w:ascii="Rockwell"/>
          <w:color w:val="BE2195"/>
        </w:rPr>
        <w:t>energy</w:t>
      </w:r>
      <w:r>
        <w:rPr>
          <w:rFonts w:ascii="Rockwell"/>
          <w:color w:val="BE2195"/>
          <w:spacing w:val="-8"/>
        </w:rPr>
        <w:t> </w:t>
      </w:r>
      <w:r>
        <w:rPr>
          <w:rFonts w:ascii="Rockwell"/>
          <w:color w:val="BE2195"/>
        </w:rPr>
        <w:t>usage</w:t>
      </w:r>
      <w:r>
        <w:rPr>
          <w:rFonts w:ascii="Rockwell"/>
          <w:color w:val="BE2195"/>
          <w:spacing w:val="-8"/>
        </w:rPr>
        <w:t> </w:t>
      </w:r>
      <w:r>
        <w:rPr>
          <w:rFonts w:ascii="Rockwell"/>
          <w:color w:val="BE2195"/>
        </w:rPr>
        <w:t>in</w:t>
      </w:r>
      <w:r>
        <w:rPr>
          <w:rFonts w:ascii="Rockwell"/>
          <w:color w:val="BE2195"/>
          <w:spacing w:val="-6"/>
        </w:rPr>
        <w:t> </w:t>
      </w:r>
      <w:r>
        <w:rPr>
          <w:rFonts w:ascii="Rockwell"/>
          <w:color w:val="BE2195"/>
          <w:spacing w:val="-4"/>
        </w:rPr>
        <w:t>2017</w:t>
      </w:r>
    </w:p>
    <w:p>
      <w:pPr>
        <w:pStyle w:val="BodyText"/>
        <w:spacing w:before="26"/>
        <w:ind w:left="1702" w:right="988"/>
      </w:pPr>
      <w:r>
        <w:rPr/>
        <w:t>The</w:t>
      </w:r>
      <w:r>
        <w:rPr>
          <w:spacing w:val="-5"/>
        </w:rPr>
        <w:t> </w:t>
      </w:r>
      <w:r>
        <w:rPr/>
        <w:t>NDA</w:t>
      </w:r>
      <w:r>
        <w:rPr>
          <w:spacing w:val="-5"/>
        </w:rPr>
        <w:t> </w:t>
      </w:r>
      <w:r>
        <w:rPr/>
        <w:t>Energy</w:t>
      </w:r>
      <w:r>
        <w:rPr>
          <w:spacing w:val="-5"/>
        </w:rPr>
        <w:t> </w:t>
      </w:r>
      <w:r>
        <w:rPr/>
        <w:t>Team</w:t>
      </w:r>
      <w:r>
        <w:rPr>
          <w:spacing w:val="-5"/>
        </w:rPr>
        <w:t> </w:t>
      </w:r>
      <w:r>
        <w:rPr/>
        <w:t>registers</w:t>
      </w:r>
      <w:r>
        <w:rPr>
          <w:spacing w:val="-4"/>
        </w:rPr>
        <w:t> </w:t>
      </w:r>
      <w:r>
        <w:rPr/>
        <w:t>and</w:t>
      </w:r>
      <w:r>
        <w:rPr>
          <w:spacing w:val="-5"/>
        </w:rPr>
        <w:t> </w:t>
      </w:r>
      <w:r>
        <w:rPr/>
        <w:t>maintains</w:t>
      </w:r>
      <w:r>
        <w:rPr>
          <w:spacing w:val="-3"/>
        </w:rPr>
        <w:t> </w:t>
      </w:r>
      <w:r>
        <w:rPr/>
        <w:t>records</w:t>
      </w:r>
      <w:r>
        <w:rPr>
          <w:spacing w:val="-3"/>
        </w:rPr>
        <w:t> </w:t>
      </w:r>
      <w:r>
        <w:rPr/>
        <w:t>for</w:t>
      </w:r>
      <w:r>
        <w:rPr>
          <w:spacing w:val="-5"/>
        </w:rPr>
        <w:t> </w:t>
      </w:r>
      <w:r>
        <w:rPr/>
        <w:t>the</w:t>
      </w:r>
      <w:r>
        <w:rPr>
          <w:spacing w:val="-4"/>
        </w:rPr>
        <w:t> </w:t>
      </w:r>
      <w:r>
        <w:rPr/>
        <w:t>National Disability Authority with the Sustainable Energy Authority of Ireland.</w:t>
      </w:r>
    </w:p>
    <w:p>
      <w:pPr>
        <w:pStyle w:val="BodyText"/>
        <w:spacing w:before="241"/>
        <w:ind w:left="1702" w:right="988"/>
      </w:pPr>
      <w:r>
        <w:rPr/>
        <w:t>The National Disability Authority has a total floor area of 2,633 m</w:t>
      </w:r>
      <w:r>
        <w:rPr>
          <w:vertAlign w:val="superscript"/>
        </w:rPr>
        <w:t>2</w:t>
      </w:r>
      <w:r>
        <w:rPr>
          <w:vertAlign w:val="baseline"/>
        </w:rPr>
        <w:t> which comprises a two-storey over garden level Victorian Building (×2), a link building</w:t>
      </w:r>
      <w:r>
        <w:rPr>
          <w:spacing w:val="-4"/>
          <w:vertAlign w:val="baseline"/>
        </w:rPr>
        <w:t> </w:t>
      </w:r>
      <w:r>
        <w:rPr>
          <w:vertAlign w:val="baseline"/>
        </w:rPr>
        <w:t>completed</w:t>
      </w:r>
      <w:r>
        <w:rPr>
          <w:spacing w:val="-4"/>
          <w:vertAlign w:val="baseline"/>
        </w:rPr>
        <w:t> </w:t>
      </w:r>
      <w:r>
        <w:rPr>
          <w:vertAlign w:val="baseline"/>
        </w:rPr>
        <w:t>in</w:t>
      </w:r>
      <w:r>
        <w:rPr>
          <w:spacing w:val="-4"/>
          <w:vertAlign w:val="baseline"/>
        </w:rPr>
        <w:t> </w:t>
      </w:r>
      <w:r>
        <w:rPr>
          <w:vertAlign w:val="baseline"/>
        </w:rPr>
        <w:t>2006</w:t>
      </w:r>
      <w:r>
        <w:rPr>
          <w:spacing w:val="-4"/>
          <w:vertAlign w:val="baseline"/>
        </w:rPr>
        <w:t> </w:t>
      </w:r>
      <w:r>
        <w:rPr>
          <w:vertAlign w:val="baseline"/>
        </w:rPr>
        <w:t>and</w:t>
      </w:r>
      <w:r>
        <w:rPr>
          <w:spacing w:val="-3"/>
          <w:vertAlign w:val="baseline"/>
        </w:rPr>
        <w:t> </w:t>
      </w:r>
      <w:r>
        <w:rPr>
          <w:vertAlign w:val="baseline"/>
        </w:rPr>
        <w:t>an</w:t>
      </w:r>
      <w:r>
        <w:rPr>
          <w:spacing w:val="-4"/>
          <w:vertAlign w:val="baseline"/>
        </w:rPr>
        <w:t> </w:t>
      </w:r>
      <w:r>
        <w:rPr>
          <w:vertAlign w:val="baseline"/>
        </w:rPr>
        <w:t>adjoining</w:t>
      </w:r>
      <w:r>
        <w:rPr>
          <w:spacing w:val="-4"/>
          <w:vertAlign w:val="baseline"/>
        </w:rPr>
        <w:t> </w:t>
      </w:r>
      <w:r>
        <w:rPr>
          <w:vertAlign w:val="baseline"/>
        </w:rPr>
        <w:t>three-storey</w:t>
      </w:r>
      <w:r>
        <w:rPr>
          <w:spacing w:val="-4"/>
          <w:vertAlign w:val="baseline"/>
        </w:rPr>
        <w:t> </w:t>
      </w:r>
      <w:r>
        <w:rPr>
          <w:vertAlign w:val="baseline"/>
        </w:rPr>
        <w:t>plus</w:t>
      </w:r>
      <w:r>
        <w:rPr>
          <w:spacing w:val="-4"/>
          <w:vertAlign w:val="baseline"/>
        </w:rPr>
        <w:t> </w:t>
      </w:r>
      <w:r>
        <w:rPr>
          <w:vertAlign w:val="baseline"/>
        </w:rPr>
        <w:t>attic</w:t>
      </w:r>
      <w:r>
        <w:rPr>
          <w:spacing w:val="-4"/>
          <w:vertAlign w:val="baseline"/>
        </w:rPr>
        <w:t> </w:t>
      </w:r>
      <w:r>
        <w:rPr>
          <w:vertAlign w:val="baseline"/>
        </w:rPr>
        <w:t>building completed in the early 1980s. The main energy users are:</w:t>
      </w:r>
    </w:p>
    <w:p>
      <w:pPr>
        <w:pStyle w:val="ListParagraph"/>
        <w:numPr>
          <w:ilvl w:val="0"/>
          <w:numId w:val="9"/>
        </w:numPr>
        <w:tabs>
          <w:tab w:pos="2062" w:val="left" w:leader="none"/>
        </w:tabs>
        <w:spacing w:line="240" w:lineRule="auto" w:before="239" w:after="0"/>
        <w:ind w:left="2062" w:right="1058" w:hanging="360"/>
        <w:jc w:val="left"/>
        <w:rPr>
          <w:sz w:val="26"/>
        </w:rPr>
      </w:pPr>
      <w:r>
        <w:rPr>
          <w:sz w:val="26"/>
        </w:rPr>
        <w:t>Electrical</w:t>
      </w:r>
      <w:r>
        <w:rPr>
          <w:spacing w:val="-5"/>
          <w:sz w:val="26"/>
        </w:rPr>
        <w:t> </w:t>
      </w:r>
      <w:r>
        <w:rPr>
          <w:sz w:val="26"/>
        </w:rPr>
        <w:t>Energy:</w:t>
      </w:r>
      <w:r>
        <w:rPr>
          <w:spacing w:val="-5"/>
          <w:sz w:val="26"/>
        </w:rPr>
        <w:t> </w:t>
      </w:r>
      <w:r>
        <w:rPr>
          <w:sz w:val="26"/>
        </w:rPr>
        <w:t>Lighting,</w:t>
      </w:r>
      <w:r>
        <w:rPr>
          <w:spacing w:val="-6"/>
          <w:sz w:val="26"/>
        </w:rPr>
        <w:t> </w:t>
      </w:r>
      <w:r>
        <w:rPr>
          <w:sz w:val="26"/>
        </w:rPr>
        <w:t>ICT</w:t>
      </w:r>
      <w:r>
        <w:rPr>
          <w:spacing w:val="-5"/>
          <w:sz w:val="26"/>
        </w:rPr>
        <w:t> </w:t>
      </w:r>
      <w:r>
        <w:rPr>
          <w:sz w:val="26"/>
        </w:rPr>
        <w:t>&amp;</w:t>
      </w:r>
      <w:r>
        <w:rPr>
          <w:spacing w:val="-5"/>
          <w:sz w:val="26"/>
        </w:rPr>
        <w:t> </w:t>
      </w:r>
      <w:r>
        <w:rPr>
          <w:sz w:val="26"/>
        </w:rPr>
        <w:t>Offices,</w:t>
      </w:r>
      <w:r>
        <w:rPr>
          <w:spacing w:val="-5"/>
          <w:sz w:val="26"/>
        </w:rPr>
        <w:t> </w:t>
      </w:r>
      <w:r>
        <w:rPr>
          <w:sz w:val="26"/>
        </w:rPr>
        <w:t>Air</w:t>
      </w:r>
      <w:r>
        <w:rPr>
          <w:spacing w:val="-5"/>
          <w:sz w:val="26"/>
        </w:rPr>
        <w:t> </w:t>
      </w:r>
      <w:r>
        <w:rPr>
          <w:sz w:val="26"/>
        </w:rPr>
        <w:t>Conditioning</w:t>
      </w:r>
      <w:r>
        <w:rPr>
          <w:spacing w:val="-6"/>
          <w:sz w:val="26"/>
        </w:rPr>
        <w:t> </w:t>
      </w:r>
      <w:r>
        <w:rPr>
          <w:sz w:val="26"/>
        </w:rPr>
        <w:t>and</w:t>
      </w:r>
      <w:r>
        <w:rPr>
          <w:spacing w:val="-4"/>
          <w:sz w:val="26"/>
        </w:rPr>
        <w:t> </w:t>
      </w:r>
      <w:r>
        <w:rPr>
          <w:sz w:val="26"/>
        </w:rPr>
        <w:t>General </w:t>
      </w:r>
      <w:r>
        <w:rPr>
          <w:spacing w:val="-2"/>
          <w:sz w:val="26"/>
        </w:rPr>
        <w:t>Services</w:t>
      </w:r>
    </w:p>
    <w:p>
      <w:pPr>
        <w:pStyle w:val="ListParagraph"/>
        <w:numPr>
          <w:ilvl w:val="0"/>
          <w:numId w:val="9"/>
        </w:numPr>
        <w:tabs>
          <w:tab w:pos="2062" w:val="left" w:leader="none"/>
        </w:tabs>
        <w:spacing w:line="240" w:lineRule="auto" w:before="0" w:after="0"/>
        <w:ind w:left="2062" w:right="1119" w:hanging="360"/>
        <w:jc w:val="left"/>
        <w:rPr>
          <w:sz w:val="26"/>
        </w:rPr>
      </w:pPr>
      <w:r>
        <w:rPr>
          <w:sz w:val="26"/>
        </w:rPr>
        <w:t>Thermal</w:t>
      </w:r>
      <w:r>
        <w:rPr>
          <w:spacing w:val="-6"/>
          <w:sz w:val="26"/>
        </w:rPr>
        <w:t> </w:t>
      </w:r>
      <w:r>
        <w:rPr>
          <w:sz w:val="26"/>
        </w:rPr>
        <w:t>Energy</w:t>
      </w:r>
      <w:r>
        <w:rPr>
          <w:spacing w:val="-6"/>
          <w:sz w:val="26"/>
        </w:rPr>
        <w:t> </w:t>
      </w:r>
      <w:r>
        <w:rPr>
          <w:sz w:val="26"/>
        </w:rPr>
        <w:t>(Natural</w:t>
      </w:r>
      <w:r>
        <w:rPr>
          <w:spacing w:val="-5"/>
          <w:sz w:val="26"/>
        </w:rPr>
        <w:t> </w:t>
      </w:r>
      <w:r>
        <w:rPr>
          <w:sz w:val="26"/>
        </w:rPr>
        <w:t>Gas):</w:t>
      </w:r>
      <w:r>
        <w:rPr>
          <w:spacing w:val="-5"/>
          <w:sz w:val="26"/>
        </w:rPr>
        <w:t> </w:t>
      </w:r>
      <w:r>
        <w:rPr>
          <w:sz w:val="26"/>
        </w:rPr>
        <w:t>Space</w:t>
      </w:r>
      <w:r>
        <w:rPr>
          <w:spacing w:val="-6"/>
          <w:sz w:val="26"/>
        </w:rPr>
        <w:t> </w:t>
      </w:r>
      <w:r>
        <w:rPr>
          <w:sz w:val="26"/>
        </w:rPr>
        <w:t>Heating</w:t>
      </w:r>
      <w:r>
        <w:rPr>
          <w:spacing w:val="-4"/>
          <w:sz w:val="26"/>
        </w:rPr>
        <w:t> </w:t>
      </w:r>
      <w:r>
        <w:rPr>
          <w:sz w:val="26"/>
        </w:rPr>
        <w:t>(LTHW</w:t>
      </w:r>
      <w:r>
        <w:rPr>
          <w:spacing w:val="-4"/>
          <w:sz w:val="26"/>
        </w:rPr>
        <w:t> </w:t>
      </w:r>
      <w:r>
        <w:rPr>
          <w:sz w:val="26"/>
        </w:rPr>
        <w:t>radiator</w:t>
      </w:r>
      <w:r>
        <w:rPr>
          <w:spacing w:val="-5"/>
          <w:sz w:val="26"/>
        </w:rPr>
        <w:t> </w:t>
      </w:r>
      <w:r>
        <w:rPr>
          <w:sz w:val="26"/>
        </w:rPr>
        <w:t>circuits and under floor heating) and Hot Water (HWS)</w:t>
      </w:r>
    </w:p>
    <w:p>
      <w:pPr>
        <w:pStyle w:val="BodyText"/>
        <w:spacing w:before="242"/>
        <w:ind w:left="1702" w:right="988"/>
      </w:pPr>
      <w:r>
        <w:rPr/>
        <w:t>For</w:t>
      </w:r>
      <w:r>
        <w:rPr>
          <w:spacing w:val="-4"/>
        </w:rPr>
        <w:t> </w:t>
      </w:r>
      <w:r>
        <w:rPr/>
        <w:t>the</w:t>
      </w:r>
      <w:r>
        <w:rPr>
          <w:spacing w:val="-3"/>
        </w:rPr>
        <w:t> </w:t>
      </w:r>
      <w:r>
        <w:rPr/>
        <w:t>purposes</w:t>
      </w:r>
      <w:r>
        <w:rPr>
          <w:spacing w:val="-2"/>
        </w:rPr>
        <w:t> </w:t>
      </w:r>
      <w:r>
        <w:rPr/>
        <w:t>of</w:t>
      </w:r>
      <w:r>
        <w:rPr>
          <w:spacing w:val="-4"/>
        </w:rPr>
        <w:t> </w:t>
      </w:r>
      <w:r>
        <w:rPr/>
        <w:t>making</w:t>
      </w:r>
      <w:r>
        <w:rPr>
          <w:spacing w:val="-4"/>
        </w:rPr>
        <w:t> </w:t>
      </w:r>
      <w:r>
        <w:rPr/>
        <w:t>a</w:t>
      </w:r>
      <w:r>
        <w:rPr>
          <w:spacing w:val="-4"/>
        </w:rPr>
        <w:t> </w:t>
      </w:r>
      <w:r>
        <w:rPr/>
        <w:t>statutory</w:t>
      </w:r>
      <w:r>
        <w:rPr>
          <w:spacing w:val="-4"/>
        </w:rPr>
        <w:t> </w:t>
      </w:r>
      <w:r>
        <w:rPr/>
        <w:t>return</w:t>
      </w:r>
      <w:r>
        <w:rPr>
          <w:spacing w:val="-4"/>
        </w:rPr>
        <w:t> </w:t>
      </w:r>
      <w:r>
        <w:rPr/>
        <w:t>for</w:t>
      </w:r>
      <w:r>
        <w:rPr>
          <w:spacing w:val="-4"/>
        </w:rPr>
        <w:t> </w:t>
      </w:r>
      <w:r>
        <w:rPr/>
        <w:t>2017,</w:t>
      </w:r>
      <w:r>
        <w:rPr>
          <w:spacing w:val="-3"/>
        </w:rPr>
        <w:t> </w:t>
      </w:r>
      <w:r>
        <w:rPr/>
        <w:t>94%</w:t>
      </w:r>
      <w:r>
        <w:rPr>
          <w:spacing w:val="-4"/>
        </w:rPr>
        <w:t> </w:t>
      </w:r>
      <w:r>
        <w:rPr/>
        <w:t>of</w:t>
      </w:r>
      <w:r>
        <w:rPr>
          <w:spacing w:val="-4"/>
        </w:rPr>
        <w:t> </w:t>
      </w:r>
      <w:r>
        <w:rPr/>
        <w:t>electrical energy use in the buildings was attributable to the National Disability Authority.</w:t>
      </w:r>
      <w:r>
        <w:rPr>
          <w:spacing w:val="-1"/>
        </w:rPr>
        <w:t> </w:t>
      </w:r>
      <w:r>
        <w:rPr/>
        <w:t>In</w:t>
      </w:r>
      <w:r>
        <w:rPr>
          <w:spacing w:val="-2"/>
        </w:rPr>
        <w:t> </w:t>
      </w:r>
      <w:r>
        <w:rPr/>
        <w:t>relation</w:t>
      </w:r>
      <w:r>
        <w:rPr>
          <w:spacing w:val="-2"/>
        </w:rPr>
        <w:t> </w:t>
      </w:r>
      <w:r>
        <w:rPr/>
        <w:t>to</w:t>
      </w:r>
      <w:r>
        <w:rPr>
          <w:spacing w:val="-1"/>
        </w:rPr>
        <w:t> </w:t>
      </w:r>
      <w:r>
        <w:rPr/>
        <w:t>thermal</w:t>
      </w:r>
      <w:r>
        <w:rPr>
          <w:spacing w:val="-1"/>
        </w:rPr>
        <w:t> </w:t>
      </w:r>
      <w:r>
        <w:rPr/>
        <w:t>energy,</w:t>
      </w:r>
      <w:r>
        <w:rPr>
          <w:spacing w:val="-1"/>
        </w:rPr>
        <w:t> </w:t>
      </w:r>
      <w:r>
        <w:rPr/>
        <w:t>82% of</w:t>
      </w:r>
      <w:r>
        <w:rPr>
          <w:spacing w:val="-2"/>
        </w:rPr>
        <w:t> </w:t>
      </w:r>
      <w:r>
        <w:rPr/>
        <w:t>the</w:t>
      </w:r>
      <w:r>
        <w:rPr>
          <w:spacing w:val="-2"/>
        </w:rPr>
        <w:t> </w:t>
      </w:r>
      <w:r>
        <w:rPr/>
        <w:t>natural</w:t>
      </w:r>
      <w:r>
        <w:rPr>
          <w:spacing w:val="-2"/>
        </w:rPr>
        <w:t> </w:t>
      </w:r>
      <w:r>
        <w:rPr/>
        <w:t>gas</w:t>
      </w:r>
      <w:r>
        <w:rPr>
          <w:spacing w:val="-1"/>
        </w:rPr>
        <w:t> </w:t>
      </w:r>
      <w:r>
        <w:rPr/>
        <w:t>used was attributable to the NDA.</w:t>
      </w:r>
    </w:p>
    <w:p>
      <w:pPr>
        <w:pStyle w:val="BodyText"/>
        <w:spacing w:before="238"/>
        <w:ind w:left="1702" w:right="988"/>
      </w:pPr>
      <w:r>
        <w:rPr/>
        <w:t>Since</w:t>
      </w:r>
      <w:r>
        <w:rPr>
          <w:spacing w:val="-4"/>
        </w:rPr>
        <w:t> </w:t>
      </w:r>
      <w:r>
        <w:rPr/>
        <w:t>1</w:t>
      </w:r>
      <w:r>
        <w:rPr>
          <w:spacing w:val="-4"/>
        </w:rPr>
        <w:t> </w:t>
      </w:r>
      <w:r>
        <w:rPr/>
        <w:t>July</w:t>
      </w:r>
      <w:r>
        <w:rPr>
          <w:spacing w:val="-4"/>
        </w:rPr>
        <w:t> </w:t>
      </w:r>
      <w:r>
        <w:rPr/>
        <w:t>2015,</w:t>
      </w:r>
      <w:r>
        <w:rPr>
          <w:spacing w:val="-3"/>
        </w:rPr>
        <w:t> </w:t>
      </w:r>
      <w:r>
        <w:rPr/>
        <w:t>the</w:t>
      </w:r>
      <w:r>
        <w:rPr>
          <w:spacing w:val="-4"/>
        </w:rPr>
        <w:t> </w:t>
      </w:r>
      <w:r>
        <w:rPr/>
        <w:t>first</w:t>
      </w:r>
      <w:r>
        <w:rPr>
          <w:spacing w:val="-4"/>
        </w:rPr>
        <w:t> </w:t>
      </w:r>
      <w:r>
        <w:rPr/>
        <w:t>floor</w:t>
      </w:r>
      <w:r>
        <w:rPr>
          <w:spacing w:val="-4"/>
        </w:rPr>
        <w:t> </w:t>
      </w:r>
      <w:r>
        <w:rPr/>
        <w:t>in</w:t>
      </w:r>
      <w:r>
        <w:rPr>
          <w:spacing w:val="-4"/>
        </w:rPr>
        <w:t> </w:t>
      </w:r>
      <w:r>
        <w:rPr/>
        <w:t>the</w:t>
      </w:r>
      <w:r>
        <w:rPr>
          <w:spacing w:val="-4"/>
        </w:rPr>
        <w:t> </w:t>
      </w:r>
      <w:r>
        <w:rPr/>
        <w:t>Back</w:t>
      </w:r>
      <w:r>
        <w:rPr>
          <w:spacing w:val="-4"/>
        </w:rPr>
        <w:t> </w:t>
      </w:r>
      <w:r>
        <w:rPr/>
        <w:t>Building</w:t>
      </w:r>
      <w:r>
        <w:rPr>
          <w:spacing w:val="-4"/>
        </w:rPr>
        <w:t> </w:t>
      </w:r>
      <w:r>
        <w:rPr/>
        <w:t>has</w:t>
      </w:r>
      <w:r>
        <w:rPr>
          <w:spacing w:val="-3"/>
        </w:rPr>
        <w:t> </w:t>
      </w:r>
      <w:r>
        <w:rPr/>
        <w:t>been</w:t>
      </w:r>
      <w:r>
        <w:rPr>
          <w:spacing w:val="-4"/>
        </w:rPr>
        <w:t> </w:t>
      </w:r>
      <w:r>
        <w:rPr/>
        <w:t>leased</w:t>
      </w:r>
      <w:r>
        <w:rPr>
          <w:spacing w:val="-4"/>
        </w:rPr>
        <w:t> </w:t>
      </w:r>
      <w:r>
        <w:rPr/>
        <w:t>and occupied by a private company. This company has a separate electricity meter, although it does not have a separate gas meter.</w:t>
      </w:r>
    </w:p>
    <w:p>
      <w:pPr>
        <w:pStyle w:val="BodyText"/>
        <w:spacing w:before="241"/>
        <w:ind w:left="1702" w:right="1080"/>
      </w:pPr>
      <w:r>
        <w:rPr/>
        <w:t>In</w:t>
      </w:r>
      <w:r>
        <w:rPr>
          <w:spacing w:val="-6"/>
        </w:rPr>
        <w:t> </w:t>
      </w:r>
      <w:r>
        <w:rPr/>
        <w:t>2017,</w:t>
      </w:r>
      <w:r>
        <w:rPr>
          <w:spacing w:val="-5"/>
        </w:rPr>
        <w:t> </w:t>
      </w:r>
      <w:r>
        <w:rPr/>
        <w:t>the</w:t>
      </w:r>
      <w:r>
        <w:rPr>
          <w:spacing w:val="-3"/>
        </w:rPr>
        <w:t> </w:t>
      </w:r>
      <w:r>
        <w:rPr/>
        <w:t>National</w:t>
      </w:r>
      <w:r>
        <w:rPr>
          <w:spacing w:val="-3"/>
        </w:rPr>
        <w:t> </w:t>
      </w:r>
      <w:r>
        <w:rPr/>
        <w:t>Disability</w:t>
      </w:r>
      <w:r>
        <w:rPr>
          <w:spacing w:val="-6"/>
        </w:rPr>
        <w:t> </w:t>
      </w:r>
      <w:r>
        <w:rPr/>
        <w:t>Authority</w:t>
      </w:r>
      <w:r>
        <w:rPr>
          <w:spacing w:val="-3"/>
        </w:rPr>
        <w:t> </w:t>
      </w:r>
      <w:r>
        <w:rPr/>
        <w:t>consumed</w:t>
      </w:r>
      <w:r>
        <w:rPr>
          <w:spacing w:val="-6"/>
        </w:rPr>
        <w:t> </w:t>
      </w:r>
      <w:r>
        <w:rPr/>
        <w:t>276.95</w:t>
      </w:r>
      <w:r>
        <w:rPr>
          <w:spacing w:val="-3"/>
        </w:rPr>
        <w:t> </w:t>
      </w:r>
      <w:r>
        <w:rPr/>
        <w:t>MWh</w:t>
      </w:r>
      <w:r>
        <w:rPr>
          <w:spacing w:val="-4"/>
        </w:rPr>
        <w:t> </w:t>
      </w:r>
      <w:r>
        <w:rPr/>
        <w:t>of energy, consisting of:</w:t>
      </w:r>
    </w:p>
    <w:p>
      <w:pPr>
        <w:pStyle w:val="ListParagraph"/>
        <w:numPr>
          <w:ilvl w:val="0"/>
          <w:numId w:val="9"/>
        </w:numPr>
        <w:tabs>
          <w:tab w:pos="2062" w:val="left" w:leader="none"/>
        </w:tabs>
        <w:spacing w:line="240" w:lineRule="auto" w:before="120" w:after="0"/>
        <w:ind w:left="2062" w:right="0" w:hanging="360"/>
        <w:jc w:val="left"/>
        <w:rPr>
          <w:sz w:val="26"/>
        </w:rPr>
      </w:pPr>
      <w:r>
        <w:rPr>
          <w:sz w:val="26"/>
        </w:rPr>
        <w:t>111.634</w:t>
      </w:r>
      <w:r>
        <w:rPr>
          <w:spacing w:val="-6"/>
          <w:sz w:val="26"/>
        </w:rPr>
        <w:t> </w:t>
      </w:r>
      <w:r>
        <w:rPr>
          <w:sz w:val="26"/>
        </w:rPr>
        <w:t>MWh</w:t>
      </w:r>
      <w:r>
        <w:rPr>
          <w:spacing w:val="-7"/>
          <w:sz w:val="26"/>
        </w:rPr>
        <w:t> </w:t>
      </w:r>
      <w:r>
        <w:rPr>
          <w:sz w:val="26"/>
        </w:rPr>
        <w:t>of</w:t>
      </w:r>
      <w:r>
        <w:rPr>
          <w:spacing w:val="-7"/>
          <w:sz w:val="26"/>
        </w:rPr>
        <w:t> </w:t>
      </w:r>
      <w:r>
        <w:rPr>
          <w:spacing w:val="-2"/>
          <w:sz w:val="26"/>
        </w:rPr>
        <w:t>electricity;</w:t>
      </w:r>
    </w:p>
    <w:p>
      <w:pPr>
        <w:pStyle w:val="ListParagraph"/>
        <w:numPr>
          <w:ilvl w:val="0"/>
          <w:numId w:val="9"/>
        </w:numPr>
        <w:tabs>
          <w:tab w:pos="2062" w:val="left" w:leader="none"/>
        </w:tabs>
        <w:spacing w:line="240" w:lineRule="auto" w:before="1" w:after="0"/>
        <w:ind w:left="2062" w:right="0" w:hanging="360"/>
        <w:jc w:val="left"/>
        <w:rPr>
          <w:sz w:val="26"/>
        </w:rPr>
      </w:pPr>
      <w:r>
        <w:rPr>
          <w:sz w:val="26"/>
        </w:rPr>
        <w:t>165.316</w:t>
      </w:r>
      <w:r>
        <w:rPr>
          <w:spacing w:val="-6"/>
          <w:sz w:val="26"/>
        </w:rPr>
        <w:t> </w:t>
      </w:r>
      <w:r>
        <w:rPr>
          <w:sz w:val="26"/>
        </w:rPr>
        <w:t>MWh</w:t>
      </w:r>
      <w:r>
        <w:rPr>
          <w:spacing w:val="-7"/>
          <w:sz w:val="26"/>
        </w:rPr>
        <w:t> </w:t>
      </w:r>
      <w:r>
        <w:rPr>
          <w:sz w:val="26"/>
        </w:rPr>
        <w:t>of</w:t>
      </w:r>
      <w:r>
        <w:rPr>
          <w:spacing w:val="-7"/>
          <w:sz w:val="26"/>
        </w:rPr>
        <w:t> </w:t>
      </w:r>
      <w:r>
        <w:rPr>
          <w:sz w:val="26"/>
        </w:rPr>
        <w:t>fossil</w:t>
      </w:r>
      <w:r>
        <w:rPr>
          <w:spacing w:val="-7"/>
          <w:sz w:val="26"/>
        </w:rPr>
        <w:t> </w:t>
      </w:r>
      <w:r>
        <w:rPr>
          <w:spacing w:val="-2"/>
          <w:sz w:val="26"/>
        </w:rPr>
        <w:t>fuels;</w:t>
      </w:r>
    </w:p>
    <w:p>
      <w:pPr>
        <w:pStyle w:val="ListParagraph"/>
        <w:numPr>
          <w:ilvl w:val="0"/>
          <w:numId w:val="9"/>
        </w:numPr>
        <w:tabs>
          <w:tab w:pos="2062" w:val="left" w:leader="none"/>
        </w:tabs>
        <w:spacing w:line="240" w:lineRule="auto" w:before="0" w:after="0"/>
        <w:ind w:left="2062" w:right="0" w:hanging="360"/>
        <w:jc w:val="left"/>
        <w:rPr>
          <w:sz w:val="26"/>
        </w:rPr>
      </w:pPr>
      <w:r>
        <w:rPr>
          <w:sz w:val="26"/>
        </w:rPr>
        <w:t>0</w:t>
      </w:r>
      <w:r>
        <w:rPr>
          <w:spacing w:val="-7"/>
          <w:sz w:val="26"/>
        </w:rPr>
        <w:t> </w:t>
      </w:r>
      <w:r>
        <w:rPr>
          <w:sz w:val="26"/>
        </w:rPr>
        <w:t>MWh</w:t>
      </w:r>
      <w:r>
        <w:rPr>
          <w:spacing w:val="-7"/>
          <w:sz w:val="26"/>
        </w:rPr>
        <w:t> </w:t>
      </w:r>
      <w:r>
        <w:rPr>
          <w:sz w:val="26"/>
        </w:rPr>
        <w:t>of</w:t>
      </w:r>
      <w:r>
        <w:rPr>
          <w:spacing w:val="-6"/>
          <w:sz w:val="26"/>
        </w:rPr>
        <w:t> </w:t>
      </w:r>
      <w:r>
        <w:rPr>
          <w:sz w:val="26"/>
        </w:rPr>
        <w:t>renewable</w:t>
      </w:r>
      <w:r>
        <w:rPr>
          <w:spacing w:val="-6"/>
          <w:sz w:val="26"/>
        </w:rPr>
        <w:t> </w:t>
      </w:r>
      <w:r>
        <w:rPr>
          <w:spacing w:val="-2"/>
          <w:sz w:val="26"/>
        </w:rPr>
        <w:t>fuels.</w:t>
      </w:r>
    </w:p>
    <w:p>
      <w:pPr>
        <w:pStyle w:val="BodyText"/>
        <w:spacing w:before="239"/>
        <w:ind w:left="1702"/>
      </w:pPr>
      <w:r>
        <w:rPr/>
        <w:t>The</w:t>
      </w:r>
      <w:r>
        <w:rPr>
          <w:spacing w:val="-6"/>
        </w:rPr>
        <w:t> </w:t>
      </w:r>
      <w:r>
        <w:rPr/>
        <w:t>NDA</w:t>
      </w:r>
      <w:r>
        <w:rPr>
          <w:spacing w:val="-6"/>
        </w:rPr>
        <w:t> </w:t>
      </w:r>
      <w:r>
        <w:rPr/>
        <w:t>can</w:t>
      </w:r>
      <w:r>
        <w:rPr>
          <w:spacing w:val="-5"/>
        </w:rPr>
        <w:t> </w:t>
      </w:r>
      <w:r>
        <w:rPr/>
        <w:t>report</w:t>
      </w:r>
      <w:r>
        <w:rPr>
          <w:spacing w:val="-6"/>
        </w:rPr>
        <w:t> </w:t>
      </w:r>
      <w:r>
        <w:rPr>
          <w:spacing w:val="-5"/>
        </w:rPr>
        <w:t>a:</w:t>
      </w:r>
    </w:p>
    <w:p>
      <w:pPr>
        <w:pStyle w:val="ListParagraph"/>
        <w:numPr>
          <w:ilvl w:val="0"/>
          <w:numId w:val="9"/>
        </w:numPr>
        <w:tabs>
          <w:tab w:pos="2062" w:val="left" w:leader="none"/>
        </w:tabs>
        <w:spacing w:line="240" w:lineRule="auto" w:before="1" w:after="0"/>
        <w:ind w:left="2062" w:right="0" w:hanging="360"/>
        <w:jc w:val="left"/>
        <w:rPr>
          <w:sz w:val="26"/>
        </w:rPr>
      </w:pPr>
      <w:r>
        <w:rPr>
          <w:sz w:val="26"/>
        </w:rPr>
        <w:t>35.3%</w:t>
      </w:r>
      <w:r>
        <w:rPr>
          <w:spacing w:val="-8"/>
          <w:sz w:val="26"/>
        </w:rPr>
        <w:t> </w:t>
      </w:r>
      <w:r>
        <w:rPr>
          <w:sz w:val="26"/>
        </w:rPr>
        <w:t>cost</w:t>
      </w:r>
      <w:r>
        <w:rPr>
          <w:spacing w:val="-8"/>
          <w:sz w:val="26"/>
        </w:rPr>
        <w:t> </w:t>
      </w:r>
      <w:r>
        <w:rPr>
          <w:sz w:val="26"/>
        </w:rPr>
        <w:t>savings</w:t>
      </w:r>
      <w:r>
        <w:rPr>
          <w:spacing w:val="-7"/>
          <w:sz w:val="26"/>
        </w:rPr>
        <w:t> </w:t>
      </w:r>
      <w:r>
        <w:rPr>
          <w:sz w:val="26"/>
        </w:rPr>
        <w:t>since</w:t>
      </w:r>
      <w:r>
        <w:rPr>
          <w:spacing w:val="-8"/>
          <w:sz w:val="26"/>
        </w:rPr>
        <w:t> </w:t>
      </w:r>
      <w:r>
        <w:rPr>
          <w:spacing w:val="-2"/>
          <w:sz w:val="26"/>
        </w:rPr>
        <w:t>baseline;</w:t>
      </w:r>
    </w:p>
    <w:p>
      <w:pPr>
        <w:pStyle w:val="ListParagraph"/>
        <w:numPr>
          <w:ilvl w:val="0"/>
          <w:numId w:val="9"/>
        </w:numPr>
        <w:tabs>
          <w:tab w:pos="2062" w:val="left" w:leader="none"/>
        </w:tabs>
        <w:spacing w:line="240" w:lineRule="auto" w:before="1" w:after="0"/>
        <w:ind w:left="2062" w:right="0" w:hanging="360"/>
        <w:jc w:val="left"/>
        <w:rPr>
          <w:sz w:val="26"/>
        </w:rPr>
      </w:pPr>
      <w:r>
        <w:rPr>
          <w:sz w:val="26"/>
        </w:rPr>
        <w:t>44.2%</w:t>
      </w:r>
      <w:r>
        <w:rPr>
          <w:spacing w:val="-9"/>
          <w:sz w:val="26"/>
        </w:rPr>
        <w:t> </w:t>
      </w:r>
      <w:r>
        <w:rPr>
          <w:sz w:val="26"/>
        </w:rPr>
        <w:t>lower</w:t>
      </w:r>
      <w:r>
        <w:rPr>
          <w:spacing w:val="-8"/>
          <w:sz w:val="26"/>
        </w:rPr>
        <w:t> </w:t>
      </w:r>
      <w:r>
        <w:rPr>
          <w:sz w:val="26"/>
        </w:rPr>
        <w:t>consumption</w:t>
      </w:r>
      <w:r>
        <w:rPr>
          <w:spacing w:val="-9"/>
          <w:sz w:val="26"/>
        </w:rPr>
        <w:t> </w:t>
      </w:r>
      <w:r>
        <w:rPr>
          <w:sz w:val="26"/>
        </w:rPr>
        <w:t>since</w:t>
      </w:r>
      <w:r>
        <w:rPr>
          <w:spacing w:val="-9"/>
          <w:sz w:val="26"/>
        </w:rPr>
        <w:t> </w:t>
      </w:r>
      <w:r>
        <w:rPr>
          <w:spacing w:val="-2"/>
          <w:sz w:val="26"/>
        </w:rPr>
        <w:t>baseline.</w:t>
      </w:r>
    </w:p>
    <w:p>
      <w:pPr>
        <w:pStyle w:val="ListParagraph"/>
        <w:spacing w:after="0" w:line="240" w:lineRule="auto"/>
        <w:jc w:val="left"/>
        <w:rPr>
          <w:sz w:val="26"/>
        </w:rPr>
        <w:sectPr>
          <w:pgSz w:w="11910" w:h="16850"/>
          <w:pgMar w:header="0" w:footer="811" w:top="1880" w:bottom="1000" w:left="283" w:right="992"/>
        </w:sectPr>
      </w:pPr>
    </w:p>
    <w:p>
      <w:pPr>
        <w:pStyle w:val="Heading5"/>
        <w:spacing w:before="71"/>
        <w:rPr>
          <w:rFonts w:ascii="Rockwell"/>
        </w:rPr>
      </w:pPr>
      <w:r>
        <w:rPr>
          <w:rFonts w:ascii="Rockwell"/>
          <w:color w:val="BE2195"/>
        </w:rPr>
        <w:t>Actions</w:t>
      </w:r>
      <w:r>
        <w:rPr>
          <w:rFonts w:ascii="Rockwell"/>
          <w:color w:val="BE2195"/>
          <w:spacing w:val="-11"/>
        </w:rPr>
        <w:t> </w:t>
      </w:r>
      <w:r>
        <w:rPr>
          <w:rFonts w:ascii="Rockwell"/>
          <w:color w:val="BE2195"/>
        </w:rPr>
        <w:t>undertaken</w:t>
      </w:r>
      <w:r>
        <w:rPr>
          <w:rFonts w:ascii="Rockwell"/>
          <w:color w:val="BE2195"/>
          <w:spacing w:val="-9"/>
        </w:rPr>
        <w:t> </w:t>
      </w:r>
      <w:r>
        <w:rPr>
          <w:rFonts w:ascii="Rockwell"/>
          <w:color w:val="BE2195"/>
        </w:rPr>
        <w:t>in</w:t>
      </w:r>
      <w:r>
        <w:rPr>
          <w:rFonts w:ascii="Rockwell"/>
          <w:color w:val="BE2195"/>
          <w:spacing w:val="-10"/>
        </w:rPr>
        <w:t> </w:t>
      </w:r>
      <w:r>
        <w:rPr>
          <w:rFonts w:ascii="Rockwell"/>
          <w:color w:val="BE2195"/>
          <w:spacing w:val="-4"/>
        </w:rPr>
        <w:t>2017</w:t>
      </w:r>
    </w:p>
    <w:p>
      <w:pPr>
        <w:pStyle w:val="BodyText"/>
        <w:spacing w:before="28"/>
        <w:ind w:left="1702" w:right="988"/>
      </w:pPr>
      <w:r>
        <w:rPr/>
        <w:t>In</w:t>
      </w:r>
      <w:r>
        <w:rPr>
          <w:spacing w:val="-4"/>
        </w:rPr>
        <w:t> </w:t>
      </w:r>
      <w:r>
        <w:rPr/>
        <w:t>2017,</w:t>
      </w:r>
      <w:r>
        <w:rPr>
          <w:spacing w:val="-3"/>
        </w:rPr>
        <w:t> </w:t>
      </w:r>
      <w:r>
        <w:rPr/>
        <w:t>the</w:t>
      </w:r>
      <w:r>
        <w:rPr>
          <w:spacing w:val="-2"/>
        </w:rPr>
        <w:t> </w:t>
      </w:r>
      <w:r>
        <w:rPr/>
        <w:t>NDA</w:t>
      </w:r>
      <w:r>
        <w:rPr>
          <w:spacing w:val="-2"/>
        </w:rPr>
        <w:t> </w:t>
      </w:r>
      <w:r>
        <w:rPr/>
        <w:t>undertook</w:t>
      </w:r>
      <w:r>
        <w:rPr>
          <w:spacing w:val="-4"/>
        </w:rPr>
        <w:t> </w:t>
      </w:r>
      <w:r>
        <w:rPr/>
        <w:t>planning</w:t>
      </w:r>
      <w:r>
        <w:rPr>
          <w:spacing w:val="-4"/>
        </w:rPr>
        <w:t> </w:t>
      </w:r>
      <w:r>
        <w:rPr/>
        <w:t>and</w:t>
      </w:r>
      <w:r>
        <w:rPr>
          <w:spacing w:val="-4"/>
        </w:rPr>
        <w:t> </w:t>
      </w:r>
      <w:r>
        <w:rPr/>
        <w:t>implementation</w:t>
      </w:r>
      <w:r>
        <w:rPr>
          <w:spacing w:val="-4"/>
        </w:rPr>
        <w:t> </w:t>
      </w:r>
      <w:r>
        <w:rPr/>
        <w:t>of</w:t>
      </w:r>
      <w:r>
        <w:rPr>
          <w:spacing w:val="-4"/>
        </w:rPr>
        <w:t> </w:t>
      </w:r>
      <w:r>
        <w:rPr/>
        <w:t>a</w:t>
      </w:r>
      <w:r>
        <w:rPr>
          <w:spacing w:val="-4"/>
        </w:rPr>
        <w:t> </w:t>
      </w:r>
      <w:r>
        <w:rPr/>
        <w:t>range</w:t>
      </w:r>
      <w:r>
        <w:rPr>
          <w:spacing w:val="-4"/>
        </w:rPr>
        <w:t> </w:t>
      </w:r>
      <w:r>
        <w:rPr/>
        <w:t>of initiatives to improve our energy performance, including:</w:t>
      </w:r>
    </w:p>
    <w:p>
      <w:pPr>
        <w:pStyle w:val="ListParagraph"/>
        <w:numPr>
          <w:ilvl w:val="0"/>
          <w:numId w:val="9"/>
        </w:numPr>
        <w:tabs>
          <w:tab w:pos="2062" w:val="left" w:leader="none"/>
        </w:tabs>
        <w:spacing w:line="301" w:lineRule="exact" w:before="239" w:after="0"/>
        <w:ind w:left="2062" w:right="0" w:hanging="360"/>
        <w:jc w:val="left"/>
        <w:rPr>
          <w:sz w:val="26"/>
        </w:rPr>
      </w:pPr>
      <w:r>
        <w:rPr>
          <w:sz w:val="26"/>
        </w:rPr>
        <w:t>LTHW:</w:t>
      </w:r>
      <w:r>
        <w:rPr>
          <w:spacing w:val="-7"/>
          <w:sz w:val="26"/>
        </w:rPr>
        <w:t> </w:t>
      </w:r>
      <w:r>
        <w:rPr>
          <w:sz w:val="26"/>
        </w:rPr>
        <w:t>Boiler</w:t>
      </w:r>
      <w:r>
        <w:rPr>
          <w:spacing w:val="-6"/>
          <w:sz w:val="26"/>
        </w:rPr>
        <w:t> </w:t>
      </w:r>
      <w:r>
        <w:rPr>
          <w:sz w:val="26"/>
        </w:rPr>
        <w:t>replacement</w:t>
      </w:r>
      <w:r>
        <w:rPr>
          <w:spacing w:val="-7"/>
          <w:sz w:val="26"/>
        </w:rPr>
        <w:t> </w:t>
      </w:r>
      <w:r>
        <w:rPr>
          <w:sz w:val="26"/>
        </w:rPr>
        <w:t>and</w:t>
      </w:r>
      <w:r>
        <w:rPr>
          <w:spacing w:val="-5"/>
          <w:sz w:val="26"/>
        </w:rPr>
        <w:t> </w:t>
      </w:r>
      <w:r>
        <w:rPr>
          <w:sz w:val="26"/>
        </w:rPr>
        <w:t>BEMS</w:t>
      </w:r>
      <w:r>
        <w:rPr>
          <w:spacing w:val="-8"/>
          <w:sz w:val="26"/>
        </w:rPr>
        <w:t> </w:t>
      </w:r>
      <w:r>
        <w:rPr>
          <w:sz w:val="26"/>
        </w:rPr>
        <w:t>controls</w:t>
      </w:r>
      <w:r>
        <w:rPr>
          <w:spacing w:val="-7"/>
          <w:sz w:val="26"/>
        </w:rPr>
        <w:t> </w:t>
      </w:r>
      <w:r>
        <w:rPr>
          <w:sz w:val="26"/>
        </w:rPr>
        <w:t>of</w:t>
      </w:r>
      <w:r>
        <w:rPr>
          <w:spacing w:val="-7"/>
          <w:sz w:val="26"/>
        </w:rPr>
        <w:t> </w:t>
      </w:r>
      <w:r>
        <w:rPr>
          <w:sz w:val="26"/>
        </w:rPr>
        <w:t>both</w:t>
      </w:r>
      <w:r>
        <w:rPr>
          <w:spacing w:val="-7"/>
          <w:sz w:val="26"/>
        </w:rPr>
        <w:t> </w:t>
      </w:r>
      <w:r>
        <w:rPr>
          <w:sz w:val="26"/>
        </w:rPr>
        <w:t>boiler</w:t>
      </w:r>
      <w:r>
        <w:rPr>
          <w:spacing w:val="-7"/>
          <w:sz w:val="26"/>
        </w:rPr>
        <w:t> </w:t>
      </w:r>
      <w:r>
        <w:rPr>
          <w:spacing w:val="-2"/>
          <w:sz w:val="26"/>
        </w:rPr>
        <w:t>systems</w:t>
      </w:r>
    </w:p>
    <w:p>
      <w:pPr>
        <w:pStyle w:val="ListParagraph"/>
        <w:numPr>
          <w:ilvl w:val="0"/>
          <w:numId w:val="9"/>
        </w:numPr>
        <w:tabs>
          <w:tab w:pos="2062" w:val="left" w:leader="none"/>
        </w:tabs>
        <w:spacing w:line="240" w:lineRule="auto" w:before="0" w:after="0"/>
        <w:ind w:left="2062" w:right="1745" w:hanging="360"/>
        <w:jc w:val="left"/>
        <w:rPr>
          <w:sz w:val="26"/>
        </w:rPr>
      </w:pPr>
      <w:r>
        <w:rPr>
          <w:sz w:val="26"/>
        </w:rPr>
        <w:t>DHWS:</w:t>
      </w:r>
      <w:r>
        <w:rPr>
          <w:spacing w:val="-4"/>
          <w:sz w:val="26"/>
        </w:rPr>
        <w:t> </w:t>
      </w:r>
      <w:r>
        <w:rPr>
          <w:sz w:val="26"/>
        </w:rPr>
        <w:t>Minimise</w:t>
      </w:r>
      <w:r>
        <w:rPr>
          <w:spacing w:val="-2"/>
          <w:sz w:val="26"/>
        </w:rPr>
        <w:t> </w:t>
      </w:r>
      <w:r>
        <w:rPr>
          <w:sz w:val="26"/>
        </w:rPr>
        <w:t>the</w:t>
      </w:r>
      <w:r>
        <w:rPr>
          <w:spacing w:val="-5"/>
          <w:sz w:val="26"/>
        </w:rPr>
        <w:t> </w:t>
      </w:r>
      <w:r>
        <w:rPr>
          <w:sz w:val="26"/>
        </w:rPr>
        <w:t>use</w:t>
      </w:r>
      <w:r>
        <w:rPr>
          <w:spacing w:val="-5"/>
          <w:sz w:val="26"/>
        </w:rPr>
        <w:t> </w:t>
      </w:r>
      <w:r>
        <w:rPr>
          <w:sz w:val="26"/>
        </w:rPr>
        <w:t>of</w:t>
      </w:r>
      <w:r>
        <w:rPr>
          <w:spacing w:val="-5"/>
          <w:sz w:val="26"/>
        </w:rPr>
        <w:t> </w:t>
      </w:r>
      <w:r>
        <w:rPr>
          <w:sz w:val="26"/>
        </w:rPr>
        <w:t>existing</w:t>
      </w:r>
      <w:r>
        <w:rPr>
          <w:spacing w:val="-5"/>
          <w:sz w:val="26"/>
        </w:rPr>
        <w:t> </w:t>
      </w:r>
      <w:r>
        <w:rPr>
          <w:sz w:val="26"/>
        </w:rPr>
        <w:t>boilers</w:t>
      </w:r>
      <w:r>
        <w:rPr>
          <w:spacing w:val="-4"/>
          <w:sz w:val="26"/>
        </w:rPr>
        <w:t> </w:t>
      </w:r>
      <w:r>
        <w:rPr>
          <w:sz w:val="26"/>
        </w:rPr>
        <w:t>for</w:t>
      </w:r>
      <w:r>
        <w:rPr>
          <w:spacing w:val="-5"/>
          <w:sz w:val="26"/>
        </w:rPr>
        <w:t> </w:t>
      </w:r>
      <w:r>
        <w:rPr>
          <w:sz w:val="26"/>
        </w:rPr>
        <w:t>DHWS</w:t>
      </w:r>
      <w:r>
        <w:rPr>
          <w:spacing w:val="-6"/>
          <w:sz w:val="26"/>
        </w:rPr>
        <w:t> </w:t>
      </w:r>
      <w:r>
        <w:rPr>
          <w:sz w:val="26"/>
        </w:rPr>
        <w:t>when</w:t>
      </w:r>
      <w:r>
        <w:rPr>
          <w:spacing w:val="-5"/>
          <w:sz w:val="26"/>
        </w:rPr>
        <w:t> </w:t>
      </w:r>
      <w:r>
        <w:rPr>
          <w:sz w:val="26"/>
        </w:rPr>
        <w:t>no requirement for space heating</w:t>
      </w:r>
    </w:p>
    <w:p>
      <w:pPr>
        <w:pStyle w:val="ListParagraph"/>
        <w:numPr>
          <w:ilvl w:val="0"/>
          <w:numId w:val="9"/>
        </w:numPr>
        <w:tabs>
          <w:tab w:pos="2062" w:val="left" w:leader="none"/>
        </w:tabs>
        <w:spacing w:line="240" w:lineRule="auto" w:before="1" w:after="0"/>
        <w:ind w:left="2062" w:right="0" w:hanging="360"/>
        <w:jc w:val="left"/>
        <w:rPr>
          <w:sz w:val="26"/>
        </w:rPr>
      </w:pPr>
      <w:r>
        <w:rPr>
          <w:sz w:val="26"/>
        </w:rPr>
        <w:t>Energy</w:t>
      </w:r>
      <w:r>
        <w:rPr>
          <w:spacing w:val="-7"/>
          <w:sz w:val="26"/>
        </w:rPr>
        <w:t> </w:t>
      </w:r>
      <w:r>
        <w:rPr>
          <w:spacing w:val="-2"/>
          <w:sz w:val="26"/>
        </w:rPr>
        <w:t>Monitoring</w:t>
      </w:r>
    </w:p>
    <w:p>
      <w:pPr>
        <w:pStyle w:val="BodyText"/>
        <w:spacing w:before="239"/>
        <w:ind w:left="1702" w:right="988"/>
      </w:pPr>
      <w:r>
        <w:rPr/>
        <w:t>Altogether,</w:t>
      </w:r>
      <w:r>
        <w:rPr>
          <w:spacing w:val="-5"/>
        </w:rPr>
        <w:t> </w:t>
      </w:r>
      <w:r>
        <w:rPr/>
        <w:t>these</w:t>
      </w:r>
      <w:r>
        <w:rPr>
          <w:spacing w:val="-6"/>
        </w:rPr>
        <w:t> </w:t>
      </w:r>
      <w:r>
        <w:rPr/>
        <w:t>and</w:t>
      </w:r>
      <w:r>
        <w:rPr>
          <w:spacing w:val="-6"/>
        </w:rPr>
        <w:t> </w:t>
      </w:r>
      <w:r>
        <w:rPr/>
        <w:t>other</w:t>
      </w:r>
      <w:r>
        <w:rPr>
          <w:spacing w:val="-5"/>
        </w:rPr>
        <w:t> </w:t>
      </w:r>
      <w:r>
        <w:rPr/>
        <w:t>energy-saving</w:t>
      </w:r>
      <w:r>
        <w:rPr>
          <w:spacing w:val="-4"/>
        </w:rPr>
        <w:t> </w:t>
      </w:r>
      <w:r>
        <w:rPr/>
        <w:t>measures</w:t>
      </w:r>
      <w:r>
        <w:rPr>
          <w:spacing w:val="-5"/>
        </w:rPr>
        <w:t> </w:t>
      </w:r>
      <w:r>
        <w:rPr/>
        <w:t>saved</w:t>
      </w:r>
      <w:r>
        <w:rPr>
          <w:spacing w:val="-6"/>
        </w:rPr>
        <w:t> </w:t>
      </w:r>
      <w:r>
        <w:rPr/>
        <w:t>the</w:t>
      </w:r>
      <w:r>
        <w:rPr>
          <w:spacing w:val="-2"/>
        </w:rPr>
        <w:t> </w:t>
      </w:r>
      <w:r>
        <w:rPr/>
        <w:t>NDA 109,500 MWh.</w:t>
      </w:r>
    </w:p>
    <w:p>
      <w:pPr>
        <w:pStyle w:val="Heading5"/>
        <w:spacing w:before="255"/>
        <w:rPr>
          <w:rFonts w:ascii="Rockwell"/>
        </w:rPr>
      </w:pPr>
      <w:r>
        <w:rPr>
          <w:rFonts w:ascii="Rockwell"/>
          <w:color w:val="BE2195"/>
        </w:rPr>
        <w:t>Actions</w:t>
      </w:r>
      <w:r>
        <w:rPr>
          <w:rFonts w:ascii="Rockwell"/>
          <w:color w:val="BE2195"/>
          <w:spacing w:val="-10"/>
        </w:rPr>
        <w:t> </w:t>
      </w:r>
      <w:r>
        <w:rPr>
          <w:rFonts w:ascii="Rockwell"/>
          <w:color w:val="BE2195"/>
        </w:rPr>
        <w:t>planned</w:t>
      </w:r>
      <w:r>
        <w:rPr>
          <w:rFonts w:ascii="Rockwell"/>
          <w:color w:val="BE2195"/>
          <w:spacing w:val="-7"/>
        </w:rPr>
        <w:t> </w:t>
      </w:r>
      <w:r>
        <w:rPr>
          <w:rFonts w:ascii="Rockwell"/>
          <w:color w:val="BE2195"/>
        </w:rPr>
        <w:t>for</w:t>
      </w:r>
      <w:r>
        <w:rPr>
          <w:rFonts w:ascii="Rockwell"/>
          <w:color w:val="BE2195"/>
          <w:spacing w:val="-10"/>
        </w:rPr>
        <w:t> </w:t>
      </w:r>
      <w:r>
        <w:rPr>
          <w:rFonts w:ascii="Rockwell"/>
          <w:color w:val="BE2195"/>
          <w:spacing w:val="-4"/>
        </w:rPr>
        <w:t>2018</w:t>
      </w:r>
    </w:p>
    <w:p>
      <w:pPr>
        <w:pStyle w:val="BodyText"/>
        <w:spacing w:before="27"/>
        <w:ind w:left="1702"/>
      </w:pPr>
      <w:r>
        <w:rPr/>
        <w:t>In</w:t>
      </w:r>
      <w:r>
        <w:rPr>
          <w:spacing w:val="-5"/>
        </w:rPr>
        <w:t> </w:t>
      </w:r>
      <w:r>
        <w:rPr/>
        <w:t>2018,</w:t>
      </w:r>
      <w:r>
        <w:rPr>
          <w:spacing w:val="-4"/>
        </w:rPr>
        <w:t> </w:t>
      </w:r>
      <w:r>
        <w:rPr/>
        <w:t>the</w:t>
      </w:r>
      <w:r>
        <w:rPr>
          <w:spacing w:val="-1"/>
        </w:rPr>
        <w:t> </w:t>
      </w:r>
      <w:r>
        <w:rPr/>
        <w:t>NDA</w:t>
      </w:r>
      <w:r>
        <w:rPr>
          <w:spacing w:val="-4"/>
        </w:rPr>
        <w:t> </w:t>
      </w:r>
      <w:r>
        <w:rPr/>
        <w:t>intends</w:t>
      </w:r>
      <w:r>
        <w:rPr>
          <w:spacing w:val="-4"/>
        </w:rPr>
        <w:t> </w:t>
      </w:r>
      <w:r>
        <w:rPr/>
        <w:t>to</w:t>
      </w:r>
      <w:r>
        <w:rPr>
          <w:spacing w:val="-3"/>
        </w:rPr>
        <w:t> </w:t>
      </w:r>
      <w:r>
        <w:rPr/>
        <w:t>improve</w:t>
      </w:r>
      <w:r>
        <w:rPr>
          <w:spacing w:val="-5"/>
        </w:rPr>
        <w:t> </w:t>
      </w:r>
      <w:r>
        <w:rPr/>
        <w:t>further</w:t>
      </w:r>
      <w:r>
        <w:rPr>
          <w:spacing w:val="-1"/>
        </w:rPr>
        <w:t> </w:t>
      </w:r>
      <w:r>
        <w:rPr/>
        <w:t>our</w:t>
      </w:r>
      <w:r>
        <w:rPr>
          <w:spacing w:val="-5"/>
        </w:rPr>
        <w:t> </w:t>
      </w:r>
      <w:r>
        <w:rPr/>
        <w:t>energy</w:t>
      </w:r>
      <w:r>
        <w:rPr>
          <w:spacing w:val="-6"/>
        </w:rPr>
        <w:t> </w:t>
      </w:r>
      <w:r>
        <w:rPr/>
        <w:t>performance</w:t>
      </w:r>
      <w:r>
        <w:rPr>
          <w:spacing w:val="-5"/>
        </w:rPr>
        <w:t> </w:t>
      </w:r>
      <w:r>
        <w:rPr/>
        <w:t>by undertaking the following initiatives:</w:t>
      </w:r>
    </w:p>
    <w:p>
      <w:pPr>
        <w:pStyle w:val="ListParagraph"/>
        <w:numPr>
          <w:ilvl w:val="0"/>
          <w:numId w:val="9"/>
        </w:numPr>
        <w:tabs>
          <w:tab w:pos="2062" w:val="left" w:leader="none"/>
        </w:tabs>
        <w:spacing w:line="240" w:lineRule="auto" w:before="0" w:after="0"/>
        <w:ind w:left="2062" w:right="2008" w:hanging="360"/>
        <w:jc w:val="left"/>
        <w:rPr>
          <w:sz w:val="26"/>
        </w:rPr>
      </w:pPr>
      <w:r>
        <w:rPr>
          <w:sz w:val="26"/>
        </w:rPr>
        <w:t>Conducting an electricity consumption engineering audit and development</w:t>
      </w:r>
      <w:r>
        <w:rPr>
          <w:spacing w:val="-5"/>
          <w:sz w:val="26"/>
        </w:rPr>
        <w:t> </w:t>
      </w:r>
      <w:r>
        <w:rPr>
          <w:sz w:val="26"/>
        </w:rPr>
        <w:t>of</w:t>
      </w:r>
      <w:r>
        <w:rPr>
          <w:spacing w:val="-5"/>
          <w:sz w:val="26"/>
        </w:rPr>
        <w:t> </w:t>
      </w:r>
      <w:r>
        <w:rPr>
          <w:sz w:val="26"/>
        </w:rPr>
        <w:t>a</w:t>
      </w:r>
      <w:r>
        <w:rPr>
          <w:spacing w:val="-5"/>
          <w:sz w:val="26"/>
        </w:rPr>
        <w:t> </w:t>
      </w:r>
      <w:r>
        <w:rPr>
          <w:sz w:val="26"/>
        </w:rPr>
        <w:t>staged</w:t>
      </w:r>
      <w:r>
        <w:rPr>
          <w:spacing w:val="-5"/>
          <w:sz w:val="26"/>
        </w:rPr>
        <w:t> </w:t>
      </w:r>
      <w:r>
        <w:rPr>
          <w:sz w:val="26"/>
        </w:rPr>
        <w:t>upgrade</w:t>
      </w:r>
      <w:r>
        <w:rPr>
          <w:spacing w:val="-5"/>
          <w:sz w:val="26"/>
        </w:rPr>
        <w:t> </w:t>
      </w:r>
      <w:r>
        <w:rPr>
          <w:sz w:val="26"/>
        </w:rPr>
        <w:t>plan</w:t>
      </w:r>
      <w:r>
        <w:rPr>
          <w:spacing w:val="-2"/>
          <w:sz w:val="26"/>
        </w:rPr>
        <w:t> </w:t>
      </w:r>
      <w:r>
        <w:rPr>
          <w:sz w:val="26"/>
        </w:rPr>
        <w:t>-</w:t>
      </w:r>
      <w:r>
        <w:rPr>
          <w:spacing w:val="-5"/>
          <w:sz w:val="26"/>
        </w:rPr>
        <w:t> </w:t>
      </w:r>
      <w:r>
        <w:rPr>
          <w:sz w:val="26"/>
        </w:rPr>
        <w:t>LED</w:t>
      </w:r>
      <w:r>
        <w:rPr>
          <w:spacing w:val="-2"/>
          <w:sz w:val="26"/>
        </w:rPr>
        <w:t> </w:t>
      </w:r>
      <w:r>
        <w:rPr>
          <w:sz w:val="26"/>
        </w:rPr>
        <w:t>Lighting</w:t>
      </w:r>
      <w:r>
        <w:rPr>
          <w:spacing w:val="-5"/>
          <w:sz w:val="26"/>
        </w:rPr>
        <w:t> </w:t>
      </w:r>
      <w:r>
        <w:rPr>
          <w:sz w:val="26"/>
        </w:rPr>
        <w:t>upgrades</w:t>
      </w:r>
    </w:p>
    <w:p>
      <w:pPr>
        <w:pStyle w:val="ListParagraph"/>
        <w:numPr>
          <w:ilvl w:val="0"/>
          <w:numId w:val="9"/>
        </w:numPr>
        <w:tabs>
          <w:tab w:pos="2062" w:val="left" w:leader="none"/>
        </w:tabs>
        <w:spacing w:line="301" w:lineRule="exact" w:before="0" w:after="0"/>
        <w:ind w:left="2062" w:right="0" w:hanging="360"/>
        <w:jc w:val="left"/>
        <w:rPr>
          <w:sz w:val="26"/>
        </w:rPr>
      </w:pPr>
      <w:r>
        <w:rPr>
          <w:sz w:val="26"/>
        </w:rPr>
        <w:t>Review</w:t>
      </w:r>
      <w:r>
        <w:rPr>
          <w:spacing w:val="-7"/>
          <w:sz w:val="26"/>
        </w:rPr>
        <w:t> </w:t>
      </w:r>
      <w:r>
        <w:rPr>
          <w:sz w:val="26"/>
        </w:rPr>
        <w:t>/</w:t>
      </w:r>
      <w:r>
        <w:rPr>
          <w:spacing w:val="-7"/>
          <w:sz w:val="26"/>
        </w:rPr>
        <w:t> </w:t>
      </w:r>
      <w:r>
        <w:rPr>
          <w:sz w:val="26"/>
        </w:rPr>
        <w:t>upgrade</w:t>
      </w:r>
      <w:r>
        <w:rPr>
          <w:spacing w:val="-7"/>
          <w:sz w:val="26"/>
        </w:rPr>
        <w:t> </w:t>
      </w:r>
      <w:r>
        <w:rPr>
          <w:sz w:val="26"/>
        </w:rPr>
        <w:t>insulation</w:t>
      </w:r>
      <w:r>
        <w:rPr>
          <w:spacing w:val="-8"/>
          <w:sz w:val="26"/>
        </w:rPr>
        <w:t> </w:t>
      </w:r>
      <w:r>
        <w:rPr>
          <w:sz w:val="26"/>
        </w:rPr>
        <w:t>levels</w:t>
      </w:r>
      <w:r>
        <w:rPr>
          <w:spacing w:val="-6"/>
          <w:sz w:val="26"/>
        </w:rPr>
        <w:t> </w:t>
      </w:r>
      <w:r>
        <w:rPr>
          <w:sz w:val="26"/>
        </w:rPr>
        <w:t>in</w:t>
      </w:r>
      <w:r>
        <w:rPr>
          <w:spacing w:val="-7"/>
          <w:sz w:val="26"/>
        </w:rPr>
        <w:t> </w:t>
      </w:r>
      <w:r>
        <w:rPr>
          <w:sz w:val="26"/>
        </w:rPr>
        <w:t>accordance</w:t>
      </w:r>
      <w:r>
        <w:rPr>
          <w:spacing w:val="-7"/>
          <w:sz w:val="26"/>
        </w:rPr>
        <w:t> </w:t>
      </w:r>
      <w:r>
        <w:rPr>
          <w:sz w:val="26"/>
        </w:rPr>
        <w:t>with</w:t>
      </w:r>
      <w:r>
        <w:rPr>
          <w:spacing w:val="-8"/>
          <w:sz w:val="26"/>
        </w:rPr>
        <w:t> </w:t>
      </w:r>
      <w:r>
        <w:rPr>
          <w:sz w:val="26"/>
        </w:rPr>
        <w:t>Part</w:t>
      </w:r>
      <w:r>
        <w:rPr>
          <w:spacing w:val="-7"/>
          <w:sz w:val="26"/>
        </w:rPr>
        <w:t> </w:t>
      </w:r>
      <w:r>
        <w:rPr>
          <w:spacing w:val="-10"/>
          <w:sz w:val="26"/>
        </w:rPr>
        <w:t>L</w:t>
      </w:r>
    </w:p>
    <w:p>
      <w:pPr>
        <w:pStyle w:val="ListParagraph"/>
        <w:numPr>
          <w:ilvl w:val="0"/>
          <w:numId w:val="9"/>
        </w:numPr>
        <w:tabs>
          <w:tab w:pos="2062" w:val="left" w:leader="none"/>
        </w:tabs>
        <w:spacing w:line="240" w:lineRule="auto" w:before="1" w:after="0"/>
        <w:ind w:left="2062" w:right="0" w:hanging="360"/>
        <w:jc w:val="left"/>
        <w:rPr>
          <w:sz w:val="26"/>
        </w:rPr>
      </w:pPr>
      <w:r>
        <w:rPr>
          <w:sz w:val="26"/>
        </w:rPr>
        <w:t>BER</w:t>
      </w:r>
      <w:r>
        <w:rPr>
          <w:spacing w:val="-5"/>
          <w:sz w:val="26"/>
        </w:rPr>
        <w:t> </w:t>
      </w:r>
      <w:r>
        <w:rPr>
          <w:sz w:val="26"/>
        </w:rPr>
        <w:t>&amp;</w:t>
      </w:r>
      <w:r>
        <w:rPr>
          <w:spacing w:val="-3"/>
          <w:sz w:val="26"/>
        </w:rPr>
        <w:t> </w:t>
      </w:r>
      <w:r>
        <w:rPr>
          <w:sz w:val="26"/>
        </w:rPr>
        <w:t>DEC</w:t>
      </w:r>
      <w:r>
        <w:rPr>
          <w:spacing w:val="-5"/>
          <w:sz w:val="26"/>
        </w:rPr>
        <w:t> </w:t>
      </w:r>
      <w:r>
        <w:rPr>
          <w:spacing w:val="-2"/>
          <w:sz w:val="26"/>
        </w:rPr>
        <w:t>assessment</w:t>
      </w:r>
    </w:p>
    <w:p>
      <w:pPr>
        <w:pStyle w:val="Heading3"/>
      </w:pPr>
      <w:r>
        <w:rPr>
          <w:color w:val="BE2195"/>
        </w:rPr>
        <w:t>Access</w:t>
      </w:r>
      <w:r>
        <w:rPr>
          <w:color w:val="BE2195"/>
          <w:spacing w:val="-12"/>
        </w:rPr>
        <w:t> </w:t>
      </w:r>
      <w:r>
        <w:rPr>
          <w:color w:val="BE2195"/>
          <w:spacing w:val="-2"/>
        </w:rPr>
        <w:t>Officer</w:t>
      </w:r>
    </w:p>
    <w:p>
      <w:pPr>
        <w:pStyle w:val="BodyText"/>
        <w:spacing w:before="105"/>
        <w:ind w:left="1702" w:right="988"/>
      </w:pPr>
      <w:r>
        <w:rPr/>
        <w:t>The</w:t>
      </w:r>
      <w:r>
        <w:rPr>
          <w:spacing w:val="-5"/>
        </w:rPr>
        <w:t> </w:t>
      </w:r>
      <w:r>
        <w:rPr/>
        <w:t>NDA</w:t>
      </w:r>
      <w:r>
        <w:rPr>
          <w:spacing w:val="-5"/>
        </w:rPr>
        <w:t> </w:t>
      </w:r>
      <w:r>
        <w:rPr/>
        <w:t>appointed</w:t>
      </w:r>
      <w:r>
        <w:rPr>
          <w:spacing w:val="-2"/>
        </w:rPr>
        <w:t> </w:t>
      </w:r>
      <w:r>
        <w:rPr/>
        <w:t>a</w:t>
      </w:r>
      <w:r>
        <w:rPr>
          <w:spacing w:val="-3"/>
        </w:rPr>
        <w:t> </w:t>
      </w:r>
      <w:r>
        <w:rPr/>
        <w:t>new</w:t>
      </w:r>
      <w:r>
        <w:rPr>
          <w:spacing w:val="-3"/>
        </w:rPr>
        <w:t> </w:t>
      </w:r>
      <w:r>
        <w:rPr/>
        <w:t>Access</w:t>
      </w:r>
      <w:r>
        <w:rPr>
          <w:spacing w:val="-4"/>
        </w:rPr>
        <w:t> </w:t>
      </w:r>
      <w:r>
        <w:rPr/>
        <w:t>Officer,</w:t>
      </w:r>
      <w:r>
        <w:rPr>
          <w:spacing w:val="-4"/>
        </w:rPr>
        <w:t> </w:t>
      </w:r>
      <w:r>
        <w:rPr/>
        <w:t>in</w:t>
      </w:r>
      <w:r>
        <w:rPr>
          <w:spacing w:val="-2"/>
        </w:rPr>
        <w:t> </w:t>
      </w:r>
      <w:r>
        <w:rPr/>
        <w:t>line</w:t>
      </w:r>
      <w:r>
        <w:rPr>
          <w:spacing w:val="-5"/>
        </w:rPr>
        <w:t> </w:t>
      </w:r>
      <w:r>
        <w:rPr/>
        <w:t>with the</w:t>
      </w:r>
      <w:r>
        <w:rPr>
          <w:spacing w:val="-5"/>
        </w:rPr>
        <w:t> </w:t>
      </w:r>
      <w:r>
        <w:rPr/>
        <w:t>Disability</w:t>
      </w:r>
      <w:r>
        <w:rPr>
          <w:spacing w:val="-5"/>
        </w:rPr>
        <w:t> </w:t>
      </w:r>
      <w:r>
        <w:rPr/>
        <w:t>Act 2005 in 2017, to guide on any assistance required for persons with</w:t>
      </w:r>
    </w:p>
    <w:p>
      <w:pPr>
        <w:pStyle w:val="BodyText"/>
        <w:ind w:left="1702" w:right="1080"/>
      </w:pPr>
      <w:r>
        <w:rPr/>
        <w:t>disabilities who accessed the NDA’s facilities,</w:t>
      </w:r>
      <w:r>
        <w:rPr>
          <w:spacing w:val="-1"/>
        </w:rPr>
        <w:t> </w:t>
      </w:r>
      <w:r>
        <w:rPr/>
        <w:t>events and website in 2017. The</w:t>
      </w:r>
      <w:r>
        <w:rPr>
          <w:spacing w:val="-4"/>
        </w:rPr>
        <w:t> </w:t>
      </w:r>
      <w:r>
        <w:rPr/>
        <w:t>Officer’s</w:t>
      </w:r>
      <w:r>
        <w:rPr>
          <w:spacing w:val="-3"/>
        </w:rPr>
        <w:t> </w:t>
      </w:r>
      <w:r>
        <w:rPr/>
        <w:t>contact</w:t>
      </w:r>
      <w:r>
        <w:rPr>
          <w:spacing w:val="-4"/>
        </w:rPr>
        <w:t> </w:t>
      </w:r>
      <w:r>
        <w:rPr/>
        <w:t>details</w:t>
      </w:r>
      <w:r>
        <w:rPr>
          <w:spacing w:val="-3"/>
        </w:rPr>
        <w:t> </w:t>
      </w:r>
      <w:r>
        <w:rPr/>
        <w:t>are</w:t>
      </w:r>
      <w:r>
        <w:rPr>
          <w:spacing w:val="-3"/>
        </w:rPr>
        <w:t> </w:t>
      </w:r>
      <w:r>
        <w:rPr/>
        <w:t>on</w:t>
      </w:r>
      <w:r>
        <w:rPr>
          <w:spacing w:val="-4"/>
        </w:rPr>
        <w:t> </w:t>
      </w:r>
      <w:r>
        <w:rPr/>
        <w:t>the</w:t>
      </w:r>
      <w:r>
        <w:rPr>
          <w:spacing w:val="-4"/>
        </w:rPr>
        <w:t> </w:t>
      </w:r>
      <w:r>
        <w:rPr/>
        <w:t>home</w:t>
      </w:r>
      <w:r>
        <w:rPr>
          <w:spacing w:val="-4"/>
        </w:rPr>
        <w:t> </w:t>
      </w:r>
      <w:r>
        <w:rPr/>
        <w:t>page</w:t>
      </w:r>
      <w:r>
        <w:rPr>
          <w:spacing w:val="-4"/>
        </w:rPr>
        <w:t> </w:t>
      </w:r>
      <w:r>
        <w:rPr/>
        <w:t>of</w:t>
      </w:r>
      <w:r>
        <w:rPr>
          <w:spacing w:val="-4"/>
        </w:rPr>
        <w:t> </w:t>
      </w:r>
      <w:r>
        <w:rPr/>
        <w:t>the</w:t>
      </w:r>
      <w:r>
        <w:rPr>
          <w:spacing w:val="-4"/>
        </w:rPr>
        <w:t> </w:t>
      </w:r>
      <w:r>
        <w:rPr/>
        <w:t>NDA’s</w:t>
      </w:r>
      <w:r>
        <w:rPr>
          <w:spacing w:val="-2"/>
        </w:rPr>
        <w:t> </w:t>
      </w:r>
      <w:r>
        <w:rPr/>
        <w:t>website.</w:t>
      </w:r>
    </w:p>
    <w:p>
      <w:pPr>
        <w:pStyle w:val="Heading3"/>
        <w:spacing w:before="255"/>
      </w:pPr>
      <w:r>
        <w:rPr>
          <w:color w:val="BE2195"/>
        </w:rPr>
        <w:t>Protected</w:t>
      </w:r>
      <w:r>
        <w:rPr>
          <w:color w:val="BE2195"/>
          <w:spacing w:val="-15"/>
        </w:rPr>
        <w:t> </w:t>
      </w:r>
      <w:r>
        <w:rPr>
          <w:color w:val="BE2195"/>
          <w:spacing w:val="-2"/>
        </w:rPr>
        <w:t>Disclosures</w:t>
      </w:r>
    </w:p>
    <w:p>
      <w:pPr>
        <w:pStyle w:val="BodyText"/>
        <w:spacing w:before="105"/>
        <w:ind w:left="1702" w:right="1080"/>
      </w:pPr>
      <w:r>
        <w:rPr/>
        <w:t>In</w:t>
      </w:r>
      <w:r>
        <w:rPr>
          <w:spacing w:val="-5"/>
        </w:rPr>
        <w:t> </w:t>
      </w:r>
      <w:r>
        <w:rPr/>
        <w:t>line</w:t>
      </w:r>
      <w:r>
        <w:rPr>
          <w:spacing w:val="-5"/>
        </w:rPr>
        <w:t> </w:t>
      </w:r>
      <w:r>
        <w:rPr/>
        <w:t>with</w:t>
      </w:r>
      <w:r>
        <w:rPr>
          <w:spacing w:val="-5"/>
        </w:rPr>
        <w:t> </w:t>
      </w:r>
      <w:r>
        <w:rPr/>
        <w:t>the</w:t>
      </w:r>
      <w:r>
        <w:rPr>
          <w:spacing w:val="-5"/>
        </w:rPr>
        <w:t> </w:t>
      </w:r>
      <w:r>
        <w:rPr/>
        <w:t>reporting</w:t>
      </w:r>
      <w:r>
        <w:rPr>
          <w:spacing w:val="-5"/>
        </w:rPr>
        <w:t> </w:t>
      </w:r>
      <w:r>
        <w:rPr/>
        <w:t>requirements,</w:t>
      </w:r>
      <w:r>
        <w:rPr>
          <w:spacing w:val="-4"/>
        </w:rPr>
        <w:t> </w:t>
      </w:r>
      <w:r>
        <w:rPr/>
        <w:t>the</w:t>
      </w:r>
      <w:r>
        <w:rPr>
          <w:spacing w:val="-2"/>
        </w:rPr>
        <w:t> </w:t>
      </w:r>
      <w:r>
        <w:rPr/>
        <w:t>NDA</w:t>
      </w:r>
      <w:r>
        <w:rPr>
          <w:spacing w:val="-3"/>
        </w:rPr>
        <w:t> </w:t>
      </w:r>
      <w:r>
        <w:rPr/>
        <w:t>confirms</w:t>
      </w:r>
      <w:r>
        <w:rPr>
          <w:spacing w:val="-4"/>
        </w:rPr>
        <w:t> </w:t>
      </w:r>
      <w:r>
        <w:rPr/>
        <w:t>that</w:t>
      </w:r>
      <w:r>
        <w:rPr>
          <w:spacing w:val="-3"/>
        </w:rPr>
        <w:t> </w:t>
      </w:r>
      <w:r>
        <w:rPr/>
        <w:t>no protected disclosure reports were received in 2017.</w:t>
      </w:r>
    </w:p>
    <w:p>
      <w:pPr>
        <w:pStyle w:val="BodyText"/>
        <w:spacing w:after="0"/>
        <w:sectPr>
          <w:pgSz w:w="11910" w:h="16850"/>
          <w:pgMar w:header="0" w:footer="811" w:top="1900" w:bottom="1000" w:left="283" w:right="992"/>
        </w:sectPr>
      </w:pPr>
    </w:p>
    <w:p>
      <w:pPr>
        <w:pStyle w:val="Heading2"/>
        <w:ind w:left="0" w:right="50"/>
        <w:jc w:val="center"/>
      </w:pPr>
      <w:bookmarkStart w:name="_bookmark5" w:id="6"/>
      <w:bookmarkEnd w:id="6"/>
      <w:r>
        <w:rPr>
          <w:b w:val="0"/>
        </w:rPr>
      </w:r>
      <w:r>
        <w:rPr>
          <w:color w:val="BE2195"/>
        </w:rPr>
        <w:t>Financial</w:t>
      </w:r>
      <w:r>
        <w:rPr>
          <w:color w:val="BE2195"/>
          <w:spacing w:val="-28"/>
        </w:rPr>
        <w:t> </w:t>
      </w:r>
      <w:r>
        <w:rPr>
          <w:color w:val="BE2195"/>
        </w:rPr>
        <w:t>Statements</w:t>
      </w:r>
      <w:r>
        <w:rPr>
          <w:color w:val="BE2195"/>
          <w:spacing w:val="-26"/>
        </w:rPr>
        <w:t> </w:t>
      </w:r>
      <w:r>
        <w:rPr>
          <w:color w:val="BE2195"/>
          <w:spacing w:val="-4"/>
        </w:rPr>
        <w:t>2017</w:t>
      </w:r>
    </w:p>
    <w:p>
      <w:pPr>
        <w:pStyle w:val="Heading2"/>
        <w:spacing w:after="0"/>
        <w:jc w:val="center"/>
        <w:sectPr>
          <w:pgSz w:w="11910" w:h="16850"/>
          <w:pgMar w:header="0" w:footer="811" w:top="1880" w:bottom="1000" w:left="283" w:right="992"/>
        </w:sectPr>
      </w:pPr>
    </w:p>
    <w:p>
      <w:pPr>
        <w:pStyle w:val="Heading2"/>
      </w:pPr>
      <w:bookmarkStart w:name="_bookmark6" w:id="7"/>
      <w:bookmarkEnd w:id="7"/>
      <w:r>
        <w:rPr>
          <w:b w:val="0"/>
        </w:rPr>
      </w:r>
      <w:r>
        <w:rPr>
          <w:color w:val="BE2195"/>
          <w:spacing w:val="-2"/>
        </w:rPr>
        <w:t>Financial</w:t>
      </w:r>
      <w:r>
        <w:rPr>
          <w:color w:val="BE2195"/>
          <w:spacing w:val="-32"/>
        </w:rPr>
        <w:t> </w:t>
      </w:r>
      <w:r>
        <w:rPr>
          <w:color w:val="BE2195"/>
          <w:spacing w:val="-2"/>
        </w:rPr>
        <w:t>Statements</w:t>
      </w:r>
      <w:r>
        <w:rPr>
          <w:color w:val="BE2195"/>
          <w:spacing w:val="-21"/>
        </w:rPr>
        <w:t> </w:t>
      </w:r>
      <w:r>
        <w:rPr>
          <w:color w:val="BE2195"/>
          <w:spacing w:val="-2"/>
        </w:rPr>
        <w:t>for</w:t>
      </w:r>
      <w:r>
        <w:rPr>
          <w:color w:val="BE2195"/>
          <w:spacing w:val="-72"/>
        </w:rPr>
        <w:t> </w:t>
      </w:r>
      <w:r>
        <w:rPr>
          <w:color w:val="BE2195"/>
          <w:spacing w:val="-2"/>
        </w:rPr>
        <w:t>Year </w:t>
      </w:r>
      <w:r>
        <w:rPr>
          <w:color w:val="BE2195"/>
        </w:rPr>
        <w:t>ended 31 December 2017</w:t>
      </w:r>
    </w:p>
    <w:p>
      <w:pPr>
        <w:spacing w:before="422"/>
        <w:ind w:left="1702" w:right="0" w:firstLine="0"/>
        <w:jc w:val="left"/>
        <w:rPr>
          <w:b/>
          <w:sz w:val="24"/>
        </w:rPr>
      </w:pPr>
      <w:r>
        <w:rPr>
          <w:b/>
          <w:sz w:val="24"/>
        </w:rPr>
        <w:t>National</w:t>
      </w:r>
      <w:r>
        <w:rPr>
          <w:b/>
          <w:spacing w:val="-2"/>
          <w:sz w:val="24"/>
        </w:rPr>
        <w:t> </w:t>
      </w:r>
      <w:r>
        <w:rPr>
          <w:b/>
          <w:sz w:val="24"/>
        </w:rPr>
        <w:t>Disability</w:t>
      </w:r>
      <w:r>
        <w:rPr>
          <w:b/>
          <w:spacing w:val="-2"/>
          <w:sz w:val="24"/>
        </w:rPr>
        <w:t> Authority</w:t>
      </w:r>
    </w:p>
    <w:p>
      <w:pPr>
        <w:pStyle w:val="BodyText"/>
        <w:rPr>
          <w:b/>
          <w:sz w:val="24"/>
        </w:rPr>
      </w:pPr>
    </w:p>
    <w:p>
      <w:pPr>
        <w:spacing w:before="0"/>
        <w:ind w:left="1702" w:right="0" w:firstLine="0"/>
        <w:jc w:val="left"/>
        <w:rPr>
          <w:b/>
          <w:sz w:val="24"/>
        </w:rPr>
      </w:pPr>
      <w:r>
        <w:rPr>
          <w:b/>
          <w:sz w:val="24"/>
        </w:rPr>
        <w:t>Governance</w:t>
      </w:r>
      <w:r>
        <w:rPr>
          <w:b/>
          <w:spacing w:val="-2"/>
          <w:sz w:val="24"/>
        </w:rPr>
        <w:t> </w:t>
      </w:r>
      <w:r>
        <w:rPr>
          <w:b/>
          <w:sz w:val="24"/>
        </w:rPr>
        <w:t>Statement</w:t>
      </w:r>
      <w:r>
        <w:rPr>
          <w:b/>
          <w:spacing w:val="-1"/>
          <w:sz w:val="24"/>
        </w:rPr>
        <w:t> </w:t>
      </w:r>
      <w:r>
        <w:rPr>
          <w:b/>
          <w:sz w:val="24"/>
        </w:rPr>
        <w:t>and</w:t>
      </w:r>
      <w:r>
        <w:rPr>
          <w:b/>
          <w:spacing w:val="-3"/>
          <w:sz w:val="24"/>
        </w:rPr>
        <w:t> </w:t>
      </w:r>
      <w:r>
        <w:rPr>
          <w:b/>
          <w:sz w:val="24"/>
        </w:rPr>
        <w:t>Authority</w:t>
      </w:r>
      <w:r>
        <w:rPr>
          <w:b/>
          <w:spacing w:val="-1"/>
          <w:sz w:val="24"/>
        </w:rPr>
        <w:t> </w:t>
      </w:r>
      <w:r>
        <w:rPr>
          <w:b/>
          <w:sz w:val="24"/>
        </w:rPr>
        <w:t>Members’</w:t>
      </w:r>
      <w:r>
        <w:rPr>
          <w:b/>
          <w:spacing w:val="-2"/>
          <w:sz w:val="24"/>
        </w:rPr>
        <w:t> Report</w:t>
      </w:r>
    </w:p>
    <w:p>
      <w:pPr>
        <w:spacing w:before="1"/>
        <w:ind w:left="1702" w:right="0" w:firstLine="0"/>
        <w:jc w:val="left"/>
        <w:rPr>
          <w:sz w:val="24"/>
        </w:rPr>
      </w:pPr>
      <w:r>
        <w:rPr>
          <w:sz w:val="24"/>
        </w:rPr>
        <w:t>For the year</w:t>
      </w:r>
      <w:r>
        <w:rPr>
          <w:spacing w:val="-1"/>
          <w:sz w:val="24"/>
        </w:rPr>
        <w:t> </w:t>
      </w:r>
      <w:r>
        <w:rPr>
          <w:sz w:val="24"/>
        </w:rPr>
        <w:t>ended 31</w:t>
      </w:r>
      <w:r>
        <w:rPr>
          <w:spacing w:val="-1"/>
          <w:sz w:val="24"/>
        </w:rPr>
        <w:t> </w:t>
      </w:r>
      <w:r>
        <w:rPr>
          <w:sz w:val="24"/>
        </w:rPr>
        <w:t>December </w:t>
      </w:r>
      <w:r>
        <w:rPr>
          <w:spacing w:val="-4"/>
          <w:sz w:val="24"/>
        </w:rPr>
        <w:t>2017</w:t>
      </w:r>
    </w:p>
    <w:p>
      <w:pPr>
        <w:pStyle w:val="BodyText"/>
        <w:rPr>
          <w:sz w:val="24"/>
        </w:rPr>
      </w:pPr>
    </w:p>
    <w:p>
      <w:pPr>
        <w:spacing w:before="0"/>
        <w:ind w:left="1702" w:right="0" w:firstLine="0"/>
        <w:jc w:val="left"/>
        <w:rPr>
          <w:b/>
          <w:sz w:val="24"/>
        </w:rPr>
      </w:pPr>
      <w:r>
        <w:rPr>
          <w:b/>
          <w:spacing w:val="-2"/>
          <w:sz w:val="24"/>
        </w:rPr>
        <w:t>Governance</w:t>
      </w:r>
    </w:p>
    <w:p>
      <w:pPr>
        <w:spacing w:before="276"/>
        <w:ind w:left="1702" w:right="988" w:firstLine="0"/>
        <w:jc w:val="both"/>
        <w:rPr>
          <w:sz w:val="24"/>
        </w:rPr>
      </w:pPr>
      <w:r>
        <w:rPr>
          <w:sz w:val="24"/>
        </w:rPr>
        <w:t>The National Disability Authority (NDA) was established under the National Disability</w:t>
      </w:r>
      <w:r>
        <w:rPr>
          <w:spacing w:val="-17"/>
          <w:sz w:val="24"/>
        </w:rPr>
        <w:t> </w:t>
      </w:r>
      <w:r>
        <w:rPr>
          <w:sz w:val="24"/>
        </w:rPr>
        <w:t>Authority</w:t>
      </w:r>
      <w:r>
        <w:rPr>
          <w:spacing w:val="-17"/>
          <w:sz w:val="24"/>
        </w:rPr>
        <w:t> </w:t>
      </w:r>
      <w:r>
        <w:rPr>
          <w:sz w:val="24"/>
        </w:rPr>
        <w:t>Act</w:t>
      </w:r>
      <w:r>
        <w:rPr>
          <w:spacing w:val="-16"/>
          <w:sz w:val="24"/>
        </w:rPr>
        <w:t> </w:t>
      </w:r>
      <w:r>
        <w:rPr>
          <w:sz w:val="24"/>
        </w:rPr>
        <w:t>1999.</w:t>
      </w:r>
      <w:r>
        <w:rPr>
          <w:spacing w:val="-17"/>
          <w:sz w:val="24"/>
        </w:rPr>
        <w:t> </w:t>
      </w:r>
      <w:r>
        <w:rPr>
          <w:sz w:val="24"/>
        </w:rPr>
        <w:t>The</w:t>
      </w:r>
      <w:r>
        <w:rPr>
          <w:spacing w:val="-16"/>
          <w:sz w:val="24"/>
        </w:rPr>
        <w:t> </w:t>
      </w:r>
      <w:r>
        <w:rPr>
          <w:sz w:val="24"/>
        </w:rPr>
        <w:t>functions</w:t>
      </w:r>
      <w:r>
        <w:rPr>
          <w:spacing w:val="-17"/>
          <w:sz w:val="24"/>
        </w:rPr>
        <w:t> </w:t>
      </w:r>
      <w:r>
        <w:rPr>
          <w:sz w:val="24"/>
        </w:rPr>
        <w:t>of</w:t>
      </w:r>
      <w:r>
        <w:rPr>
          <w:spacing w:val="-15"/>
          <w:sz w:val="24"/>
        </w:rPr>
        <w:t> </w:t>
      </w:r>
      <w:r>
        <w:rPr>
          <w:sz w:val="24"/>
        </w:rPr>
        <w:t>the</w:t>
      </w:r>
      <w:r>
        <w:rPr>
          <w:spacing w:val="-16"/>
          <w:sz w:val="24"/>
        </w:rPr>
        <w:t> </w:t>
      </w:r>
      <w:r>
        <w:rPr>
          <w:sz w:val="24"/>
        </w:rPr>
        <w:t>Authority</w:t>
      </w:r>
      <w:r>
        <w:rPr>
          <w:spacing w:val="-16"/>
          <w:sz w:val="24"/>
        </w:rPr>
        <w:t> </w:t>
      </w:r>
      <w:r>
        <w:rPr>
          <w:sz w:val="24"/>
        </w:rPr>
        <w:t>are</w:t>
      </w:r>
      <w:r>
        <w:rPr>
          <w:spacing w:val="-16"/>
          <w:sz w:val="24"/>
        </w:rPr>
        <w:t> </w:t>
      </w:r>
      <w:r>
        <w:rPr>
          <w:sz w:val="24"/>
        </w:rPr>
        <w:t>set</w:t>
      </w:r>
      <w:r>
        <w:rPr>
          <w:spacing w:val="-17"/>
          <w:sz w:val="24"/>
        </w:rPr>
        <w:t> </w:t>
      </w:r>
      <w:r>
        <w:rPr>
          <w:sz w:val="24"/>
        </w:rPr>
        <w:t>out</w:t>
      </w:r>
      <w:r>
        <w:rPr>
          <w:spacing w:val="-17"/>
          <w:sz w:val="24"/>
        </w:rPr>
        <w:t> </w:t>
      </w:r>
      <w:r>
        <w:rPr>
          <w:sz w:val="24"/>
        </w:rPr>
        <w:t>in</w:t>
      </w:r>
      <w:r>
        <w:rPr>
          <w:spacing w:val="-14"/>
          <w:sz w:val="24"/>
        </w:rPr>
        <w:t> </w:t>
      </w:r>
      <w:r>
        <w:rPr>
          <w:sz w:val="24"/>
        </w:rPr>
        <w:t>Section 8</w:t>
      </w:r>
      <w:r>
        <w:rPr>
          <w:spacing w:val="-1"/>
          <w:sz w:val="24"/>
        </w:rPr>
        <w:t> </w:t>
      </w:r>
      <w:r>
        <w:rPr>
          <w:sz w:val="24"/>
        </w:rPr>
        <w:t>of</w:t>
      </w:r>
      <w:r>
        <w:rPr>
          <w:spacing w:val="-1"/>
          <w:sz w:val="24"/>
        </w:rPr>
        <w:t> </w:t>
      </w:r>
      <w:r>
        <w:rPr>
          <w:sz w:val="24"/>
        </w:rPr>
        <w:t>the</w:t>
      </w:r>
      <w:r>
        <w:rPr>
          <w:spacing w:val="-3"/>
          <w:sz w:val="24"/>
        </w:rPr>
        <w:t> </w:t>
      </w:r>
      <w:r>
        <w:rPr>
          <w:sz w:val="24"/>
        </w:rPr>
        <w:t>Act.</w:t>
      </w:r>
      <w:r>
        <w:rPr>
          <w:spacing w:val="-1"/>
          <w:sz w:val="24"/>
        </w:rPr>
        <w:t> </w:t>
      </w:r>
      <w:r>
        <w:rPr>
          <w:sz w:val="24"/>
        </w:rPr>
        <w:t>The</w:t>
      </w:r>
      <w:r>
        <w:rPr>
          <w:spacing w:val="-3"/>
          <w:sz w:val="24"/>
        </w:rPr>
        <w:t> </w:t>
      </w:r>
      <w:r>
        <w:rPr>
          <w:sz w:val="24"/>
        </w:rPr>
        <w:t>Authority</w:t>
      </w:r>
      <w:r>
        <w:rPr>
          <w:spacing w:val="-1"/>
          <w:sz w:val="24"/>
        </w:rPr>
        <w:t> </w:t>
      </w:r>
      <w:r>
        <w:rPr>
          <w:sz w:val="24"/>
        </w:rPr>
        <w:t>is</w:t>
      </w:r>
      <w:r>
        <w:rPr>
          <w:spacing w:val="-2"/>
          <w:sz w:val="24"/>
        </w:rPr>
        <w:t> </w:t>
      </w:r>
      <w:r>
        <w:rPr>
          <w:sz w:val="24"/>
        </w:rPr>
        <w:t>accountable</w:t>
      </w:r>
      <w:r>
        <w:rPr>
          <w:spacing w:val="-3"/>
          <w:sz w:val="24"/>
        </w:rPr>
        <w:t> </w:t>
      </w:r>
      <w:r>
        <w:rPr>
          <w:sz w:val="24"/>
        </w:rPr>
        <w:t>to</w:t>
      </w:r>
      <w:r>
        <w:rPr>
          <w:spacing w:val="-2"/>
          <w:sz w:val="24"/>
        </w:rPr>
        <w:t> </w:t>
      </w:r>
      <w:r>
        <w:rPr>
          <w:sz w:val="24"/>
        </w:rPr>
        <w:t>the</w:t>
      </w:r>
      <w:r>
        <w:rPr>
          <w:spacing w:val="-3"/>
          <w:sz w:val="24"/>
        </w:rPr>
        <w:t> </w:t>
      </w:r>
      <w:r>
        <w:rPr>
          <w:sz w:val="24"/>
        </w:rPr>
        <w:t>Minister for Justice</w:t>
      </w:r>
      <w:r>
        <w:rPr>
          <w:spacing w:val="-3"/>
          <w:sz w:val="24"/>
        </w:rPr>
        <w:t> </w:t>
      </w:r>
      <w:r>
        <w:rPr>
          <w:sz w:val="24"/>
        </w:rPr>
        <w:t>and Equality and</w:t>
      </w:r>
      <w:r>
        <w:rPr>
          <w:spacing w:val="-2"/>
          <w:sz w:val="24"/>
        </w:rPr>
        <w:t> </w:t>
      </w:r>
      <w:r>
        <w:rPr>
          <w:sz w:val="24"/>
        </w:rPr>
        <w:t>is</w:t>
      </w:r>
      <w:r>
        <w:rPr>
          <w:spacing w:val="-4"/>
          <w:sz w:val="24"/>
        </w:rPr>
        <w:t> </w:t>
      </w:r>
      <w:r>
        <w:rPr>
          <w:sz w:val="24"/>
        </w:rPr>
        <w:t>responsible</w:t>
      </w:r>
      <w:r>
        <w:rPr>
          <w:spacing w:val="-3"/>
          <w:sz w:val="24"/>
        </w:rPr>
        <w:t> </w:t>
      </w:r>
      <w:r>
        <w:rPr>
          <w:sz w:val="24"/>
        </w:rPr>
        <w:t>for</w:t>
      </w:r>
      <w:r>
        <w:rPr>
          <w:spacing w:val="-5"/>
          <w:sz w:val="24"/>
        </w:rPr>
        <w:t> </w:t>
      </w:r>
      <w:r>
        <w:rPr>
          <w:sz w:val="24"/>
        </w:rPr>
        <w:t>ensuring</w:t>
      </w:r>
      <w:r>
        <w:rPr>
          <w:spacing w:val="-3"/>
          <w:sz w:val="24"/>
        </w:rPr>
        <w:t> </w:t>
      </w:r>
      <w:r>
        <w:rPr>
          <w:sz w:val="24"/>
        </w:rPr>
        <w:t>good</w:t>
      </w:r>
      <w:r>
        <w:rPr>
          <w:spacing w:val="-5"/>
          <w:sz w:val="24"/>
        </w:rPr>
        <w:t> </w:t>
      </w:r>
      <w:r>
        <w:rPr>
          <w:sz w:val="24"/>
        </w:rPr>
        <w:t>governance</w:t>
      </w:r>
      <w:r>
        <w:rPr>
          <w:spacing w:val="-5"/>
          <w:sz w:val="24"/>
        </w:rPr>
        <w:t> </w:t>
      </w:r>
      <w:r>
        <w:rPr>
          <w:sz w:val="24"/>
        </w:rPr>
        <w:t>and</w:t>
      </w:r>
      <w:r>
        <w:rPr>
          <w:spacing w:val="-2"/>
          <w:sz w:val="24"/>
        </w:rPr>
        <w:t> </w:t>
      </w:r>
      <w:r>
        <w:rPr>
          <w:sz w:val="24"/>
        </w:rPr>
        <w:t>performs</w:t>
      </w:r>
      <w:r>
        <w:rPr>
          <w:spacing w:val="-5"/>
          <w:sz w:val="24"/>
        </w:rPr>
        <w:t> </w:t>
      </w:r>
      <w:r>
        <w:rPr>
          <w:sz w:val="24"/>
        </w:rPr>
        <w:t>this</w:t>
      </w:r>
      <w:r>
        <w:rPr>
          <w:spacing w:val="-5"/>
          <w:sz w:val="24"/>
        </w:rPr>
        <w:t> </w:t>
      </w:r>
      <w:r>
        <w:rPr>
          <w:sz w:val="24"/>
        </w:rPr>
        <w:t>task</w:t>
      </w:r>
      <w:r>
        <w:rPr>
          <w:spacing w:val="-3"/>
          <w:sz w:val="24"/>
        </w:rPr>
        <w:t> </w:t>
      </w:r>
      <w:r>
        <w:rPr>
          <w:sz w:val="24"/>
        </w:rPr>
        <w:t>by</w:t>
      </w:r>
      <w:r>
        <w:rPr>
          <w:spacing w:val="-3"/>
          <w:sz w:val="24"/>
        </w:rPr>
        <w:t> </w:t>
      </w:r>
      <w:r>
        <w:rPr>
          <w:sz w:val="24"/>
        </w:rPr>
        <w:t>setting strategic objectives and targets and taking strategic decisions on all key business </w:t>
      </w:r>
      <w:r>
        <w:rPr>
          <w:spacing w:val="-2"/>
          <w:sz w:val="24"/>
        </w:rPr>
        <w:t>issues.</w:t>
      </w:r>
    </w:p>
    <w:p>
      <w:pPr>
        <w:pStyle w:val="BodyText"/>
        <w:spacing w:before="1"/>
        <w:rPr>
          <w:sz w:val="24"/>
        </w:rPr>
      </w:pPr>
    </w:p>
    <w:p>
      <w:pPr>
        <w:spacing w:before="0"/>
        <w:ind w:left="1702" w:right="988" w:firstLine="0"/>
        <w:jc w:val="both"/>
        <w:rPr>
          <w:sz w:val="24"/>
        </w:rPr>
      </w:pPr>
      <w:r>
        <w:rPr>
          <w:sz w:val="24"/>
        </w:rPr>
        <w:t>The regular day-to-day management, control and direction of the National Disability Authority are the responsibility of the Director and the senior management group. The</w:t>
      </w:r>
      <w:r>
        <w:rPr>
          <w:spacing w:val="-1"/>
          <w:sz w:val="24"/>
        </w:rPr>
        <w:t> </w:t>
      </w:r>
      <w:r>
        <w:rPr>
          <w:sz w:val="24"/>
        </w:rPr>
        <w:t>Director and the senior</w:t>
      </w:r>
      <w:r>
        <w:rPr>
          <w:spacing w:val="-2"/>
          <w:sz w:val="24"/>
        </w:rPr>
        <w:t> </w:t>
      </w:r>
      <w:r>
        <w:rPr>
          <w:sz w:val="24"/>
        </w:rPr>
        <w:t>management group must follow the broad strategic direction set by the Authority, and must ensure that all Authority members have a clear understanding of the key activities and decisions related to the entity, and of any significant risks likely to arise. The Director acts as a direct liaison between the Authority and management of the National Disability Authority.</w:t>
      </w:r>
    </w:p>
    <w:p>
      <w:pPr>
        <w:pStyle w:val="BodyText"/>
        <w:spacing w:before="1"/>
        <w:rPr>
          <w:sz w:val="24"/>
        </w:rPr>
      </w:pPr>
    </w:p>
    <w:p>
      <w:pPr>
        <w:spacing w:before="0"/>
        <w:ind w:left="1702" w:right="0" w:firstLine="0"/>
        <w:jc w:val="both"/>
        <w:rPr>
          <w:b/>
          <w:sz w:val="24"/>
        </w:rPr>
      </w:pPr>
      <w:r>
        <w:rPr>
          <w:b/>
          <w:sz w:val="24"/>
        </w:rPr>
        <w:t>Responsibilities</w:t>
      </w:r>
      <w:r>
        <w:rPr>
          <w:b/>
          <w:spacing w:val="-4"/>
          <w:sz w:val="24"/>
        </w:rPr>
        <w:t> </w:t>
      </w:r>
      <w:r>
        <w:rPr>
          <w:b/>
          <w:sz w:val="24"/>
        </w:rPr>
        <w:t>of</w:t>
      </w:r>
      <w:r>
        <w:rPr>
          <w:b/>
          <w:spacing w:val="-2"/>
          <w:sz w:val="24"/>
        </w:rPr>
        <w:t> </w:t>
      </w:r>
      <w:r>
        <w:rPr>
          <w:b/>
          <w:sz w:val="24"/>
        </w:rPr>
        <w:t>the</w:t>
      </w:r>
      <w:r>
        <w:rPr>
          <w:b/>
          <w:spacing w:val="-2"/>
          <w:sz w:val="24"/>
        </w:rPr>
        <w:t> </w:t>
      </w:r>
      <w:r>
        <w:rPr>
          <w:b/>
          <w:sz w:val="24"/>
        </w:rPr>
        <w:t>members</w:t>
      </w:r>
      <w:r>
        <w:rPr>
          <w:b/>
          <w:spacing w:val="-1"/>
          <w:sz w:val="24"/>
        </w:rPr>
        <w:t> </w:t>
      </w:r>
      <w:r>
        <w:rPr>
          <w:b/>
          <w:sz w:val="24"/>
        </w:rPr>
        <w:t>of</w:t>
      </w:r>
      <w:r>
        <w:rPr>
          <w:b/>
          <w:spacing w:val="-2"/>
          <w:sz w:val="24"/>
        </w:rPr>
        <w:t> </w:t>
      </w:r>
      <w:r>
        <w:rPr>
          <w:b/>
          <w:sz w:val="24"/>
        </w:rPr>
        <w:t>the</w:t>
      </w:r>
      <w:r>
        <w:rPr>
          <w:b/>
          <w:spacing w:val="-2"/>
          <w:sz w:val="24"/>
        </w:rPr>
        <w:t> Authority</w:t>
      </w:r>
    </w:p>
    <w:p>
      <w:pPr>
        <w:pStyle w:val="BodyText"/>
        <w:spacing w:before="1"/>
        <w:rPr>
          <w:b/>
          <w:sz w:val="24"/>
        </w:rPr>
      </w:pPr>
    </w:p>
    <w:p>
      <w:pPr>
        <w:spacing w:before="0"/>
        <w:ind w:left="1702" w:right="990" w:firstLine="0"/>
        <w:jc w:val="both"/>
        <w:rPr>
          <w:sz w:val="24"/>
        </w:rPr>
      </w:pPr>
      <w:r>
        <w:rPr>
          <w:sz w:val="24"/>
        </w:rPr>
        <w:t>The</w:t>
      </w:r>
      <w:r>
        <w:rPr>
          <w:spacing w:val="-17"/>
          <w:sz w:val="24"/>
        </w:rPr>
        <w:t> </w:t>
      </w:r>
      <w:r>
        <w:rPr>
          <w:sz w:val="24"/>
        </w:rPr>
        <w:t>work</w:t>
      </w:r>
      <w:r>
        <w:rPr>
          <w:spacing w:val="-17"/>
          <w:sz w:val="24"/>
        </w:rPr>
        <w:t> </w:t>
      </w:r>
      <w:r>
        <w:rPr>
          <w:sz w:val="24"/>
        </w:rPr>
        <w:t>and</w:t>
      </w:r>
      <w:r>
        <w:rPr>
          <w:spacing w:val="-16"/>
          <w:sz w:val="24"/>
        </w:rPr>
        <w:t> </w:t>
      </w:r>
      <w:r>
        <w:rPr>
          <w:sz w:val="24"/>
        </w:rPr>
        <w:t>responsibilities</w:t>
      </w:r>
      <w:r>
        <w:rPr>
          <w:spacing w:val="-17"/>
          <w:sz w:val="24"/>
        </w:rPr>
        <w:t> </w:t>
      </w:r>
      <w:r>
        <w:rPr>
          <w:sz w:val="24"/>
        </w:rPr>
        <w:t>of</w:t>
      </w:r>
      <w:r>
        <w:rPr>
          <w:spacing w:val="-17"/>
          <w:sz w:val="24"/>
        </w:rPr>
        <w:t> </w:t>
      </w:r>
      <w:r>
        <w:rPr>
          <w:sz w:val="24"/>
        </w:rPr>
        <w:t>the</w:t>
      </w:r>
      <w:r>
        <w:rPr>
          <w:spacing w:val="-17"/>
          <w:sz w:val="24"/>
        </w:rPr>
        <w:t> </w:t>
      </w:r>
      <w:r>
        <w:rPr>
          <w:sz w:val="24"/>
        </w:rPr>
        <w:t>Authority</w:t>
      </w:r>
      <w:r>
        <w:rPr>
          <w:spacing w:val="-16"/>
          <w:sz w:val="24"/>
        </w:rPr>
        <w:t> </w:t>
      </w:r>
      <w:r>
        <w:rPr>
          <w:sz w:val="24"/>
        </w:rPr>
        <w:t>are</w:t>
      </w:r>
      <w:r>
        <w:rPr>
          <w:spacing w:val="-17"/>
          <w:sz w:val="24"/>
        </w:rPr>
        <w:t> </w:t>
      </w:r>
      <w:r>
        <w:rPr>
          <w:sz w:val="24"/>
        </w:rPr>
        <w:t>set</w:t>
      </w:r>
      <w:r>
        <w:rPr>
          <w:spacing w:val="-17"/>
          <w:sz w:val="24"/>
        </w:rPr>
        <w:t> </w:t>
      </w:r>
      <w:r>
        <w:rPr>
          <w:sz w:val="24"/>
        </w:rPr>
        <w:t>out</w:t>
      </w:r>
      <w:r>
        <w:rPr>
          <w:spacing w:val="-16"/>
          <w:sz w:val="24"/>
        </w:rPr>
        <w:t> </w:t>
      </w:r>
      <w:r>
        <w:rPr>
          <w:sz w:val="24"/>
        </w:rPr>
        <w:t>in</w:t>
      </w:r>
      <w:r>
        <w:rPr>
          <w:spacing w:val="-17"/>
          <w:sz w:val="24"/>
        </w:rPr>
        <w:t> </w:t>
      </w:r>
      <w:r>
        <w:rPr>
          <w:sz w:val="24"/>
        </w:rPr>
        <w:t>the</w:t>
      </w:r>
      <w:r>
        <w:rPr>
          <w:spacing w:val="-17"/>
          <w:sz w:val="24"/>
        </w:rPr>
        <w:t> </w:t>
      </w:r>
      <w:r>
        <w:rPr>
          <w:sz w:val="24"/>
        </w:rPr>
        <w:t>National</w:t>
      </w:r>
      <w:r>
        <w:rPr>
          <w:spacing w:val="-16"/>
          <w:sz w:val="24"/>
        </w:rPr>
        <w:t> </w:t>
      </w:r>
      <w:r>
        <w:rPr>
          <w:sz w:val="24"/>
        </w:rPr>
        <w:t>Disability Authority</w:t>
      </w:r>
      <w:r>
        <w:rPr>
          <w:spacing w:val="-14"/>
          <w:sz w:val="24"/>
        </w:rPr>
        <w:t> </w:t>
      </w:r>
      <w:r>
        <w:rPr>
          <w:sz w:val="24"/>
        </w:rPr>
        <w:t>Act</w:t>
      </w:r>
      <w:r>
        <w:rPr>
          <w:spacing w:val="-14"/>
          <w:sz w:val="24"/>
        </w:rPr>
        <w:t> </w:t>
      </w:r>
      <w:r>
        <w:rPr>
          <w:sz w:val="24"/>
        </w:rPr>
        <w:t>1999</w:t>
      </w:r>
      <w:r>
        <w:rPr>
          <w:spacing w:val="-14"/>
          <w:sz w:val="24"/>
        </w:rPr>
        <w:t> </w:t>
      </w:r>
      <w:r>
        <w:rPr>
          <w:sz w:val="24"/>
        </w:rPr>
        <w:t>&amp;</w:t>
      </w:r>
      <w:r>
        <w:rPr>
          <w:spacing w:val="-13"/>
          <w:sz w:val="24"/>
        </w:rPr>
        <w:t> </w:t>
      </w:r>
      <w:r>
        <w:rPr>
          <w:sz w:val="24"/>
        </w:rPr>
        <w:t>the</w:t>
      </w:r>
      <w:r>
        <w:rPr>
          <w:spacing w:val="-14"/>
          <w:sz w:val="24"/>
        </w:rPr>
        <w:t> </w:t>
      </w:r>
      <w:r>
        <w:rPr>
          <w:sz w:val="24"/>
        </w:rPr>
        <w:t>Disability</w:t>
      </w:r>
      <w:r>
        <w:rPr>
          <w:spacing w:val="-14"/>
          <w:sz w:val="24"/>
        </w:rPr>
        <w:t> </w:t>
      </w:r>
      <w:r>
        <w:rPr>
          <w:sz w:val="24"/>
        </w:rPr>
        <w:t>Act</w:t>
      </w:r>
      <w:r>
        <w:rPr>
          <w:spacing w:val="-14"/>
          <w:sz w:val="24"/>
        </w:rPr>
        <w:t> </w:t>
      </w:r>
      <w:r>
        <w:rPr>
          <w:sz w:val="24"/>
        </w:rPr>
        <w:t>2005.</w:t>
      </w:r>
      <w:r>
        <w:rPr>
          <w:spacing w:val="-14"/>
          <w:sz w:val="24"/>
        </w:rPr>
        <w:t> </w:t>
      </w:r>
      <w:r>
        <w:rPr>
          <w:sz w:val="24"/>
        </w:rPr>
        <w:t>The</w:t>
      </w:r>
      <w:r>
        <w:rPr>
          <w:spacing w:val="-14"/>
          <w:sz w:val="24"/>
        </w:rPr>
        <w:t> </w:t>
      </w:r>
      <w:r>
        <w:rPr>
          <w:sz w:val="24"/>
        </w:rPr>
        <w:t>Authority</w:t>
      </w:r>
      <w:r>
        <w:rPr>
          <w:spacing w:val="-14"/>
          <w:sz w:val="24"/>
        </w:rPr>
        <w:t> </w:t>
      </w:r>
      <w:r>
        <w:rPr>
          <w:sz w:val="24"/>
        </w:rPr>
        <w:t>has</w:t>
      </w:r>
      <w:r>
        <w:rPr>
          <w:spacing w:val="-14"/>
          <w:sz w:val="24"/>
        </w:rPr>
        <w:t> </w:t>
      </w:r>
      <w:r>
        <w:rPr>
          <w:sz w:val="24"/>
        </w:rPr>
        <w:t>a</w:t>
      </w:r>
      <w:r>
        <w:rPr>
          <w:spacing w:val="-13"/>
          <w:sz w:val="24"/>
        </w:rPr>
        <w:t> </w:t>
      </w:r>
      <w:r>
        <w:rPr>
          <w:sz w:val="24"/>
        </w:rPr>
        <w:t>formal</w:t>
      </w:r>
      <w:r>
        <w:rPr>
          <w:spacing w:val="-14"/>
          <w:sz w:val="24"/>
        </w:rPr>
        <w:t> </w:t>
      </w:r>
      <w:r>
        <w:rPr>
          <w:sz w:val="24"/>
        </w:rPr>
        <w:t>schedule of</w:t>
      </w:r>
      <w:r>
        <w:rPr>
          <w:spacing w:val="-5"/>
          <w:sz w:val="24"/>
        </w:rPr>
        <w:t> </w:t>
      </w:r>
      <w:r>
        <w:rPr>
          <w:sz w:val="24"/>
        </w:rPr>
        <w:t>matters</w:t>
      </w:r>
      <w:r>
        <w:rPr>
          <w:spacing w:val="-6"/>
          <w:sz w:val="24"/>
        </w:rPr>
        <w:t> </w:t>
      </w:r>
      <w:r>
        <w:rPr>
          <w:sz w:val="24"/>
        </w:rPr>
        <w:t>specifically</w:t>
      </w:r>
      <w:r>
        <w:rPr>
          <w:spacing w:val="-4"/>
          <w:sz w:val="24"/>
        </w:rPr>
        <w:t> </w:t>
      </w:r>
      <w:r>
        <w:rPr>
          <w:sz w:val="24"/>
        </w:rPr>
        <w:t>reserved</w:t>
      </w:r>
      <w:r>
        <w:rPr>
          <w:spacing w:val="-4"/>
          <w:sz w:val="24"/>
        </w:rPr>
        <w:t> </w:t>
      </w:r>
      <w:r>
        <w:rPr>
          <w:sz w:val="24"/>
        </w:rPr>
        <w:t>for</w:t>
      </w:r>
      <w:r>
        <w:rPr>
          <w:spacing w:val="-4"/>
          <w:sz w:val="24"/>
        </w:rPr>
        <w:t> </w:t>
      </w:r>
      <w:r>
        <w:rPr>
          <w:sz w:val="24"/>
        </w:rPr>
        <w:t>it</w:t>
      </w:r>
      <w:r>
        <w:rPr>
          <w:spacing w:val="-5"/>
          <w:sz w:val="24"/>
        </w:rPr>
        <w:t> </w:t>
      </w:r>
      <w:r>
        <w:rPr>
          <w:sz w:val="24"/>
        </w:rPr>
        <w:t>for</w:t>
      </w:r>
      <w:r>
        <w:rPr>
          <w:spacing w:val="-6"/>
          <w:sz w:val="24"/>
        </w:rPr>
        <w:t> </w:t>
      </w:r>
      <w:r>
        <w:rPr>
          <w:sz w:val="24"/>
        </w:rPr>
        <w:t>decision</w:t>
      </w:r>
      <w:r>
        <w:rPr>
          <w:spacing w:val="-5"/>
          <w:sz w:val="24"/>
        </w:rPr>
        <w:t> </w:t>
      </w:r>
      <w:r>
        <w:rPr>
          <w:sz w:val="24"/>
        </w:rPr>
        <w:t>to</w:t>
      </w:r>
      <w:r>
        <w:rPr>
          <w:spacing w:val="-6"/>
          <w:sz w:val="24"/>
        </w:rPr>
        <w:t> </w:t>
      </w:r>
      <w:r>
        <w:rPr>
          <w:sz w:val="24"/>
        </w:rPr>
        <w:t>ensure</w:t>
      </w:r>
      <w:r>
        <w:rPr>
          <w:spacing w:val="-4"/>
          <w:sz w:val="24"/>
        </w:rPr>
        <w:t> </w:t>
      </w:r>
      <w:r>
        <w:rPr>
          <w:sz w:val="24"/>
        </w:rPr>
        <w:t>that</w:t>
      </w:r>
      <w:r>
        <w:rPr>
          <w:spacing w:val="-5"/>
          <w:sz w:val="24"/>
        </w:rPr>
        <w:t> </w:t>
      </w:r>
      <w:r>
        <w:rPr>
          <w:sz w:val="24"/>
        </w:rPr>
        <w:t>the</w:t>
      </w:r>
      <w:r>
        <w:rPr>
          <w:spacing w:val="-5"/>
          <w:sz w:val="24"/>
        </w:rPr>
        <w:t> </w:t>
      </w:r>
      <w:r>
        <w:rPr>
          <w:sz w:val="24"/>
        </w:rPr>
        <w:t>direction</w:t>
      </w:r>
      <w:r>
        <w:rPr>
          <w:spacing w:val="-5"/>
          <w:sz w:val="24"/>
        </w:rPr>
        <w:t> </w:t>
      </w:r>
      <w:r>
        <w:rPr>
          <w:sz w:val="24"/>
        </w:rPr>
        <w:t>and control of the NDA is maintained. This schedule includes the following:</w:t>
      </w:r>
    </w:p>
    <w:p>
      <w:pPr>
        <w:pStyle w:val="ListParagraph"/>
        <w:numPr>
          <w:ilvl w:val="0"/>
          <w:numId w:val="10"/>
        </w:numPr>
        <w:tabs>
          <w:tab w:pos="2469" w:val="left" w:leader="none"/>
        </w:tabs>
        <w:spacing w:line="295" w:lineRule="exact" w:before="0" w:after="0"/>
        <w:ind w:left="2469" w:right="0" w:hanging="359"/>
        <w:jc w:val="both"/>
        <w:rPr>
          <w:sz w:val="24"/>
        </w:rPr>
      </w:pPr>
      <w:r>
        <w:rPr>
          <w:sz w:val="24"/>
        </w:rPr>
        <w:t>significant</w:t>
      </w:r>
      <w:r>
        <w:rPr>
          <w:spacing w:val="-2"/>
          <w:sz w:val="24"/>
        </w:rPr>
        <w:t> </w:t>
      </w:r>
      <w:r>
        <w:rPr>
          <w:sz w:val="24"/>
        </w:rPr>
        <w:t>acquisitions,</w:t>
      </w:r>
      <w:r>
        <w:rPr>
          <w:spacing w:val="-1"/>
          <w:sz w:val="24"/>
        </w:rPr>
        <w:t> </w:t>
      </w:r>
      <w:r>
        <w:rPr>
          <w:sz w:val="24"/>
        </w:rPr>
        <w:t>disposals</w:t>
      </w:r>
      <w:r>
        <w:rPr>
          <w:spacing w:val="-3"/>
          <w:sz w:val="24"/>
        </w:rPr>
        <w:t> </w:t>
      </w:r>
      <w:r>
        <w:rPr>
          <w:sz w:val="24"/>
        </w:rPr>
        <w:t>and</w:t>
      </w:r>
      <w:r>
        <w:rPr>
          <w:spacing w:val="-2"/>
          <w:sz w:val="24"/>
        </w:rPr>
        <w:t> </w:t>
      </w:r>
      <w:r>
        <w:rPr>
          <w:sz w:val="24"/>
        </w:rPr>
        <w:t>retirement</w:t>
      </w:r>
      <w:r>
        <w:rPr>
          <w:spacing w:val="-2"/>
          <w:sz w:val="24"/>
        </w:rPr>
        <w:t> </w:t>
      </w:r>
      <w:r>
        <w:rPr>
          <w:sz w:val="24"/>
        </w:rPr>
        <w:t>of</w:t>
      </w:r>
      <w:r>
        <w:rPr>
          <w:spacing w:val="-2"/>
          <w:sz w:val="24"/>
        </w:rPr>
        <w:t> </w:t>
      </w:r>
      <w:r>
        <w:rPr>
          <w:sz w:val="24"/>
        </w:rPr>
        <w:t>assets</w:t>
      </w:r>
      <w:r>
        <w:rPr>
          <w:spacing w:val="-3"/>
          <w:sz w:val="24"/>
        </w:rPr>
        <w:t> </w:t>
      </w:r>
      <w:r>
        <w:rPr>
          <w:sz w:val="24"/>
        </w:rPr>
        <w:t>of</w:t>
      </w:r>
      <w:r>
        <w:rPr>
          <w:spacing w:val="-2"/>
          <w:sz w:val="24"/>
        </w:rPr>
        <w:t> </w:t>
      </w:r>
      <w:r>
        <w:rPr>
          <w:sz w:val="24"/>
        </w:rPr>
        <w:t>the</w:t>
      </w:r>
      <w:r>
        <w:rPr>
          <w:spacing w:val="-1"/>
          <w:sz w:val="24"/>
        </w:rPr>
        <w:t> </w:t>
      </w:r>
      <w:r>
        <w:rPr>
          <w:spacing w:val="-5"/>
          <w:sz w:val="24"/>
        </w:rPr>
        <w:t>NDA</w:t>
      </w:r>
    </w:p>
    <w:p>
      <w:pPr>
        <w:pStyle w:val="ListParagraph"/>
        <w:numPr>
          <w:ilvl w:val="0"/>
          <w:numId w:val="10"/>
        </w:numPr>
        <w:tabs>
          <w:tab w:pos="2470" w:val="left" w:leader="none"/>
        </w:tabs>
        <w:spacing w:line="240" w:lineRule="auto" w:before="1" w:after="0"/>
        <w:ind w:left="2470" w:right="990" w:hanging="360"/>
        <w:jc w:val="both"/>
        <w:rPr>
          <w:sz w:val="24"/>
        </w:rPr>
      </w:pPr>
      <w:r>
        <w:rPr>
          <w:sz w:val="24"/>
        </w:rPr>
        <w:t>major investments (in excess of €50,000) and capital projects, contracts and investments</w:t>
      </w:r>
    </w:p>
    <w:p>
      <w:pPr>
        <w:pStyle w:val="ListParagraph"/>
        <w:numPr>
          <w:ilvl w:val="0"/>
          <w:numId w:val="10"/>
        </w:numPr>
        <w:tabs>
          <w:tab w:pos="2469" w:val="left" w:leader="none"/>
        </w:tabs>
        <w:spacing w:line="295" w:lineRule="exact" w:before="0" w:after="0"/>
        <w:ind w:left="2469" w:right="0" w:hanging="359"/>
        <w:jc w:val="both"/>
        <w:rPr>
          <w:sz w:val="24"/>
        </w:rPr>
      </w:pPr>
      <w:r>
        <w:rPr>
          <w:sz w:val="24"/>
        </w:rPr>
        <w:t>delegated</w:t>
      </w:r>
      <w:r>
        <w:rPr>
          <w:spacing w:val="-1"/>
          <w:sz w:val="24"/>
        </w:rPr>
        <w:t> </w:t>
      </w:r>
      <w:r>
        <w:rPr>
          <w:sz w:val="24"/>
        </w:rPr>
        <w:t>authority</w:t>
      </w:r>
      <w:r>
        <w:rPr>
          <w:spacing w:val="-2"/>
          <w:sz w:val="24"/>
        </w:rPr>
        <w:t> </w:t>
      </w:r>
      <w:r>
        <w:rPr>
          <w:sz w:val="24"/>
        </w:rPr>
        <w:t>levels</w:t>
      </w:r>
      <w:r>
        <w:rPr>
          <w:spacing w:val="-2"/>
          <w:sz w:val="24"/>
        </w:rPr>
        <w:t> </w:t>
      </w:r>
      <w:r>
        <w:rPr>
          <w:sz w:val="24"/>
        </w:rPr>
        <w:t>and</w:t>
      </w:r>
      <w:r>
        <w:rPr>
          <w:spacing w:val="-1"/>
          <w:sz w:val="24"/>
        </w:rPr>
        <w:t> </w:t>
      </w:r>
      <w:r>
        <w:rPr>
          <w:sz w:val="24"/>
        </w:rPr>
        <w:t>risk</w:t>
      </w:r>
      <w:r>
        <w:rPr>
          <w:spacing w:val="-1"/>
          <w:sz w:val="24"/>
        </w:rPr>
        <w:t> </w:t>
      </w:r>
      <w:r>
        <w:rPr>
          <w:sz w:val="24"/>
        </w:rPr>
        <w:t>management</w:t>
      </w:r>
      <w:r>
        <w:rPr>
          <w:spacing w:val="-2"/>
          <w:sz w:val="24"/>
        </w:rPr>
        <w:t> </w:t>
      </w:r>
      <w:r>
        <w:rPr>
          <w:sz w:val="24"/>
        </w:rPr>
        <w:t>policies</w:t>
      </w:r>
      <w:r>
        <w:rPr>
          <w:spacing w:val="-2"/>
          <w:sz w:val="24"/>
        </w:rPr>
        <w:t> </w:t>
      </w:r>
      <w:r>
        <w:rPr>
          <w:sz w:val="24"/>
        </w:rPr>
        <w:t>(standing</w:t>
      </w:r>
      <w:r>
        <w:rPr>
          <w:spacing w:val="-1"/>
          <w:sz w:val="24"/>
        </w:rPr>
        <w:t> </w:t>
      </w:r>
      <w:r>
        <w:rPr>
          <w:spacing w:val="-2"/>
          <w:sz w:val="24"/>
        </w:rPr>
        <w:t>item)</w:t>
      </w:r>
    </w:p>
    <w:p>
      <w:pPr>
        <w:pStyle w:val="ListParagraph"/>
        <w:numPr>
          <w:ilvl w:val="0"/>
          <w:numId w:val="10"/>
        </w:numPr>
        <w:tabs>
          <w:tab w:pos="2469" w:val="left" w:leader="none"/>
        </w:tabs>
        <w:spacing w:line="240" w:lineRule="auto" w:before="1" w:after="0"/>
        <w:ind w:left="2469" w:right="0" w:hanging="359"/>
        <w:jc w:val="both"/>
        <w:rPr>
          <w:sz w:val="24"/>
        </w:rPr>
      </w:pPr>
      <w:r>
        <w:rPr>
          <w:sz w:val="24"/>
        </w:rPr>
        <w:t>Authority</w:t>
      </w:r>
      <w:r>
        <w:rPr>
          <w:spacing w:val="-1"/>
          <w:sz w:val="24"/>
        </w:rPr>
        <w:t> </w:t>
      </w:r>
      <w:r>
        <w:rPr>
          <w:sz w:val="24"/>
        </w:rPr>
        <w:t>committee</w:t>
      </w:r>
      <w:r>
        <w:rPr>
          <w:spacing w:val="-1"/>
          <w:sz w:val="24"/>
        </w:rPr>
        <w:t> </w:t>
      </w:r>
      <w:r>
        <w:rPr>
          <w:sz w:val="24"/>
        </w:rPr>
        <w:t>structures</w:t>
      </w:r>
      <w:r>
        <w:rPr>
          <w:spacing w:val="-1"/>
          <w:sz w:val="24"/>
        </w:rPr>
        <w:t> </w:t>
      </w:r>
      <w:r>
        <w:rPr>
          <w:sz w:val="24"/>
        </w:rPr>
        <w:t>and</w:t>
      </w:r>
      <w:r>
        <w:rPr>
          <w:spacing w:val="-1"/>
          <w:sz w:val="24"/>
        </w:rPr>
        <w:t> </w:t>
      </w:r>
      <w:r>
        <w:rPr>
          <w:sz w:val="24"/>
        </w:rPr>
        <w:t>terms</w:t>
      </w:r>
      <w:r>
        <w:rPr>
          <w:spacing w:val="-2"/>
          <w:sz w:val="24"/>
        </w:rPr>
        <w:t> </w:t>
      </w:r>
      <w:r>
        <w:rPr>
          <w:sz w:val="24"/>
        </w:rPr>
        <w:t>of </w:t>
      </w:r>
      <w:r>
        <w:rPr>
          <w:spacing w:val="-2"/>
          <w:sz w:val="24"/>
        </w:rPr>
        <w:t>reference</w:t>
      </w:r>
    </w:p>
    <w:p>
      <w:pPr>
        <w:pStyle w:val="ListParagraph"/>
        <w:numPr>
          <w:ilvl w:val="0"/>
          <w:numId w:val="10"/>
        </w:numPr>
        <w:tabs>
          <w:tab w:pos="2470" w:val="left" w:leader="none"/>
        </w:tabs>
        <w:spacing w:line="240" w:lineRule="auto" w:before="1" w:after="0"/>
        <w:ind w:left="2470" w:right="987" w:hanging="360"/>
        <w:jc w:val="both"/>
        <w:rPr>
          <w:sz w:val="24"/>
        </w:rPr>
      </w:pPr>
      <w:r>
        <w:rPr>
          <w:sz w:val="24"/>
        </w:rPr>
        <w:t>assurances of compliance with statutory and administrative requirements in relation to the approval of the appointment, number, grading and conditions of all staff (which will also include remuneration and </w:t>
      </w:r>
      <w:r>
        <w:rPr>
          <w:spacing w:val="-2"/>
          <w:sz w:val="24"/>
        </w:rPr>
        <w:t>superannuation)</w:t>
      </w:r>
    </w:p>
    <w:p>
      <w:pPr>
        <w:pStyle w:val="ListParagraph"/>
        <w:numPr>
          <w:ilvl w:val="0"/>
          <w:numId w:val="10"/>
        </w:numPr>
        <w:tabs>
          <w:tab w:pos="2469" w:val="left" w:leader="none"/>
        </w:tabs>
        <w:spacing w:line="296" w:lineRule="exact" w:before="0" w:after="0"/>
        <w:ind w:left="2469" w:right="0" w:hanging="359"/>
        <w:jc w:val="both"/>
        <w:rPr>
          <w:sz w:val="24"/>
        </w:rPr>
      </w:pPr>
      <w:r>
        <w:rPr>
          <w:sz w:val="24"/>
        </w:rPr>
        <w:t>approval</w:t>
      </w:r>
      <w:r>
        <w:rPr>
          <w:spacing w:val="-1"/>
          <w:sz w:val="24"/>
        </w:rPr>
        <w:t> </w:t>
      </w:r>
      <w:r>
        <w:rPr>
          <w:sz w:val="24"/>
        </w:rPr>
        <w:t>of</w:t>
      </w:r>
      <w:r>
        <w:rPr>
          <w:spacing w:val="-3"/>
          <w:sz w:val="24"/>
        </w:rPr>
        <w:t> </w:t>
      </w:r>
      <w:r>
        <w:rPr>
          <w:sz w:val="24"/>
        </w:rPr>
        <w:t>annual</w:t>
      </w:r>
      <w:r>
        <w:rPr>
          <w:spacing w:val="-1"/>
          <w:sz w:val="24"/>
        </w:rPr>
        <w:t> </w:t>
      </w:r>
      <w:r>
        <w:rPr>
          <w:sz w:val="24"/>
        </w:rPr>
        <w:t>budgets</w:t>
      </w:r>
      <w:r>
        <w:rPr>
          <w:spacing w:val="-3"/>
          <w:sz w:val="24"/>
        </w:rPr>
        <w:t> </w:t>
      </w:r>
      <w:r>
        <w:rPr>
          <w:sz w:val="24"/>
        </w:rPr>
        <w:t>and</w:t>
      </w:r>
      <w:r>
        <w:rPr>
          <w:spacing w:val="-1"/>
          <w:sz w:val="24"/>
        </w:rPr>
        <w:t> </w:t>
      </w:r>
      <w:r>
        <w:rPr>
          <w:sz w:val="24"/>
        </w:rPr>
        <w:t>corporate </w:t>
      </w:r>
      <w:r>
        <w:rPr>
          <w:spacing w:val="-2"/>
          <w:sz w:val="24"/>
        </w:rPr>
        <w:t>plans</w:t>
      </w:r>
    </w:p>
    <w:p>
      <w:pPr>
        <w:pStyle w:val="ListParagraph"/>
        <w:spacing w:after="0" w:line="296" w:lineRule="exact"/>
        <w:jc w:val="both"/>
        <w:rPr>
          <w:sz w:val="24"/>
        </w:rPr>
        <w:sectPr>
          <w:pgSz w:w="11910" w:h="16850"/>
          <w:pgMar w:header="0" w:footer="811" w:top="1880" w:bottom="1000" w:left="283" w:right="992"/>
        </w:sectPr>
      </w:pPr>
    </w:p>
    <w:p>
      <w:pPr>
        <w:pStyle w:val="ListParagraph"/>
        <w:numPr>
          <w:ilvl w:val="0"/>
          <w:numId w:val="10"/>
        </w:numPr>
        <w:tabs>
          <w:tab w:pos="2469" w:val="left" w:leader="none"/>
        </w:tabs>
        <w:spacing w:line="296" w:lineRule="exact" w:before="79" w:after="0"/>
        <w:ind w:left="2469" w:right="0" w:hanging="359"/>
        <w:jc w:val="both"/>
        <w:rPr>
          <w:sz w:val="24"/>
        </w:rPr>
      </w:pPr>
      <w:r>
        <w:rPr>
          <w:sz w:val="24"/>
        </w:rPr>
        <w:t>approval</w:t>
      </w:r>
      <w:r>
        <w:rPr>
          <w:spacing w:val="-1"/>
          <w:sz w:val="24"/>
        </w:rPr>
        <w:t> </w:t>
      </w:r>
      <w:r>
        <w:rPr>
          <w:sz w:val="24"/>
        </w:rPr>
        <w:t>of</w:t>
      </w:r>
      <w:r>
        <w:rPr>
          <w:spacing w:val="-2"/>
          <w:sz w:val="24"/>
        </w:rPr>
        <w:t> </w:t>
      </w:r>
      <w:r>
        <w:rPr>
          <w:sz w:val="24"/>
        </w:rPr>
        <w:t>annual</w:t>
      </w:r>
      <w:r>
        <w:rPr>
          <w:spacing w:val="-2"/>
          <w:sz w:val="24"/>
        </w:rPr>
        <w:t> </w:t>
      </w:r>
      <w:r>
        <w:rPr>
          <w:sz w:val="24"/>
        </w:rPr>
        <w:t>reports</w:t>
      </w:r>
      <w:r>
        <w:rPr>
          <w:spacing w:val="-2"/>
          <w:sz w:val="24"/>
        </w:rPr>
        <w:t> </w:t>
      </w:r>
      <w:r>
        <w:rPr>
          <w:sz w:val="24"/>
        </w:rPr>
        <w:t>and financial </w:t>
      </w:r>
      <w:r>
        <w:rPr>
          <w:spacing w:val="-2"/>
          <w:sz w:val="24"/>
        </w:rPr>
        <w:t>statements</w:t>
      </w:r>
    </w:p>
    <w:p>
      <w:pPr>
        <w:pStyle w:val="ListParagraph"/>
        <w:numPr>
          <w:ilvl w:val="0"/>
          <w:numId w:val="10"/>
        </w:numPr>
        <w:tabs>
          <w:tab w:pos="2470" w:val="left" w:leader="none"/>
        </w:tabs>
        <w:spacing w:line="240" w:lineRule="auto" w:before="0" w:after="0"/>
        <w:ind w:left="2470" w:right="991" w:hanging="360"/>
        <w:jc w:val="both"/>
        <w:rPr>
          <w:sz w:val="24"/>
        </w:rPr>
      </w:pPr>
      <w:r>
        <w:rPr>
          <w:sz w:val="24"/>
        </w:rPr>
        <w:t>appointment, remuneration and assessment of the performance of the </w:t>
      </w:r>
      <w:r>
        <w:rPr>
          <w:spacing w:val="-2"/>
          <w:sz w:val="24"/>
        </w:rPr>
        <w:t>Director</w:t>
      </w:r>
    </w:p>
    <w:p>
      <w:pPr>
        <w:pStyle w:val="BodyText"/>
        <w:spacing w:before="278"/>
        <w:rPr>
          <w:sz w:val="24"/>
        </w:rPr>
      </w:pPr>
    </w:p>
    <w:p>
      <w:pPr>
        <w:spacing w:before="0"/>
        <w:ind w:left="1702" w:right="989" w:firstLine="0"/>
        <w:jc w:val="both"/>
        <w:rPr>
          <w:sz w:val="24"/>
        </w:rPr>
      </w:pPr>
      <w:r>
        <w:rPr>
          <w:sz w:val="24"/>
        </w:rPr>
        <w:t>Section</w:t>
      </w:r>
      <w:r>
        <w:rPr>
          <w:spacing w:val="-10"/>
          <w:sz w:val="24"/>
        </w:rPr>
        <w:t> </w:t>
      </w:r>
      <w:r>
        <w:rPr>
          <w:sz w:val="24"/>
        </w:rPr>
        <w:t>17</w:t>
      </w:r>
      <w:r>
        <w:rPr>
          <w:spacing w:val="-10"/>
          <w:sz w:val="24"/>
        </w:rPr>
        <w:t> </w:t>
      </w:r>
      <w:r>
        <w:rPr>
          <w:sz w:val="24"/>
        </w:rPr>
        <w:t>of</w:t>
      </w:r>
      <w:r>
        <w:rPr>
          <w:spacing w:val="-11"/>
          <w:sz w:val="24"/>
        </w:rPr>
        <w:t> </w:t>
      </w:r>
      <w:r>
        <w:rPr>
          <w:sz w:val="24"/>
        </w:rPr>
        <w:t>the</w:t>
      </w:r>
      <w:r>
        <w:rPr>
          <w:spacing w:val="-11"/>
          <w:sz w:val="24"/>
        </w:rPr>
        <w:t> </w:t>
      </w:r>
      <w:r>
        <w:rPr>
          <w:sz w:val="24"/>
        </w:rPr>
        <w:t>National</w:t>
      </w:r>
      <w:r>
        <w:rPr>
          <w:spacing w:val="-10"/>
          <w:sz w:val="24"/>
        </w:rPr>
        <w:t> </w:t>
      </w:r>
      <w:r>
        <w:rPr>
          <w:sz w:val="24"/>
        </w:rPr>
        <w:t>Disability</w:t>
      </w:r>
      <w:r>
        <w:rPr>
          <w:spacing w:val="-12"/>
          <w:sz w:val="24"/>
        </w:rPr>
        <w:t> </w:t>
      </w:r>
      <w:r>
        <w:rPr>
          <w:sz w:val="24"/>
        </w:rPr>
        <w:t>Authority</w:t>
      </w:r>
      <w:r>
        <w:rPr>
          <w:spacing w:val="-10"/>
          <w:sz w:val="24"/>
        </w:rPr>
        <w:t> </w:t>
      </w:r>
      <w:r>
        <w:rPr>
          <w:sz w:val="24"/>
        </w:rPr>
        <w:t>Act</w:t>
      </w:r>
      <w:r>
        <w:rPr>
          <w:spacing w:val="-11"/>
          <w:sz w:val="24"/>
        </w:rPr>
        <w:t> </w:t>
      </w:r>
      <w:r>
        <w:rPr>
          <w:sz w:val="24"/>
        </w:rPr>
        <w:t>1999</w:t>
      </w:r>
      <w:r>
        <w:rPr>
          <w:spacing w:val="-10"/>
          <w:sz w:val="24"/>
        </w:rPr>
        <w:t> </w:t>
      </w:r>
      <w:r>
        <w:rPr>
          <w:sz w:val="24"/>
        </w:rPr>
        <w:t>requires</w:t>
      </w:r>
      <w:r>
        <w:rPr>
          <w:spacing w:val="-11"/>
          <w:sz w:val="24"/>
        </w:rPr>
        <w:t> </w:t>
      </w:r>
      <w:r>
        <w:rPr>
          <w:sz w:val="24"/>
        </w:rPr>
        <w:t>the</w:t>
      </w:r>
      <w:r>
        <w:rPr>
          <w:spacing w:val="-11"/>
          <w:sz w:val="24"/>
        </w:rPr>
        <w:t> </w:t>
      </w:r>
      <w:r>
        <w:rPr>
          <w:sz w:val="24"/>
        </w:rPr>
        <w:t>Authority</w:t>
      </w:r>
      <w:r>
        <w:rPr>
          <w:spacing w:val="-10"/>
          <w:sz w:val="24"/>
        </w:rPr>
        <w:t> </w:t>
      </w:r>
      <w:r>
        <w:rPr>
          <w:sz w:val="24"/>
        </w:rPr>
        <w:t>to keep,</w:t>
      </w:r>
      <w:r>
        <w:rPr>
          <w:spacing w:val="-13"/>
          <w:sz w:val="24"/>
        </w:rPr>
        <w:t> </w:t>
      </w:r>
      <w:r>
        <w:rPr>
          <w:sz w:val="24"/>
        </w:rPr>
        <w:t>in</w:t>
      </w:r>
      <w:r>
        <w:rPr>
          <w:spacing w:val="-14"/>
          <w:sz w:val="24"/>
        </w:rPr>
        <w:t> </w:t>
      </w:r>
      <w:r>
        <w:rPr>
          <w:sz w:val="24"/>
        </w:rPr>
        <w:t>such</w:t>
      </w:r>
      <w:r>
        <w:rPr>
          <w:spacing w:val="-13"/>
          <w:sz w:val="24"/>
        </w:rPr>
        <w:t> </w:t>
      </w:r>
      <w:r>
        <w:rPr>
          <w:sz w:val="24"/>
        </w:rPr>
        <w:t>form</w:t>
      </w:r>
      <w:r>
        <w:rPr>
          <w:spacing w:val="-14"/>
          <w:sz w:val="24"/>
        </w:rPr>
        <w:t> </w:t>
      </w:r>
      <w:r>
        <w:rPr>
          <w:sz w:val="24"/>
        </w:rPr>
        <w:t>as</w:t>
      </w:r>
      <w:r>
        <w:rPr>
          <w:spacing w:val="-14"/>
          <w:sz w:val="24"/>
        </w:rPr>
        <w:t> </w:t>
      </w:r>
      <w:r>
        <w:rPr>
          <w:sz w:val="24"/>
        </w:rPr>
        <w:t>may</w:t>
      </w:r>
      <w:r>
        <w:rPr>
          <w:spacing w:val="-13"/>
          <w:sz w:val="24"/>
        </w:rPr>
        <w:t> </w:t>
      </w:r>
      <w:r>
        <w:rPr>
          <w:sz w:val="24"/>
        </w:rPr>
        <w:t>be</w:t>
      </w:r>
      <w:r>
        <w:rPr>
          <w:spacing w:val="-14"/>
          <w:sz w:val="24"/>
        </w:rPr>
        <w:t> </w:t>
      </w:r>
      <w:r>
        <w:rPr>
          <w:sz w:val="24"/>
        </w:rPr>
        <w:t>approved</w:t>
      </w:r>
      <w:r>
        <w:rPr>
          <w:spacing w:val="-14"/>
          <w:sz w:val="24"/>
        </w:rPr>
        <w:t> </w:t>
      </w:r>
      <w:r>
        <w:rPr>
          <w:sz w:val="24"/>
        </w:rPr>
        <w:t>by</w:t>
      </w:r>
      <w:r>
        <w:rPr>
          <w:spacing w:val="-13"/>
          <w:sz w:val="24"/>
        </w:rPr>
        <w:t> </w:t>
      </w:r>
      <w:r>
        <w:rPr>
          <w:sz w:val="24"/>
        </w:rPr>
        <w:t>the</w:t>
      </w:r>
      <w:r>
        <w:rPr>
          <w:spacing w:val="-14"/>
          <w:sz w:val="24"/>
        </w:rPr>
        <w:t> </w:t>
      </w:r>
      <w:r>
        <w:rPr>
          <w:sz w:val="24"/>
        </w:rPr>
        <w:t>Minister</w:t>
      </w:r>
      <w:r>
        <w:rPr>
          <w:spacing w:val="-13"/>
          <w:sz w:val="24"/>
        </w:rPr>
        <w:t> </w:t>
      </w:r>
      <w:r>
        <w:rPr>
          <w:sz w:val="24"/>
        </w:rPr>
        <w:t>for</w:t>
      </w:r>
      <w:r>
        <w:rPr>
          <w:spacing w:val="-13"/>
          <w:sz w:val="24"/>
        </w:rPr>
        <w:t> </w:t>
      </w:r>
      <w:r>
        <w:rPr>
          <w:sz w:val="24"/>
        </w:rPr>
        <w:t>Justice</w:t>
      </w:r>
      <w:r>
        <w:rPr>
          <w:spacing w:val="-14"/>
          <w:sz w:val="24"/>
        </w:rPr>
        <w:t> </w:t>
      </w:r>
      <w:r>
        <w:rPr>
          <w:sz w:val="24"/>
        </w:rPr>
        <w:t>and</w:t>
      </w:r>
      <w:r>
        <w:rPr>
          <w:spacing w:val="-13"/>
          <w:sz w:val="24"/>
        </w:rPr>
        <w:t> </w:t>
      </w:r>
      <w:r>
        <w:rPr>
          <w:sz w:val="24"/>
        </w:rPr>
        <w:t>Equality</w:t>
      </w:r>
      <w:r>
        <w:rPr>
          <w:spacing w:val="-14"/>
          <w:sz w:val="24"/>
        </w:rPr>
        <w:t> </w:t>
      </w:r>
      <w:r>
        <w:rPr>
          <w:sz w:val="24"/>
        </w:rPr>
        <w:t>with consent of the Minister for Public Expenditure and Reform, all proper and usual accounts of money received and expended by it.</w:t>
      </w:r>
    </w:p>
    <w:p>
      <w:pPr>
        <w:pStyle w:val="BodyText"/>
        <w:spacing w:before="1"/>
        <w:rPr>
          <w:sz w:val="24"/>
        </w:rPr>
      </w:pPr>
    </w:p>
    <w:p>
      <w:pPr>
        <w:spacing w:before="0"/>
        <w:ind w:left="1702" w:right="0" w:firstLine="0"/>
        <w:jc w:val="both"/>
        <w:rPr>
          <w:sz w:val="24"/>
        </w:rPr>
      </w:pPr>
      <w:r>
        <w:rPr>
          <w:sz w:val="24"/>
        </w:rPr>
        <w:t>In</w:t>
      </w:r>
      <w:r>
        <w:rPr>
          <w:spacing w:val="-2"/>
          <w:sz w:val="24"/>
        </w:rPr>
        <w:t> </w:t>
      </w:r>
      <w:r>
        <w:rPr>
          <w:sz w:val="24"/>
        </w:rPr>
        <w:t>preparing these</w:t>
      </w:r>
      <w:r>
        <w:rPr>
          <w:spacing w:val="-1"/>
          <w:sz w:val="24"/>
        </w:rPr>
        <w:t> </w:t>
      </w:r>
      <w:r>
        <w:rPr>
          <w:sz w:val="24"/>
        </w:rPr>
        <w:t>financial</w:t>
      </w:r>
      <w:r>
        <w:rPr>
          <w:spacing w:val="-1"/>
          <w:sz w:val="24"/>
        </w:rPr>
        <w:t> </w:t>
      </w:r>
      <w:r>
        <w:rPr>
          <w:sz w:val="24"/>
        </w:rPr>
        <w:t>statements,</w:t>
      </w:r>
      <w:r>
        <w:rPr>
          <w:spacing w:val="-2"/>
          <w:sz w:val="24"/>
        </w:rPr>
        <w:t> </w:t>
      </w:r>
      <w:r>
        <w:rPr>
          <w:sz w:val="24"/>
        </w:rPr>
        <w:t>the</w:t>
      </w:r>
      <w:r>
        <w:rPr>
          <w:spacing w:val="-1"/>
          <w:sz w:val="24"/>
        </w:rPr>
        <w:t> </w:t>
      </w:r>
      <w:r>
        <w:rPr>
          <w:sz w:val="24"/>
        </w:rPr>
        <w:t>Authority</w:t>
      </w:r>
      <w:r>
        <w:rPr>
          <w:spacing w:val="-1"/>
          <w:sz w:val="24"/>
        </w:rPr>
        <w:t> </w:t>
      </w:r>
      <w:r>
        <w:rPr>
          <w:sz w:val="24"/>
        </w:rPr>
        <w:t>is</w:t>
      </w:r>
      <w:r>
        <w:rPr>
          <w:spacing w:val="-3"/>
          <w:sz w:val="24"/>
        </w:rPr>
        <w:t> </w:t>
      </w:r>
      <w:r>
        <w:rPr>
          <w:sz w:val="24"/>
        </w:rPr>
        <w:t>required</w:t>
      </w:r>
      <w:r>
        <w:rPr>
          <w:spacing w:val="-4"/>
          <w:sz w:val="24"/>
        </w:rPr>
        <w:t> </w:t>
      </w:r>
      <w:r>
        <w:rPr>
          <w:spacing w:val="-5"/>
          <w:sz w:val="24"/>
        </w:rPr>
        <w:t>to:</w:t>
      </w:r>
    </w:p>
    <w:p>
      <w:pPr>
        <w:pStyle w:val="BodyText"/>
        <w:spacing w:before="1"/>
        <w:rPr>
          <w:sz w:val="24"/>
        </w:rPr>
      </w:pPr>
    </w:p>
    <w:p>
      <w:pPr>
        <w:pStyle w:val="ListParagraph"/>
        <w:numPr>
          <w:ilvl w:val="0"/>
          <w:numId w:val="10"/>
        </w:numPr>
        <w:tabs>
          <w:tab w:pos="2469" w:val="left" w:leader="none"/>
        </w:tabs>
        <w:spacing w:line="296" w:lineRule="exact" w:before="0" w:after="0"/>
        <w:ind w:left="2469" w:right="0" w:hanging="359"/>
        <w:jc w:val="both"/>
        <w:rPr>
          <w:sz w:val="24"/>
        </w:rPr>
      </w:pPr>
      <w:r>
        <w:rPr>
          <w:sz w:val="24"/>
        </w:rPr>
        <w:t>select</w:t>
      </w:r>
      <w:r>
        <w:rPr>
          <w:spacing w:val="-3"/>
          <w:sz w:val="24"/>
        </w:rPr>
        <w:t> </w:t>
      </w:r>
      <w:r>
        <w:rPr>
          <w:sz w:val="24"/>
        </w:rPr>
        <w:t>suitable accounting policies</w:t>
      </w:r>
      <w:r>
        <w:rPr>
          <w:spacing w:val="-2"/>
          <w:sz w:val="24"/>
        </w:rPr>
        <w:t> </w:t>
      </w:r>
      <w:r>
        <w:rPr>
          <w:sz w:val="24"/>
        </w:rPr>
        <w:t>and apply them</w:t>
      </w:r>
      <w:r>
        <w:rPr>
          <w:spacing w:val="-4"/>
          <w:sz w:val="24"/>
        </w:rPr>
        <w:t> </w:t>
      </w:r>
      <w:r>
        <w:rPr>
          <w:spacing w:val="-2"/>
          <w:sz w:val="24"/>
        </w:rPr>
        <w:t>consistently,</w:t>
      </w:r>
    </w:p>
    <w:p>
      <w:pPr>
        <w:pStyle w:val="ListParagraph"/>
        <w:numPr>
          <w:ilvl w:val="0"/>
          <w:numId w:val="10"/>
        </w:numPr>
        <w:tabs>
          <w:tab w:pos="2469" w:val="left" w:leader="none"/>
        </w:tabs>
        <w:spacing w:line="296" w:lineRule="exact" w:before="0" w:after="0"/>
        <w:ind w:left="2469" w:right="0" w:hanging="359"/>
        <w:jc w:val="both"/>
        <w:rPr>
          <w:sz w:val="24"/>
        </w:rPr>
      </w:pPr>
      <w:r>
        <w:rPr>
          <w:sz w:val="24"/>
        </w:rPr>
        <w:t>make</w:t>
      </w:r>
      <w:r>
        <w:rPr>
          <w:spacing w:val="-2"/>
          <w:sz w:val="24"/>
        </w:rPr>
        <w:t> </w:t>
      </w:r>
      <w:r>
        <w:rPr>
          <w:sz w:val="24"/>
        </w:rPr>
        <w:t>judgements</w:t>
      </w:r>
      <w:r>
        <w:rPr>
          <w:spacing w:val="-3"/>
          <w:sz w:val="24"/>
        </w:rPr>
        <w:t> </w:t>
      </w:r>
      <w:r>
        <w:rPr>
          <w:sz w:val="24"/>
        </w:rPr>
        <w:t>and</w:t>
      </w:r>
      <w:r>
        <w:rPr>
          <w:spacing w:val="-1"/>
          <w:sz w:val="24"/>
        </w:rPr>
        <w:t> </w:t>
      </w:r>
      <w:r>
        <w:rPr>
          <w:sz w:val="24"/>
        </w:rPr>
        <w:t>estimates</w:t>
      </w:r>
      <w:r>
        <w:rPr>
          <w:spacing w:val="-2"/>
          <w:sz w:val="24"/>
        </w:rPr>
        <w:t> </w:t>
      </w:r>
      <w:r>
        <w:rPr>
          <w:sz w:val="24"/>
        </w:rPr>
        <w:t>that</w:t>
      </w:r>
      <w:r>
        <w:rPr>
          <w:spacing w:val="-1"/>
          <w:sz w:val="24"/>
        </w:rPr>
        <w:t> </w:t>
      </w:r>
      <w:r>
        <w:rPr>
          <w:sz w:val="24"/>
        </w:rPr>
        <w:t>are</w:t>
      </w:r>
      <w:r>
        <w:rPr>
          <w:spacing w:val="-1"/>
          <w:sz w:val="24"/>
        </w:rPr>
        <w:t> </w:t>
      </w:r>
      <w:r>
        <w:rPr>
          <w:sz w:val="24"/>
        </w:rPr>
        <w:t>reasonable</w:t>
      </w:r>
      <w:r>
        <w:rPr>
          <w:spacing w:val="-1"/>
          <w:sz w:val="24"/>
        </w:rPr>
        <w:t> </w:t>
      </w:r>
      <w:r>
        <w:rPr>
          <w:sz w:val="24"/>
        </w:rPr>
        <w:t>and </w:t>
      </w:r>
      <w:r>
        <w:rPr>
          <w:spacing w:val="-2"/>
          <w:sz w:val="24"/>
        </w:rPr>
        <w:t>prudent,</w:t>
      </w:r>
    </w:p>
    <w:p>
      <w:pPr>
        <w:pStyle w:val="ListParagraph"/>
        <w:numPr>
          <w:ilvl w:val="0"/>
          <w:numId w:val="10"/>
        </w:numPr>
        <w:tabs>
          <w:tab w:pos="2470" w:val="left" w:leader="none"/>
        </w:tabs>
        <w:spacing w:line="240" w:lineRule="auto" w:before="1" w:after="0"/>
        <w:ind w:left="2470" w:right="993" w:hanging="360"/>
        <w:jc w:val="both"/>
        <w:rPr>
          <w:sz w:val="24"/>
        </w:rPr>
      </w:pPr>
      <w:r>
        <w:rPr>
          <w:sz w:val="24"/>
        </w:rPr>
        <w:t>prepare the financial statements on the going concern basis unless it is inappropriate to presume that it will continue in operation, and</w:t>
      </w:r>
    </w:p>
    <w:p>
      <w:pPr>
        <w:pStyle w:val="ListParagraph"/>
        <w:numPr>
          <w:ilvl w:val="0"/>
          <w:numId w:val="10"/>
        </w:numPr>
        <w:tabs>
          <w:tab w:pos="2470" w:val="left" w:leader="none"/>
        </w:tabs>
        <w:spacing w:line="240" w:lineRule="auto" w:before="0" w:after="0"/>
        <w:ind w:left="2470" w:right="989" w:hanging="360"/>
        <w:jc w:val="both"/>
        <w:rPr>
          <w:sz w:val="24"/>
        </w:rPr>
      </w:pPr>
      <w:r>
        <w:rPr>
          <w:sz w:val="24"/>
        </w:rPr>
        <w:t>state</w:t>
      </w:r>
      <w:r>
        <w:rPr>
          <w:spacing w:val="-12"/>
          <w:sz w:val="24"/>
        </w:rPr>
        <w:t> </w:t>
      </w:r>
      <w:r>
        <w:rPr>
          <w:sz w:val="24"/>
        </w:rPr>
        <w:t>whether</w:t>
      </w:r>
      <w:r>
        <w:rPr>
          <w:spacing w:val="-10"/>
          <w:sz w:val="24"/>
        </w:rPr>
        <w:t> </w:t>
      </w:r>
      <w:r>
        <w:rPr>
          <w:sz w:val="24"/>
        </w:rPr>
        <w:t>applicable</w:t>
      </w:r>
      <w:r>
        <w:rPr>
          <w:spacing w:val="-13"/>
          <w:sz w:val="24"/>
        </w:rPr>
        <w:t> </w:t>
      </w:r>
      <w:r>
        <w:rPr>
          <w:sz w:val="24"/>
        </w:rPr>
        <w:t>accounting</w:t>
      </w:r>
      <w:r>
        <w:rPr>
          <w:spacing w:val="-11"/>
          <w:sz w:val="24"/>
        </w:rPr>
        <w:t> </w:t>
      </w:r>
      <w:r>
        <w:rPr>
          <w:sz w:val="24"/>
        </w:rPr>
        <w:t>standards</w:t>
      </w:r>
      <w:r>
        <w:rPr>
          <w:spacing w:val="-12"/>
          <w:sz w:val="24"/>
        </w:rPr>
        <w:t> </w:t>
      </w:r>
      <w:r>
        <w:rPr>
          <w:sz w:val="24"/>
        </w:rPr>
        <w:t>have</w:t>
      </w:r>
      <w:r>
        <w:rPr>
          <w:spacing w:val="-11"/>
          <w:sz w:val="24"/>
        </w:rPr>
        <w:t> </w:t>
      </w:r>
      <w:r>
        <w:rPr>
          <w:sz w:val="24"/>
        </w:rPr>
        <w:t>been</w:t>
      </w:r>
      <w:r>
        <w:rPr>
          <w:spacing w:val="-11"/>
          <w:sz w:val="24"/>
        </w:rPr>
        <w:t> </w:t>
      </w:r>
      <w:r>
        <w:rPr>
          <w:sz w:val="24"/>
        </w:rPr>
        <w:t>followed,</w:t>
      </w:r>
      <w:r>
        <w:rPr>
          <w:spacing w:val="-11"/>
          <w:sz w:val="24"/>
        </w:rPr>
        <w:t> </w:t>
      </w:r>
      <w:r>
        <w:rPr>
          <w:sz w:val="24"/>
        </w:rPr>
        <w:t>subject to any material departures disclosed and explained in the financial </w:t>
      </w:r>
      <w:r>
        <w:rPr>
          <w:spacing w:val="-2"/>
          <w:sz w:val="24"/>
        </w:rPr>
        <w:t>statements.</w:t>
      </w:r>
    </w:p>
    <w:p>
      <w:pPr>
        <w:spacing w:before="278"/>
        <w:ind w:left="1702" w:right="988" w:firstLine="0"/>
        <w:jc w:val="both"/>
        <w:rPr>
          <w:sz w:val="24"/>
        </w:rPr>
      </w:pPr>
      <w:r>
        <w:rPr>
          <w:sz w:val="24"/>
        </w:rPr>
        <w:t>The Authority is responsible for keeping adequate accounting records which disclose, with reasonable accuracy at any time, its financial position and enables</w:t>
      </w:r>
      <w:r>
        <w:rPr>
          <w:spacing w:val="-1"/>
          <w:sz w:val="24"/>
        </w:rPr>
        <w:t> </w:t>
      </w:r>
      <w:r>
        <w:rPr>
          <w:sz w:val="24"/>
        </w:rPr>
        <w:t>it to ensure that the financial statements comply with Section 17 of the NDA Act. The maintenance and integrity of the corporate and financial information on the NDA’s website is the responsibility of the Authority.</w:t>
      </w:r>
    </w:p>
    <w:p>
      <w:pPr>
        <w:pStyle w:val="BodyText"/>
        <w:rPr>
          <w:sz w:val="24"/>
        </w:rPr>
      </w:pPr>
    </w:p>
    <w:p>
      <w:pPr>
        <w:spacing w:before="0"/>
        <w:ind w:left="1702" w:right="986" w:firstLine="0"/>
        <w:jc w:val="both"/>
        <w:rPr>
          <w:sz w:val="24"/>
        </w:rPr>
      </w:pPr>
      <w:r>
        <w:rPr>
          <w:sz w:val="24"/>
        </w:rPr>
        <w:t>The Authority is responsible for approving the NDA annual plan and budget. An evaluation</w:t>
      </w:r>
      <w:r>
        <w:rPr>
          <w:spacing w:val="-7"/>
          <w:sz w:val="24"/>
        </w:rPr>
        <w:t> </w:t>
      </w:r>
      <w:r>
        <w:rPr>
          <w:sz w:val="24"/>
        </w:rPr>
        <w:t>of</w:t>
      </w:r>
      <w:r>
        <w:rPr>
          <w:spacing w:val="-7"/>
          <w:sz w:val="24"/>
        </w:rPr>
        <w:t> </w:t>
      </w:r>
      <w:r>
        <w:rPr>
          <w:sz w:val="24"/>
        </w:rPr>
        <w:t>the</w:t>
      </w:r>
      <w:r>
        <w:rPr>
          <w:spacing w:val="-7"/>
          <w:sz w:val="24"/>
        </w:rPr>
        <w:t> </w:t>
      </w:r>
      <w:r>
        <w:rPr>
          <w:sz w:val="24"/>
        </w:rPr>
        <w:t>performance</w:t>
      </w:r>
      <w:r>
        <w:rPr>
          <w:spacing w:val="-7"/>
          <w:sz w:val="24"/>
        </w:rPr>
        <w:t> </w:t>
      </w:r>
      <w:r>
        <w:rPr>
          <w:sz w:val="24"/>
        </w:rPr>
        <w:t>of</w:t>
      </w:r>
      <w:r>
        <w:rPr>
          <w:spacing w:val="-7"/>
          <w:sz w:val="24"/>
        </w:rPr>
        <w:t> </w:t>
      </w:r>
      <w:r>
        <w:rPr>
          <w:sz w:val="24"/>
        </w:rPr>
        <w:t>the</w:t>
      </w:r>
      <w:r>
        <w:rPr>
          <w:spacing w:val="-7"/>
          <w:sz w:val="24"/>
        </w:rPr>
        <w:t> </w:t>
      </w:r>
      <w:r>
        <w:rPr>
          <w:sz w:val="24"/>
        </w:rPr>
        <w:t>annual</w:t>
      </w:r>
      <w:r>
        <w:rPr>
          <w:spacing w:val="-7"/>
          <w:sz w:val="24"/>
        </w:rPr>
        <w:t> </w:t>
      </w:r>
      <w:r>
        <w:rPr>
          <w:sz w:val="24"/>
        </w:rPr>
        <w:t>plan</w:t>
      </w:r>
      <w:r>
        <w:rPr>
          <w:spacing w:val="-8"/>
          <w:sz w:val="24"/>
        </w:rPr>
        <w:t> </w:t>
      </w:r>
      <w:r>
        <w:rPr>
          <w:sz w:val="24"/>
        </w:rPr>
        <w:t>and</w:t>
      </w:r>
      <w:r>
        <w:rPr>
          <w:spacing w:val="-6"/>
          <w:sz w:val="24"/>
        </w:rPr>
        <w:t> </w:t>
      </w:r>
      <w:r>
        <w:rPr>
          <w:sz w:val="24"/>
        </w:rPr>
        <w:t>budget</w:t>
      </w:r>
      <w:r>
        <w:rPr>
          <w:spacing w:val="-7"/>
          <w:sz w:val="24"/>
        </w:rPr>
        <w:t> </w:t>
      </w:r>
      <w:r>
        <w:rPr>
          <w:sz w:val="24"/>
        </w:rPr>
        <w:t>was</w:t>
      </w:r>
      <w:r>
        <w:rPr>
          <w:spacing w:val="-8"/>
          <w:sz w:val="24"/>
        </w:rPr>
        <w:t> </w:t>
      </w:r>
      <w:r>
        <w:rPr>
          <w:sz w:val="24"/>
        </w:rPr>
        <w:t>completed</w:t>
      </w:r>
      <w:r>
        <w:rPr>
          <w:spacing w:val="-6"/>
          <w:sz w:val="24"/>
        </w:rPr>
        <w:t> </w:t>
      </w:r>
      <w:r>
        <w:rPr>
          <w:sz w:val="24"/>
        </w:rPr>
        <w:t>on</w:t>
      </w:r>
      <w:r>
        <w:rPr>
          <w:spacing w:val="-7"/>
          <w:sz w:val="24"/>
        </w:rPr>
        <w:t> </w:t>
      </w:r>
      <w:r>
        <w:rPr>
          <w:sz w:val="24"/>
        </w:rPr>
        <w:t>an ongoing basis</w:t>
      </w:r>
      <w:r>
        <w:rPr>
          <w:spacing w:val="-2"/>
          <w:sz w:val="24"/>
        </w:rPr>
        <w:t> </w:t>
      </w:r>
      <w:r>
        <w:rPr>
          <w:sz w:val="24"/>
        </w:rPr>
        <w:t>by</w:t>
      </w:r>
      <w:r>
        <w:rPr>
          <w:spacing w:val="-3"/>
          <w:sz w:val="24"/>
        </w:rPr>
        <w:t> </w:t>
      </w:r>
      <w:r>
        <w:rPr>
          <w:sz w:val="24"/>
        </w:rPr>
        <w:t>the</w:t>
      </w:r>
      <w:r>
        <w:rPr>
          <w:spacing w:val="-1"/>
          <w:sz w:val="24"/>
        </w:rPr>
        <w:t> </w:t>
      </w:r>
      <w:r>
        <w:rPr>
          <w:sz w:val="24"/>
        </w:rPr>
        <w:t>Authority throughout</w:t>
      </w:r>
      <w:r>
        <w:rPr>
          <w:spacing w:val="-2"/>
          <w:sz w:val="24"/>
        </w:rPr>
        <w:t> </w:t>
      </w:r>
      <w:r>
        <w:rPr>
          <w:sz w:val="24"/>
        </w:rPr>
        <w:t>the</w:t>
      </w:r>
      <w:r>
        <w:rPr>
          <w:spacing w:val="-3"/>
          <w:sz w:val="24"/>
        </w:rPr>
        <w:t> </w:t>
      </w:r>
      <w:r>
        <w:rPr>
          <w:sz w:val="24"/>
        </w:rPr>
        <w:t>year.</w:t>
      </w:r>
      <w:r>
        <w:rPr>
          <w:spacing w:val="-1"/>
          <w:sz w:val="24"/>
        </w:rPr>
        <w:t> </w:t>
      </w:r>
      <w:r>
        <w:rPr>
          <w:sz w:val="24"/>
        </w:rPr>
        <w:t>This</w:t>
      </w:r>
      <w:r>
        <w:rPr>
          <w:spacing w:val="-2"/>
          <w:sz w:val="24"/>
        </w:rPr>
        <w:t> </w:t>
      </w:r>
      <w:r>
        <w:rPr>
          <w:sz w:val="24"/>
        </w:rPr>
        <w:t>includes</w:t>
      </w:r>
      <w:r>
        <w:rPr>
          <w:spacing w:val="-2"/>
          <w:sz w:val="24"/>
        </w:rPr>
        <w:t> </w:t>
      </w:r>
      <w:r>
        <w:rPr>
          <w:sz w:val="24"/>
        </w:rPr>
        <w:t>a</w:t>
      </w:r>
      <w:r>
        <w:rPr>
          <w:spacing w:val="-2"/>
          <w:sz w:val="24"/>
        </w:rPr>
        <w:t> </w:t>
      </w:r>
      <w:r>
        <w:rPr>
          <w:sz w:val="24"/>
        </w:rPr>
        <w:t>review</w:t>
      </w:r>
      <w:r>
        <w:rPr>
          <w:spacing w:val="-1"/>
          <w:sz w:val="24"/>
        </w:rPr>
        <w:t> </w:t>
      </w:r>
      <w:r>
        <w:rPr>
          <w:sz w:val="24"/>
        </w:rPr>
        <w:t>of</w:t>
      </w:r>
      <w:r>
        <w:rPr>
          <w:spacing w:val="-1"/>
          <w:sz w:val="24"/>
        </w:rPr>
        <w:t> </w:t>
      </w:r>
      <w:r>
        <w:rPr>
          <w:sz w:val="24"/>
        </w:rPr>
        <w:t>the monthly</w:t>
      </w:r>
      <w:r>
        <w:rPr>
          <w:spacing w:val="-15"/>
          <w:sz w:val="24"/>
        </w:rPr>
        <w:t> </w:t>
      </w:r>
      <w:r>
        <w:rPr>
          <w:sz w:val="24"/>
        </w:rPr>
        <w:t>management</w:t>
      </w:r>
      <w:r>
        <w:rPr>
          <w:spacing w:val="-16"/>
          <w:sz w:val="24"/>
        </w:rPr>
        <w:t> </w:t>
      </w:r>
      <w:r>
        <w:rPr>
          <w:sz w:val="24"/>
        </w:rPr>
        <w:t>accounts,</w:t>
      </w:r>
      <w:r>
        <w:rPr>
          <w:spacing w:val="-15"/>
          <w:sz w:val="24"/>
        </w:rPr>
        <w:t> </w:t>
      </w:r>
      <w:r>
        <w:rPr>
          <w:sz w:val="24"/>
        </w:rPr>
        <w:t>reports</w:t>
      </w:r>
      <w:r>
        <w:rPr>
          <w:spacing w:val="-17"/>
          <w:sz w:val="24"/>
        </w:rPr>
        <w:t> </w:t>
      </w:r>
      <w:r>
        <w:rPr>
          <w:sz w:val="24"/>
        </w:rPr>
        <w:t>from</w:t>
      </w:r>
      <w:r>
        <w:rPr>
          <w:spacing w:val="-16"/>
          <w:sz w:val="24"/>
        </w:rPr>
        <w:t> </w:t>
      </w:r>
      <w:r>
        <w:rPr>
          <w:sz w:val="24"/>
        </w:rPr>
        <w:t>the</w:t>
      </w:r>
      <w:r>
        <w:rPr>
          <w:spacing w:val="-15"/>
          <w:sz w:val="24"/>
        </w:rPr>
        <w:t> </w:t>
      </w:r>
      <w:r>
        <w:rPr>
          <w:sz w:val="24"/>
        </w:rPr>
        <w:t>Finance</w:t>
      </w:r>
      <w:r>
        <w:rPr>
          <w:spacing w:val="-14"/>
          <w:sz w:val="24"/>
        </w:rPr>
        <w:t> </w:t>
      </w:r>
      <w:r>
        <w:rPr>
          <w:sz w:val="24"/>
        </w:rPr>
        <w:t>Committee</w:t>
      </w:r>
      <w:r>
        <w:rPr>
          <w:spacing w:val="-15"/>
          <w:sz w:val="24"/>
        </w:rPr>
        <w:t> </w:t>
      </w:r>
      <w:r>
        <w:rPr>
          <w:sz w:val="24"/>
        </w:rPr>
        <w:t>and</w:t>
      </w:r>
      <w:r>
        <w:rPr>
          <w:spacing w:val="-17"/>
          <w:sz w:val="24"/>
        </w:rPr>
        <w:t> </w:t>
      </w:r>
      <w:r>
        <w:rPr>
          <w:sz w:val="24"/>
        </w:rPr>
        <w:t>a</w:t>
      </w:r>
      <w:r>
        <w:rPr>
          <w:spacing w:val="-17"/>
          <w:sz w:val="24"/>
        </w:rPr>
        <w:t> </w:t>
      </w:r>
      <w:r>
        <w:rPr>
          <w:sz w:val="24"/>
        </w:rPr>
        <w:t>review of</w:t>
      </w:r>
      <w:r>
        <w:rPr>
          <w:spacing w:val="-13"/>
          <w:sz w:val="24"/>
        </w:rPr>
        <w:t> </w:t>
      </w:r>
      <w:r>
        <w:rPr>
          <w:sz w:val="24"/>
        </w:rPr>
        <w:t>annual</w:t>
      </w:r>
      <w:r>
        <w:rPr>
          <w:spacing w:val="-12"/>
          <w:sz w:val="24"/>
        </w:rPr>
        <w:t> </w:t>
      </w:r>
      <w:r>
        <w:rPr>
          <w:sz w:val="24"/>
        </w:rPr>
        <w:t>financial</w:t>
      </w:r>
      <w:r>
        <w:rPr>
          <w:spacing w:val="-12"/>
          <w:sz w:val="24"/>
        </w:rPr>
        <w:t> </w:t>
      </w:r>
      <w:r>
        <w:rPr>
          <w:sz w:val="24"/>
        </w:rPr>
        <w:t>statements.</w:t>
      </w:r>
      <w:r>
        <w:rPr>
          <w:spacing w:val="40"/>
          <w:sz w:val="24"/>
        </w:rPr>
        <w:t> </w:t>
      </w:r>
      <w:r>
        <w:rPr>
          <w:sz w:val="24"/>
        </w:rPr>
        <w:t>The</w:t>
      </w:r>
      <w:r>
        <w:rPr>
          <w:spacing w:val="-12"/>
          <w:sz w:val="24"/>
        </w:rPr>
        <w:t> </w:t>
      </w:r>
      <w:r>
        <w:rPr>
          <w:sz w:val="24"/>
        </w:rPr>
        <w:t>Authority</w:t>
      </w:r>
      <w:r>
        <w:rPr>
          <w:spacing w:val="-13"/>
          <w:sz w:val="24"/>
        </w:rPr>
        <w:t> </w:t>
      </w:r>
      <w:r>
        <w:rPr>
          <w:sz w:val="24"/>
        </w:rPr>
        <w:t>also</w:t>
      </w:r>
      <w:r>
        <w:rPr>
          <w:spacing w:val="-11"/>
          <w:sz w:val="24"/>
        </w:rPr>
        <w:t> </w:t>
      </w:r>
      <w:r>
        <w:rPr>
          <w:sz w:val="24"/>
        </w:rPr>
        <w:t>approves</w:t>
      </w:r>
      <w:r>
        <w:rPr>
          <w:spacing w:val="-13"/>
          <w:sz w:val="24"/>
        </w:rPr>
        <w:t> </w:t>
      </w:r>
      <w:r>
        <w:rPr>
          <w:sz w:val="24"/>
        </w:rPr>
        <w:t>annual</w:t>
      </w:r>
      <w:r>
        <w:rPr>
          <w:spacing w:val="-12"/>
          <w:sz w:val="24"/>
        </w:rPr>
        <w:t> </w:t>
      </w:r>
      <w:r>
        <w:rPr>
          <w:sz w:val="24"/>
        </w:rPr>
        <w:t>work</w:t>
      </w:r>
      <w:r>
        <w:rPr>
          <w:spacing w:val="-12"/>
          <w:sz w:val="24"/>
        </w:rPr>
        <w:t> </w:t>
      </w:r>
      <w:r>
        <w:rPr>
          <w:sz w:val="24"/>
        </w:rPr>
        <w:t>plans</w:t>
      </w:r>
      <w:r>
        <w:rPr>
          <w:spacing w:val="-13"/>
          <w:sz w:val="24"/>
        </w:rPr>
        <w:t> </w:t>
      </w:r>
      <w:r>
        <w:rPr>
          <w:sz w:val="24"/>
        </w:rPr>
        <w:t>and reviews implementation progress up to 4 times per year. The budget and performance</w:t>
      </w:r>
      <w:r>
        <w:rPr>
          <w:spacing w:val="-12"/>
          <w:sz w:val="24"/>
        </w:rPr>
        <w:t> </w:t>
      </w:r>
      <w:r>
        <w:rPr>
          <w:sz w:val="24"/>
        </w:rPr>
        <w:t>as</w:t>
      </w:r>
      <w:r>
        <w:rPr>
          <w:spacing w:val="-11"/>
          <w:sz w:val="24"/>
        </w:rPr>
        <w:t> </w:t>
      </w:r>
      <w:r>
        <w:rPr>
          <w:sz w:val="24"/>
        </w:rPr>
        <w:t>set</w:t>
      </w:r>
      <w:r>
        <w:rPr>
          <w:spacing w:val="-11"/>
          <w:sz w:val="24"/>
        </w:rPr>
        <w:t> </w:t>
      </w:r>
      <w:r>
        <w:rPr>
          <w:sz w:val="24"/>
        </w:rPr>
        <w:t>out</w:t>
      </w:r>
      <w:r>
        <w:rPr>
          <w:spacing w:val="-14"/>
          <w:sz w:val="24"/>
        </w:rPr>
        <w:t> </w:t>
      </w:r>
      <w:r>
        <w:rPr>
          <w:sz w:val="24"/>
        </w:rPr>
        <w:t>in</w:t>
      </w:r>
      <w:r>
        <w:rPr>
          <w:spacing w:val="-10"/>
          <w:sz w:val="24"/>
        </w:rPr>
        <w:t> </w:t>
      </w:r>
      <w:r>
        <w:rPr>
          <w:sz w:val="24"/>
        </w:rPr>
        <w:t>the</w:t>
      </w:r>
      <w:r>
        <w:rPr>
          <w:spacing w:val="-11"/>
          <w:sz w:val="24"/>
        </w:rPr>
        <w:t> </w:t>
      </w:r>
      <w:r>
        <w:rPr>
          <w:sz w:val="24"/>
        </w:rPr>
        <w:t>monthly</w:t>
      </w:r>
      <w:r>
        <w:rPr>
          <w:spacing w:val="-10"/>
          <w:sz w:val="24"/>
        </w:rPr>
        <w:t> </w:t>
      </w:r>
      <w:r>
        <w:rPr>
          <w:sz w:val="24"/>
        </w:rPr>
        <w:t>management</w:t>
      </w:r>
      <w:r>
        <w:rPr>
          <w:spacing w:val="-11"/>
          <w:sz w:val="24"/>
        </w:rPr>
        <w:t> </w:t>
      </w:r>
      <w:r>
        <w:rPr>
          <w:sz w:val="24"/>
        </w:rPr>
        <w:t>accounts</w:t>
      </w:r>
      <w:r>
        <w:rPr>
          <w:spacing w:val="-11"/>
          <w:sz w:val="24"/>
        </w:rPr>
        <w:t> </w:t>
      </w:r>
      <w:r>
        <w:rPr>
          <w:sz w:val="24"/>
        </w:rPr>
        <w:t>are</w:t>
      </w:r>
      <w:r>
        <w:rPr>
          <w:spacing w:val="-12"/>
          <w:sz w:val="24"/>
        </w:rPr>
        <w:t> </w:t>
      </w:r>
      <w:r>
        <w:rPr>
          <w:sz w:val="24"/>
        </w:rPr>
        <w:t>also</w:t>
      </w:r>
      <w:r>
        <w:rPr>
          <w:spacing w:val="-11"/>
          <w:sz w:val="24"/>
        </w:rPr>
        <w:t> </w:t>
      </w:r>
      <w:r>
        <w:rPr>
          <w:sz w:val="24"/>
        </w:rPr>
        <w:t>reviewed</w:t>
      </w:r>
      <w:r>
        <w:rPr>
          <w:spacing w:val="-10"/>
          <w:sz w:val="24"/>
        </w:rPr>
        <w:t> </w:t>
      </w:r>
      <w:r>
        <w:rPr>
          <w:sz w:val="24"/>
        </w:rPr>
        <w:t>by the senior management group and separately by the Finance Committee. The Audit Committee also receives the monthly management accounts.</w:t>
      </w:r>
    </w:p>
    <w:p>
      <w:pPr>
        <w:pStyle w:val="BodyText"/>
        <w:spacing w:before="1"/>
        <w:rPr>
          <w:sz w:val="24"/>
        </w:rPr>
      </w:pPr>
    </w:p>
    <w:p>
      <w:pPr>
        <w:spacing w:before="0"/>
        <w:ind w:left="1702" w:right="988" w:firstLine="0"/>
        <w:jc w:val="both"/>
        <w:rPr>
          <w:sz w:val="24"/>
        </w:rPr>
      </w:pPr>
      <w:r>
        <w:rPr>
          <w:sz w:val="24"/>
        </w:rPr>
        <w:t>The Authority is also responsible for safeguarding its assets and hence for taking reasonable</w:t>
      </w:r>
      <w:r>
        <w:rPr>
          <w:spacing w:val="-14"/>
          <w:sz w:val="24"/>
        </w:rPr>
        <w:t> </w:t>
      </w:r>
      <w:r>
        <w:rPr>
          <w:sz w:val="24"/>
        </w:rPr>
        <w:t>steps</w:t>
      </w:r>
      <w:r>
        <w:rPr>
          <w:spacing w:val="-15"/>
          <w:sz w:val="24"/>
        </w:rPr>
        <w:t> </w:t>
      </w:r>
      <w:r>
        <w:rPr>
          <w:sz w:val="24"/>
        </w:rPr>
        <w:t>for</w:t>
      </w:r>
      <w:r>
        <w:rPr>
          <w:spacing w:val="-12"/>
          <w:sz w:val="24"/>
        </w:rPr>
        <w:t> </w:t>
      </w:r>
      <w:r>
        <w:rPr>
          <w:sz w:val="24"/>
        </w:rPr>
        <w:t>the</w:t>
      </w:r>
      <w:r>
        <w:rPr>
          <w:spacing w:val="-10"/>
          <w:sz w:val="24"/>
        </w:rPr>
        <w:t> </w:t>
      </w:r>
      <w:r>
        <w:rPr>
          <w:sz w:val="24"/>
        </w:rPr>
        <w:t>prevention</w:t>
      </w:r>
      <w:r>
        <w:rPr>
          <w:spacing w:val="-13"/>
          <w:sz w:val="24"/>
        </w:rPr>
        <w:t> </w:t>
      </w:r>
      <w:r>
        <w:rPr>
          <w:sz w:val="24"/>
        </w:rPr>
        <w:t>and</w:t>
      </w:r>
      <w:r>
        <w:rPr>
          <w:spacing w:val="-12"/>
          <w:sz w:val="24"/>
        </w:rPr>
        <w:t> </w:t>
      </w:r>
      <w:r>
        <w:rPr>
          <w:sz w:val="24"/>
        </w:rPr>
        <w:t>detection</w:t>
      </w:r>
      <w:r>
        <w:rPr>
          <w:spacing w:val="-13"/>
          <w:sz w:val="24"/>
        </w:rPr>
        <w:t> </w:t>
      </w:r>
      <w:r>
        <w:rPr>
          <w:sz w:val="24"/>
        </w:rPr>
        <w:t>of</w:t>
      </w:r>
      <w:r>
        <w:rPr>
          <w:spacing w:val="-12"/>
          <w:sz w:val="24"/>
        </w:rPr>
        <w:t> </w:t>
      </w:r>
      <w:r>
        <w:rPr>
          <w:sz w:val="24"/>
        </w:rPr>
        <w:t>fraud</w:t>
      </w:r>
      <w:r>
        <w:rPr>
          <w:spacing w:val="-12"/>
          <w:sz w:val="24"/>
        </w:rPr>
        <w:t> </w:t>
      </w:r>
      <w:r>
        <w:rPr>
          <w:sz w:val="24"/>
        </w:rPr>
        <w:t>and</w:t>
      </w:r>
      <w:r>
        <w:rPr>
          <w:spacing w:val="-12"/>
          <w:sz w:val="24"/>
        </w:rPr>
        <w:t> </w:t>
      </w:r>
      <w:r>
        <w:rPr>
          <w:sz w:val="24"/>
        </w:rPr>
        <w:t>other</w:t>
      </w:r>
      <w:r>
        <w:rPr>
          <w:spacing w:val="-11"/>
          <w:sz w:val="24"/>
        </w:rPr>
        <w:t> </w:t>
      </w:r>
      <w:r>
        <w:rPr>
          <w:spacing w:val="-2"/>
          <w:sz w:val="24"/>
        </w:rPr>
        <w:t>irregularities.</w:t>
      </w:r>
    </w:p>
    <w:p>
      <w:pPr>
        <w:spacing w:before="277"/>
        <w:ind w:left="1702" w:right="991" w:firstLine="0"/>
        <w:jc w:val="both"/>
        <w:rPr>
          <w:sz w:val="24"/>
        </w:rPr>
      </w:pPr>
      <w:r>
        <w:rPr>
          <w:sz w:val="24"/>
        </w:rPr>
        <w:t>The Authority considers that the financial statements give a true and fair view of the financial performance and the financial position of the National Disability Authority at 31 December 2017.</w:t>
      </w:r>
    </w:p>
    <w:p>
      <w:pPr>
        <w:spacing w:after="0"/>
        <w:jc w:val="both"/>
        <w:rPr>
          <w:sz w:val="24"/>
        </w:rPr>
        <w:sectPr>
          <w:pgSz w:w="11910" w:h="16850"/>
          <w:pgMar w:header="0" w:footer="811" w:top="1880" w:bottom="1000" w:left="283" w:right="992"/>
        </w:sectPr>
      </w:pPr>
    </w:p>
    <w:p>
      <w:pPr>
        <w:spacing w:before="78"/>
        <w:ind w:left="1702" w:right="0" w:firstLine="0"/>
        <w:jc w:val="both"/>
        <w:rPr>
          <w:b/>
          <w:sz w:val="24"/>
        </w:rPr>
      </w:pPr>
      <w:r>
        <w:rPr>
          <w:b/>
          <w:sz w:val="24"/>
        </w:rPr>
        <w:t>Board</w:t>
      </w:r>
      <w:r>
        <w:rPr>
          <w:b/>
          <w:spacing w:val="-1"/>
          <w:sz w:val="24"/>
        </w:rPr>
        <w:t> </w:t>
      </w:r>
      <w:r>
        <w:rPr>
          <w:b/>
          <w:spacing w:val="-2"/>
          <w:sz w:val="24"/>
        </w:rPr>
        <w:t>Structure</w:t>
      </w:r>
    </w:p>
    <w:p>
      <w:pPr>
        <w:pStyle w:val="BodyText"/>
        <w:rPr>
          <w:b/>
          <w:sz w:val="24"/>
        </w:rPr>
      </w:pPr>
    </w:p>
    <w:p>
      <w:pPr>
        <w:spacing w:before="0"/>
        <w:ind w:left="1702" w:right="989" w:firstLine="0"/>
        <w:jc w:val="both"/>
        <w:rPr>
          <w:sz w:val="24"/>
        </w:rPr>
      </w:pPr>
      <w:r>
        <w:rPr>
          <w:sz w:val="24"/>
        </w:rPr>
        <w:t>The NDA Authority consists of a Chairperson and 12 ordinary members, all of whom</w:t>
      </w:r>
      <w:r>
        <w:rPr>
          <w:spacing w:val="-3"/>
          <w:sz w:val="24"/>
        </w:rPr>
        <w:t> </w:t>
      </w:r>
      <w:r>
        <w:rPr>
          <w:sz w:val="24"/>
        </w:rPr>
        <w:t>are</w:t>
      </w:r>
      <w:r>
        <w:rPr>
          <w:spacing w:val="-6"/>
          <w:sz w:val="24"/>
        </w:rPr>
        <w:t> </w:t>
      </w:r>
      <w:r>
        <w:rPr>
          <w:sz w:val="24"/>
        </w:rPr>
        <w:t>appointed</w:t>
      </w:r>
      <w:r>
        <w:rPr>
          <w:spacing w:val="-3"/>
          <w:sz w:val="24"/>
        </w:rPr>
        <w:t> </w:t>
      </w:r>
      <w:r>
        <w:rPr>
          <w:sz w:val="24"/>
        </w:rPr>
        <w:t>by</w:t>
      </w:r>
      <w:r>
        <w:rPr>
          <w:spacing w:val="-5"/>
          <w:sz w:val="24"/>
        </w:rPr>
        <w:t> </w:t>
      </w:r>
      <w:r>
        <w:rPr>
          <w:sz w:val="24"/>
        </w:rPr>
        <w:t>the</w:t>
      </w:r>
      <w:r>
        <w:rPr>
          <w:spacing w:val="-3"/>
          <w:sz w:val="24"/>
        </w:rPr>
        <w:t> </w:t>
      </w:r>
      <w:r>
        <w:rPr>
          <w:sz w:val="24"/>
        </w:rPr>
        <w:t>Minister</w:t>
      </w:r>
      <w:r>
        <w:rPr>
          <w:spacing w:val="-3"/>
          <w:sz w:val="24"/>
        </w:rPr>
        <w:t> </w:t>
      </w:r>
      <w:r>
        <w:rPr>
          <w:sz w:val="24"/>
        </w:rPr>
        <w:t>for</w:t>
      </w:r>
      <w:r>
        <w:rPr>
          <w:spacing w:val="-5"/>
          <w:sz w:val="24"/>
        </w:rPr>
        <w:t> </w:t>
      </w:r>
      <w:r>
        <w:rPr>
          <w:sz w:val="24"/>
        </w:rPr>
        <w:t>Justice</w:t>
      </w:r>
      <w:r>
        <w:rPr>
          <w:spacing w:val="-3"/>
          <w:sz w:val="24"/>
        </w:rPr>
        <w:t> </w:t>
      </w:r>
      <w:r>
        <w:rPr>
          <w:sz w:val="24"/>
        </w:rPr>
        <w:t>and</w:t>
      </w:r>
      <w:r>
        <w:rPr>
          <w:spacing w:val="-3"/>
          <w:sz w:val="24"/>
        </w:rPr>
        <w:t> </w:t>
      </w:r>
      <w:r>
        <w:rPr>
          <w:sz w:val="24"/>
        </w:rPr>
        <w:t>Equality.</w:t>
      </w:r>
      <w:r>
        <w:rPr>
          <w:spacing w:val="-3"/>
          <w:sz w:val="24"/>
        </w:rPr>
        <w:t> </w:t>
      </w:r>
      <w:r>
        <w:rPr>
          <w:sz w:val="24"/>
        </w:rPr>
        <w:t>The</w:t>
      </w:r>
      <w:r>
        <w:rPr>
          <w:spacing w:val="-6"/>
          <w:sz w:val="24"/>
        </w:rPr>
        <w:t> </w:t>
      </w:r>
      <w:r>
        <w:rPr>
          <w:sz w:val="24"/>
        </w:rPr>
        <w:t>members</w:t>
      </w:r>
      <w:r>
        <w:rPr>
          <w:spacing w:val="-7"/>
          <w:sz w:val="24"/>
        </w:rPr>
        <w:t> </w:t>
      </w:r>
      <w:r>
        <w:rPr>
          <w:sz w:val="24"/>
        </w:rPr>
        <w:t>of</w:t>
      </w:r>
      <w:r>
        <w:rPr>
          <w:spacing w:val="-3"/>
          <w:sz w:val="24"/>
        </w:rPr>
        <w:t> </w:t>
      </w:r>
      <w:r>
        <w:rPr>
          <w:sz w:val="24"/>
        </w:rPr>
        <w:t>the Authority</w:t>
      </w:r>
      <w:r>
        <w:rPr>
          <w:spacing w:val="-4"/>
          <w:sz w:val="24"/>
        </w:rPr>
        <w:t> </w:t>
      </w:r>
      <w:r>
        <w:rPr>
          <w:sz w:val="24"/>
        </w:rPr>
        <w:t>are</w:t>
      </w:r>
      <w:r>
        <w:rPr>
          <w:spacing w:val="-7"/>
          <w:sz w:val="24"/>
        </w:rPr>
        <w:t> </w:t>
      </w:r>
      <w:r>
        <w:rPr>
          <w:sz w:val="24"/>
        </w:rPr>
        <w:t>appointed</w:t>
      </w:r>
      <w:r>
        <w:rPr>
          <w:spacing w:val="-4"/>
          <w:sz w:val="24"/>
        </w:rPr>
        <w:t> </w:t>
      </w:r>
      <w:r>
        <w:rPr>
          <w:sz w:val="24"/>
        </w:rPr>
        <w:t>for</w:t>
      </w:r>
      <w:r>
        <w:rPr>
          <w:spacing w:val="-4"/>
          <w:sz w:val="24"/>
        </w:rPr>
        <w:t> </w:t>
      </w:r>
      <w:r>
        <w:rPr>
          <w:sz w:val="24"/>
        </w:rPr>
        <w:t>a</w:t>
      </w:r>
      <w:r>
        <w:rPr>
          <w:spacing w:val="-4"/>
          <w:sz w:val="24"/>
        </w:rPr>
        <w:t> </w:t>
      </w:r>
      <w:r>
        <w:rPr>
          <w:sz w:val="24"/>
        </w:rPr>
        <w:t>period</w:t>
      </w:r>
      <w:r>
        <w:rPr>
          <w:spacing w:val="-5"/>
          <w:sz w:val="24"/>
        </w:rPr>
        <w:t> </w:t>
      </w:r>
      <w:r>
        <w:rPr>
          <w:sz w:val="24"/>
        </w:rPr>
        <w:t>of</w:t>
      </w:r>
      <w:r>
        <w:rPr>
          <w:spacing w:val="-5"/>
          <w:sz w:val="24"/>
        </w:rPr>
        <w:t> </w:t>
      </w:r>
      <w:r>
        <w:rPr>
          <w:sz w:val="24"/>
        </w:rPr>
        <w:t>four</w:t>
      </w:r>
      <w:r>
        <w:rPr>
          <w:spacing w:val="-6"/>
          <w:sz w:val="24"/>
        </w:rPr>
        <w:t> </w:t>
      </w:r>
      <w:r>
        <w:rPr>
          <w:sz w:val="24"/>
        </w:rPr>
        <w:t>years</w:t>
      </w:r>
      <w:r>
        <w:rPr>
          <w:spacing w:val="-6"/>
          <w:sz w:val="24"/>
        </w:rPr>
        <w:t> </w:t>
      </w:r>
      <w:r>
        <w:rPr>
          <w:sz w:val="24"/>
        </w:rPr>
        <w:t>and</w:t>
      </w:r>
      <w:r>
        <w:rPr>
          <w:spacing w:val="-4"/>
          <w:sz w:val="24"/>
        </w:rPr>
        <w:t> </w:t>
      </w:r>
      <w:r>
        <w:rPr>
          <w:sz w:val="24"/>
        </w:rPr>
        <w:t>meet</w:t>
      </w:r>
      <w:r>
        <w:rPr>
          <w:spacing w:val="-5"/>
          <w:sz w:val="24"/>
        </w:rPr>
        <w:t> </w:t>
      </w:r>
      <w:r>
        <w:rPr>
          <w:sz w:val="24"/>
        </w:rPr>
        <w:t>on</w:t>
      </w:r>
      <w:r>
        <w:rPr>
          <w:spacing w:val="-4"/>
          <w:sz w:val="24"/>
        </w:rPr>
        <w:t> </w:t>
      </w:r>
      <w:r>
        <w:rPr>
          <w:sz w:val="24"/>
        </w:rPr>
        <w:t>a</w:t>
      </w:r>
      <w:r>
        <w:rPr>
          <w:spacing w:val="-4"/>
          <w:sz w:val="24"/>
        </w:rPr>
        <w:t> </w:t>
      </w:r>
      <w:r>
        <w:rPr>
          <w:sz w:val="24"/>
        </w:rPr>
        <w:t>bimonthly</w:t>
      </w:r>
      <w:r>
        <w:rPr>
          <w:spacing w:val="-4"/>
          <w:sz w:val="24"/>
        </w:rPr>
        <w:t> </w:t>
      </w:r>
      <w:r>
        <w:rPr>
          <w:sz w:val="24"/>
        </w:rPr>
        <w:t>basis. The table below details the appointment period for current members:</w:t>
      </w:r>
    </w:p>
    <w:p>
      <w:pPr>
        <w:pStyle w:val="BodyText"/>
        <w:spacing w:before="13"/>
        <w:rPr>
          <w:sz w:val="20"/>
        </w:rPr>
      </w:pPr>
    </w:p>
    <w:tbl>
      <w:tblPr>
        <w:tblW w:w="0" w:type="auto"/>
        <w:jc w:val="left"/>
        <w:tblInd w:w="1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27"/>
        <w:gridCol w:w="2278"/>
        <w:gridCol w:w="3331"/>
      </w:tblGrid>
      <w:tr>
        <w:trPr>
          <w:trHeight w:val="282" w:hRule="atLeast"/>
        </w:trPr>
        <w:tc>
          <w:tcPr>
            <w:tcW w:w="2327" w:type="dxa"/>
            <w:tcBorders>
              <w:bottom w:val="single" w:sz="4" w:space="0" w:color="000000"/>
            </w:tcBorders>
          </w:tcPr>
          <w:p>
            <w:pPr>
              <w:pStyle w:val="TableParagraph"/>
              <w:ind w:left="107"/>
              <w:rPr>
                <w:b/>
                <w:sz w:val="24"/>
              </w:rPr>
            </w:pPr>
            <w:r>
              <w:rPr>
                <w:b/>
                <w:spacing w:val="-2"/>
                <w:sz w:val="24"/>
              </w:rPr>
              <w:t>Name:</w:t>
            </w:r>
          </w:p>
        </w:tc>
        <w:tc>
          <w:tcPr>
            <w:tcW w:w="2278" w:type="dxa"/>
            <w:tcBorders>
              <w:bottom w:val="single" w:sz="4" w:space="0" w:color="000000"/>
            </w:tcBorders>
          </w:tcPr>
          <w:p>
            <w:pPr>
              <w:pStyle w:val="TableParagraph"/>
              <w:ind w:left="356"/>
              <w:rPr>
                <w:b/>
                <w:sz w:val="24"/>
              </w:rPr>
            </w:pPr>
            <w:r>
              <w:rPr>
                <w:b/>
                <w:spacing w:val="-2"/>
                <w:sz w:val="24"/>
              </w:rPr>
              <w:t>Role:</w:t>
            </w:r>
          </w:p>
        </w:tc>
        <w:tc>
          <w:tcPr>
            <w:tcW w:w="3331" w:type="dxa"/>
            <w:tcBorders>
              <w:bottom w:val="single" w:sz="4" w:space="0" w:color="000000"/>
            </w:tcBorders>
          </w:tcPr>
          <w:p>
            <w:pPr>
              <w:pStyle w:val="TableParagraph"/>
              <w:ind w:left="707"/>
              <w:rPr>
                <w:b/>
                <w:sz w:val="24"/>
              </w:rPr>
            </w:pPr>
            <w:r>
              <w:rPr>
                <w:b/>
                <w:sz w:val="24"/>
              </w:rPr>
              <w:t>Appointment</w:t>
            </w:r>
            <w:r>
              <w:rPr>
                <w:b/>
                <w:spacing w:val="-5"/>
                <w:sz w:val="24"/>
              </w:rPr>
              <w:t> </w:t>
            </w:r>
            <w:r>
              <w:rPr>
                <w:b/>
                <w:spacing w:val="-2"/>
                <w:sz w:val="24"/>
              </w:rPr>
              <w:t>Date:</w:t>
            </w:r>
          </w:p>
        </w:tc>
      </w:tr>
      <w:tr>
        <w:trPr>
          <w:trHeight w:val="273" w:hRule="atLeast"/>
        </w:trPr>
        <w:tc>
          <w:tcPr>
            <w:tcW w:w="2327" w:type="dxa"/>
            <w:tcBorders>
              <w:top w:val="single" w:sz="4" w:space="0" w:color="000000"/>
            </w:tcBorders>
          </w:tcPr>
          <w:p>
            <w:pPr>
              <w:pStyle w:val="TableParagraph"/>
              <w:spacing w:line="232" w:lineRule="exact"/>
              <w:ind w:left="107"/>
              <w:rPr>
                <w:sz w:val="24"/>
              </w:rPr>
            </w:pPr>
            <w:r>
              <w:rPr>
                <w:sz w:val="24"/>
              </w:rPr>
              <w:t>Helen</w:t>
            </w:r>
            <w:r>
              <w:rPr>
                <w:spacing w:val="-2"/>
                <w:sz w:val="24"/>
              </w:rPr>
              <w:t> Guinan</w:t>
            </w:r>
          </w:p>
        </w:tc>
        <w:tc>
          <w:tcPr>
            <w:tcW w:w="2278" w:type="dxa"/>
            <w:tcBorders>
              <w:top w:val="single" w:sz="4" w:space="0" w:color="000000"/>
            </w:tcBorders>
          </w:tcPr>
          <w:p>
            <w:pPr>
              <w:pStyle w:val="TableParagraph"/>
              <w:spacing w:line="232" w:lineRule="exact"/>
              <w:ind w:left="356"/>
              <w:rPr>
                <w:sz w:val="24"/>
              </w:rPr>
            </w:pPr>
            <w:r>
              <w:rPr>
                <w:spacing w:val="-2"/>
                <w:sz w:val="24"/>
              </w:rPr>
              <w:t>Chairperson</w:t>
            </w:r>
          </w:p>
        </w:tc>
        <w:tc>
          <w:tcPr>
            <w:tcW w:w="3331" w:type="dxa"/>
            <w:tcBorders>
              <w:top w:val="single" w:sz="4" w:space="0" w:color="000000"/>
            </w:tcBorders>
          </w:tcPr>
          <w:p>
            <w:pPr>
              <w:pStyle w:val="TableParagraph"/>
              <w:spacing w:line="232"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Aisling </w:t>
            </w:r>
            <w:r>
              <w:rPr>
                <w:spacing w:val="-4"/>
                <w:sz w:val="24"/>
              </w:rPr>
              <w:t>Glynn</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June </w:t>
            </w:r>
            <w:r>
              <w:rPr>
                <w:spacing w:val="-4"/>
                <w:sz w:val="24"/>
              </w:rPr>
              <w:t>2017</w:t>
            </w:r>
          </w:p>
        </w:tc>
      </w:tr>
      <w:tr>
        <w:trPr>
          <w:trHeight w:val="278" w:hRule="atLeast"/>
        </w:trPr>
        <w:tc>
          <w:tcPr>
            <w:tcW w:w="2327" w:type="dxa"/>
          </w:tcPr>
          <w:p>
            <w:pPr>
              <w:pStyle w:val="TableParagraph"/>
              <w:spacing w:line="258" w:lineRule="exact"/>
              <w:ind w:left="107"/>
              <w:rPr>
                <w:sz w:val="24"/>
              </w:rPr>
            </w:pPr>
            <w:r>
              <w:rPr>
                <w:sz w:val="24"/>
              </w:rPr>
              <w:t>Frank </w:t>
            </w:r>
            <w:r>
              <w:rPr>
                <w:spacing w:val="-2"/>
                <w:sz w:val="24"/>
              </w:rPr>
              <w:t>Cunneen</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Des</w:t>
            </w:r>
            <w:r>
              <w:rPr>
                <w:spacing w:val="-1"/>
                <w:sz w:val="24"/>
              </w:rPr>
              <w:t> </w:t>
            </w:r>
            <w:r>
              <w:rPr>
                <w:spacing w:val="-2"/>
                <w:sz w:val="24"/>
              </w:rPr>
              <w:t>Kenny</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Ruthann</w:t>
            </w:r>
            <w:r>
              <w:rPr>
                <w:spacing w:val="-1"/>
                <w:sz w:val="24"/>
              </w:rPr>
              <w:t> </w:t>
            </w:r>
            <w:r>
              <w:rPr>
                <w:sz w:val="24"/>
              </w:rPr>
              <w:t>La</w:t>
            </w:r>
            <w:r>
              <w:rPr>
                <w:spacing w:val="1"/>
                <w:sz w:val="24"/>
              </w:rPr>
              <w:t> </w:t>
            </w:r>
            <w:r>
              <w:rPr>
                <w:spacing w:val="-2"/>
                <w:sz w:val="24"/>
              </w:rPr>
              <w:t>Malfa</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Mary</w:t>
            </w:r>
            <w:r>
              <w:rPr>
                <w:spacing w:val="1"/>
                <w:sz w:val="24"/>
              </w:rPr>
              <w:t> </w:t>
            </w:r>
            <w:r>
              <w:rPr>
                <w:spacing w:val="-2"/>
                <w:sz w:val="24"/>
              </w:rPr>
              <w:t>Lavelle</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7" w:hRule="atLeast"/>
        </w:trPr>
        <w:tc>
          <w:tcPr>
            <w:tcW w:w="2327" w:type="dxa"/>
          </w:tcPr>
          <w:p>
            <w:pPr>
              <w:pStyle w:val="TableParagraph"/>
              <w:spacing w:line="257" w:lineRule="exact"/>
              <w:ind w:left="107"/>
              <w:rPr>
                <w:sz w:val="24"/>
              </w:rPr>
            </w:pPr>
            <w:r>
              <w:rPr>
                <w:sz w:val="24"/>
              </w:rPr>
              <w:t>Teresa</w:t>
            </w:r>
            <w:r>
              <w:rPr>
                <w:spacing w:val="-3"/>
                <w:sz w:val="24"/>
              </w:rPr>
              <w:t> </w:t>
            </w:r>
            <w:r>
              <w:rPr>
                <w:spacing w:val="-2"/>
                <w:sz w:val="24"/>
              </w:rPr>
              <w:t>McDonnell</w:t>
            </w:r>
          </w:p>
        </w:tc>
        <w:tc>
          <w:tcPr>
            <w:tcW w:w="2278" w:type="dxa"/>
          </w:tcPr>
          <w:p>
            <w:pPr>
              <w:pStyle w:val="TableParagraph"/>
              <w:spacing w:line="257" w:lineRule="exact"/>
              <w:ind w:left="356"/>
              <w:rPr>
                <w:sz w:val="24"/>
              </w:rPr>
            </w:pPr>
            <w:r>
              <w:rPr>
                <w:spacing w:val="-2"/>
                <w:sz w:val="24"/>
              </w:rPr>
              <w:t>Member</w:t>
            </w:r>
          </w:p>
        </w:tc>
        <w:tc>
          <w:tcPr>
            <w:tcW w:w="3331" w:type="dxa"/>
          </w:tcPr>
          <w:p>
            <w:pPr>
              <w:pStyle w:val="TableParagraph"/>
              <w:spacing w:line="257" w:lineRule="exact"/>
              <w:ind w:left="707"/>
              <w:rPr>
                <w:sz w:val="24"/>
              </w:rPr>
            </w:pPr>
            <w:r>
              <w:rPr>
                <w:sz w:val="24"/>
              </w:rPr>
              <w:t>July </w:t>
            </w:r>
            <w:r>
              <w:rPr>
                <w:spacing w:val="-4"/>
                <w:sz w:val="24"/>
              </w:rPr>
              <w:t>2014</w:t>
            </w:r>
          </w:p>
        </w:tc>
      </w:tr>
      <w:tr>
        <w:trPr>
          <w:trHeight w:val="277" w:hRule="atLeast"/>
        </w:trPr>
        <w:tc>
          <w:tcPr>
            <w:tcW w:w="2327" w:type="dxa"/>
          </w:tcPr>
          <w:p>
            <w:pPr>
              <w:pStyle w:val="TableParagraph"/>
              <w:spacing w:line="257" w:lineRule="exact"/>
              <w:ind w:left="107"/>
              <w:rPr>
                <w:sz w:val="24"/>
              </w:rPr>
            </w:pPr>
            <w:r>
              <w:rPr>
                <w:sz w:val="24"/>
              </w:rPr>
              <w:t>Deaglán Ó</w:t>
            </w:r>
            <w:r>
              <w:rPr>
                <w:spacing w:val="-1"/>
                <w:sz w:val="24"/>
              </w:rPr>
              <w:t> </w:t>
            </w:r>
            <w:r>
              <w:rPr>
                <w:spacing w:val="-2"/>
                <w:sz w:val="24"/>
              </w:rPr>
              <w:t>Briain</w:t>
            </w:r>
          </w:p>
        </w:tc>
        <w:tc>
          <w:tcPr>
            <w:tcW w:w="2278" w:type="dxa"/>
          </w:tcPr>
          <w:p>
            <w:pPr>
              <w:pStyle w:val="TableParagraph"/>
              <w:spacing w:line="257" w:lineRule="exact"/>
              <w:ind w:left="356"/>
              <w:rPr>
                <w:sz w:val="24"/>
              </w:rPr>
            </w:pPr>
            <w:r>
              <w:rPr>
                <w:spacing w:val="-2"/>
                <w:sz w:val="24"/>
              </w:rPr>
              <w:t>Member</w:t>
            </w:r>
          </w:p>
        </w:tc>
        <w:tc>
          <w:tcPr>
            <w:tcW w:w="3331" w:type="dxa"/>
          </w:tcPr>
          <w:p>
            <w:pPr>
              <w:pStyle w:val="TableParagraph"/>
              <w:spacing w:line="257"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Deirdre</w:t>
            </w:r>
            <w:r>
              <w:rPr>
                <w:spacing w:val="-1"/>
                <w:sz w:val="24"/>
              </w:rPr>
              <w:t> </w:t>
            </w:r>
            <w:r>
              <w:rPr>
                <w:spacing w:val="-2"/>
                <w:sz w:val="24"/>
              </w:rPr>
              <w:t>O’Connor</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James</w:t>
            </w:r>
            <w:r>
              <w:rPr>
                <w:spacing w:val="-2"/>
                <w:sz w:val="24"/>
              </w:rPr>
              <w:t> O’Grady</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Donie </w:t>
            </w:r>
            <w:r>
              <w:rPr>
                <w:spacing w:val="-2"/>
                <w:sz w:val="24"/>
              </w:rPr>
              <w:t>O’Leary</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Alison</w:t>
            </w:r>
            <w:r>
              <w:rPr>
                <w:spacing w:val="-3"/>
                <w:sz w:val="24"/>
              </w:rPr>
              <w:t> </w:t>
            </w:r>
            <w:r>
              <w:rPr>
                <w:spacing w:val="-4"/>
                <w:sz w:val="24"/>
              </w:rPr>
              <w:t>Ryan</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r>
        <w:trPr>
          <w:trHeight w:val="278" w:hRule="atLeast"/>
        </w:trPr>
        <w:tc>
          <w:tcPr>
            <w:tcW w:w="2327" w:type="dxa"/>
          </w:tcPr>
          <w:p>
            <w:pPr>
              <w:pStyle w:val="TableParagraph"/>
              <w:spacing w:line="258" w:lineRule="exact"/>
              <w:ind w:left="107"/>
              <w:rPr>
                <w:sz w:val="24"/>
              </w:rPr>
            </w:pPr>
            <w:r>
              <w:rPr>
                <w:sz w:val="24"/>
              </w:rPr>
              <w:t>Donal</w:t>
            </w:r>
            <w:r>
              <w:rPr>
                <w:spacing w:val="-6"/>
                <w:sz w:val="24"/>
              </w:rPr>
              <w:t> </w:t>
            </w:r>
            <w:r>
              <w:rPr>
                <w:spacing w:val="-4"/>
                <w:sz w:val="24"/>
              </w:rPr>
              <w:t>Rice</w:t>
            </w:r>
          </w:p>
        </w:tc>
        <w:tc>
          <w:tcPr>
            <w:tcW w:w="2278" w:type="dxa"/>
          </w:tcPr>
          <w:p>
            <w:pPr>
              <w:pStyle w:val="TableParagraph"/>
              <w:spacing w:line="258" w:lineRule="exact"/>
              <w:ind w:left="356"/>
              <w:rPr>
                <w:sz w:val="24"/>
              </w:rPr>
            </w:pPr>
            <w:r>
              <w:rPr>
                <w:spacing w:val="-2"/>
                <w:sz w:val="24"/>
              </w:rPr>
              <w:t>Member</w:t>
            </w:r>
          </w:p>
        </w:tc>
        <w:tc>
          <w:tcPr>
            <w:tcW w:w="3331" w:type="dxa"/>
          </w:tcPr>
          <w:p>
            <w:pPr>
              <w:pStyle w:val="TableParagraph"/>
              <w:spacing w:line="258" w:lineRule="exact"/>
              <w:ind w:left="707"/>
              <w:rPr>
                <w:sz w:val="24"/>
              </w:rPr>
            </w:pPr>
            <w:r>
              <w:rPr>
                <w:sz w:val="24"/>
              </w:rPr>
              <w:t>July </w:t>
            </w:r>
            <w:r>
              <w:rPr>
                <w:spacing w:val="-4"/>
                <w:sz w:val="24"/>
              </w:rPr>
              <w:t>2014</w:t>
            </w:r>
          </w:p>
        </w:tc>
      </w:tr>
    </w:tbl>
    <w:p>
      <w:pPr>
        <w:pStyle w:val="BodyText"/>
        <w:spacing w:before="6"/>
        <w:rPr>
          <w:sz w:val="24"/>
        </w:rPr>
      </w:pPr>
    </w:p>
    <w:p>
      <w:pPr>
        <w:spacing w:before="1"/>
        <w:ind w:left="1702" w:right="991" w:firstLine="0"/>
        <w:jc w:val="both"/>
        <w:rPr>
          <w:sz w:val="24"/>
        </w:rPr>
      </w:pPr>
      <w:r>
        <w:rPr>
          <w:sz w:val="24"/>
        </w:rPr>
        <w:t>The Authority conducted a self-evaluation of</w:t>
      </w:r>
      <w:r>
        <w:rPr>
          <w:spacing w:val="-1"/>
          <w:sz w:val="24"/>
        </w:rPr>
        <w:t> </w:t>
      </w:r>
      <w:r>
        <w:rPr>
          <w:sz w:val="24"/>
        </w:rPr>
        <w:t>its performance in 2017 in</w:t>
      </w:r>
      <w:r>
        <w:rPr>
          <w:spacing w:val="-1"/>
          <w:sz w:val="24"/>
        </w:rPr>
        <w:t> </w:t>
      </w:r>
      <w:r>
        <w:rPr>
          <w:sz w:val="24"/>
        </w:rPr>
        <w:t>line with the Code of Practice for the Governance of State Bodies (2016) and intends to engage an external Board Effectiveness and Evaluation Review in 2018.</w:t>
      </w:r>
    </w:p>
    <w:p>
      <w:pPr>
        <w:pStyle w:val="BodyText"/>
        <w:spacing w:before="197"/>
        <w:rPr>
          <w:sz w:val="24"/>
        </w:rPr>
      </w:pPr>
    </w:p>
    <w:p>
      <w:pPr>
        <w:spacing w:before="0"/>
        <w:ind w:left="1702" w:right="0" w:firstLine="0"/>
        <w:jc w:val="both"/>
        <w:rPr>
          <w:sz w:val="24"/>
        </w:rPr>
      </w:pPr>
      <w:r>
        <w:rPr>
          <w:sz w:val="24"/>
        </w:rPr>
        <w:t>The</w:t>
      </w:r>
      <w:r>
        <w:rPr>
          <w:spacing w:val="-2"/>
          <w:sz w:val="24"/>
        </w:rPr>
        <w:t> </w:t>
      </w:r>
      <w:r>
        <w:rPr>
          <w:sz w:val="24"/>
        </w:rPr>
        <w:t>Authority</w:t>
      </w:r>
      <w:r>
        <w:rPr>
          <w:spacing w:val="-1"/>
          <w:sz w:val="24"/>
        </w:rPr>
        <w:t> </w:t>
      </w:r>
      <w:r>
        <w:rPr>
          <w:sz w:val="24"/>
        </w:rPr>
        <w:t>has</w:t>
      </w:r>
      <w:r>
        <w:rPr>
          <w:spacing w:val="-3"/>
          <w:sz w:val="24"/>
        </w:rPr>
        <w:t> </w:t>
      </w:r>
      <w:r>
        <w:rPr>
          <w:sz w:val="24"/>
        </w:rPr>
        <w:t>established</w:t>
      </w:r>
      <w:r>
        <w:rPr>
          <w:spacing w:val="-1"/>
          <w:sz w:val="24"/>
        </w:rPr>
        <w:t> </w:t>
      </w:r>
      <w:r>
        <w:rPr>
          <w:sz w:val="24"/>
        </w:rPr>
        <w:t>four</w:t>
      </w:r>
      <w:r>
        <w:rPr>
          <w:spacing w:val="-1"/>
          <w:sz w:val="24"/>
        </w:rPr>
        <w:t> </w:t>
      </w:r>
      <w:r>
        <w:rPr>
          <w:sz w:val="24"/>
        </w:rPr>
        <w:t>committees,</w:t>
      </w:r>
      <w:r>
        <w:rPr>
          <w:spacing w:val="-1"/>
          <w:sz w:val="24"/>
        </w:rPr>
        <w:t> </w:t>
      </w:r>
      <w:r>
        <w:rPr>
          <w:sz w:val="24"/>
        </w:rPr>
        <w:t>as </w:t>
      </w:r>
      <w:r>
        <w:rPr>
          <w:spacing w:val="-2"/>
          <w:sz w:val="24"/>
        </w:rPr>
        <w:t>follows:</w:t>
      </w:r>
    </w:p>
    <w:p>
      <w:pPr>
        <w:pStyle w:val="BodyText"/>
        <w:rPr>
          <w:sz w:val="24"/>
        </w:rPr>
      </w:pPr>
    </w:p>
    <w:p>
      <w:pPr>
        <w:pStyle w:val="ListParagraph"/>
        <w:numPr>
          <w:ilvl w:val="0"/>
          <w:numId w:val="11"/>
        </w:numPr>
        <w:tabs>
          <w:tab w:pos="1966" w:val="left" w:leader="none"/>
        </w:tabs>
        <w:spacing w:line="240" w:lineRule="auto" w:before="0" w:after="0"/>
        <w:ind w:left="1966" w:right="0" w:hanging="264"/>
        <w:jc w:val="left"/>
        <w:rPr>
          <w:b/>
          <w:sz w:val="24"/>
        </w:rPr>
      </w:pPr>
      <w:r>
        <w:rPr>
          <w:b/>
          <w:sz w:val="24"/>
        </w:rPr>
        <w:t>Audit</w:t>
      </w:r>
      <w:r>
        <w:rPr>
          <w:b/>
          <w:spacing w:val="-3"/>
          <w:sz w:val="24"/>
        </w:rPr>
        <w:t> </w:t>
      </w:r>
      <w:r>
        <w:rPr>
          <w:b/>
          <w:spacing w:val="-2"/>
          <w:sz w:val="24"/>
        </w:rPr>
        <w:t>Committee</w:t>
      </w:r>
    </w:p>
    <w:p>
      <w:pPr>
        <w:pStyle w:val="BodyText"/>
        <w:spacing w:before="120"/>
        <w:rPr>
          <w:b/>
          <w:sz w:val="24"/>
        </w:rPr>
      </w:pPr>
    </w:p>
    <w:p>
      <w:pPr>
        <w:spacing w:line="240" w:lineRule="auto" w:before="0"/>
        <w:ind w:left="1702" w:right="989" w:firstLine="0"/>
        <w:jc w:val="both"/>
        <w:rPr>
          <w:sz w:val="24"/>
        </w:rPr>
      </w:pPr>
      <w:r>
        <w:rPr>
          <w:sz w:val="24"/>
        </w:rPr>
        <w:t>The Audit Committee comprises three Authority members and five independent members.</w:t>
      </w:r>
      <w:r>
        <w:rPr>
          <w:spacing w:val="-8"/>
          <w:sz w:val="24"/>
        </w:rPr>
        <w:t> </w:t>
      </w:r>
      <w:r>
        <w:rPr>
          <w:sz w:val="24"/>
        </w:rPr>
        <w:t>The</w:t>
      </w:r>
      <w:r>
        <w:rPr>
          <w:spacing w:val="-8"/>
          <w:sz w:val="24"/>
        </w:rPr>
        <w:t> </w:t>
      </w:r>
      <w:r>
        <w:rPr>
          <w:sz w:val="24"/>
        </w:rPr>
        <w:t>role</w:t>
      </w:r>
      <w:r>
        <w:rPr>
          <w:spacing w:val="-8"/>
          <w:sz w:val="24"/>
        </w:rPr>
        <w:t> </w:t>
      </w:r>
      <w:r>
        <w:rPr>
          <w:sz w:val="24"/>
        </w:rPr>
        <w:t>of</w:t>
      </w:r>
      <w:r>
        <w:rPr>
          <w:spacing w:val="-8"/>
          <w:sz w:val="24"/>
        </w:rPr>
        <w:t> </w:t>
      </w:r>
      <w:r>
        <w:rPr>
          <w:sz w:val="24"/>
        </w:rPr>
        <w:t>the</w:t>
      </w:r>
      <w:r>
        <w:rPr>
          <w:spacing w:val="-8"/>
          <w:sz w:val="24"/>
        </w:rPr>
        <w:t> </w:t>
      </w:r>
      <w:r>
        <w:rPr>
          <w:sz w:val="24"/>
        </w:rPr>
        <w:t>Committee,</w:t>
      </w:r>
      <w:r>
        <w:rPr>
          <w:spacing w:val="-8"/>
          <w:sz w:val="24"/>
        </w:rPr>
        <w:t> </w:t>
      </w:r>
      <w:r>
        <w:rPr>
          <w:sz w:val="24"/>
        </w:rPr>
        <w:t>as</w:t>
      </w:r>
      <w:r>
        <w:rPr>
          <w:spacing w:val="-8"/>
          <w:sz w:val="24"/>
        </w:rPr>
        <w:t> </w:t>
      </w:r>
      <w:r>
        <w:rPr>
          <w:sz w:val="24"/>
        </w:rPr>
        <w:t>part</w:t>
      </w:r>
      <w:r>
        <w:rPr>
          <w:spacing w:val="-8"/>
          <w:sz w:val="24"/>
        </w:rPr>
        <w:t> </w:t>
      </w:r>
      <w:r>
        <w:rPr>
          <w:sz w:val="24"/>
        </w:rPr>
        <w:t>of</w:t>
      </w:r>
      <w:r>
        <w:rPr>
          <w:spacing w:val="-8"/>
          <w:sz w:val="24"/>
        </w:rPr>
        <w:t> </w:t>
      </w:r>
      <w:r>
        <w:rPr>
          <w:sz w:val="24"/>
        </w:rPr>
        <w:t>the</w:t>
      </w:r>
      <w:r>
        <w:rPr>
          <w:spacing w:val="-8"/>
          <w:sz w:val="24"/>
        </w:rPr>
        <w:t> </w:t>
      </w:r>
      <w:r>
        <w:rPr>
          <w:sz w:val="24"/>
        </w:rPr>
        <w:t>ongoing</w:t>
      </w:r>
      <w:r>
        <w:rPr>
          <w:spacing w:val="-7"/>
          <w:sz w:val="24"/>
        </w:rPr>
        <w:t> </w:t>
      </w:r>
      <w:r>
        <w:rPr>
          <w:sz w:val="24"/>
        </w:rPr>
        <w:t>systematic</w:t>
      </w:r>
      <w:r>
        <w:rPr>
          <w:spacing w:val="-7"/>
          <w:sz w:val="24"/>
        </w:rPr>
        <w:t> </w:t>
      </w:r>
      <w:r>
        <w:rPr>
          <w:sz w:val="24"/>
        </w:rPr>
        <w:t>review</w:t>
      </w:r>
      <w:r>
        <w:rPr>
          <w:spacing w:val="-7"/>
          <w:sz w:val="24"/>
        </w:rPr>
        <w:t> </w:t>
      </w:r>
      <w:r>
        <w:rPr>
          <w:sz w:val="24"/>
        </w:rPr>
        <w:t>of the</w:t>
      </w:r>
      <w:r>
        <w:rPr>
          <w:spacing w:val="-12"/>
          <w:sz w:val="24"/>
        </w:rPr>
        <w:t> </w:t>
      </w:r>
      <w:r>
        <w:rPr>
          <w:sz w:val="24"/>
        </w:rPr>
        <w:t>business</w:t>
      </w:r>
      <w:r>
        <w:rPr>
          <w:spacing w:val="-13"/>
          <w:sz w:val="24"/>
        </w:rPr>
        <w:t> </w:t>
      </w:r>
      <w:r>
        <w:rPr>
          <w:sz w:val="24"/>
        </w:rPr>
        <w:t>and</w:t>
      </w:r>
      <w:r>
        <w:rPr>
          <w:spacing w:val="-11"/>
          <w:sz w:val="24"/>
        </w:rPr>
        <w:t> </w:t>
      </w:r>
      <w:r>
        <w:rPr>
          <w:sz w:val="24"/>
        </w:rPr>
        <w:t>corporate</w:t>
      </w:r>
      <w:r>
        <w:rPr>
          <w:spacing w:val="-12"/>
          <w:sz w:val="24"/>
        </w:rPr>
        <w:t> </w:t>
      </w:r>
      <w:r>
        <w:rPr>
          <w:sz w:val="24"/>
        </w:rPr>
        <w:t>governance</w:t>
      </w:r>
      <w:r>
        <w:rPr>
          <w:spacing w:val="-11"/>
          <w:sz w:val="24"/>
        </w:rPr>
        <w:t> </w:t>
      </w:r>
      <w:r>
        <w:rPr>
          <w:sz w:val="24"/>
        </w:rPr>
        <w:t>procedures</w:t>
      </w:r>
      <w:r>
        <w:rPr>
          <w:spacing w:val="-13"/>
          <w:sz w:val="24"/>
        </w:rPr>
        <w:t> </w:t>
      </w:r>
      <w:r>
        <w:rPr>
          <w:sz w:val="24"/>
        </w:rPr>
        <w:t>of</w:t>
      </w:r>
      <w:r>
        <w:rPr>
          <w:spacing w:val="-12"/>
          <w:sz w:val="24"/>
        </w:rPr>
        <w:t> </w:t>
      </w:r>
      <w:r>
        <w:rPr>
          <w:sz w:val="24"/>
        </w:rPr>
        <w:t>the</w:t>
      </w:r>
      <w:r>
        <w:rPr>
          <w:spacing w:val="-12"/>
          <w:sz w:val="24"/>
        </w:rPr>
        <w:t> </w:t>
      </w:r>
      <w:r>
        <w:rPr>
          <w:sz w:val="24"/>
        </w:rPr>
        <w:t>Authority,</w:t>
      </w:r>
      <w:r>
        <w:rPr>
          <w:spacing w:val="-12"/>
          <w:sz w:val="24"/>
        </w:rPr>
        <w:t> </w:t>
      </w:r>
      <w:r>
        <w:rPr>
          <w:sz w:val="24"/>
        </w:rPr>
        <w:t>is</w:t>
      </w:r>
      <w:r>
        <w:rPr>
          <w:spacing w:val="-12"/>
          <w:sz w:val="24"/>
        </w:rPr>
        <w:t> </w:t>
      </w:r>
      <w:r>
        <w:rPr>
          <w:sz w:val="24"/>
        </w:rPr>
        <w:t>to</w:t>
      </w:r>
      <w:r>
        <w:rPr>
          <w:spacing w:val="-11"/>
          <w:sz w:val="24"/>
        </w:rPr>
        <w:t> </w:t>
      </w:r>
      <w:r>
        <w:rPr>
          <w:sz w:val="24"/>
        </w:rPr>
        <w:t>oversee and advise the Authority and the Director on matters relating to:</w:t>
      </w:r>
    </w:p>
    <w:p>
      <w:pPr>
        <w:pStyle w:val="ListParagraph"/>
        <w:numPr>
          <w:ilvl w:val="1"/>
          <w:numId w:val="11"/>
        </w:numPr>
        <w:tabs>
          <w:tab w:pos="2421" w:val="left" w:leader="none"/>
        </w:tabs>
        <w:spacing w:line="240" w:lineRule="auto" w:before="277" w:after="0"/>
        <w:ind w:left="2421" w:right="0" w:hanging="359"/>
        <w:jc w:val="left"/>
        <w:rPr>
          <w:sz w:val="24"/>
        </w:rPr>
      </w:pPr>
      <w:r>
        <w:rPr>
          <w:sz w:val="24"/>
        </w:rPr>
        <w:t>The</w:t>
      </w:r>
      <w:r>
        <w:rPr>
          <w:spacing w:val="-2"/>
          <w:sz w:val="24"/>
        </w:rPr>
        <w:t> </w:t>
      </w:r>
      <w:r>
        <w:rPr>
          <w:sz w:val="24"/>
        </w:rPr>
        <w:t>financial</w:t>
      </w:r>
      <w:r>
        <w:rPr>
          <w:spacing w:val="-1"/>
          <w:sz w:val="24"/>
        </w:rPr>
        <w:t> </w:t>
      </w:r>
      <w:r>
        <w:rPr>
          <w:sz w:val="24"/>
        </w:rPr>
        <w:t>accounting</w:t>
      </w:r>
      <w:r>
        <w:rPr>
          <w:spacing w:val="-3"/>
          <w:sz w:val="24"/>
        </w:rPr>
        <w:t> </w:t>
      </w:r>
      <w:r>
        <w:rPr>
          <w:sz w:val="24"/>
        </w:rPr>
        <w:t>and annual</w:t>
      </w:r>
      <w:r>
        <w:rPr>
          <w:spacing w:val="-3"/>
          <w:sz w:val="24"/>
        </w:rPr>
        <w:t> </w:t>
      </w:r>
      <w:r>
        <w:rPr>
          <w:sz w:val="24"/>
        </w:rPr>
        <w:t>reporting</w:t>
      </w:r>
      <w:r>
        <w:rPr>
          <w:spacing w:val="-1"/>
          <w:sz w:val="24"/>
        </w:rPr>
        <w:t> </w:t>
      </w:r>
      <w:r>
        <w:rPr>
          <w:spacing w:val="-2"/>
          <w:sz w:val="24"/>
        </w:rPr>
        <w:t>processes;</w:t>
      </w:r>
    </w:p>
    <w:p>
      <w:pPr>
        <w:pStyle w:val="ListParagraph"/>
        <w:numPr>
          <w:ilvl w:val="1"/>
          <w:numId w:val="11"/>
        </w:numPr>
        <w:tabs>
          <w:tab w:pos="2420" w:val="left" w:leader="none"/>
        </w:tabs>
        <w:spacing w:line="240" w:lineRule="auto" w:before="0" w:after="0"/>
        <w:ind w:left="2420" w:right="0" w:hanging="358"/>
        <w:jc w:val="left"/>
        <w:rPr>
          <w:sz w:val="24"/>
        </w:rPr>
      </w:pPr>
      <w:r>
        <w:rPr>
          <w:sz w:val="24"/>
        </w:rPr>
        <w:t>The</w:t>
      </w:r>
      <w:r>
        <w:rPr>
          <w:spacing w:val="-3"/>
          <w:sz w:val="24"/>
        </w:rPr>
        <w:t> </w:t>
      </w:r>
      <w:r>
        <w:rPr>
          <w:sz w:val="24"/>
        </w:rPr>
        <w:t>effectiveness</w:t>
      </w:r>
      <w:r>
        <w:rPr>
          <w:spacing w:val="-2"/>
          <w:sz w:val="24"/>
        </w:rPr>
        <w:t> </w:t>
      </w:r>
      <w:r>
        <w:rPr>
          <w:sz w:val="24"/>
        </w:rPr>
        <w:t>of internal controls</w:t>
      </w:r>
      <w:r>
        <w:rPr>
          <w:spacing w:val="-3"/>
          <w:sz w:val="24"/>
        </w:rPr>
        <w:t> </w:t>
      </w:r>
      <w:r>
        <w:rPr>
          <w:sz w:val="24"/>
        </w:rPr>
        <w:t>and</w:t>
      </w:r>
      <w:r>
        <w:rPr>
          <w:spacing w:val="-2"/>
          <w:sz w:val="24"/>
        </w:rPr>
        <w:t> </w:t>
      </w:r>
      <w:r>
        <w:rPr>
          <w:sz w:val="24"/>
        </w:rPr>
        <w:t>risk management </w:t>
      </w:r>
      <w:r>
        <w:rPr>
          <w:spacing w:val="-2"/>
          <w:sz w:val="24"/>
        </w:rPr>
        <w:t>environment;</w:t>
      </w:r>
    </w:p>
    <w:p>
      <w:pPr>
        <w:pStyle w:val="ListParagraph"/>
        <w:numPr>
          <w:ilvl w:val="1"/>
          <w:numId w:val="11"/>
        </w:numPr>
        <w:tabs>
          <w:tab w:pos="2420" w:val="left" w:leader="none"/>
        </w:tabs>
        <w:spacing w:line="240" w:lineRule="auto" w:before="0" w:after="0"/>
        <w:ind w:left="2420" w:right="0" w:hanging="358"/>
        <w:jc w:val="left"/>
        <w:rPr>
          <w:sz w:val="24"/>
        </w:rPr>
      </w:pPr>
      <w:r>
        <w:rPr>
          <w:sz w:val="24"/>
        </w:rPr>
        <w:t>The</w:t>
      </w:r>
      <w:r>
        <w:rPr>
          <w:spacing w:val="-1"/>
          <w:sz w:val="24"/>
        </w:rPr>
        <w:t> </w:t>
      </w:r>
      <w:r>
        <w:rPr>
          <w:sz w:val="24"/>
        </w:rPr>
        <w:t>operations</w:t>
      </w:r>
      <w:r>
        <w:rPr>
          <w:spacing w:val="-2"/>
          <w:sz w:val="24"/>
        </w:rPr>
        <w:t> </w:t>
      </w:r>
      <w:r>
        <w:rPr>
          <w:sz w:val="24"/>
        </w:rPr>
        <w:t>and</w:t>
      </w:r>
      <w:r>
        <w:rPr>
          <w:spacing w:val="-1"/>
          <w:sz w:val="24"/>
        </w:rPr>
        <w:t> </w:t>
      </w:r>
      <w:r>
        <w:rPr>
          <w:sz w:val="24"/>
        </w:rPr>
        <w:t>development</w:t>
      </w:r>
      <w:r>
        <w:rPr>
          <w:spacing w:val="-1"/>
          <w:sz w:val="24"/>
        </w:rPr>
        <w:t> </w:t>
      </w:r>
      <w:r>
        <w:rPr>
          <w:sz w:val="24"/>
        </w:rPr>
        <w:t>of</w:t>
      </w:r>
      <w:r>
        <w:rPr>
          <w:spacing w:val="-1"/>
          <w:sz w:val="24"/>
        </w:rPr>
        <w:t> </w:t>
      </w:r>
      <w:r>
        <w:rPr>
          <w:sz w:val="24"/>
        </w:rPr>
        <w:t>the Internal</w:t>
      </w:r>
      <w:r>
        <w:rPr>
          <w:spacing w:val="-3"/>
          <w:sz w:val="24"/>
        </w:rPr>
        <w:t> </w:t>
      </w:r>
      <w:r>
        <w:rPr>
          <w:sz w:val="24"/>
        </w:rPr>
        <w:t>Audit </w:t>
      </w:r>
      <w:r>
        <w:rPr>
          <w:spacing w:val="-2"/>
          <w:sz w:val="24"/>
        </w:rPr>
        <w:t>function;</w:t>
      </w:r>
    </w:p>
    <w:p>
      <w:pPr>
        <w:pStyle w:val="ListParagraph"/>
        <w:numPr>
          <w:ilvl w:val="1"/>
          <w:numId w:val="11"/>
        </w:numPr>
        <w:tabs>
          <w:tab w:pos="2420" w:val="left" w:leader="none"/>
        </w:tabs>
        <w:spacing w:line="240" w:lineRule="auto" w:before="0" w:after="0"/>
        <w:ind w:left="2420" w:right="0" w:hanging="358"/>
        <w:jc w:val="left"/>
        <w:rPr>
          <w:sz w:val="24"/>
        </w:rPr>
      </w:pPr>
      <w:r>
        <w:rPr>
          <w:sz w:val="24"/>
        </w:rPr>
        <w:t>The</w:t>
      </w:r>
      <w:r>
        <w:rPr>
          <w:spacing w:val="-1"/>
          <w:sz w:val="24"/>
        </w:rPr>
        <w:t> </w:t>
      </w:r>
      <w:r>
        <w:rPr>
          <w:sz w:val="24"/>
        </w:rPr>
        <w:t>effectiveness</w:t>
      </w:r>
      <w:r>
        <w:rPr>
          <w:spacing w:val="-2"/>
          <w:sz w:val="24"/>
        </w:rPr>
        <w:t> </w:t>
      </w:r>
      <w:r>
        <w:rPr>
          <w:sz w:val="24"/>
        </w:rPr>
        <w:t>of</w:t>
      </w:r>
      <w:r>
        <w:rPr>
          <w:spacing w:val="-1"/>
          <w:sz w:val="24"/>
        </w:rPr>
        <w:t> </w:t>
      </w:r>
      <w:r>
        <w:rPr>
          <w:sz w:val="24"/>
        </w:rPr>
        <w:t>and the</w:t>
      </w:r>
      <w:r>
        <w:rPr>
          <w:spacing w:val="-1"/>
          <w:sz w:val="24"/>
        </w:rPr>
        <w:t> </w:t>
      </w:r>
      <w:r>
        <w:rPr>
          <w:sz w:val="24"/>
        </w:rPr>
        <w:t>relationship with</w:t>
      </w:r>
      <w:r>
        <w:rPr>
          <w:spacing w:val="-1"/>
          <w:sz w:val="24"/>
        </w:rPr>
        <w:t> </w:t>
      </w:r>
      <w:r>
        <w:rPr>
          <w:sz w:val="24"/>
        </w:rPr>
        <w:t>external Audit;</w:t>
      </w:r>
      <w:r>
        <w:rPr>
          <w:spacing w:val="-3"/>
          <w:sz w:val="24"/>
        </w:rPr>
        <w:t> </w:t>
      </w:r>
      <w:r>
        <w:rPr>
          <w:spacing w:val="-5"/>
          <w:sz w:val="24"/>
        </w:rPr>
        <w:t>and</w:t>
      </w:r>
    </w:p>
    <w:p>
      <w:pPr>
        <w:pStyle w:val="ListParagraph"/>
        <w:numPr>
          <w:ilvl w:val="1"/>
          <w:numId w:val="11"/>
        </w:numPr>
        <w:tabs>
          <w:tab w:pos="2421" w:val="left" w:leader="none"/>
        </w:tabs>
        <w:spacing w:line="240" w:lineRule="auto" w:before="0" w:after="0"/>
        <w:ind w:left="2421" w:right="0" w:hanging="359"/>
        <w:jc w:val="left"/>
        <w:rPr>
          <w:sz w:val="24"/>
        </w:rPr>
      </w:pPr>
      <w:r>
        <w:rPr>
          <w:sz w:val="24"/>
        </w:rPr>
        <w:t>Value</w:t>
      </w:r>
      <w:r>
        <w:rPr>
          <w:spacing w:val="-4"/>
          <w:sz w:val="24"/>
        </w:rPr>
        <w:t> </w:t>
      </w:r>
      <w:r>
        <w:rPr>
          <w:sz w:val="24"/>
        </w:rPr>
        <w:t>for</w:t>
      </w:r>
      <w:r>
        <w:rPr>
          <w:spacing w:val="-2"/>
          <w:sz w:val="24"/>
        </w:rPr>
        <w:t> </w:t>
      </w:r>
      <w:r>
        <w:rPr>
          <w:sz w:val="24"/>
        </w:rPr>
        <w:t>money</w:t>
      </w:r>
      <w:r>
        <w:rPr>
          <w:spacing w:val="-1"/>
          <w:sz w:val="24"/>
        </w:rPr>
        <w:t> </w:t>
      </w:r>
      <w:r>
        <w:rPr>
          <w:sz w:val="24"/>
        </w:rPr>
        <w:t>and</w:t>
      </w:r>
      <w:r>
        <w:rPr>
          <w:spacing w:val="-2"/>
          <w:sz w:val="24"/>
        </w:rPr>
        <w:t> </w:t>
      </w:r>
      <w:r>
        <w:rPr>
          <w:sz w:val="24"/>
        </w:rPr>
        <w:t>other corporate</w:t>
      </w:r>
      <w:r>
        <w:rPr>
          <w:spacing w:val="-2"/>
          <w:sz w:val="24"/>
        </w:rPr>
        <w:t> </w:t>
      </w:r>
      <w:r>
        <w:rPr>
          <w:sz w:val="24"/>
        </w:rPr>
        <w:t>governance</w:t>
      </w:r>
      <w:r>
        <w:rPr>
          <w:spacing w:val="-4"/>
          <w:sz w:val="24"/>
        </w:rPr>
        <w:t> </w:t>
      </w:r>
      <w:r>
        <w:rPr>
          <w:spacing w:val="-2"/>
          <w:sz w:val="24"/>
        </w:rPr>
        <w:t>issues.</w:t>
      </w:r>
    </w:p>
    <w:p>
      <w:pPr>
        <w:pStyle w:val="BodyText"/>
        <w:rPr>
          <w:sz w:val="24"/>
        </w:rPr>
      </w:pPr>
    </w:p>
    <w:p>
      <w:pPr>
        <w:spacing w:before="0"/>
        <w:ind w:left="1702" w:right="988" w:firstLine="0"/>
        <w:jc w:val="both"/>
        <w:rPr>
          <w:sz w:val="24"/>
        </w:rPr>
      </w:pPr>
      <w:r>
        <w:rPr>
          <w:sz w:val="24"/>
        </w:rPr>
        <w:t>The Audit Committee reports to the Authority after each meeting, and formally in writing annually.</w:t>
      </w:r>
    </w:p>
    <w:p>
      <w:pPr>
        <w:spacing w:after="0"/>
        <w:jc w:val="both"/>
        <w:rPr>
          <w:sz w:val="24"/>
        </w:rPr>
        <w:sectPr>
          <w:pgSz w:w="11910" w:h="16850"/>
          <w:pgMar w:header="0" w:footer="811" w:top="1880" w:bottom="1000" w:left="283" w:right="992"/>
        </w:sectPr>
      </w:pPr>
    </w:p>
    <w:p>
      <w:pPr>
        <w:spacing w:before="78"/>
        <w:ind w:left="1702" w:right="0" w:firstLine="0"/>
        <w:jc w:val="left"/>
        <w:rPr>
          <w:sz w:val="24"/>
        </w:rPr>
      </w:pPr>
      <w:r>
        <w:rPr>
          <w:sz w:val="24"/>
        </w:rPr>
        <w:t>The</w:t>
      </w:r>
      <w:r>
        <w:rPr>
          <w:spacing w:val="-1"/>
          <w:sz w:val="24"/>
        </w:rPr>
        <w:t> </w:t>
      </w:r>
      <w:r>
        <w:rPr>
          <w:sz w:val="24"/>
        </w:rPr>
        <w:t>members</w:t>
      </w:r>
      <w:r>
        <w:rPr>
          <w:spacing w:val="-2"/>
          <w:sz w:val="24"/>
        </w:rPr>
        <w:t> </w:t>
      </w:r>
      <w:r>
        <w:rPr>
          <w:sz w:val="24"/>
        </w:rPr>
        <w:t>of the</w:t>
      </w:r>
      <w:r>
        <w:rPr>
          <w:spacing w:val="-1"/>
          <w:sz w:val="24"/>
        </w:rPr>
        <w:t> </w:t>
      </w:r>
      <w:r>
        <w:rPr>
          <w:sz w:val="24"/>
        </w:rPr>
        <w:t>Audit Committee </w:t>
      </w:r>
      <w:r>
        <w:rPr>
          <w:spacing w:val="-4"/>
          <w:sz w:val="24"/>
        </w:rPr>
        <w:t>are:</w:t>
      </w:r>
    </w:p>
    <w:p>
      <w:pPr>
        <w:pStyle w:val="BodyText"/>
        <w:spacing w:before="46"/>
        <w:rPr>
          <w:sz w:val="20"/>
        </w:rPr>
      </w:pPr>
    </w:p>
    <w:tbl>
      <w:tblPr>
        <w:tblW w:w="0" w:type="auto"/>
        <w:jc w:val="left"/>
        <w:tblInd w:w="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89"/>
      </w:tblGrid>
      <w:tr>
        <w:trPr>
          <w:trHeight w:val="278" w:hRule="atLeast"/>
        </w:trPr>
        <w:tc>
          <w:tcPr>
            <w:tcW w:w="4489" w:type="dxa"/>
          </w:tcPr>
          <w:p>
            <w:pPr>
              <w:pStyle w:val="TableParagraph"/>
              <w:spacing w:line="258" w:lineRule="exact"/>
              <w:ind w:left="50"/>
              <w:rPr>
                <w:sz w:val="24"/>
              </w:rPr>
            </w:pPr>
            <w:r>
              <w:rPr>
                <w:sz w:val="24"/>
              </w:rPr>
              <w:t>Mr.</w:t>
            </w:r>
            <w:r>
              <w:rPr>
                <w:spacing w:val="-3"/>
                <w:sz w:val="24"/>
              </w:rPr>
              <w:t> </w:t>
            </w:r>
            <w:r>
              <w:rPr>
                <w:sz w:val="24"/>
              </w:rPr>
              <w:t>Donal</w:t>
            </w:r>
            <w:r>
              <w:rPr>
                <w:spacing w:val="-2"/>
                <w:sz w:val="24"/>
              </w:rPr>
              <w:t> </w:t>
            </w:r>
            <w:r>
              <w:rPr>
                <w:sz w:val="24"/>
              </w:rPr>
              <w:t>Lawlor</w:t>
            </w:r>
            <w:r>
              <w:rPr>
                <w:spacing w:val="-2"/>
                <w:sz w:val="24"/>
              </w:rPr>
              <w:t> (Chairperson)</w:t>
            </w:r>
          </w:p>
        </w:tc>
      </w:tr>
      <w:tr>
        <w:trPr>
          <w:trHeight w:val="278" w:hRule="atLeast"/>
        </w:trPr>
        <w:tc>
          <w:tcPr>
            <w:tcW w:w="4489" w:type="dxa"/>
          </w:tcPr>
          <w:p>
            <w:pPr>
              <w:pStyle w:val="TableParagraph"/>
              <w:spacing w:line="258" w:lineRule="exact"/>
              <w:ind w:left="50"/>
              <w:rPr>
                <w:sz w:val="24"/>
              </w:rPr>
            </w:pPr>
            <w:r>
              <w:rPr>
                <w:sz w:val="24"/>
              </w:rPr>
              <w:t>Mr.</w:t>
            </w:r>
            <w:r>
              <w:rPr>
                <w:spacing w:val="-2"/>
                <w:sz w:val="24"/>
              </w:rPr>
              <w:t> </w:t>
            </w:r>
            <w:r>
              <w:rPr>
                <w:sz w:val="24"/>
              </w:rPr>
              <w:t>Frank</w:t>
            </w:r>
            <w:r>
              <w:rPr>
                <w:spacing w:val="-3"/>
                <w:sz w:val="24"/>
              </w:rPr>
              <w:t> </w:t>
            </w:r>
            <w:r>
              <w:rPr>
                <w:sz w:val="24"/>
              </w:rPr>
              <w:t>Cunneen</w:t>
            </w:r>
            <w:r>
              <w:rPr>
                <w:spacing w:val="-2"/>
                <w:sz w:val="24"/>
              </w:rPr>
              <w:t> </w:t>
            </w:r>
            <w:r>
              <w:rPr>
                <w:sz w:val="24"/>
              </w:rPr>
              <w:t>(Authority</w:t>
            </w:r>
            <w:r>
              <w:rPr>
                <w:spacing w:val="-1"/>
                <w:sz w:val="24"/>
              </w:rPr>
              <w:t> </w:t>
            </w:r>
            <w:r>
              <w:rPr>
                <w:spacing w:val="-2"/>
                <w:sz w:val="24"/>
              </w:rPr>
              <w:t>Member)</w:t>
            </w:r>
          </w:p>
        </w:tc>
      </w:tr>
      <w:tr>
        <w:trPr>
          <w:trHeight w:val="278" w:hRule="atLeast"/>
        </w:trPr>
        <w:tc>
          <w:tcPr>
            <w:tcW w:w="4489" w:type="dxa"/>
          </w:tcPr>
          <w:p>
            <w:pPr>
              <w:pStyle w:val="TableParagraph"/>
              <w:spacing w:line="258" w:lineRule="exact"/>
              <w:ind w:left="50"/>
              <w:rPr>
                <w:sz w:val="24"/>
              </w:rPr>
            </w:pPr>
            <w:r>
              <w:rPr>
                <w:sz w:val="24"/>
              </w:rPr>
              <w:t>Ms.</w:t>
            </w:r>
            <w:r>
              <w:rPr>
                <w:spacing w:val="-4"/>
                <w:sz w:val="24"/>
              </w:rPr>
              <w:t> </w:t>
            </w:r>
            <w:r>
              <w:rPr>
                <w:sz w:val="24"/>
              </w:rPr>
              <w:t>Teresa</w:t>
            </w:r>
            <w:r>
              <w:rPr>
                <w:spacing w:val="-3"/>
                <w:sz w:val="24"/>
              </w:rPr>
              <w:t> </w:t>
            </w:r>
            <w:r>
              <w:rPr>
                <w:sz w:val="24"/>
              </w:rPr>
              <w:t>McDonnell</w:t>
            </w:r>
            <w:r>
              <w:rPr>
                <w:spacing w:val="-3"/>
                <w:sz w:val="24"/>
              </w:rPr>
              <w:t> </w:t>
            </w:r>
            <w:r>
              <w:rPr>
                <w:sz w:val="24"/>
              </w:rPr>
              <w:t>(Authority</w:t>
            </w:r>
            <w:r>
              <w:rPr>
                <w:spacing w:val="-3"/>
                <w:sz w:val="24"/>
              </w:rPr>
              <w:t> </w:t>
            </w:r>
            <w:r>
              <w:rPr>
                <w:spacing w:val="-2"/>
                <w:sz w:val="24"/>
              </w:rPr>
              <w:t>Member)</w:t>
            </w:r>
          </w:p>
        </w:tc>
      </w:tr>
      <w:tr>
        <w:trPr>
          <w:trHeight w:val="278" w:hRule="atLeast"/>
        </w:trPr>
        <w:tc>
          <w:tcPr>
            <w:tcW w:w="4489" w:type="dxa"/>
          </w:tcPr>
          <w:p>
            <w:pPr>
              <w:pStyle w:val="TableParagraph"/>
              <w:spacing w:line="258" w:lineRule="exact"/>
              <w:ind w:left="50"/>
              <w:rPr>
                <w:sz w:val="24"/>
              </w:rPr>
            </w:pPr>
            <w:r>
              <w:rPr>
                <w:sz w:val="24"/>
              </w:rPr>
              <w:t>Mr.</w:t>
            </w:r>
            <w:r>
              <w:rPr>
                <w:spacing w:val="-2"/>
                <w:sz w:val="24"/>
              </w:rPr>
              <w:t> </w:t>
            </w:r>
            <w:r>
              <w:rPr>
                <w:sz w:val="24"/>
              </w:rPr>
              <w:t>Des</w:t>
            </w:r>
            <w:r>
              <w:rPr>
                <w:spacing w:val="-3"/>
                <w:sz w:val="24"/>
              </w:rPr>
              <w:t> </w:t>
            </w:r>
            <w:r>
              <w:rPr>
                <w:sz w:val="24"/>
              </w:rPr>
              <w:t>Kenny</w:t>
            </w:r>
            <w:r>
              <w:rPr>
                <w:spacing w:val="-1"/>
                <w:sz w:val="24"/>
              </w:rPr>
              <w:t> </w:t>
            </w:r>
            <w:r>
              <w:rPr>
                <w:sz w:val="24"/>
              </w:rPr>
              <w:t>(Authority</w:t>
            </w:r>
            <w:r>
              <w:rPr>
                <w:spacing w:val="-1"/>
                <w:sz w:val="24"/>
              </w:rPr>
              <w:t> </w:t>
            </w:r>
            <w:r>
              <w:rPr>
                <w:spacing w:val="-2"/>
                <w:sz w:val="24"/>
              </w:rPr>
              <w:t>Member)</w:t>
            </w:r>
          </w:p>
        </w:tc>
      </w:tr>
      <w:tr>
        <w:trPr>
          <w:trHeight w:val="278" w:hRule="atLeast"/>
        </w:trPr>
        <w:tc>
          <w:tcPr>
            <w:tcW w:w="4489" w:type="dxa"/>
          </w:tcPr>
          <w:p>
            <w:pPr>
              <w:pStyle w:val="TableParagraph"/>
              <w:spacing w:line="258" w:lineRule="exact"/>
              <w:ind w:left="50"/>
              <w:rPr>
                <w:sz w:val="24"/>
              </w:rPr>
            </w:pPr>
            <w:r>
              <w:rPr>
                <w:sz w:val="24"/>
              </w:rPr>
              <w:t>Mr.</w:t>
            </w:r>
            <w:r>
              <w:rPr>
                <w:spacing w:val="-4"/>
                <w:sz w:val="24"/>
              </w:rPr>
              <w:t> </w:t>
            </w:r>
            <w:r>
              <w:rPr>
                <w:sz w:val="24"/>
              </w:rPr>
              <w:t>Lawrence</w:t>
            </w:r>
            <w:r>
              <w:rPr>
                <w:spacing w:val="-1"/>
                <w:sz w:val="24"/>
              </w:rPr>
              <w:t> </w:t>
            </w:r>
            <w:r>
              <w:rPr>
                <w:spacing w:val="-4"/>
                <w:sz w:val="24"/>
              </w:rPr>
              <w:t>Byrne</w:t>
            </w:r>
          </w:p>
        </w:tc>
      </w:tr>
      <w:tr>
        <w:trPr>
          <w:trHeight w:val="278" w:hRule="atLeast"/>
        </w:trPr>
        <w:tc>
          <w:tcPr>
            <w:tcW w:w="4489" w:type="dxa"/>
          </w:tcPr>
          <w:p>
            <w:pPr>
              <w:pStyle w:val="TableParagraph"/>
              <w:spacing w:line="258" w:lineRule="exact"/>
              <w:ind w:left="50"/>
              <w:rPr>
                <w:sz w:val="24"/>
              </w:rPr>
            </w:pPr>
            <w:r>
              <w:rPr>
                <w:sz w:val="24"/>
              </w:rPr>
              <w:t>Mr.</w:t>
            </w:r>
            <w:r>
              <w:rPr>
                <w:spacing w:val="-2"/>
                <w:sz w:val="24"/>
              </w:rPr>
              <w:t> </w:t>
            </w:r>
            <w:r>
              <w:rPr>
                <w:sz w:val="24"/>
              </w:rPr>
              <w:t>Robert</w:t>
            </w:r>
            <w:r>
              <w:rPr>
                <w:spacing w:val="-1"/>
                <w:sz w:val="24"/>
              </w:rPr>
              <w:t> </w:t>
            </w:r>
            <w:r>
              <w:rPr>
                <w:spacing w:val="-2"/>
                <w:sz w:val="24"/>
              </w:rPr>
              <w:t>Cashell</w:t>
            </w:r>
          </w:p>
        </w:tc>
      </w:tr>
      <w:tr>
        <w:trPr>
          <w:trHeight w:val="278" w:hRule="atLeast"/>
        </w:trPr>
        <w:tc>
          <w:tcPr>
            <w:tcW w:w="4489" w:type="dxa"/>
          </w:tcPr>
          <w:p>
            <w:pPr>
              <w:pStyle w:val="TableParagraph"/>
              <w:spacing w:line="259" w:lineRule="exact"/>
              <w:ind w:left="50"/>
              <w:rPr>
                <w:sz w:val="24"/>
              </w:rPr>
            </w:pPr>
            <w:r>
              <w:rPr>
                <w:sz w:val="24"/>
              </w:rPr>
              <w:t>Mr.</w:t>
            </w:r>
            <w:r>
              <w:rPr>
                <w:spacing w:val="-2"/>
                <w:sz w:val="24"/>
              </w:rPr>
              <w:t> </w:t>
            </w:r>
            <w:r>
              <w:rPr>
                <w:sz w:val="24"/>
              </w:rPr>
              <w:t>Tony</w:t>
            </w:r>
            <w:r>
              <w:rPr>
                <w:spacing w:val="-1"/>
                <w:sz w:val="24"/>
              </w:rPr>
              <w:t> </w:t>
            </w:r>
            <w:r>
              <w:rPr>
                <w:sz w:val="24"/>
              </w:rPr>
              <w:t>Fitzpatrick</w:t>
            </w:r>
            <w:r>
              <w:rPr>
                <w:spacing w:val="-4"/>
                <w:sz w:val="24"/>
              </w:rPr>
              <w:t> </w:t>
            </w:r>
            <w:r>
              <w:rPr>
                <w:sz w:val="24"/>
              </w:rPr>
              <w:t>(Appointed</w:t>
            </w:r>
            <w:r>
              <w:rPr>
                <w:spacing w:val="-1"/>
                <w:sz w:val="24"/>
              </w:rPr>
              <w:t> </w:t>
            </w:r>
            <w:r>
              <w:rPr>
                <w:spacing w:val="-2"/>
                <w:sz w:val="24"/>
              </w:rPr>
              <w:t>20/06/2017)</w:t>
            </w:r>
          </w:p>
        </w:tc>
      </w:tr>
      <w:tr>
        <w:trPr>
          <w:trHeight w:val="278" w:hRule="atLeast"/>
        </w:trPr>
        <w:tc>
          <w:tcPr>
            <w:tcW w:w="4489" w:type="dxa"/>
          </w:tcPr>
          <w:p>
            <w:pPr>
              <w:pStyle w:val="TableParagraph"/>
              <w:spacing w:line="258" w:lineRule="exact"/>
              <w:ind w:left="50"/>
              <w:rPr>
                <w:sz w:val="24"/>
              </w:rPr>
            </w:pPr>
            <w:r>
              <w:rPr>
                <w:sz w:val="24"/>
              </w:rPr>
              <w:t>Mr.</w:t>
            </w:r>
            <w:r>
              <w:rPr>
                <w:spacing w:val="-3"/>
                <w:sz w:val="24"/>
              </w:rPr>
              <w:t> </w:t>
            </w:r>
            <w:r>
              <w:rPr>
                <w:sz w:val="24"/>
              </w:rPr>
              <w:t>John</w:t>
            </w:r>
            <w:r>
              <w:rPr>
                <w:spacing w:val="-2"/>
                <w:sz w:val="24"/>
              </w:rPr>
              <w:t> </w:t>
            </w:r>
            <w:r>
              <w:rPr>
                <w:sz w:val="24"/>
              </w:rPr>
              <w:t>Fitzgerald</w:t>
            </w:r>
            <w:r>
              <w:rPr>
                <w:spacing w:val="-2"/>
                <w:sz w:val="24"/>
              </w:rPr>
              <w:t> </w:t>
            </w:r>
            <w:r>
              <w:rPr>
                <w:sz w:val="24"/>
              </w:rPr>
              <w:t>(Appointed</w:t>
            </w:r>
            <w:r>
              <w:rPr>
                <w:spacing w:val="-2"/>
                <w:sz w:val="24"/>
              </w:rPr>
              <w:t> 23/03/2017)</w:t>
            </w:r>
          </w:p>
        </w:tc>
      </w:tr>
    </w:tbl>
    <w:p>
      <w:pPr>
        <w:pStyle w:val="BodyText"/>
        <w:spacing w:before="3"/>
        <w:rPr>
          <w:sz w:val="24"/>
        </w:rPr>
      </w:pPr>
    </w:p>
    <w:p>
      <w:pPr>
        <w:spacing w:before="1"/>
        <w:ind w:left="1702" w:right="0" w:firstLine="0"/>
        <w:jc w:val="left"/>
        <w:rPr>
          <w:sz w:val="24"/>
        </w:rPr>
      </w:pPr>
      <w:r>
        <w:rPr>
          <w:sz w:val="24"/>
        </w:rPr>
        <w:t>There</w:t>
      </w:r>
      <w:r>
        <w:rPr>
          <w:spacing w:val="-1"/>
          <w:sz w:val="24"/>
        </w:rPr>
        <w:t> </w:t>
      </w:r>
      <w:r>
        <w:rPr>
          <w:sz w:val="24"/>
        </w:rPr>
        <w:t>were</w:t>
      </w:r>
      <w:r>
        <w:rPr>
          <w:spacing w:val="-1"/>
          <w:sz w:val="24"/>
        </w:rPr>
        <w:t> </w:t>
      </w:r>
      <w:r>
        <w:rPr>
          <w:sz w:val="24"/>
        </w:rPr>
        <w:t>five</w:t>
      </w:r>
      <w:r>
        <w:rPr>
          <w:spacing w:val="1"/>
          <w:sz w:val="24"/>
        </w:rPr>
        <w:t> </w:t>
      </w:r>
      <w:r>
        <w:rPr>
          <w:sz w:val="24"/>
        </w:rPr>
        <w:t>meetings</w:t>
      </w:r>
      <w:r>
        <w:rPr>
          <w:spacing w:val="-2"/>
          <w:sz w:val="24"/>
        </w:rPr>
        <w:t> </w:t>
      </w:r>
      <w:r>
        <w:rPr>
          <w:sz w:val="24"/>
        </w:rPr>
        <w:t>of</w:t>
      </w:r>
      <w:r>
        <w:rPr>
          <w:spacing w:val="-1"/>
          <w:sz w:val="24"/>
        </w:rPr>
        <w:t> </w:t>
      </w:r>
      <w:r>
        <w:rPr>
          <w:sz w:val="24"/>
        </w:rPr>
        <w:t>the Audit</w:t>
      </w:r>
      <w:r>
        <w:rPr>
          <w:spacing w:val="-1"/>
          <w:sz w:val="24"/>
        </w:rPr>
        <w:t> </w:t>
      </w:r>
      <w:r>
        <w:rPr>
          <w:sz w:val="24"/>
        </w:rPr>
        <w:t>Committee</w:t>
      </w:r>
      <w:r>
        <w:rPr>
          <w:spacing w:val="-1"/>
          <w:sz w:val="24"/>
        </w:rPr>
        <w:t> </w:t>
      </w:r>
      <w:r>
        <w:rPr>
          <w:sz w:val="24"/>
        </w:rPr>
        <w:t>in </w:t>
      </w:r>
      <w:r>
        <w:rPr>
          <w:spacing w:val="-2"/>
          <w:sz w:val="24"/>
        </w:rPr>
        <w:t>2017.</w:t>
      </w:r>
    </w:p>
    <w:p>
      <w:pPr>
        <w:pStyle w:val="ListParagraph"/>
        <w:numPr>
          <w:ilvl w:val="0"/>
          <w:numId w:val="11"/>
        </w:numPr>
        <w:tabs>
          <w:tab w:pos="1966" w:val="left" w:leader="none"/>
        </w:tabs>
        <w:spacing w:line="240" w:lineRule="auto" w:before="242" w:after="0"/>
        <w:ind w:left="1966" w:right="0" w:hanging="264"/>
        <w:jc w:val="left"/>
        <w:rPr>
          <w:b/>
          <w:sz w:val="24"/>
        </w:rPr>
      </w:pPr>
      <w:r>
        <w:rPr>
          <w:b/>
          <w:sz w:val="24"/>
        </w:rPr>
        <w:t>Finance</w:t>
      </w:r>
      <w:r>
        <w:rPr>
          <w:b/>
          <w:spacing w:val="-4"/>
          <w:sz w:val="24"/>
        </w:rPr>
        <w:t> </w:t>
      </w:r>
      <w:r>
        <w:rPr>
          <w:b/>
          <w:spacing w:val="-2"/>
          <w:sz w:val="24"/>
        </w:rPr>
        <w:t>Committee</w:t>
      </w:r>
    </w:p>
    <w:p>
      <w:pPr>
        <w:pStyle w:val="BodyText"/>
        <w:spacing w:before="120"/>
        <w:rPr>
          <w:b/>
          <w:sz w:val="24"/>
        </w:rPr>
      </w:pPr>
    </w:p>
    <w:p>
      <w:pPr>
        <w:spacing w:before="0"/>
        <w:ind w:left="1702" w:right="988" w:firstLine="0"/>
        <w:jc w:val="left"/>
        <w:rPr>
          <w:sz w:val="24"/>
        </w:rPr>
      </w:pPr>
      <w:r>
        <w:rPr>
          <w:sz w:val="24"/>
        </w:rPr>
        <w:t>The</w:t>
      </w:r>
      <w:r>
        <w:rPr>
          <w:spacing w:val="-11"/>
          <w:sz w:val="24"/>
        </w:rPr>
        <w:t> </w:t>
      </w:r>
      <w:r>
        <w:rPr>
          <w:sz w:val="24"/>
        </w:rPr>
        <w:t>Finance</w:t>
      </w:r>
      <w:r>
        <w:rPr>
          <w:spacing w:val="-11"/>
          <w:sz w:val="24"/>
        </w:rPr>
        <w:t> </w:t>
      </w:r>
      <w:r>
        <w:rPr>
          <w:sz w:val="24"/>
        </w:rPr>
        <w:t>Committee</w:t>
      </w:r>
      <w:r>
        <w:rPr>
          <w:spacing w:val="-14"/>
          <w:sz w:val="24"/>
        </w:rPr>
        <w:t> </w:t>
      </w:r>
      <w:r>
        <w:rPr>
          <w:sz w:val="24"/>
        </w:rPr>
        <w:t>comprises</w:t>
      </w:r>
      <w:r>
        <w:rPr>
          <w:spacing w:val="-12"/>
          <w:sz w:val="24"/>
        </w:rPr>
        <w:t> </w:t>
      </w:r>
      <w:r>
        <w:rPr>
          <w:sz w:val="24"/>
        </w:rPr>
        <w:t>four</w:t>
      </w:r>
      <w:r>
        <w:rPr>
          <w:spacing w:val="-11"/>
          <w:sz w:val="24"/>
        </w:rPr>
        <w:t> </w:t>
      </w:r>
      <w:r>
        <w:rPr>
          <w:sz w:val="24"/>
        </w:rPr>
        <w:t>Authority</w:t>
      </w:r>
      <w:r>
        <w:rPr>
          <w:spacing w:val="-11"/>
          <w:sz w:val="24"/>
        </w:rPr>
        <w:t> </w:t>
      </w:r>
      <w:r>
        <w:rPr>
          <w:sz w:val="24"/>
        </w:rPr>
        <w:t>members</w:t>
      </w:r>
      <w:r>
        <w:rPr>
          <w:spacing w:val="-12"/>
          <w:sz w:val="24"/>
        </w:rPr>
        <w:t> </w:t>
      </w:r>
      <w:r>
        <w:rPr>
          <w:sz w:val="24"/>
        </w:rPr>
        <w:t>and</w:t>
      </w:r>
      <w:r>
        <w:rPr>
          <w:spacing w:val="-10"/>
          <w:sz w:val="24"/>
        </w:rPr>
        <w:t> </w:t>
      </w:r>
      <w:r>
        <w:rPr>
          <w:sz w:val="24"/>
        </w:rPr>
        <w:t>two</w:t>
      </w:r>
      <w:r>
        <w:rPr>
          <w:spacing w:val="-12"/>
          <w:sz w:val="24"/>
        </w:rPr>
        <w:t> </w:t>
      </w:r>
      <w:r>
        <w:rPr>
          <w:sz w:val="24"/>
        </w:rPr>
        <w:t>independent members. The duties of the Committee are as follows:</w:t>
      </w:r>
    </w:p>
    <w:p>
      <w:pPr>
        <w:pStyle w:val="BodyText"/>
        <w:rPr>
          <w:sz w:val="24"/>
        </w:rPr>
      </w:pPr>
    </w:p>
    <w:p>
      <w:pPr>
        <w:pStyle w:val="ListParagraph"/>
        <w:numPr>
          <w:ilvl w:val="1"/>
          <w:numId w:val="11"/>
        </w:numPr>
        <w:tabs>
          <w:tab w:pos="2470" w:val="left" w:leader="none"/>
        </w:tabs>
        <w:spacing w:line="240" w:lineRule="auto" w:before="0" w:after="0"/>
        <w:ind w:left="2470" w:right="989" w:hanging="360"/>
        <w:jc w:val="left"/>
        <w:rPr>
          <w:sz w:val="24"/>
        </w:rPr>
      </w:pPr>
      <w:r>
        <w:rPr>
          <w:sz w:val="24"/>
        </w:rPr>
        <w:t>to</w:t>
      </w:r>
      <w:r>
        <w:rPr>
          <w:spacing w:val="-7"/>
          <w:sz w:val="24"/>
        </w:rPr>
        <w:t> </w:t>
      </w:r>
      <w:r>
        <w:rPr>
          <w:sz w:val="24"/>
        </w:rPr>
        <w:t>examine</w:t>
      </w:r>
      <w:r>
        <w:rPr>
          <w:spacing w:val="-6"/>
          <w:sz w:val="24"/>
        </w:rPr>
        <w:t> </w:t>
      </w:r>
      <w:r>
        <w:rPr>
          <w:sz w:val="24"/>
        </w:rPr>
        <w:t>the</w:t>
      </w:r>
      <w:r>
        <w:rPr>
          <w:spacing w:val="-7"/>
          <w:sz w:val="24"/>
        </w:rPr>
        <w:t> </w:t>
      </w:r>
      <w:r>
        <w:rPr>
          <w:sz w:val="24"/>
        </w:rPr>
        <w:t>annual</w:t>
      </w:r>
      <w:r>
        <w:rPr>
          <w:spacing w:val="-6"/>
          <w:sz w:val="24"/>
        </w:rPr>
        <w:t> </w:t>
      </w:r>
      <w:r>
        <w:rPr>
          <w:sz w:val="24"/>
        </w:rPr>
        <w:t>expenditure</w:t>
      </w:r>
      <w:r>
        <w:rPr>
          <w:spacing w:val="-6"/>
          <w:sz w:val="24"/>
        </w:rPr>
        <w:t> </w:t>
      </w:r>
      <w:r>
        <w:rPr>
          <w:sz w:val="24"/>
        </w:rPr>
        <w:t>profile</w:t>
      </w:r>
      <w:r>
        <w:rPr>
          <w:spacing w:val="-6"/>
          <w:sz w:val="24"/>
        </w:rPr>
        <w:t> </w:t>
      </w:r>
      <w:r>
        <w:rPr>
          <w:sz w:val="24"/>
        </w:rPr>
        <w:t>and</w:t>
      </w:r>
      <w:r>
        <w:rPr>
          <w:spacing w:val="-6"/>
          <w:sz w:val="24"/>
        </w:rPr>
        <w:t> </w:t>
      </w:r>
      <w:r>
        <w:rPr>
          <w:sz w:val="24"/>
        </w:rPr>
        <w:t>make</w:t>
      </w:r>
      <w:r>
        <w:rPr>
          <w:spacing w:val="-6"/>
          <w:sz w:val="24"/>
        </w:rPr>
        <w:t> </w:t>
      </w:r>
      <w:r>
        <w:rPr>
          <w:sz w:val="24"/>
        </w:rPr>
        <w:t>recommendations</w:t>
      </w:r>
      <w:r>
        <w:rPr>
          <w:spacing w:val="-7"/>
          <w:sz w:val="24"/>
        </w:rPr>
        <w:t> </w:t>
      </w:r>
      <w:r>
        <w:rPr>
          <w:sz w:val="24"/>
        </w:rPr>
        <w:t>to the Authority in relation to it;</w:t>
      </w:r>
    </w:p>
    <w:p>
      <w:pPr>
        <w:pStyle w:val="ListParagraph"/>
        <w:numPr>
          <w:ilvl w:val="1"/>
          <w:numId w:val="11"/>
        </w:numPr>
        <w:tabs>
          <w:tab w:pos="2468" w:val="left" w:leader="none"/>
          <w:tab w:pos="2470" w:val="left" w:leader="none"/>
          <w:tab w:pos="3211" w:val="left" w:leader="none"/>
          <w:tab w:pos="3739" w:val="left" w:leader="none"/>
          <w:tab w:pos="4571" w:val="left" w:leader="none"/>
          <w:tab w:pos="5706" w:val="left" w:leader="none"/>
          <w:tab w:pos="6579" w:val="left" w:leader="none"/>
          <w:tab w:pos="6937" w:val="left" w:leader="none"/>
          <w:tab w:pos="8117" w:val="left" w:leader="none"/>
          <w:tab w:pos="8541" w:val="left" w:leader="none"/>
          <w:tab w:pos="9412" w:val="left" w:leader="none"/>
        </w:tabs>
        <w:spacing w:line="240" w:lineRule="auto" w:before="1" w:after="0"/>
        <w:ind w:left="2470" w:right="992" w:hanging="360"/>
        <w:jc w:val="left"/>
        <w:rPr>
          <w:sz w:val="24"/>
        </w:rPr>
      </w:pPr>
      <w:r>
        <w:rPr>
          <w:spacing w:val="-4"/>
          <w:sz w:val="24"/>
        </w:rPr>
        <w:t>when</w:t>
      </w:r>
      <w:r>
        <w:rPr>
          <w:sz w:val="24"/>
        </w:rPr>
        <w:tab/>
      </w:r>
      <w:r>
        <w:rPr>
          <w:spacing w:val="-4"/>
          <w:sz w:val="24"/>
        </w:rPr>
        <w:t>the</w:t>
      </w:r>
      <w:r>
        <w:rPr>
          <w:sz w:val="24"/>
        </w:rPr>
        <w:tab/>
      </w:r>
      <w:r>
        <w:rPr>
          <w:spacing w:val="-2"/>
          <w:sz w:val="24"/>
        </w:rPr>
        <w:t>annual</w:t>
      </w:r>
      <w:r>
        <w:rPr>
          <w:sz w:val="24"/>
        </w:rPr>
        <w:tab/>
      </w:r>
      <w:r>
        <w:rPr>
          <w:spacing w:val="-2"/>
          <w:sz w:val="24"/>
        </w:rPr>
        <w:t>operating</w:t>
      </w:r>
      <w:r>
        <w:rPr>
          <w:sz w:val="24"/>
        </w:rPr>
        <w:tab/>
      </w:r>
      <w:r>
        <w:rPr>
          <w:spacing w:val="-2"/>
          <w:sz w:val="24"/>
        </w:rPr>
        <w:t>budget</w:t>
      </w:r>
      <w:r>
        <w:rPr>
          <w:sz w:val="24"/>
        </w:rPr>
        <w:tab/>
      </w:r>
      <w:r>
        <w:rPr>
          <w:spacing w:val="-6"/>
          <w:sz w:val="24"/>
        </w:rPr>
        <w:t>is</w:t>
      </w:r>
      <w:r>
        <w:rPr>
          <w:sz w:val="24"/>
        </w:rPr>
        <w:tab/>
      </w:r>
      <w:r>
        <w:rPr>
          <w:spacing w:val="-2"/>
          <w:sz w:val="24"/>
        </w:rPr>
        <w:t>approved,</w:t>
      </w:r>
      <w:r>
        <w:rPr>
          <w:sz w:val="24"/>
        </w:rPr>
        <w:tab/>
      </w:r>
      <w:r>
        <w:rPr>
          <w:spacing w:val="-6"/>
          <w:sz w:val="24"/>
        </w:rPr>
        <w:t>to</w:t>
      </w:r>
      <w:r>
        <w:rPr>
          <w:sz w:val="24"/>
        </w:rPr>
        <w:tab/>
      </w:r>
      <w:r>
        <w:rPr>
          <w:spacing w:val="-2"/>
          <w:sz w:val="24"/>
        </w:rPr>
        <w:t>review</w:t>
      </w:r>
      <w:r>
        <w:rPr>
          <w:sz w:val="24"/>
        </w:rPr>
        <w:tab/>
      </w:r>
      <w:r>
        <w:rPr>
          <w:spacing w:val="-4"/>
          <w:sz w:val="24"/>
        </w:rPr>
        <w:t>its </w:t>
      </w:r>
      <w:r>
        <w:rPr>
          <w:sz w:val="24"/>
        </w:rPr>
        <w:t>implementation during the course of the year;</w:t>
      </w:r>
    </w:p>
    <w:p>
      <w:pPr>
        <w:pStyle w:val="ListParagraph"/>
        <w:numPr>
          <w:ilvl w:val="1"/>
          <w:numId w:val="11"/>
        </w:numPr>
        <w:tabs>
          <w:tab w:pos="2468" w:val="left" w:leader="none"/>
          <w:tab w:pos="2470" w:val="left" w:leader="none"/>
        </w:tabs>
        <w:spacing w:line="240" w:lineRule="auto" w:before="0" w:after="0"/>
        <w:ind w:left="2470" w:right="989" w:hanging="360"/>
        <w:jc w:val="left"/>
        <w:rPr>
          <w:sz w:val="24"/>
        </w:rPr>
      </w:pPr>
      <w:r>
        <w:rPr>
          <w:sz w:val="24"/>
        </w:rPr>
        <w:t>to examine management accounts of the Authority on a regular on-going </w:t>
      </w:r>
      <w:r>
        <w:rPr>
          <w:spacing w:val="-2"/>
          <w:sz w:val="24"/>
        </w:rPr>
        <w:t>basis;</w:t>
      </w:r>
    </w:p>
    <w:p>
      <w:pPr>
        <w:pStyle w:val="ListParagraph"/>
        <w:numPr>
          <w:ilvl w:val="1"/>
          <w:numId w:val="11"/>
        </w:numPr>
        <w:tabs>
          <w:tab w:pos="2468" w:val="left" w:leader="none"/>
          <w:tab w:pos="2470" w:val="left" w:leader="none"/>
        </w:tabs>
        <w:spacing w:line="240" w:lineRule="auto" w:before="0" w:after="0"/>
        <w:ind w:left="2470" w:right="992" w:hanging="360"/>
        <w:jc w:val="left"/>
        <w:rPr>
          <w:sz w:val="24"/>
        </w:rPr>
      </w:pPr>
      <w:r>
        <w:rPr>
          <w:sz w:val="24"/>
        </w:rPr>
        <w:t>to</w:t>
      </w:r>
      <w:r>
        <w:rPr>
          <w:spacing w:val="40"/>
          <w:sz w:val="24"/>
        </w:rPr>
        <w:t> </w:t>
      </w:r>
      <w:r>
        <w:rPr>
          <w:sz w:val="24"/>
        </w:rPr>
        <w:t>bring</w:t>
      </w:r>
      <w:r>
        <w:rPr>
          <w:spacing w:val="40"/>
          <w:sz w:val="24"/>
        </w:rPr>
        <w:t> </w:t>
      </w:r>
      <w:r>
        <w:rPr>
          <w:sz w:val="24"/>
        </w:rPr>
        <w:t>the</w:t>
      </w:r>
      <w:r>
        <w:rPr>
          <w:spacing w:val="40"/>
          <w:sz w:val="24"/>
        </w:rPr>
        <w:t> </w:t>
      </w:r>
      <w:r>
        <w:rPr>
          <w:sz w:val="24"/>
        </w:rPr>
        <w:t>annual</w:t>
      </w:r>
      <w:r>
        <w:rPr>
          <w:spacing w:val="40"/>
          <w:sz w:val="24"/>
        </w:rPr>
        <w:t> </w:t>
      </w:r>
      <w:r>
        <w:rPr>
          <w:sz w:val="24"/>
        </w:rPr>
        <w:t>statutory</w:t>
      </w:r>
      <w:r>
        <w:rPr>
          <w:spacing w:val="40"/>
          <w:sz w:val="24"/>
        </w:rPr>
        <w:t> </w:t>
      </w:r>
      <w:r>
        <w:rPr>
          <w:sz w:val="24"/>
        </w:rPr>
        <w:t>accounts</w:t>
      </w:r>
      <w:r>
        <w:rPr>
          <w:spacing w:val="40"/>
          <w:sz w:val="24"/>
        </w:rPr>
        <w:t> </w:t>
      </w:r>
      <w:r>
        <w:rPr>
          <w:sz w:val="24"/>
        </w:rPr>
        <w:t>to</w:t>
      </w:r>
      <w:r>
        <w:rPr>
          <w:spacing w:val="40"/>
          <w:sz w:val="24"/>
        </w:rPr>
        <w:t> </w:t>
      </w:r>
      <w:r>
        <w:rPr>
          <w:sz w:val="24"/>
        </w:rPr>
        <w:t>the</w:t>
      </w:r>
      <w:r>
        <w:rPr>
          <w:spacing w:val="40"/>
          <w:sz w:val="24"/>
        </w:rPr>
        <w:t> </w:t>
      </w:r>
      <w:r>
        <w:rPr>
          <w:sz w:val="24"/>
        </w:rPr>
        <w:t>Authority</w:t>
      </w:r>
      <w:r>
        <w:rPr>
          <w:spacing w:val="40"/>
          <w:sz w:val="24"/>
        </w:rPr>
        <w:t> </w:t>
      </w:r>
      <w:r>
        <w:rPr>
          <w:sz w:val="24"/>
        </w:rPr>
        <w:t>for</w:t>
      </w:r>
      <w:r>
        <w:rPr>
          <w:spacing w:val="40"/>
          <w:sz w:val="24"/>
        </w:rPr>
        <w:t> </w:t>
      </w:r>
      <w:r>
        <w:rPr>
          <w:sz w:val="24"/>
        </w:rPr>
        <w:t>approval following recommendations from the Audit Committee;</w:t>
      </w:r>
    </w:p>
    <w:p>
      <w:pPr>
        <w:pStyle w:val="ListParagraph"/>
        <w:numPr>
          <w:ilvl w:val="1"/>
          <w:numId w:val="11"/>
        </w:numPr>
        <w:tabs>
          <w:tab w:pos="2469" w:val="left" w:leader="none"/>
        </w:tabs>
        <w:spacing w:line="240" w:lineRule="auto" w:before="0" w:after="0"/>
        <w:ind w:left="2469" w:right="0" w:hanging="359"/>
        <w:jc w:val="left"/>
        <w:rPr>
          <w:sz w:val="24"/>
        </w:rPr>
      </w:pPr>
      <w:r>
        <w:rPr>
          <w:sz w:val="24"/>
        </w:rPr>
        <w:t>to</w:t>
      </w:r>
      <w:r>
        <w:rPr>
          <w:spacing w:val="-3"/>
          <w:sz w:val="24"/>
        </w:rPr>
        <w:t> </w:t>
      </w:r>
      <w:r>
        <w:rPr>
          <w:sz w:val="24"/>
        </w:rPr>
        <w:t>consider</w:t>
      </w:r>
      <w:r>
        <w:rPr>
          <w:spacing w:val="-1"/>
          <w:sz w:val="24"/>
        </w:rPr>
        <w:t> </w:t>
      </w:r>
      <w:r>
        <w:rPr>
          <w:sz w:val="24"/>
        </w:rPr>
        <w:t>proposals</w:t>
      </w:r>
      <w:r>
        <w:rPr>
          <w:spacing w:val="-2"/>
          <w:sz w:val="24"/>
        </w:rPr>
        <w:t> </w:t>
      </w:r>
      <w:r>
        <w:rPr>
          <w:sz w:val="24"/>
        </w:rPr>
        <w:t>from</w:t>
      </w:r>
      <w:r>
        <w:rPr>
          <w:spacing w:val="-2"/>
          <w:sz w:val="24"/>
        </w:rPr>
        <w:t> </w:t>
      </w:r>
      <w:r>
        <w:rPr>
          <w:sz w:val="24"/>
        </w:rPr>
        <w:t>the</w:t>
      </w:r>
      <w:r>
        <w:rPr>
          <w:spacing w:val="-2"/>
          <w:sz w:val="24"/>
        </w:rPr>
        <w:t> </w:t>
      </w:r>
      <w:r>
        <w:rPr>
          <w:sz w:val="24"/>
        </w:rPr>
        <w:t>Audit</w:t>
      </w:r>
      <w:r>
        <w:rPr>
          <w:spacing w:val="-1"/>
          <w:sz w:val="24"/>
        </w:rPr>
        <w:t> </w:t>
      </w:r>
      <w:r>
        <w:rPr>
          <w:sz w:val="24"/>
        </w:rPr>
        <w:t>Committee</w:t>
      </w:r>
      <w:r>
        <w:rPr>
          <w:spacing w:val="-1"/>
          <w:sz w:val="24"/>
        </w:rPr>
        <w:t> </w:t>
      </w:r>
      <w:r>
        <w:rPr>
          <w:sz w:val="24"/>
        </w:rPr>
        <w:t>where</w:t>
      </w:r>
      <w:r>
        <w:rPr>
          <w:spacing w:val="-4"/>
          <w:sz w:val="24"/>
        </w:rPr>
        <w:t> </w:t>
      </w:r>
      <w:r>
        <w:rPr>
          <w:sz w:val="24"/>
        </w:rPr>
        <w:t>appropriate;</w:t>
      </w:r>
      <w:r>
        <w:rPr>
          <w:spacing w:val="-3"/>
          <w:sz w:val="24"/>
        </w:rPr>
        <w:t> </w:t>
      </w:r>
      <w:r>
        <w:rPr>
          <w:spacing w:val="-5"/>
          <w:sz w:val="24"/>
        </w:rPr>
        <w:t>and</w:t>
      </w:r>
    </w:p>
    <w:p>
      <w:pPr>
        <w:pStyle w:val="ListParagraph"/>
        <w:numPr>
          <w:ilvl w:val="1"/>
          <w:numId w:val="11"/>
        </w:numPr>
        <w:tabs>
          <w:tab w:pos="2470" w:val="left" w:leader="none"/>
        </w:tabs>
        <w:spacing w:line="480" w:lineRule="auto" w:before="1" w:after="0"/>
        <w:ind w:left="1702" w:right="3407" w:firstLine="407"/>
        <w:jc w:val="left"/>
        <w:rPr>
          <w:sz w:val="24"/>
        </w:rPr>
      </w:pPr>
      <w:r>
        <w:rPr>
          <w:sz w:val="24"/>
        </w:rPr>
        <w:t>to</w:t>
      </w:r>
      <w:r>
        <w:rPr>
          <w:spacing w:val="-7"/>
          <w:sz w:val="24"/>
        </w:rPr>
        <w:t> </w:t>
      </w:r>
      <w:r>
        <w:rPr>
          <w:sz w:val="24"/>
        </w:rPr>
        <w:t>review</w:t>
      </w:r>
      <w:r>
        <w:rPr>
          <w:spacing w:val="-5"/>
          <w:sz w:val="24"/>
        </w:rPr>
        <w:t> </w:t>
      </w:r>
      <w:r>
        <w:rPr>
          <w:sz w:val="24"/>
        </w:rPr>
        <w:t>the</w:t>
      </w:r>
      <w:r>
        <w:rPr>
          <w:spacing w:val="-5"/>
          <w:sz w:val="24"/>
        </w:rPr>
        <w:t> </w:t>
      </w:r>
      <w:r>
        <w:rPr>
          <w:sz w:val="24"/>
        </w:rPr>
        <w:t>format</w:t>
      </w:r>
      <w:r>
        <w:rPr>
          <w:spacing w:val="-5"/>
          <w:sz w:val="24"/>
        </w:rPr>
        <w:t> </w:t>
      </w:r>
      <w:r>
        <w:rPr>
          <w:sz w:val="24"/>
        </w:rPr>
        <w:t>of</w:t>
      </w:r>
      <w:r>
        <w:rPr>
          <w:spacing w:val="-5"/>
          <w:sz w:val="24"/>
        </w:rPr>
        <w:t> </w:t>
      </w:r>
      <w:r>
        <w:rPr>
          <w:sz w:val="24"/>
        </w:rPr>
        <w:t>the</w:t>
      </w:r>
      <w:r>
        <w:rPr>
          <w:spacing w:val="-5"/>
          <w:sz w:val="24"/>
        </w:rPr>
        <w:t> </w:t>
      </w:r>
      <w:r>
        <w:rPr>
          <w:sz w:val="24"/>
        </w:rPr>
        <w:t>Authority's</w:t>
      </w:r>
      <w:r>
        <w:rPr>
          <w:spacing w:val="-5"/>
          <w:sz w:val="24"/>
        </w:rPr>
        <w:t> </w:t>
      </w:r>
      <w:r>
        <w:rPr>
          <w:sz w:val="24"/>
        </w:rPr>
        <w:t>accounts The members of this Committee are:</w:t>
      </w:r>
    </w:p>
    <w:tbl>
      <w:tblPr>
        <w:tblW w:w="0" w:type="auto"/>
        <w:jc w:val="left"/>
        <w:tblInd w:w="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8"/>
      </w:tblGrid>
      <w:tr>
        <w:trPr>
          <w:trHeight w:val="278" w:hRule="atLeast"/>
        </w:trPr>
        <w:tc>
          <w:tcPr>
            <w:tcW w:w="4178" w:type="dxa"/>
          </w:tcPr>
          <w:p>
            <w:pPr>
              <w:pStyle w:val="TableParagraph"/>
              <w:spacing w:line="258" w:lineRule="exact"/>
              <w:ind w:left="50"/>
              <w:rPr>
                <w:sz w:val="24"/>
              </w:rPr>
            </w:pPr>
            <w:r>
              <w:rPr>
                <w:sz w:val="24"/>
              </w:rPr>
              <w:t>Mr.</w:t>
            </w:r>
            <w:r>
              <w:rPr>
                <w:spacing w:val="-1"/>
                <w:sz w:val="24"/>
              </w:rPr>
              <w:t> </w:t>
            </w:r>
            <w:r>
              <w:rPr>
                <w:sz w:val="24"/>
              </w:rPr>
              <w:t>Frank</w:t>
            </w:r>
            <w:r>
              <w:rPr>
                <w:spacing w:val="-3"/>
                <w:sz w:val="24"/>
              </w:rPr>
              <w:t> </w:t>
            </w:r>
            <w:r>
              <w:rPr>
                <w:sz w:val="24"/>
              </w:rPr>
              <w:t>Cunneen </w:t>
            </w:r>
            <w:r>
              <w:rPr>
                <w:spacing w:val="-2"/>
                <w:sz w:val="24"/>
              </w:rPr>
              <w:t>(Chairperson)</w:t>
            </w:r>
          </w:p>
        </w:tc>
      </w:tr>
      <w:tr>
        <w:trPr>
          <w:trHeight w:val="278" w:hRule="atLeast"/>
        </w:trPr>
        <w:tc>
          <w:tcPr>
            <w:tcW w:w="4178" w:type="dxa"/>
          </w:tcPr>
          <w:p>
            <w:pPr>
              <w:pStyle w:val="TableParagraph"/>
              <w:spacing w:line="258" w:lineRule="exact"/>
              <w:ind w:left="50"/>
              <w:rPr>
                <w:sz w:val="24"/>
              </w:rPr>
            </w:pPr>
            <w:r>
              <w:rPr>
                <w:sz w:val="24"/>
              </w:rPr>
              <w:t>Mr.</w:t>
            </w:r>
            <w:r>
              <w:rPr>
                <w:spacing w:val="-1"/>
                <w:sz w:val="24"/>
              </w:rPr>
              <w:t> </w:t>
            </w:r>
            <w:r>
              <w:rPr>
                <w:sz w:val="24"/>
              </w:rPr>
              <w:t>Pat</w:t>
            </w:r>
            <w:r>
              <w:rPr>
                <w:spacing w:val="-1"/>
                <w:sz w:val="24"/>
              </w:rPr>
              <w:t> </w:t>
            </w:r>
            <w:r>
              <w:rPr>
                <w:sz w:val="24"/>
              </w:rPr>
              <w:t>Fitzsimons</w:t>
            </w:r>
            <w:r>
              <w:rPr>
                <w:spacing w:val="-2"/>
                <w:sz w:val="24"/>
              </w:rPr>
              <w:t> (Independent)</w:t>
            </w:r>
          </w:p>
        </w:tc>
      </w:tr>
      <w:tr>
        <w:trPr>
          <w:trHeight w:val="278" w:hRule="atLeast"/>
        </w:trPr>
        <w:tc>
          <w:tcPr>
            <w:tcW w:w="4178" w:type="dxa"/>
          </w:tcPr>
          <w:p>
            <w:pPr>
              <w:pStyle w:val="TableParagraph"/>
              <w:spacing w:line="258" w:lineRule="exact"/>
              <w:ind w:left="50"/>
              <w:rPr>
                <w:sz w:val="24"/>
              </w:rPr>
            </w:pPr>
            <w:r>
              <w:rPr>
                <w:sz w:val="24"/>
              </w:rPr>
              <w:t>Ms.</w:t>
            </w:r>
            <w:r>
              <w:rPr>
                <w:spacing w:val="-3"/>
                <w:sz w:val="24"/>
              </w:rPr>
              <w:t> </w:t>
            </w:r>
            <w:r>
              <w:rPr>
                <w:sz w:val="24"/>
              </w:rPr>
              <w:t>Ruthann</w:t>
            </w:r>
            <w:r>
              <w:rPr>
                <w:spacing w:val="-1"/>
                <w:sz w:val="24"/>
              </w:rPr>
              <w:t> </w:t>
            </w:r>
            <w:r>
              <w:rPr>
                <w:sz w:val="24"/>
              </w:rPr>
              <w:t>La </w:t>
            </w:r>
            <w:r>
              <w:rPr>
                <w:spacing w:val="-2"/>
                <w:sz w:val="24"/>
              </w:rPr>
              <w:t>Malfa</w:t>
            </w:r>
          </w:p>
        </w:tc>
      </w:tr>
      <w:tr>
        <w:trPr>
          <w:trHeight w:val="278" w:hRule="atLeast"/>
        </w:trPr>
        <w:tc>
          <w:tcPr>
            <w:tcW w:w="4178" w:type="dxa"/>
          </w:tcPr>
          <w:p>
            <w:pPr>
              <w:pStyle w:val="TableParagraph"/>
              <w:spacing w:line="258" w:lineRule="exact"/>
              <w:ind w:left="50"/>
              <w:rPr>
                <w:sz w:val="24"/>
              </w:rPr>
            </w:pPr>
            <w:r>
              <w:rPr>
                <w:sz w:val="24"/>
              </w:rPr>
              <w:t>Mr.</w:t>
            </w:r>
            <w:r>
              <w:rPr>
                <w:spacing w:val="-2"/>
                <w:sz w:val="24"/>
              </w:rPr>
              <w:t> </w:t>
            </w:r>
            <w:r>
              <w:rPr>
                <w:sz w:val="24"/>
              </w:rPr>
              <w:t>Des</w:t>
            </w:r>
            <w:r>
              <w:rPr>
                <w:spacing w:val="-2"/>
                <w:sz w:val="24"/>
              </w:rPr>
              <w:t> Kenny</w:t>
            </w:r>
          </w:p>
        </w:tc>
      </w:tr>
      <w:tr>
        <w:trPr>
          <w:trHeight w:val="556" w:hRule="atLeast"/>
        </w:trPr>
        <w:tc>
          <w:tcPr>
            <w:tcW w:w="4178" w:type="dxa"/>
          </w:tcPr>
          <w:p>
            <w:pPr>
              <w:pStyle w:val="TableParagraph"/>
              <w:ind w:left="50"/>
              <w:rPr>
                <w:sz w:val="24"/>
              </w:rPr>
            </w:pPr>
            <w:r>
              <w:rPr>
                <w:sz w:val="24"/>
              </w:rPr>
              <w:t>Mr.</w:t>
            </w:r>
            <w:r>
              <w:rPr>
                <w:spacing w:val="-2"/>
                <w:sz w:val="24"/>
              </w:rPr>
              <w:t> </w:t>
            </w:r>
            <w:r>
              <w:rPr>
                <w:sz w:val="24"/>
              </w:rPr>
              <w:t>David</w:t>
            </w:r>
            <w:r>
              <w:rPr>
                <w:spacing w:val="-2"/>
                <w:sz w:val="24"/>
              </w:rPr>
              <w:t> </w:t>
            </w:r>
            <w:r>
              <w:rPr>
                <w:sz w:val="24"/>
              </w:rPr>
              <w:t>Scott</w:t>
            </w:r>
            <w:r>
              <w:rPr>
                <w:spacing w:val="-1"/>
                <w:sz w:val="24"/>
              </w:rPr>
              <w:t> </w:t>
            </w:r>
            <w:r>
              <w:rPr>
                <w:spacing w:val="-2"/>
                <w:sz w:val="24"/>
              </w:rPr>
              <w:t>(Independent)</w:t>
            </w:r>
          </w:p>
          <w:p>
            <w:pPr>
              <w:pStyle w:val="TableParagraph"/>
              <w:spacing w:line="258" w:lineRule="exact"/>
              <w:ind w:left="50"/>
              <w:rPr>
                <w:sz w:val="24"/>
              </w:rPr>
            </w:pPr>
            <w:r>
              <w:rPr>
                <w:sz w:val="24"/>
              </w:rPr>
              <w:t>Ms.</w:t>
            </w:r>
            <w:r>
              <w:rPr>
                <w:spacing w:val="-3"/>
                <w:sz w:val="24"/>
              </w:rPr>
              <w:t> </w:t>
            </w:r>
            <w:r>
              <w:rPr>
                <w:sz w:val="24"/>
              </w:rPr>
              <w:t>Aisling</w:t>
            </w:r>
            <w:r>
              <w:rPr>
                <w:spacing w:val="-2"/>
                <w:sz w:val="24"/>
              </w:rPr>
              <w:t> </w:t>
            </w:r>
            <w:r>
              <w:rPr>
                <w:sz w:val="24"/>
              </w:rPr>
              <w:t>Glynn</w:t>
            </w:r>
            <w:r>
              <w:rPr>
                <w:spacing w:val="-2"/>
                <w:sz w:val="24"/>
              </w:rPr>
              <w:t> </w:t>
            </w:r>
            <w:r>
              <w:rPr>
                <w:sz w:val="24"/>
              </w:rPr>
              <w:t>(Appointed</w:t>
            </w:r>
            <w:r>
              <w:rPr>
                <w:spacing w:val="-2"/>
                <w:sz w:val="24"/>
              </w:rPr>
              <w:t> 06/06/2017)</w:t>
            </w:r>
          </w:p>
        </w:tc>
      </w:tr>
    </w:tbl>
    <w:p>
      <w:pPr>
        <w:pStyle w:val="BodyText"/>
        <w:spacing w:before="2"/>
        <w:rPr>
          <w:sz w:val="24"/>
        </w:rPr>
      </w:pPr>
    </w:p>
    <w:p>
      <w:pPr>
        <w:spacing w:line="240" w:lineRule="auto" w:before="0"/>
        <w:ind w:left="1702" w:right="990" w:firstLine="0"/>
        <w:jc w:val="both"/>
        <w:rPr>
          <w:sz w:val="24"/>
        </w:rPr>
      </w:pPr>
      <w:r>
        <w:rPr>
          <w:sz w:val="24"/>
        </w:rPr>
        <w:t>The</w:t>
      </w:r>
      <w:r>
        <w:rPr>
          <w:spacing w:val="-7"/>
          <w:sz w:val="24"/>
        </w:rPr>
        <w:t> </w:t>
      </w:r>
      <w:r>
        <w:rPr>
          <w:sz w:val="24"/>
        </w:rPr>
        <w:t>Finance</w:t>
      </w:r>
      <w:r>
        <w:rPr>
          <w:spacing w:val="-6"/>
          <w:sz w:val="24"/>
        </w:rPr>
        <w:t> </w:t>
      </w:r>
      <w:r>
        <w:rPr>
          <w:sz w:val="24"/>
        </w:rPr>
        <w:t>Committee</w:t>
      </w:r>
      <w:r>
        <w:rPr>
          <w:spacing w:val="-9"/>
          <w:sz w:val="24"/>
        </w:rPr>
        <w:t> </w:t>
      </w:r>
      <w:r>
        <w:rPr>
          <w:sz w:val="24"/>
        </w:rPr>
        <w:t>is</w:t>
      </w:r>
      <w:r>
        <w:rPr>
          <w:spacing w:val="-8"/>
          <w:sz w:val="24"/>
        </w:rPr>
        <w:t> </w:t>
      </w:r>
      <w:r>
        <w:rPr>
          <w:sz w:val="24"/>
        </w:rPr>
        <w:t>obliged</w:t>
      </w:r>
      <w:r>
        <w:rPr>
          <w:spacing w:val="-7"/>
          <w:sz w:val="24"/>
        </w:rPr>
        <w:t> </w:t>
      </w:r>
      <w:r>
        <w:rPr>
          <w:sz w:val="24"/>
        </w:rPr>
        <w:t>to</w:t>
      </w:r>
      <w:r>
        <w:rPr>
          <w:spacing w:val="-8"/>
          <w:sz w:val="24"/>
        </w:rPr>
        <w:t> </w:t>
      </w:r>
      <w:r>
        <w:rPr>
          <w:sz w:val="24"/>
        </w:rPr>
        <w:t>hold</w:t>
      </w:r>
      <w:r>
        <w:rPr>
          <w:spacing w:val="-7"/>
          <w:sz w:val="24"/>
        </w:rPr>
        <w:t> </w:t>
      </w:r>
      <w:r>
        <w:rPr>
          <w:sz w:val="24"/>
        </w:rPr>
        <w:t>at</w:t>
      </w:r>
      <w:r>
        <w:rPr>
          <w:spacing w:val="-7"/>
          <w:sz w:val="24"/>
        </w:rPr>
        <w:t> </w:t>
      </w:r>
      <w:r>
        <w:rPr>
          <w:sz w:val="24"/>
        </w:rPr>
        <w:t>least</w:t>
      </w:r>
      <w:r>
        <w:rPr>
          <w:spacing w:val="-7"/>
          <w:sz w:val="24"/>
        </w:rPr>
        <w:t> </w:t>
      </w:r>
      <w:r>
        <w:rPr>
          <w:sz w:val="24"/>
        </w:rPr>
        <w:t>four</w:t>
      </w:r>
      <w:r>
        <w:rPr>
          <w:spacing w:val="-6"/>
          <w:sz w:val="24"/>
        </w:rPr>
        <w:t> </w:t>
      </w:r>
      <w:r>
        <w:rPr>
          <w:sz w:val="24"/>
        </w:rPr>
        <w:t>meetings</w:t>
      </w:r>
      <w:r>
        <w:rPr>
          <w:spacing w:val="-7"/>
          <w:sz w:val="24"/>
        </w:rPr>
        <w:t> </w:t>
      </w:r>
      <w:r>
        <w:rPr>
          <w:sz w:val="24"/>
        </w:rPr>
        <w:t>each</w:t>
      </w:r>
      <w:r>
        <w:rPr>
          <w:spacing w:val="-9"/>
          <w:sz w:val="24"/>
        </w:rPr>
        <w:t> </w:t>
      </w:r>
      <w:r>
        <w:rPr>
          <w:sz w:val="24"/>
        </w:rPr>
        <w:t>year,</w:t>
      </w:r>
      <w:r>
        <w:rPr>
          <w:spacing w:val="-9"/>
          <w:sz w:val="24"/>
        </w:rPr>
        <w:t> </w:t>
      </w:r>
      <w:r>
        <w:rPr>
          <w:sz w:val="24"/>
        </w:rPr>
        <w:t>one</w:t>
      </w:r>
      <w:r>
        <w:rPr>
          <w:spacing w:val="-7"/>
          <w:sz w:val="24"/>
        </w:rPr>
        <w:t> </w:t>
      </w:r>
      <w:r>
        <w:rPr>
          <w:sz w:val="24"/>
        </w:rPr>
        <w:t>of </w:t>
      </w:r>
      <w:r>
        <w:rPr>
          <w:spacing w:val="-2"/>
          <w:sz w:val="24"/>
        </w:rPr>
        <w:t>which</w:t>
      </w:r>
      <w:r>
        <w:rPr>
          <w:spacing w:val="-8"/>
          <w:sz w:val="24"/>
        </w:rPr>
        <w:t> </w:t>
      </w:r>
      <w:r>
        <w:rPr>
          <w:spacing w:val="-2"/>
          <w:sz w:val="24"/>
        </w:rPr>
        <w:t>must</w:t>
      </w:r>
      <w:r>
        <w:rPr>
          <w:spacing w:val="-8"/>
          <w:sz w:val="24"/>
        </w:rPr>
        <w:t> </w:t>
      </w:r>
      <w:r>
        <w:rPr>
          <w:spacing w:val="-2"/>
          <w:sz w:val="24"/>
        </w:rPr>
        <w:t>coincide</w:t>
      </w:r>
      <w:r>
        <w:rPr>
          <w:spacing w:val="-6"/>
          <w:sz w:val="24"/>
        </w:rPr>
        <w:t> </w:t>
      </w:r>
      <w:r>
        <w:rPr>
          <w:spacing w:val="-2"/>
          <w:sz w:val="24"/>
        </w:rPr>
        <w:t>with</w:t>
      </w:r>
      <w:r>
        <w:rPr>
          <w:spacing w:val="-8"/>
          <w:sz w:val="24"/>
        </w:rPr>
        <w:t> </w:t>
      </w:r>
      <w:r>
        <w:rPr>
          <w:spacing w:val="-2"/>
          <w:sz w:val="24"/>
        </w:rPr>
        <w:t>the</w:t>
      </w:r>
      <w:r>
        <w:rPr>
          <w:spacing w:val="-8"/>
          <w:sz w:val="24"/>
        </w:rPr>
        <w:t> </w:t>
      </w:r>
      <w:r>
        <w:rPr>
          <w:spacing w:val="-2"/>
          <w:sz w:val="24"/>
        </w:rPr>
        <w:t>recommendation</w:t>
      </w:r>
      <w:r>
        <w:rPr>
          <w:spacing w:val="-8"/>
          <w:sz w:val="24"/>
        </w:rPr>
        <w:t> </w:t>
      </w:r>
      <w:r>
        <w:rPr>
          <w:spacing w:val="-2"/>
          <w:sz w:val="24"/>
        </w:rPr>
        <w:t>for</w:t>
      </w:r>
      <w:r>
        <w:rPr>
          <w:spacing w:val="-10"/>
          <w:sz w:val="24"/>
        </w:rPr>
        <w:t> </w:t>
      </w:r>
      <w:r>
        <w:rPr>
          <w:spacing w:val="-2"/>
          <w:sz w:val="24"/>
        </w:rPr>
        <w:t>approval</w:t>
      </w:r>
      <w:r>
        <w:rPr>
          <w:spacing w:val="-6"/>
          <w:sz w:val="24"/>
        </w:rPr>
        <w:t> </w:t>
      </w:r>
      <w:r>
        <w:rPr>
          <w:spacing w:val="-2"/>
          <w:sz w:val="24"/>
        </w:rPr>
        <w:t>of</w:t>
      </w:r>
      <w:r>
        <w:rPr>
          <w:spacing w:val="-8"/>
          <w:sz w:val="24"/>
        </w:rPr>
        <w:t> </w:t>
      </w:r>
      <w:r>
        <w:rPr>
          <w:spacing w:val="-2"/>
          <w:sz w:val="24"/>
        </w:rPr>
        <w:t>the</w:t>
      </w:r>
      <w:r>
        <w:rPr>
          <w:spacing w:val="-8"/>
          <w:sz w:val="24"/>
        </w:rPr>
        <w:t> </w:t>
      </w:r>
      <w:r>
        <w:rPr>
          <w:spacing w:val="-2"/>
          <w:sz w:val="24"/>
        </w:rPr>
        <w:t>annual</w:t>
      </w:r>
      <w:r>
        <w:rPr>
          <w:spacing w:val="-6"/>
          <w:sz w:val="24"/>
        </w:rPr>
        <w:t> </w:t>
      </w:r>
      <w:r>
        <w:rPr>
          <w:spacing w:val="-2"/>
          <w:sz w:val="24"/>
        </w:rPr>
        <w:t>statutory </w:t>
      </w:r>
      <w:r>
        <w:rPr>
          <w:sz w:val="24"/>
        </w:rPr>
        <w:t>accounts</w:t>
      </w:r>
      <w:r>
        <w:rPr>
          <w:spacing w:val="-5"/>
          <w:sz w:val="24"/>
        </w:rPr>
        <w:t> </w:t>
      </w:r>
      <w:r>
        <w:rPr>
          <w:sz w:val="24"/>
        </w:rPr>
        <w:t>by</w:t>
      </w:r>
      <w:r>
        <w:rPr>
          <w:spacing w:val="-3"/>
          <w:sz w:val="24"/>
        </w:rPr>
        <w:t> </w:t>
      </w:r>
      <w:r>
        <w:rPr>
          <w:sz w:val="24"/>
        </w:rPr>
        <w:t>the</w:t>
      </w:r>
      <w:r>
        <w:rPr>
          <w:spacing w:val="-3"/>
          <w:sz w:val="24"/>
        </w:rPr>
        <w:t> </w:t>
      </w:r>
      <w:r>
        <w:rPr>
          <w:sz w:val="24"/>
        </w:rPr>
        <w:t>Authority.</w:t>
      </w:r>
      <w:r>
        <w:rPr>
          <w:spacing w:val="-3"/>
          <w:sz w:val="24"/>
        </w:rPr>
        <w:t> </w:t>
      </w:r>
      <w:r>
        <w:rPr>
          <w:sz w:val="24"/>
        </w:rPr>
        <w:t>There</w:t>
      </w:r>
      <w:r>
        <w:rPr>
          <w:spacing w:val="-3"/>
          <w:sz w:val="24"/>
        </w:rPr>
        <w:t> </w:t>
      </w:r>
      <w:r>
        <w:rPr>
          <w:sz w:val="24"/>
        </w:rPr>
        <w:t>were</w:t>
      </w:r>
      <w:r>
        <w:rPr>
          <w:spacing w:val="-3"/>
          <w:sz w:val="24"/>
        </w:rPr>
        <w:t> </w:t>
      </w:r>
      <w:r>
        <w:rPr>
          <w:sz w:val="24"/>
        </w:rPr>
        <w:t>six</w:t>
      </w:r>
      <w:r>
        <w:rPr>
          <w:spacing w:val="-3"/>
          <w:sz w:val="24"/>
        </w:rPr>
        <w:t> </w:t>
      </w:r>
      <w:r>
        <w:rPr>
          <w:sz w:val="24"/>
        </w:rPr>
        <w:t>meetings</w:t>
      </w:r>
      <w:r>
        <w:rPr>
          <w:spacing w:val="-3"/>
          <w:sz w:val="24"/>
        </w:rPr>
        <w:t> </w:t>
      </w:r>
      <w:r>
        <w:rPr>
          <w:sz w:val="24"/>
        </w:rPr>
        <w:t>of</w:t>
      </w:r>
      <w:r>
        <w:rPr>
          <w:spacing w:val="-3"/>
          <w:sz w:val="24"/>
        </w:rPr>
        <w:t> </w:t>
      </w:r>
      <w:r>
        <w:rPr>
          <w:sz w:val="24"/>
        </w:rPr>
        <w:t>the</w:t>
      </w:r>
      <w:r>
        <w:rPr>
          <w:spacing w:val="-3"/>
          <w:sz w:val="24"/>
        </w:rPr>
        <w:t> </w:t>
      </w:r>
      <w:r>
        <w:rPr>
          <w:sz w:val="24"/>
        </w:rPr>
        <w:t>Finance</w:t>
      </w:r>
      <w:r>
        <w:rPr>
          <w:spacing w:val="-2"/>
          <w:sz w:val="24"/>
        </w:rPr>
        <w:t> </w:t>
      </w:r>
      <w:r>
        <w:rPr>
          <w:sz w:val="24"/>
        </w:rPr>
        <w:t>Committee</w:t>
      </w:r>
      <w:r>
        <w:rPr>
          <w:spacing w:val="-3"/>
          <w:sz w:val="24"/>
        </w:rPr>
        <w:t> </w:t>
      </w:r>
      <w:r>
        <w:rPr>
          <w:sz w:val="24"/>
        </w:rPr>
        <w:t>in </w:t>
      </w:r>
      <w:r>
        <w:rPr>
          <w:spacing w:val="-2"/>
          <w:sz w:val="24"/>
        </w:rPr>
        <w:t>2017.</w:t>
      </w:r>
    </w:p>
    <w:p>
      <w:pPr>
        <w:spacing w:after="0" w:line="240" w:lineRule="auto"/>
        <w:jc w:val="both"/>
        <w:rPr>
          <w:sz w:val="24"/>
        </w:rPr>
        <w:sectPr>
          <w:pgSz w:w="11910" w:h="16850"/>
          <w:pgMar w:header="0" w:footer="811" w:top="1880" w:bottom="1000" w:left="283" w:right="992"/>
        </w:sectPr>
      </w:pPr>
    </w:p>
    <w:p>
      <w:pPr>
        <w:pStyle w:val="ListParagraph"/>
        <w:numPr>
          <w:ilvl w:val="0"/>
          <w:numId w:val="11"/>
        </w:numPr>
        <w:tabs>
          <w:tab w:pos="1966" w:val="left" w:leader="none"/>
        </w:tabs>
        <w:spacing w:line="240" w:lineRule="auto" w:before="78" w:after="0"/>
        <w:ind w:left="1966" w:right="0" w:hanging="264"/>
        <w:jc w:val="left"/>
        <w:rPr>
          <w:b/>
          <w:sz w:val="24"/>
        </w:rPr>
      </w:pPr>
      <w:r>
        <w:rPr>
          <w:b/>
          <w:sz w:val="24"/>
        </w:rPr>
        <w:t>Risk </w:t>
      </w:r>
      <w:r>
        <w:rPr>
          <w:b/>
          <w:spacing w:val="-2"/>
          <w:sz w:val="24"/>
        </w:rPr>
        <w:t>Committee</w:t>
      </w:r>
    </w:p>
    <w:p>
      <w:pPr>
        <w:pStyle w:val="BodyText"/>
        <w:spacing w:before="120"/>
        <w:rPr>
          <w:b/>
          <w:sz w:val="24"/>
        </w:rPr>
      </w:pPr>
    </w:p>
    <w:p>
      <w:pPr>
        <w:spacing w:before="0"/>
        <w:ind w:left="1702" w:right="986" w:firstLine="0"/>
        <w:jc w:val="both"/>
        <w:rPr>
          <w:sz w:val="24"/>
        </w:rPr>
      </w:pPr>
      <w:r>
        <w:rPr>
          <w:sz w:val="24"/>
        </w:rPr>
        <w:t>The Risk Committee consists of an independent Chair i.e., an independent member of the NDA Audit Committee as nominated by that Committee, and is comprised</w:t>
      </w:r>
      <w:r>
        <w:rPr>
          <w:spacing w:val="-10"/>
          <w:sz w:val="24"/>
        </w:rPr>
        <w:t> </w:t>
      </w:r>
      <w:r>
        <w:rPr>
          <w:sz w:val="24"/>
        </w:rPr>
        <w:t>of</w:t>
      </w:r>
      <w:r>
        <w:rPr>
          <w:spacing w:val="-11"/>
          <w:sz w:val="24"/>
        </w:rPr>
        <w:t> </w:t>
      </w:r>
      <w:r>
        <w:rPr>
          <w:sz w:val="24"/>
        </w:rPr>
        <w:t>the</w:t>
      </w:r>
      <w:r>
        <w:rPr>
          <w:spacing w:val="-11"/>
          <w:sz w:val="24"/>
        </w:rPr>
        <w:t> </w:t>
      </w:r>
      <w:r>
        <w:rPr>
          <w:sz w:val="24"/>
        </w:rPr>
        <w:t>senior</w:t>
      </w:r>
      <w:r>
        <w:rPr>
          <w:spacing w:val="-7"/>
          <w:sz w:val="24"/>
        </w:rPr>
        <w:t> </w:t>
      </w:r>
      <w:r>
        <w:rPr>
          <w:sz w:val="24"/>
        </w:rPr>
        <w:t>management</w:t>
      </w:r>
      <w:r>
        <w:rPr>
          <w:spacing w:val="-11"/>
          <w:sz w:val="24"/>
        </w:rPr>
        <w:t> </w:t>
      </w:r>
      <w:r>
        <w:rPr>
          <w:sz w:val="24"/>
        </w:rPr>
        <w:t>group,</w:t>
      </w:r>
      <w:r>
        <w:rPr>
          <w:spacing w:val="-10"/>
          <w:sz w:val="24"/>
        </w:rPr>
        <w:t> </w:t>
      </w:r>
      <w:r>
        <w:rPr>
          <w:sz w:val="24"/>
        </w:rPr>
        <w:t>and</w:t>
      </w:r>
      <w:r>
        <w:rPr>
          <w:spacing w:val="-12"/>
          <w:sz w:val="24"/>
        </w:rPr>
        <w:t> </w:t>
      </w:r>
      <w:r>
        <w:rPr>
          <w:sz w:val="24"/>
        </w:rPr>
        <w:t>a</w:t>
      </w:r>
      <w:r>
        <w:rPr>
          <w:spacing w:val="-9"/>
          <w:sz w:val="24"/>
        </w:rPr>
        <w:t> </w:t>
      </w:r>
      <w:r>
        <w:rPr>
          <w:sz w:val="24"/>
        </w:rPr>
        <w:t>nominated</w:t>
      </w:r>
      <w:r>
        <w:rPr>
          <w:spacing w:val="-11"/>
          <w:sz w:val="24"/>
        </w:rPr>
        <w:t> </w:t>
      </w:r>
      <w:r>
        <w:rPr>
          <w:sz w:val="24"/>
        </w:rPr>
        <w:t>representative</w:t>
      </w:r>
      <w:r>
        <w:rPr>
          <w:spacing w:val="-9"/>
          <w:sz w:val="24"/>
        </w:rPr>
        <w:t> </w:t>
      </w:r>
      <w:r>
        <w:rPr>
          <w:sz w:val="24"/>
        </w:rPr>
        <w:t>from the NDA Finance Committee.</w:t>
      </w:r>
    </w:p>
    <w:p>
      <w:pPr>
        <w:pStyle w:val="BodyText"/>
        <w:rPr>
          <w:sz w:val="24"/>
        </w:rPr>
      </w:pPr>
    </w:p>
    <w:p>
      <w:pPr>
        <w:spacing w:before="0"/>
        <w:ind w:left="1702" w:right="0" w:firstLine="0"/>
        <w:jc w:val="both"/>
        <w:rPr>
          <w:sz w:val="24"/>
        </w:rPr>
      </w:pPr>
      <w:r>
        <w:rPr>
          <w:sz w:val="24"/>
        </w:rPr>
        <w:t>The</w:t>
      </w:r>
      <w:r>
        <w:rPr>
          <w:spacing w:val="-1"/>
          <w:sz w:val="24"/>
        </w:rPr>
        <w:t> </w:t>
      </w:r>
      <w:r>
        <w:rPr>
          <w:sz w:val="24"/>
        </w:rPr>
        <w:t>duties</w:t>
      </w:r>
      <w:r>
        <w:rPr>
          <w:spacing w:val="-2"/>
          <w:sz w:val="24"/>
        </w:rPr>
        <w:t> </w:t>
      </w:r>
      <w:r>
        <w:rPr>
          <w:sz w:val="24"/>
        </w:rPr>
        <w:t>of the</w:t>
      </w:r>
      <w:r>
        <w:rPr>
          <w:spacing w:val="-1"/>
          <w:sz w:val="24"/>
        </w:rPr>
        <w:t> </w:t>
      </w:r>
      <w:r>
        <w:rPr>
          <w:sz w:val="24"/>
        </w:rPr>
        <w:t>Committee are as </w:t>
      </w:r>
      <w:r>
        <w:rPr>
          <w:spacing w:val="-2"/>
          <w:sz w:val="24"/>
        </w:rPr>
        <w:t>follows:</w:t>
      </w:r>
    </w:p>
    <w:p>
      <w:pPr>
        <w:pStyle w:val="BodyText"/>
        <w:spacing w:before="1"/>
        <w:rPr>
          <w:sz w:val="24"/>
        </w:rPr>
      </w:pPr>
    </w:p>
    <w:p>
      <w:pPr>
        <w:pStyle w:val="ListParagraph"/>
        <w:numPr>
          <w:ilvl w:val="1"/>
          <w:numId w:val="11"/>
        </w:numPr>
        <w:tabs>
          <w:tab w:pos="2422" w:val="left" w:leader="none"/>
        </w:tabs>
        <w:spacing w:line="240" w:lineRule="auto" w:before="0" w:after="0"/>
        <w:ind w:left="2422" w:right="992" w:hanging="360"/>
        <w:jc w:val="both"/>
        <w:rPr>
          <w:sz w:val="24"/>
        </w:rPr>
      </w:pPr>
      <w:r>
        <w:rPr>
          <w:sz w:val="24"/>
        </w:rPr>
        <w:t>Defining and reviewing the policy for the management of risks across the </w:t>
      </w:r>
      <w:r>
        <w:rPr>
          <w:spacing w:val="-4"/>
          <w:sz w:val="24"/>
        </w:rPr>
        <w:t>NDA</w:t>
      </w:r>
    </w:p>
    <w:p>
      <w:pPr>
        <w:pStyle w:val="ListParagraph"/>
        <w:numPr>
          <w:ilvl w:val="1"/>
          <w:numId w:val="11"/>
        </w:numPr>
        <w:tabs>
          <w:tab w:pos="2420" w:val="left" w:leader="none"/>
        </w:tabs>
        <w:spacing w:line="240" w:lineRule="auto" w:before="0" w:after="0"/>
        <w:ind w:left="2420" w:right="0" w:hanging="358"/>
        <w:jc w:val="both"/>
        <w:rPr>
          <w:sz w:val="24"/>
        </w:rPr>
      </w:pPr>
      <w:r>
        <w:rPr>
          <w:sz w:val="24"/>
        </w:rPr>
        <w:t>Overseeing</w:t>
      </w:r>
      <w:r>
        <w:rPr>
          <w:spacing w:val="-1"/>
          <w:sz w:val="24"/>
        </w:rPr>
        <w:t> </w:t>
      </w:r>
      <w:r>
        <w:rPr>
          <w:sz w:val="24"/>
        </w:rPr>
        <w:t>the</w:t>
      </w:r>
      <w:r>
        <w:rPr>
          <w:spacing w:val="-1"/>
          <w:sz w:val="24"/>
        </w:rPr>
        <w:t> </w:t>
      </w:r>
      <w:r>
        <w:rPr>
          <w:sz w:val="24"/>
        </w:rPr>
        <w:t>implementation of</w:t>
      </w:r>
      <w:r>
        <w:rPr>
          <w:spacing w:val="-1"/>
          <w:sz w:val="24"/>
        </w:rPr>
        <w:t> </w:t>
      </w:r>
      <w:r>
        <w:rPr>
          <w:sz w:val="24"/>
        </w:rPr>
        <w:t>the</w:t>
      </w:r>
      <w:r>
        <w:rPr>
          <w:spacing w:val="-1"/>
          <w:sz w:val="24"/>
        </w:rPr>
        <w:t> </w:t>
      </w:r>
      <w:r>
        <w:rPr>
          <w:sz w:val="24"/>
        </w:rPr>
        <w:t>risk</w:t>
      </w:r>
      <w:r>
        <w:rPr>
          <w:spacing w:val="-1"/>
          <w:sz w:val="24"/>
        </w:rPr>
        <w:t> </w:t>
      </w:r>
      <w:r>
        <w:rPr>
          <w:sz w:val="24"/>
        </w:rPr>
        <w:t>management</w:t>
      </w:r>
      <w:r>
        <w:rPr>
          <w:spacing w:val="-1"/>
          <w:sz w:val="24"/>
        </w:rPr>
        <w:t> </w:t>
      </w:r>
      <w:r>
        <w:rPr>
          <w:spacing w:val="-2"/>
          <w:sz w:val="24"/>
        </w:rPr>
        <w:t>policy</w:t>
      </w:r>
    </w:p>
    <w:p>
      <w:pPr>
        <w:pStyle w:val="ListParagraph"/>
        <w:numPr>
          <w:ilvl w:val="1"/>
          <w:numId w:val="11"/>
        </w:numPr>
        <w:tabs>
          <w:tab w:pos="2420" w:val="left" w:leader="none"/>
          <w:tab w:pos="2422" w:val="left" w:leader="none"/>
        </w:tabs>
        <w:spacing w:line="240" w:lineRule="auto" w:before="0" w:after="0"/>
        <w:ind w:left="2422" w:right="988" w:hanging="360"/>
        <w:jc w:val="both"/>
        <w:rPr>
          <w:sz w:val="24"/>
        </w:rPr>
      </w:pPr>
      <w:r>
        <w:rPr>
          <w:sz w:val="24"/>
        </w:rPr>
        <w:t>Supporting the Authority and Senior Management in fulfilling their responsibilities</w:t>
      </w:r>
      <w:r>
        <w:rPr>
          <w:spacing w:val="-10"/>
          <w:sz w:val="24"/>
        </w:rPr>
        <w:t> </w:t>
      </w:r>
      <w:r>
        <w:rPr>
          <w:sz w:val="24"/>
        </w:rPr>
        <w:t>by</w:t>
      </w:r>
      <w:r>
        <w:rPr>
          <w:spacing w:val="-8"/>
          <w:sz w:val="24"/>
        </w:rPr>
        <w:t> </w:t>
      </w:r>
      <w:r>
        <w:rPr>
          <w:sz w:val="24"/>
        </w:rPr>
        <w:t>providing</w:t>
      </w:r>
      <w:r>
        <w:rPr>
          <w:spacing w:val="-8"/>
          <w:sz w:val="24"/>
        </w:rPr>
        <w:t> </w:t>
      </w:r>
      <w:r>
        <w:rPr>
          <w:sz w:val="24"/>
        </w:rPr>
        <w:t>a</w:t>
      </w:r>
      <w:r>
        <w:rPr>
          <w:spacing w:val="-10"/>
          <w:sz w:val="24"/>
        </w:rPr>
        <w:t> </w:t>
      </w:r>
      <w:r>
        <w:rPr>
          <w:sz w:val="24"/>
        </w:rPr>
        <w:t>framework</w:t>
      </w:r>
      <w:r>
        <w:rPr>
          <w:spacing w:val="-11"/>
          <w:sz w:val="24"/>
        </w:rPr>
        <w:t> </w:t>
      </w:r>
      <w:r>
        <w:rPr>
          <w:sz w:val="24"/>
        </w:rPr>
        <w:t>and</w:t>
      </w:r>
      <w:r>
        <w:rPr>
          <w:spacing w:val="-8"/>
          <w:sz w:val="24"/>
        </w:rPr>
        <w:t> </w:t>
      </w:r>
      <w:r>
        <w:rPr>
          <w:sz w:val="24"/>
        </w:rPr>
        <w:t>processes</w:t>
      </w:r>
      <w:r>
        <w:rPr>
          <w:spacing w:val="-10"/>
          <w:sz w:val="24"/>
        </w:rPr>
        <w:t> </w:t>
      </w:r>
      <w:r>
        <w:rPr>
          <w:sz w:val="24"/>
        </w:rPr>
        <w:t>for</w:t>
      </w:r>
      <w:r>
        <w:rPr>
          <w:spacing w:val="-8"/>
          <w:sz w:val="24"/>
        </w:rPr>
        <w:t> </w:t>
      </w:r>
      <w:r>
        <w:rPr>
          <w:sz w:val="24"/>
        </w:rPr>
        <w:t>managing</w:t>
      </w:r>
      <w:r>
        <w:rPr>
          <w:spacing w:val="-10"/>
          <w:sz w:val="24"/>
        </w:rPr>
        <w:t> </w:t>
      </w:r>
      <w:r>
        <w:rPr>
          <w:sz w:val="24"/>
        </w:rPr>
        <w:t>risks</w:t>
      </w:r>
    </w:p>
    <w:p>
      <w:pPr>
        <w:pStyle w:val="ListParagraph"/>
        <w:numPr>
          <w:ilvl w:val="1"/>
          <w:numId w:val="11"/>
        </w:numPr>
        <w:tabs>
          <w:tab w:pos="2420" w:val="left" w:leader="none"/>
          <w:tab w:pos="2422" w:val="left" w:leader="none"/>
        </w:tabs>
        <w:spacing w:line="240" w:lineRule="auto" w:before="1" w:after="0"/>
        <w:ind w:left="2422" w:right="989" w:hanging="360"/>
        <w:jc w:val="both"/>
        <w:rPr>
          <w:sz w:val="24"/>
        </w:rPr>
      </w:pPr>
      <w:r>
        <w:rPr>
          <w:sz w:val="24"/>
        </w:rPr>
        <w:t>Promoting awareness of risk management and ensuring that there is a comprehensive</w:t>
      </w:r>
      <w:r>
        <w:rPr>
          <w:spacing w:val="-7"/>
          <w:sz w:val="24"/>
        </w:rPr>
        <w:t> </w:t>
      </w:r>
      <w:r>
        <w:rPr>
          <w:sz w:val="24"/>
        </w:rPr>
        <w:t>process</w:t>
      </w:r>
      <w:r>
        <w:rPr>
          <w:spacing w:val="-8"/>
          <w:sz w:val="24"/>
        </w:rPr>
        <w:t> </w:t>
      </w:r>
      <w:r>
        <w:rPr>
          <w:sz w:val="24"/>
        </w:rPr>
        <w:t>to</w:t>
      </w:r>
      <w:r>
        <w:rPr>
          <w:spacing w:val="-8"/>
          <w:sz w:val="24"/>
        </w:rPr>
        <w:t> </w:t>
      </w:r>
      <w:r>
        <w:rPr>
          <w:sz w:val="24"/>
        </w:rPr>
        <w:t>identify,</w:t>
      </w:r>
      <w:r>
        <w:rPr>
          <w:spacing w:val="-8"/>
          <w:sz w:val="24"/>
        </w:rPr>
        <w:t> </w:t>
      </w:r>
      <w:r>
        <w:rPr>
          <w:sz w:val="24"/>
        </w:rPr>
        <w:t>assess,</w:t>
      </w:r>
      <w:r>
        <w:rPr>
          <w:spacing w:val="-7"/>
          <w:sz w:val="24"/>
        </w:rPr>
        <w:t> </w:t>
      </w:r>
      <w:r>
        <w:rPr>
          <w:sz w:val="24"/>
        </w:rPr>
        <w:t>manage,</w:t>
      </w:r>
      <w:r>
        <w:rPr>
          <w:spacing w:val="-7"/>
          <w:sz w:val="24"/>
        </w:rPr>
        <w:t> </w:t>
      </w:r>
      <w:r>
        <w:rPr>
          <w:sz w:val="24"/>
        </w:rPr>
        <w:t>monitor</w:t>
      </w:r>
      <w:r>
        <w:rPr>
          <w:spacing w:val="-7"/>
          <w:sz w:val="24"/>
        </w:rPr>
        <w:t> </w:t>
      </w:r>
      <w:r>
        <w:rPr>
          <w:sz w:val="24"/>
        </w:rPr>
        <w:t>and</w:t>
      </w:r>
      <w:r>
        <w:rPr>
          <w:spacing w:val="-10"/>
          <w:sz w:val="24"/>
        </w:rPr>
        <w:t> </w:t>
      </w:r>
      <w:r>
        <w:rPr>
          <w:sz w:val="24"/>
        </w:rPr>
        <w:t>report</w:t>
      </w:r>
      <w:r>
        <w:rPr>
          <w:spacing w:val="-7"/>
          <w:sz w:val="24"/>
        </w:rPr>
        <w:t> </w:t>
      </w:r>
      <w:r>
        <w:rPr>
          <w:sz w:val="24"/>
        </w:rPr>
        <w:t>on risks within the NDA</w:t>
      </w:r>
    </w:p>
    <w:p>
      <w:pPr>
        <w:pStyle w:val="ListParagraph"/>
        <w:numPr>
          <w:ilvl w:val="1"/>
          <w:numId w:val="11"/>
        </w:numPr>
        <w:tabs>
          <w:tab w:pos="2421" w:val="left" w:leader="none"/>
        </w:tabs>
        <w:spacing w:line="276" w:lineRule="exact" w:before="0" w:after="0"/>
        <w:ind w:left="2421" w:right="0" w:hanging="359"/>
        <w:jc w:val="both"/>
        <w:rPr>
          <w:sz w:val="24"/>
        </w:rPr>
      </w:pPr>
      <w:r>
        <w:rPr>
          <w:sz w:val="24"/>
        </w:rPr>
        <w:t>Undertake</w:t>
      </w:r>
      <w:r>
        <w:rPr>
          <w:spacing w:val="-1"/>
          <w:sz w:val="24"/>
        </w:rPr>
        <w:t> </w:t>
      </w:r>
      <w:r>
        <w:rPr>
          <w:sz w:val="24"/>
        </w:rPr>
        <w:t>a</w:t>
      </w:r>
      <w:r>
        <w:rPr>
          <w:spacing w:val="-3"/>
          <w:sz w:val="24"/>
        </w:rPr>
        <w:t> </w:t>
      </w:r>
      <w:r>
        <w:rPr>
          <w:sz w:val="24"/>
        </w:rPr>
        <w:t>formal</w:t>
      </w:r>
      <w:r>
        <w:rPr>
          <w:spacing w:val="-3"/>
          <w:sz w:val="24"/>
        </w:rPr>
        <w:t> </w:t>
      </w:r>
      <w:r>
        <w:rPr>
          <w:sz w:val="24"/>
        </w:rPr>
        <w:t>review</w:t>
      </w:r>
      <w:r>
        <w:rPr>
          <w:spacing w:val="-1"/>
          <w:sz w:val="24"/>
        </w:rPr>
        <w:t> </w:t>
      </w:r>
      <w:r>
        <w:rPr>
          <w:sz w:val="24"/>
        </w:rPr>
        <w:t>of</w:t>
      </w:r>
      <w:r>
        <w:rPr>
          <w:spacing w:val="-1"/>
          <w:sz w:val="24"/>
        </w:rPr>
        <w:t> </w:t>
      </w:r>
      <w:r>
        <w:rPr>
          <w:sz w:val="24"/>
        </w:rPr>
        <w:t>the</w:t>
      </w:r>
      <w:r>
        <w:rPr>
          <w:spacing w:val="-1"/>
          <w:sz w:val="24"/>
        </w:rPr>
        <w:t> </w:t>
      </w:r>
      <w:r>
        <w:rPr>
          <w:sz w:val="24"/>
        </w:rPr>
        <w:t>NDA’s</w:t>
      </w:r>
      <w:r>
        <w:rPr>
          <w:spacing w:val="-1"/>
          <w:sz w:val="24"/>
        </w:rPr>
        <w:t> </w:t>
      </w:r>
      <w:r>
        <w:rPr>
          <w:sz w:val="24"/>
        </w:rPr>
        <w:t>risks</w:t>
      </w:r>
      <w:r>
        <w:rPr>
          <w:spacing w:val="-2"/>
          <w:sz w:val="24"/>
        </w:rPr>
        <w:t> </w:t>
      </w:r>
      <w:r>
        <w:rPr>
          <w:sz w:val="24"/>
        </w:rPr>
        <w:t>on</w:t>
      </w:r>
      <w:r>
        <w:rPr>
          <w:spacing w:val="-1"/>
          <w:sz w:val="24"/>
        </w:rPr>
        <w:t> </w:t>
      </w:r>
      <w:r>
        <w:rPr>
          <w:sz w:val="24"/>
        </w:rPr>
        <w:t>an</w:t>
      </w:r>
      <w:r>
        <w:rPr>
          <w:spacing w:val="-1"/>
          <w:sz w:val="24"/>
        </w:rPr>
        <w:t> </w:t>
      </w:r>
      <w:r>
        <w:rPr>
          <w:sz w:val="24"/>
        </w:rPr>
        <w:t>annual </w:t>
      </w:r>
      <w:r>
        <w:rPr>
          <w:spacing w:val="-2"/>
          <w:sz w:val="24"/>
        </w:rPr>
        <w:t>basis</w:t>
      </w:r>
    </w:p>
    <w:p>
      <w:pPr>
        <w:pStyle w:val="ListParagraph"/>
        <w:numPr>
          <w:ilvl w:val="1"/>
          <w:numId w:val="11"/>
        </w:numPr>
        <w:tabs>
          <w:tab w:pos="2420" w:val="left" w:leader="none"/>
          <w:tab w:pos="2422" w:val="left" w:leader="none"/>
        </w:tabs>
        <w:spacing w:line="240" w:lineRule="auto" w:before="0" w:after="0"/>
        <w:ind w:left="2422" w:right="992" w:hanging="360"/>
        <w:jc w:val="both"/>
        <w:rPr>
          <w:sz w:val="24"/>
        </w:rPr>
      </w:pPr>
      <w:r>
        <w:rPr>
          <w:sz w:val="24"/>
        </w:rPr>
        <w:t>Reviewing</w:t>
      </w:r>
      <w:r>
        <w:rPr>
          <w:spacing w:val="-8"/>
          <w:sz w:val="24"/>
        </w:rPr>
        <w:t> </w:t>
      </w:r>
      <w:r>
        <w:rPr>
          <w:sz w:val="24"/>
        </w:rPr>
        <w:t>periodic</w:t>
      </w:r>
      <w:r>
        <w:rPr>
          <w:spacing w:val="-10"/>
          <w:sz w:val="24"/>
        </w:rPr>
        <w:t> </w:t>
      </w:r>
      <w:r>
        <w:rPr>
          <w:sz w:val="24"/>
        </w:rPr>
        <w:t>status</w:t>
      </w:r>
      <w:r>
        <w:rPr>
          <w:spacing w:val="-10"/>
          <w:sz w:val="24"/>
        </w:rPr>
        <w:t> </w:t>
      </w:r>
      <w:r>
        <w:rPr>
          <w:sz w:val="24"/>
        </w:rPr>
        <w:t>reports</w:t>
      </w:r>
      <w:r>
        <w:rPr>
          <w:spacing w:val="-10"/>
          <w:sz w:val="24"/>
        </w:rPr>
        <w:t> </w:t>
      </w:r>
      <w:r>
        <w:rPr>
          <w:sz w:val="24"/>
        </w:rPr>
        <w:t>which</w:t>
      </w:r>
      <w:r>
        <w:rPr>
          <w:spacing w:val="-9"/>
          <w:sz w:val="24"/>
        </w:rPr>
        <w:t> </w:t>
      </w:r>
      <w:r>
        <w:rPr>
          <w:sz w:val="24"/>
        </w:rPr>
        <w:t>summarise</w:t>
      </w:r>
      <w:r>
        <w:rPr>
          <w:spacing w:val="-9"/>
          <w:sz w:val="24"/>
        </w:rPr>
        <w:t> </w:t>
      </w:r>
      <w:r>
        <w:rPr>
          <w:sz w:val="24"/>
        </w:rPr>
        <w:t>the</w:t>
      </w:r>
      <w:r>
        <w:rPr>
          <w:spacing w:val="-9"/>
          <w:sz w:val="24"/>
        </w:rPr>
        <w:t> </w:t>
      </w:r>
      <w:r>
        <w:rPr>
          <w:sz w:val="24"/>
        </w:rPr>
        <w:t>status</w:t>
      </w:r>
      <w:r>
        <w:rPr>
          <w:spacing w:val="-10"/>
          <w:sz w:val="24"/>
        </w:rPr>
        <w:t> </w:t>
      </w:r>
      <w:r>
        <w:rPr>
          <w:sz w:val="24"/>
        </w:rPr>
        <w:t>of</w:t>
      </w:r>
      <w:r>
        <w:rPr>
          <w:spacing w:val="-9"/>
          <w:sz w:val="24"/>
        </w:rPr>
        <w:t> </w:t>
      </w:r>
      <w:r>
        <w:rPr>
          <w:sz w:val="24"/>
        </w:rPr>
        <w:t>initiatives and compliance issues</w:t>
      </w:r>
    </w:p>
    <w:p>
      <w:pPr>
        <w:pStyle w:val="ListParagraph"/>
        <w:numPr>
          <w:ilvl w:val="1"/>
          <w:numId w:val="11"/>
        </w:numPr>
        <w:tabs>
          <w:tab w:pos="2422" w:val="left" w:leader="none"/>
        </w:tabs>
        <w:spacing w:line="240" w:lineRule="auto" w:before="0" w:after="0"/>
        <w:ind w:left="2422" w:right="991" w:hanging="360"/>
        <w:jc w:val="both"/>
        <w:rPr>
          <w:sz w:val="24"/>
        </w:rPr>
      </w:pPr>
      <w:r>
        <w:rPr>
          <w:sz w:val="24"/>
        </w:rPr>
        <w:t>Monitor the management of risk throughout the NDA and report to the Audit Committee and Authority, including an annual formal report to the aforementioned committees.</w:t>
      </w:r>
    </w:p>
    <w:p>
      <w:pPr>
        <w:pStyle w:val="BodyText"/>
        <w:spacing w:before="47"/>
        <w:rPr>
          <w:sz w:val="20"/>
        </w:rPr>
      </w:pPr>
    </w:p>
    <w:tbl>
      <w:tblPr>
        <w:tblW w:w="0" w:type="auto"/>
        <w:jc w:val="left"/>
        <w:tblInd w:w="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16"/>
      </w:tblGrid>
      <w:tr>
        <w:trPr>
          <w:trHeight w:val="1113" w:hRule="atLeast"/>
        </w:trPr>
        <w:tc>
          <w:tcPr>
            <w:tcW w:w="8216" w:type="dxa"/>
          </w:tcPr>
          <w:p>
            <w:pPr>
              <w:pStyle w:val="TableParagraph"/>
              <w:ind w:left="50"/>
              <w:rPr>
                <w:sz w:val="24"/>
              </w:rPr>
            </w:pPr>
            <w:r>
              <w:rPr>
                <w:sz w:val="24"/>
              </w:rPr>
              <w:t>The</w:t>
            </w:r>
            <w:r>
              <w:rPr>
                <w:spacing w:val="40"/>
                <w:sz w:val="24"/>
              </w:rPr>
              <w:t> </w:t>
            </w:r>
            <w:r>
              <w:rPr>
                <w:sz w:val="24"/>
              </w:rPr>
              <w:t>Risk</w:t>
            </w:r>
            <w:r>
              <w:rPr>
                <w:spacing w:val="40"/>
                <w:sz w:val="24"/>
              </w:rPr>
              <w:t> </w:t>
            </w:r>
            <w:r>
              <w:rPr>
                <w:sz w:val="24"/>
              </w:rPr>
              <w:t>Committee</w:t>
            </w:r>
            <w:r>
              <w:rPr>
                <w:spacing w:val="40"/>
                <w:sz w:val="24"/>
              </w:rPr>
              <w:t> </w:t>
            </w:r>
            <w:r>
              <w:rPr>
                <w:sz w:val="24"/>
              </w:rPr>
              <w:t>met</w:t>
            </w:r>
            <w:r>
              <w:rPr>
                <w:spacing w:val="40"/>
                <w:sz w:val="24"/>
              </w:rPr>
              <w:t> </w:t>
            </w:r>
            <w:r>
              <w:rPr>
                <w:sz w:val="24"/>
              </w:rPr>
              <w:t>three</w:t>
            </w:r>
            <w:r>
              <w:rPr>
                <w:spacing w:val="40"/>
                <w:sz w:val="24"/>
              </w:rPr>
              <w:t> </w:t>
            </w:r>
            <w:r>
              <w:rPr>
                <w:sz w:val="24"/>
              </w:rPr>
              <w:t>times</w:t>
            </w:r>
            <w:r>
              <w:rPr>
                <w:spacing w:val="40"/>
                <w:sz w:val="24"/>
              </w:rPr>
              <w:t> </w:t>
            </w:r>
            <w:r>
              <w:rPr>
                <w:sz w:val="24"/>
              </w:rPr>
              <w:t>during</w:t>
            </w:r>
            <w:r>
              <w:rPr>
                <w:spacing w:val="40"/>
                <w:sz w:val="24"/>
              </w:rPr>
              <w:t> </w:t>
            </w:r>
            <w:r>
              <w:rPr>
                <w:sz w:val="24"/>
              </w:rPr>
              <w:t>2017.</w:t>
            </w:r>
            <w:r>
              <w:rPr>
                <w:spacing w:val="40"/>
                <w:sz w:val="24"/>
              </w:rPr>
              <w:t> </w:t>
            </w:r>
            <w:r>
              <w:rPr>
                <w:sz w:val="24"/>
              </w:rPr>
              <w:t>The</w:t>
            </w:r>
            <w:r>
              <w:rPr>
                <w:spacing w:val="40"/>
                <w:sz w:val="24"/>
              </w:rPr>
              <w:t> </w:t>
            </w:r>
            <w:r>
              <w:rPr>
                <w:sz w:val="24"/>
              </w:rPr>
              <w:t>members</w:t>
            </w:r>
            <w:r>
              <w:rPr>
                <w:spacing w:val="40"/>
                <w:sz w:val="24"/>
              </w:rPr>
              <w:t> </w:t>
            </w:r>
            <w:r>
              <w:rPr>
                <w:sz w:val="24"/>
              </w:rPr>
              <w:t>of</w:t>
            </w:r>
            <w:r>
              <w:rPr>
                <w:spacing w:val="40"/>
                <w:sz w:val="24"/>
              </w:rPr>
              <w:t> </w:t>
            </w:r>
            <w:r>
              <w:rPr>
                <w:sz w:val="24"/>
              </w:rPr>
              <w:t>the</w:t>
            </w:r>
            <w:r>
              <w:rPr>
                <w:spacing w:val="40"/>
                <w:sz w:val="24"/>
              </w:rPr>
              <w:t> </w:t>
            </w:r>
            <w:r>
              <w:rPr>
                <w:sz w:val="24"/>
              </w:rPr>
              <w:t>Risk Committee are:</w:t>
            </w:r>
          </w:p>
          <w:p>
            <w:pPr>
              <w:pStyle w:val="TableParagraph"/>
              <w:rPr>
                <w:sz w:val="24"/>
              </w:rPr>
            </w:pPr>
          </w:p>
          <w:p>
            <w:pPr>
              <w:pStyle w:val="TableParagraph"/>
              <w:spacing w:line="258" w:lineRule="exact"/>
              <w:ind w:left="50"/>
              <w:rPr>
                <w:sz w:val="24"/>
              </w:rPr>
            </w:pPr>
            <w:r>
              <w:rPr>
                <w:sz w:val="24"/>
              </w:rPr>
              <w:t>Mr.</w:t>
            </w:r>
            <w:r>
              <w:rPr>
                <w:spacing w:val="-5"/>
                <w:sz w:val="24"/>
              </w:rPr>
              <w:t> </w:t>
            </w:r>
            <w:r>
              <w:rPr>
                <w:sz w:val="24"/>
              </w:rPr>
              <w:t>Robert</w:t>
            </w:r>
            <w:r>
              <w:rPr>
                <w:spacing w:val="-3"/>
                <w:sz w:val="24"/>
              </w:rPr>
              <w:t> </w:t>
            </w:r>
            <w:r>
              <w:rPr>
                <w:sz w:val="24"/>
              </w:rPr>
              <w:t>Cashell</w:t>
            </w:r>
            <w:r>
              <w:rPr>
                <w:spacing w:val="-2"/>
                <w:sz w:val="24"/>
              </w:rPr>
              <w:t> (Chairperson)</w:t>
            </w:r>
          </w:p>
        </w:tc>
      </w:tr>
      <w:tr>
        <w:trPr>
          <w:trHeight w:val="4853" w:hRule="atLeast"/>
        </w:trPr>
        <w:tc>
          <w:tcPr>
            <w:tcW w:w="8216" w:type="dxa"/>
          </w:tcPr>
          <w:p>
            <w:pPr>
              <w:pStyle w:val="TableParagraph"/>
              <w:ind w:left="50"/>
              <w:rPr>
                <w:sz w:val="24"/>
              </w:rPr>
            </w:pPr>
            <w:r>
              <w:rPr>
                <w:sz w:val="24"/>
              </w:rPr>
              <w:t>Mr.</w:t>
            </w:r>
            <w:r>
              <w:rPr>
                <w:spacing w:val="-1"/>
                <w:sz w:val="24"/>
              </w:rPr>
              <w:t> </w:t>
            </w:r>
            <w:r>
              <w:rPr>
                <w:sz w:val="24"/>
              </w:rPr>
              <w:t>Pat </w:t>
            </w:r>
            <w:r>
              <w:rPr>
                <w:spacing w:val="-2"/>
                <w:sz w:val="24"/>
              </w:rPr>
              <w:t>Fitzsimons</w:t>
            </w:r>
          </w:p>
          <w:p>
            <w:pPr>
              <w:pStyle w:val="TableParagraph"/>
              <w:ind w:left="50"/>
              <w:rPr>
                <w:sz w:val="24"/>
              </w:rPr>
            </w:pPr>
            <w:r>
              <w:rPr>
                <w:sz w:val="24"/>
              </w:rPr>
              <w:t>Senior</w:t>
            </w:r>
            <w:r>
              <w:rPr>
                <w:spacing w:val="-1"/>
                <w:sz w:val="24"/>
              </w:rPr>
              <w:t> </w:t>
            </w:r>
            <w:r>
              <w:rPr>
                <w:sz w:val="24"/>
              </w:rPr>
              <w:t>Management</w:t>
            </w:r>
            <w:r>
              <w:rPr>
                <w:spacing w:val="-2"/>
                <w:sz w:val="24"/>
              </w:rPr>
              <w:t> Group</w:t>
            </w:r>
          </w:p>
          <w:p>
            <w:pPr>
              <w:pStyle w:val="TableParagraph"/>
              <w:rPr>
                <w:sz w:val="24"/>
              </w:rPr>
            </w:pPr>
          </w:p>
          <w:p>
            <w:pPr>
              <w:pStyle w:val="TableParagraph"/>
              <w:spacing w:before="1"/>
              <w:ind w:left="50"/>
              <w:rPr>
                <w:b/>
                <w:sz w:val="24"/>
              </w:rPr>
            </w:pPr>
            <w:r>
              <w:rPr>
                <w:b/>
                <w:sz w:val="24"/>
              </w:rPr>
              <w:t>4.</w:t>
            </w:r>
            <w:r>
              <w:rPr>
                <w:b/>
                <w:spacing w:val="-3"/>
                <w:sz w:val="24"/>
              </w:rPr>
              <w:t> </w:t>
            </w:r>
            <w:r>
              <w:rPr>
                <w:b/>
                <w:sz w:val="24"/>
              </w:rPr>
              <w:t>Strategic</w:t>
            </w:r>
            <w:r>
              <w:rPr>
                <w:b/>
                <w:spacing w:val="-2"/>
                <w:sz w:val="24"/>
              </w:rPr>
              <w:t> </w:t>
            </w:r>
            <w:r>
              <w:rPr>
                <w:b/>
                <w:sz w:val="24"/>
              </w:rPr>
              <w:t>Planning </w:t>
            </w:r>
            <w:r>
              <w:rPr>
                <w:b/>
                <w:spacing w:val="-2"/>
                <w:sz w:val="24"/>
              </w:rPr>
              <w:t>Committee</w:t>
            </w:r>
          </w:p>
          <w:p>
            <w:pPr>
              <w:pStyle w:val="TableParagraph"/>
              <w:spacing w:before="120"/>
              <w:rPr>
                <w:sz w:val="24"/>
              </w:rPr>
            </w:pPr>
          </w:p>
          <w:p>
            <w:pPr>
              <w:pStyle w:val="TableParagraph"/>
              <w:ind w:left="50" w:right="48"/>
              <w:jc w:val="both"/>
              <w:rPr>
                <w:sz w:val="24"/>
              </w:rPr>
            </w:pPr>
            <w:r>
              <w:rPr>
                <w:sz w:val="24"/>
              </w:rPr>
              <w:t>The Strategic Planning Committee was established in November 2017 and has committed</w:t>
            </w:r>
            <w:r>
              <w:rPr>
                <w:spacing w:val="-3"/>
                <w:sz w:val="24"/>
              </w:rPr>
              <w:t> </w:t>
            </w:r>
            <w:r>
              <w:rPr>
                <w:sz w:val="24"/>
              </w:rPr>
              <w:t>to</w:t>
            </w:r>
            <w:r>
              <w:rPr>
                <w:spacing w:val="-3"/>
                <w:sz w:val="24"/>
              </w:rPr>
              <w:t> </w:t>
            </w:r>
            <w:r>
              <w:rPr>
                <w:sz w:val="24"/>
              </w:rPr>
              <w:t>hold</w:t>
            </w:r>
            <w:r>
              <w:rPr>
                <w:spacing w:val="-3"/>
                <w:sz w:val="24"/>
              </w:rPr>
              <w:t> </w:t>
            </w:r>
            <w:r>
              <w:rPr>
                <w:sz w:val="24"/>
              </w:rPr>
              <w:t>a</w:t>
            </w:r>
            <w:r>
              <w:rPr>
                <w:spacing w:val="-5"/>
                <w:sz w:val="24"/>
              </w:rPr>
              <w:t> </w:t>
            </w:r>
            <w:r>
              <w:rPr>
                <w:sz w:val="24"/>
              </w:rPr>
              <w:t>series</w:t>
            </w:r>
            <w:r>
              <w:rPr>
                <w:spacing w:val="-4"/>
                <w:sz w:val="24"/>
              </w:rPr>
              <w:t> </w:t>
            </w:r>
            <w:r>
              <w:rPr>
                <w:sz w:val="24"/>
              </w:rPr>
              <w:t>of</w:t>
            </w:r>
            <w:r>
              <w:rPr>
                <w:spacing w:val="-3"/>
                <w:sz w:val="24"/>
              </w:rPr>
              <w:t> </w:t>
            </w:r>
            <w:r>
              <w:rPr>
                <w:sz w:val="24"/>
              </w:rPr>
              <w:t>meetings</w:t>
            </w:r>
            <w:r>
              <w:rPr>
                <w:spacing w:val="-4"/>
                <w:sz w:val="24"/>
              </w:rPr>
              <w:t> </w:t>
            </w:r>
            <w:r>
              <w:rPr>
                <w:sz w:val="24"/>
              </w:rPr>
              <w:t>to</w:t>
            </w:r>
            <w:r>
              <w:rPr>
                <w:spacing w:val="-3"/>
                <w:sz w:val="24"/>
              </w:rPr>
              <w:t> </w:t>
            </w:r>
            <w:r>
              <w:rPr>
                <w:sz w:val="24"/>
              </w:rPr>
              <w:t>develop</w:t>
            </w:r>
            <w:r>
              <w:rPr>
                <w:spacing w:val="-3"/>
                <w:sz w:val="24"/>
              </w:rPr>
              <w:t> </w:t>
            </w:r>
            <w:r>
              <w:rPr>
                <w:sz w:val="24"/>
              </w:rPr>
              <w:t>a</w:t>
            </w:r>
            <w:r>
              <w:rPr>
                <w:spacing w:val="-5"/>
                <w:sz w:val="24"/>
              </w:rPr>
              <w:t> </w:t>
            </w:r>
            <w:r>
              <w:rPr>
                <w:sz w:val="24"/>
              </w:rPr>
              <w:t>draft</w:t>
            </w:r>
            <w:r>
              <w:rPr>
                <w:spacing w:val="-6"/>
                <w:sz w:val="24"/>
              </w:rPr>
              <w:t> </w:t>
            </w:r>
            <w:r>
              <w:rPr>
                <w:sz w:val="24"/>
              </w:rPr>
              <w:t>Strategic</w:t>
            </w:r>
            <w:r>
              <w:rPr>
                <w:spacing w:val="-2"/>
                <w:sz w:val="24"/>
              </w:rPr>
              <w:t> </w:t>
            </w:r>
            <w:r>
              <w:rPr>
                <w:sz w:val="24"/>
              </w:rPr>
              <w:t>Plan</w:t>
            </w:r>
            <w:r>
              <w:rPr>
                <w:spacing w:val="-5"/>
                <w:sz w:val="24"/>
              </w:rPr>
              <w:t> </w:t>
            </w:r>
            <w:r>
              <w:rPr>
                <w:sz w:val="24"/>
              </w:rPr>
              <w:t>in</w:t>
            </w:r>
            <w:r>
              <w:rPr>
                <w:spacing w:val="-6"/>
                <w:sz w:val="24"/>
              </w:rPr>
              <w:t> </w:t>
            </w:r>
            <w:r>
              <w:rPr>
                <w:sz w:val="24"/>
              </w:rPr>
              <w:t>line</w:t>
            </w:r>
            <w:r>
              <w:rPr>
                <w:spacing w:val="-5"/>
                <w:sz w:val="24"/>
              </w:rPr>
              <w:t> </w:t>
            </w:r>
            <w:r>
              <w:rPr>
                <w:sz w:val="24"/>
              </w:rPr>
              <w:t>with the</w:t>
            </w:r>
            <w:r>
              <w:rPr>
                <w:spacing w:val="-3"/>
                <w:sz w:val="24"/>
              </w:rPr>
              <w:t> </w:t>
            </w:r>
            <w:r>
              <w:rPr>
                <w:sz w:val="24"/>
              </w:rPr>
              <w:t>role</w:t>
            </w:r>
            <w:r>
              <w:rPr>
                <w:spacing w:val="-5"/>
                <w:sz w:val="24"/>
              </w:rPr>
              <w:t> </w:t>
            </w:r>
            <w:r>
              <w:rPr>
                <w:sz w:val="24"/>
              </w:rPr>
              <w:t>and</w:t>
            </w:r>
            <w:r>
              <w:rPr>
                <w:spacing w:val="-2"/>
                <w:sz w:val="24"/>
              </w:rPr>
              <w:t> </w:t>
            </w:r>
            <w:r>
              <w:rPr>
                <w:sz w:val="24"/>
              </w:rPr>
              <w:t>function</w:t>
            </w:r>
            <w:r>
              <w:rPr>
                <w:spacing w:val="-3"/>
                <w:sz w:val="24"/>
              </w:rPr>
              <w:t> </w:t>
            </w:r>
            <w:r>
              <w:rPr>
                <w:sz w:val="24"/>
              </w:rPr>
              <w:t>of</w:t>
            </w:r>
            <w:r>
              <w:rPr>
                <w:spacing w:val="-8"/>
                <w:sz w:val="24"/>
              </w:rPr>
              <w:t> </w:t>
            </w:r>
            <w:r>
              <w:rPr>
                <w:sz w:val="24"/>
              </w:rPr>
              <w:t>NDA</w:t>
            </w:r>
            <w:r>
              <w:rPr>
                <w:spacing w:val="-3"/>
                <w:sz w:val="24"/>
              </w:rPr>
              <w:t> </w:t>
            </w:r>
            <w:r>
              <w:rPr>
                <w:sz w:val="24"/>
              </w:rPr>
              <w:t>for</w:t>
            </w:r>
            <w:r>
              <w:rPr>
                <w:spacing w:val="-3"/>
                <w:sz w:val="24"/>
              </w:rPr>
              <w:t> </w:t>
            </w:r>
            <w:r>
              <w:rPr>
                <w:sz w:val="24"/>
              </w:rPr>
              <w:t>the</w:t>
            </w:r>
            <w:r>
              <w:rPr>
                <w:spacing w:val="-6"/>
                <w:sz w:val="24"/>
              </w:rPr>
              <w:t> </w:t>
            </w:r>
            <w:r>
              <w:rPr>
                <w:sz w:val="24"/>
              </w:rPr>
              <w:t>next</w:t>
            </w:r>
            <w:r>
              <w:rPr>
                <w:spacing w:val="-3"/>
                <w:sz w:val="24"/>
              </w:rPr>
              <w:t> </w:t>
            </w:r>
            <w:r>
              <w:rPr>
                <w:sz w:val="24"/>
              </w:rPr>
              <w:t>3-year</w:t>
            </w:r>
            <w:r>
              <w:rPr>
                <w:spacing w:val="-5"/>
                <w:sz w:val="24"/>
              </w:rPr>
              <w:t> </w:t>
            </w:r>
            <w:r>
              <w:rPr>
                <w:sz w:val="24"/>
              </w:rPr>
              <w:t>period</w:t>
            </w:r>
            <w:r>
              <w:rPr>
                <w:spacing w:val="-3"/>
                <w:sz w:val="24"/>
              </w:rPr>
              <w:t> </w:t>
            </w:r>
            <w:r>
              <w:rPr>
                <w:sz w:val="24"/>
              </w:rPr>
              <w:t>2019-2021</w:t>
            </w:r>
            <w:r>
              <w:rPr>
                <w:spacing w:val="-5"/>
                <w:sz w:val="24"/>
              </w:rPr>
              <w:t> </w:t>
            </w:r>
            <w:r>
              <w:rPr>
                <w:sz w:val="24"/>
              </w:rPr>
              <w:t>(as</w:t>
            </w:r>
            <w:r>
              <w:rPr>
                <w:spacing w:val="-5"/>
                <w:sz w:val="24"/>
              </w:rPr>
              <w:t> </w:t>
            </w:r>
            <w:r>
              <w:rPr>
                <w:sz w:val="24"/>
              </w:rPr>
              <w:t>per</w:t>
            </w:r>
            <w:r>
              <w:rPr>
                <w:spacing w:val="-3"/>
                <w:sz w:val="24"/>
              </w:rPr>
              <w:t> </w:t>
            </w:r>
            <w:r>
              <w:rPr>
                <w:sz w:val="24"/>
              </w:rPr>
              <w:t>section 9, National Disability Authority Act).</w:t>
            </w:r>
            <w:r>
              <w:rPr>
                <w:spacing w:val="40"/>
                <w:sz w:val="24"/>
              </w:rPr>
              <w:t> </w:t>
            </w:r>
            <w:r>
              <w:rPr>
                <w:sz w:val="24"/>
              </w:rPr>
              <w:t>Following formal approval by the Authority, the</w:t>
            </w:r>
            <w:r>
              <w:rPr>
                <w:spacing w:val="-8"/>
                <w:sz w:val="24"/>
              </w:rPr>
              <w:t> </w:t>
            </w:r>
            <w:r>
              <w:rPr>
                <w:sz w:val="24"/>
              </w:rPr>
              <w:t>Plan</w:t>
            </w:r>
            <w:r>
              <w:rPr>
                <w:spacing w:val="-8"/>
                <w:sz w:val="24"/>
              </w:rPr>
              <w:t> </w:t>
            </w:r>
            <w:r>
              <w:rPr>
                <w:sz w:val="24"/>
              </w:rPr>
              <w:t>will</w:t>
            </w:r>
            <w:r>
              <w:rPr>
                <w:spacing w:val="-8"/>
                <w:sz w:val="24"/>
              </w:rPr>
              <w:t> </w:t>
            </w:r>
            <w:r>
              <w:rPr>
                <w:sz w:val="24"/>
              </w:rPr>
              <w:t>be</w:t>
            </w:r>
            <w:r>
              <w:rPr>
                <w:spacing w:val="-8"/>
                <w:sz w:val="24"/>
              </w:rPr>
              <w:t> </w:t>
            </w:r>
            <w:r>
              <w:rPr>
                <w:sz w:val="24"/>
              </w:rPr>
              <w:t>forwarded</w:t>
            </w:r>
            <w:r>
              <w:rPr>
                <w:spacing w:val="-8"/>
                <w:sz w:val="24"/>
              </w:rPr>
              <w:t> </w:t>
            </w:r>
            <w:r>
              <w:rPr>
                <w:sz w:val="24"/>
              </w:rPr>
              <w:t>to</w:t>
            </w:r>
            <w:r>
              <w:rPr>
                <w:spacing w:val="-9"/>
                <w:sz w:val="24"/>
              </w:rPr>
              <w:t> </w:t>
            </w:r>
            <w:r>
              <w:rPr>
                <w:sz w:val="24"/>
              </w:rPr>
              <w:t>the</w:t>
            </w:r>
            <w:r>
              <w:rPr>
                <w:spacing w:val="-8"/>
                <w:sz w:val="24"/>
              </w:rPr>
              <w:t> </w:t>
            </w:r>
            <w:r>
              <w:rPr>
                <w:sz w:val="24"/>
              </w:rPr>
              <w:t>Minister</w:t>
            </w:r>
            <w:r>
              <w:rPr>
                <w:spacing w:val="-7"/>
                <w:sz w:val="24"/>
              </w:rPr>
              <w:t> </w:t>
            </w:r>
            <w:r>
              <w:rPr>
                <w:sz w:val="24"/>
              </w:rPr>
              <w:t>to</w:t>
            </w:r>
            <w:r>
              <w:rPr>
                <w:spacing w:val="-9"/>
                <w:sz w:val="24"/>
              </w:rPr>
              <w:t> </w:t>
            </w:r>
            <w:r>
              <w:rPr>
                <w:sz w:val="24"/>
              </w:rPr>
              <w:t>approve,</w:t>
            </w:r>
            <w:r>
              <w:rPr>
                <w:spacing w:val="-7"/>
                <w:sz w:val="24"/>
              </w:rPr>
              <w:t> </w:t>
            </w:r>
            <w:r>
              <w:rPr>
                <w:sz w:val="24"/>
              </w:rPr>
              <w:t>before</w:t>
            </w:r>
            <w:r>
              <w:rPr>
                <w:spacing w:val="-8"/>
                <w:sz w:val="24"/>
              </w:rPr>
              <w:t> </w:t>
            </w:r>
            <w:r>
              <w:rPr>
                <w:sz w:val="24"/>
              </w:rPr>
              <w:t>the</w:t>
            </w:r>
            <w:r>
              <w:rPr>
                <w:spacing w:val="-8"/>
                <w:sz w:val="24"/>
              </w:rPr>
              <w:t> </w:t>
            </w:r>
            <w:r>
              <w:rPr>
                <w:sz w:val="24"/>
              </w:rPr>
              <w:t>statutory</w:t>
            </w:r>
            <w:r>
              <w:rPr>
                <w:spacing w:val="-9"/>
                <w:sz w:val="24"/>
              </w:rPr>
              <w:t> </w:t>
            </w:r>
            <w:r>
              <w:rPr>
                <w:sz w:val="24"/>
              </w:rPr>
              <w:t>deadline of 12 June 2018.</w:t>
            </w:r>
          </w:p>
          <w:p>
            <w:pPr>
              <w:pStyle w:val="TableParagraph"/>
              <w:rPr>
                <w:sz w:val="24"/>
              </w:rPr>
            </w:pPr>
          </w:p>
          <w:p>
            <w:pPr>
              <w:pStyle w:val="TableParagraph"/>
              <w:ind w:left="50" w:right="47"/>
              <w:jc w:val="both"/>
              <w:rPr>
                <w:sz w:val="24"/>
              </w:rPr>
            </w:pPr>
            <w:r>
              <w:rPr>
                <w:sz w:val="24"/>
              </w:rPr>
              <w:t>The group met once in 2017, with additional meetings scheduled for 2018.</w:t>
            </w:r>
            <w:r>
              <w:rPr>
                <w:spacing w:val="40"/>
                <w:sz w:val="24"/>
              </w:rPr>
              <w:t> </w:t>
            </w:r>
            <w:r>
              <w:rPr>
                <w:sz w:val="24"/>
              </w:rPr>
              <w:t>The members of the Strategic Planning Committee are:</w:t>
            </w:r>
          </w:p>
          <w:p>
            <w:pPr>
              <w:pStyle w:val="TableParagraph"/>
              <w:spacing w:before="1"/>
              <w:rPr>
                <w:sz w:val="24"/>
              </w:rPr>
            </w:pPr>
          </w:p>
          <w:p>
            <w:pPr>
              <w:pStyle w:val="TableParagraph"/>
              <w:ind w:left="50"/>
              <w:jc w:val="both"/>
              <w:rPr>
                <w:sz w:val="24"/>
              </w:rPr>
            </w:pPr>
            <w:r>
              <w:rPr>
                <w:sz w:val="24"/>
              </w:rPr>
              <w:t>Helen</w:t>
            </w:r>
            <w:r>
              <w:rPr>
                <w:spacing w:val="-3"/>
                <w:sz w:val="24"/>
              </w:rPr>
              <w:t> </w:t>
            </w:r>
            <w:r>
              <w:rPr>
                <w:sz w:val="24"/>
              </w:rPr>
              <w:t>Guinan</w:t>
            </w:r>
            <w:r>
              <w:rPr>
                <w:spacing w:val="-1"/>
                <w:sz w:val="24"/>
              </w:rPr>
              <w:t> </w:t>
            </w:r>
            <w:r>
              <w:rPr>
                <w:spacing w:val="-2"/>
                <w:sz w:val="24"/>
              </w:rPr>
              <w:t>(Chairperson)</w:t>
            </w:r>
          </w:p>
          <w:p>
            <w:pPr>
              <w:pStyle w:val="TableParagraph"/>
              <w:spacing w:line="258" w:lineRule="exact"/>
              <w:ind w:left="50"/>
              <w:jc w:val="both"/>
              <w:rPr>
                <w:sz w:val="24"/>
              </w:rPr>
            </w:pPr>
            <w:r>
              <w:rPr>
                <w:sz w:val="24"/>
              </w:rPr>
              <w:t>Frank</w:t>
            </w:r>
            <w:r>
              <w:rPr>
                <w:spacing w:val="-2"/>
                <w:sz w:val="24"/>
              </w:rPr>
              <w:t> </w:t>
            </w:r>
            <w:r>
              <w:rPr>
                <w:sz w:val="24"/>
              </w:rPr>
              <w:t>Cunneen</w:t>
            </w:r>
            <w:r>
              <w:rPr>
                <w:spacing w:val="-3"/>
                <w:sz w:val="24"/>
              </w:rPr>
              <w:t> </w:t>
            </w:r>
            <w:r>
              <w:rPr>
                <w:sz w:val="24"/>
              </w:rPr>
              <w:t>(Authority</w:t>
            </w:r>
            <w:r>
              <w:rPr>
                <w:spacing w:val="-1"/>
                <w:sz w:val="24"/>
              </w:rPr>
              <w:t> </w:t>
            </w:r>
            <w:r>
              <w:rPr>
                <w:spacing w:val="-2"/>
                <w:sz w:val="24"/>
              </w:rPr>
              <w:t>Member)</w:t>
            </w:r>
          </w:p>
        </w:tc>
      </w:tr>
    </w:tbl>
    <w:p>
      <w:pPr>
        <w:pStyle w:val="TableParagraph"/>
        <w:spacing w:after="0" w:line="258" w:lineRule="exact"/>
        <w:jc w:val="both"/>
        <w:rPr>
          <w:sz w:val="24"/>
        </w:rPr>
        <w:sectPr>
          <w:pgSz w:w="11910" w:h="16850"/>
          <w:pgMar w:header="0" w:footer="811" w:top="1880" w:bottom="1000" w:left="283" w:right="992"/>
        </w:sect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69"/>
        <w:gridCol w:w="1123"/>
        <w:gridCol w:w="1386"/>
        <w:gridCol w:w="1320"/>
      </w:tblGrid>
      <w:tr>
        <w:trPr>
          <w:trHeight w:val="3774" w:hRule="atLeast"/>
        </w:trPr>
        <w:tc>
          <w:tcPr>
            <w:tcW w:w="8398" w:type="dxa"/>
            <w:gridSpan w:val="4"/>
          </w:tcPr>
          <w:p>
            <w:pPr>
              <w:pStyle w:val="TableParagraph"/>
              <w:ind w:left="71" w:right="4656"/>
              <w:rPr>
                <w:sz w:val="24"/>
              </w:rPr>
            </w:pPr>
            <w:r>
              <w:rPr>
                <w:sz w:val="24"/>
              </w:rPr>
              <w:t>Des Kenny (Authority Member) Donie</w:t>
            </w:r>
            <w:r>
              <w:rPr>
                <w:spacing w:val="-5"/>
                <w:sz w:val="24"/>
              </w:rPr>
              <w:t> </w:t>
            </w:r>
            <w:r>
              <w:rPr>
                <w:sz w:val="24"/>
              </w:rPr>
              <w:t>O’Leary</w:t>
            </w:r>
            <w:r>
              <w:rPr>
                <w:spacing w:val="-5"/>
                <w:sz w:val="24"/>
              </w:rPr>
              <w:t> </w:t>
            </w:r>
            <w:r>
              <w:rPr>
                <w:sz w:val="24"/>
              </w:rPr>
              <w:t>(Authority</w:t>
            </w:r>
            <w:r>
              <w:rPr>
                <w:spacing w:val="-5"/>
                <w:sz w:val="24"/>
              </w:rPr>
              <w:t> </w:t>
            </w:r>
            <w:r>
              <w:rPr>
                <w:sz w:val="24"/>
              </w:rPr>
              <w:t>Member) Alison Ryan (Authority Member) Mary Lavelle (Authority Member) James</w:t>
            </w:r>
            <w:r>
              <w:rPr>
                <w:spacing w:val="-14"/>
                <w:sz w:val="24"/>
              </w:rPr>
              <w:t> </w:t>
            </w:r>
            <w:r>
              <w:rPr>
                <w:sz w:val="24"/>
              </w:rPr>
              <w:t>O’Grady</w:t>
            </w:r>
            <w:r>
              <w:rPr>
                <w:spacing w:val="-12"/>
                <w:sz w:val="24"/>
              </w:rPr>
              <w:t> </w:t>
            </w:r>
            <w:r>
              <w:rPr>
                <w:sz w:val="24"/>
              </w:rPr>
              <w:t>(Authority</w:t>
            </w:r>
            <w:r>
              <w:rPr>
                <w:spacing w:val="-12"/>
                <w:sz w:val="24"/>
              </w:rPr>
              <w:t> </w:t>
            </w:r>
            <w:r>
              <w:rPr>
                <w:sz w:val="24"/>
              </w:rPr>
              <w:t>Member)</w:t>
            </w:r>
          </w:p>
          <w:p>
            <w:pPr>
              <w:pStyle w:val="TableParagraph"/>
              <w:ind w:left="71" w:right="3950"/>
              <w:rPr>
                <w:sz w:val="24"/>
              </w:rPr>
            </w:pPr>
            <w:r>
              <w:rPr>
                <w:sz w:val="24"/>
              </w:rPr>
              <w:t>Teresa</w:t>
            </w:r>
            <w:r>
              <w:rPr>
                <w:spacing w:val="-12"/>
                <w:sz w:val="24"/>
              </w:rPr>
              <w:t> </w:t>
            </w:r>
            <w:r>
              <w:rPr>
                <w:sz w:val="24"/>
              </w:rPr>
              <w:t>McDonnell</w:t>
            </w:r>
            <w:r>
              <w:rPr>
                <w:spacing w:val="-13"/>
                <w:sz w:val="24"/>
              </w:rPr>
              <w:t> </w:t>
            </w:r>
            <w:r>
              <w:rPr>
                <w:sz w:val="24"/>
              </w:rPr>
              <w:t>(Authority</w:t>
            </w:r>
            <w:r>
              <w:rPr>
                <w:spacing w:val="-13"/>
                <w:sz w:val="24"/>
              </w:rPr>
              <w:t> </w:t>
            </w:r>
            <w:r>
              <w:rPr>
                <w:sz w:val="24"/>
              </w:rPr>
              <w:t>Member) Donal Rice (Authority Member)</w:t>
            </w:r>
          </w:p>
          <w:p>
            <w:pPr>
              <w:pStyle w:val="TableParagraph"/>
              <w:ind w:left="71"/>
              <w:rPr>
                <w:sz w:val="24"/>
              </w:rPr>
            </w:pPr>
            <w:r>
              <w:rPr>
                <w:sz w:val="24"/>
              </w:rPr>
              <w:t>Senior</w:t>
            </w:r>
            <w:r>
              <w:rPr>
                <w:spacing w:val="-1"/>
                <w:sz w:val="24"/>
              </w:rPr>
              <w:t> </w:t>
            </w:r>
            <w:r>
              <w:rPr>
                <w:sz w:val="24"/>
              </w:rPr>
              <w:t>Management</w:t>
            </w:r>
            <w:r>
              <w:rPr>
                <w:spacing w:val="-2"/>
                <w:sz w:val="24"/>
              </w:rPr>
              <w:t> Group</w:t>
            </w:r>
          </w:p>
          <w:p>
            <w:pPr>
              <w:pStyle w:val="TableParagraph"/>
              <w:spacing w:before="1"/>
              <w:rPr>
                <w:sz w:val="24"/>
              </w:rPr>
            </w:pPr>
          </w:p>
          <w:p>
            <w:pPr>
              <w:pStyle w:val="TableParagraph"/>
              <w:ind w:left="71"/>
              <w:rPr>
                <w:b/>
                <w:sz w:val="24"/>
              </w:rPr>
            </w:pPr>
            <w:r>
              <w:rPr>
                <w:b/>
                <w:sz w:val="24"/>
              </w:rPr>
              <w:t>Schedule</w:t>
            </w:r>
            <w:r>
              <w:rPr>
                <w:b/>
                <w:spacing w:val="-4"/>
                <w:sz w:val="24"/>
              </w:rPr>
              <w:t> </w:t>
            </w:r>
            <w:r>
              <w:rPr>
                <w:b/>
                <w:sz w:val="24"/>
              </w:rPr>
              <w:t>of</w:t>
            </w:r>
            <w:r>
              <w:rPr>
                <w:b/>
                <w:spacing w:val="-2"/>
                <w:sz w:val="24"/>
              </w:rPr>
              <w:t> </w:t>
            </w:r>
            <w:r>
              <w:rPr>
                <w:b/>
                <w:sz w:val="24"/>
              </w:rPr>
              <w:t>Attendance,</w:t>
            </w:r>
            <w:r>
              <w:rPr>
                <w:b/>
                <w:spacing w:val="-2"/>
                <w:sz w:val="24"/>
              </w:rPr>
              <w:t> </w:t>
            </w:r>
            <w:r>
              <w:rPr>
                <w:b/>
                <w:sz w:val="24"/>
              </w:rPr>
              <w:t>Fees</w:t>
            </w:r>
            <w:r>
              <w:rPr>
                <w:b/>
                <w:spacing w:val="-2"/>
                <w:sz w:val="24"/>
              </w:rPr>
              <w:t> </w:t>
            </w:r>
            <w:r>
              <w:rPr>
                <w:b/>
                <w:sz w:val="24"/>
              </w:rPr>
              <w:t>and</w:t>
            </w:r>
            <w:r>
              <w:rPr>
                <w:b/>
                <w:spacing w:val="-2"/>
                <w:sz w:val="24"/>
              </w:rPr>
              <w:t> Expenses</w:t>
            </w:r>
          </w:p>
          <w:p>
            <w:pPr>
              <w:pStyle w:val="TableParagraph"/>
              <w:rPr>
                <w:sz w:val="24"/>
              </w:rPr>
            </w:pPr>
          </w:p>
          <w:p>
            <w:pPr>
              <w:pStyle w:val="TableParagraph"/>
              <w:ind w:left="71"/>
              <w:rPr>
                <w:sz w:val="24"/>
              </w:rPr>
            </w:pPr>
            <w:r>
              <w:rPr>
                <w:sz w:val="24"/>
              </w:rPr>
              <w:t>A schedule of</w:t>
            </w:r>
            <w:r>
              <w:rPr>
                <w:spacing w:val="-1"/>
                <w:sz w:val="24"/>
              </w:rPr>
              <w:t> </w:t>
            </w:r>
            <w:r>
              <w:rPr>
                <w:sz w:val="24"/>
              </w:rPr>
              <w:t>attendance</w:t>
            </w:r>
            <w:r>
              <w:rPr>
                <w:spacing w:val="-1"/>
                <w:sz w:val="24"/>
              </w:rPr>
              <w:t> </w:t>
            </w:r>
            <w:r>
              <w:rPr>
                <w:sz w:val="24"/>
              </w:rPr>
              <w:t>at</w:t>
            </w:r>
            <w:r>
              <w:rPr>
                <w:spacing w:val="-1"/>
                <w:sz w:val="24"/>
              </w:rPr>
              <w:t> </w:t>
            </w:r>
            <w:r>
              <w:rPr>
                <w:sz w:val="24"/>
              </w:rPr>
              <w:t>the</w:t>
            </w:r>
            <w:r>
              <w:rPr>
                <w:spacing w:val="-1"/>
                <w:sz w:val="24"/>
              </w:rPr>
              <w:t> </w:t>
            </w:r>
            <w:r>
              <w:rPr>
                <w:sz w:val="24"/>
              </w:rPr>
              <w:t>Authority</w:t>
            </w:r>
            <w:r>
              <w:rPr>
                <w:spacing w:val="-3"/>
                <w:sz w:val="24"/>
              </w:rPr>
              <w:t> </w:t>
            </w:r>
            <w:r>
              <w:rPr>
                <w:sz w:val="24"/>
              </w:rPr>
              <w:t>and</w:t>
            </w:r>
            <w:r>
              <w:rPr>
                <w:spacing w:val="-1"/>
                <w:sz w:val="24"/>
              </w:rPr>
              <w:t> </w:t>
            </w:r>
            <w:r>
              <w:rPr>
                <w:sz w:val="24"/>
              </w:rPr>
              <w:t>Committee</w:t>
            </w:r>
            <w:r>
              <w:rPr>
                <w:spacing w:val="-1"/>
                <w:sz w:val="24"/>
              </w:rPr>
              <w:t> </w:t>
            </w:r>
            <w:r>
              <w:rPr>
                <w:sz w:val="24"/>
              </w:rPr>
              <w:t>meetings</w:t>
            </w:r>
            <w:r>
              <w:rPr>
                <w:spacing w:val="-1"/>
                <w:sz w:val="24"/>
              </w:rPr>
              <w:t> </w:t>
            </w:r>
            <w:r>
              <w:rPr>
                <w:sz w:val="24"/>
              </w:rPr>
              <w:t>for 2017</w:t>
            </w:r>
            <w:r>
              <w:rPr>
                <w:spacing w:val="-1"/>
                <w:sz w:val="24"/>
              </w:rPr>
              <w:t> </w:t>
            </w:r>
            <w:r>
              <w:rPr>
                <w:sz w:val="24"/>
              </w:rPr>
              <w:t>is</w:t>
            </w:r>
            <w:r>
              <w:rPr>
                <w:spacing w:val="-2"/>
                <w:sz w:val="24"/>
              </w:rPr>
              <w:t> </w:t>
            </w:r>
            <w:r>
              <w:rPr>
                <w:sz w:val="24"/>
              </w:rPr>
              <w:t>set out below including the fees and expenses received by each member:</w:t>
            </w:r>
          </w:p>
        </w:tc>
      </w:tr>
      <w:tr>
        <w:trPr>
          <w:trHeight w:val="723" w:hRule="atLeast"/>
        </w:trPr>
        <w:tc>
          <w:tcPr>
            <w:tcW w:w="4569" w:type="dxa"/>
            <w:tcBorders>
              <w:bottom w:val="single" w:sz="12" w:space="0" w:color="000000"/>
            </w:tcBorders>
          </w:tcPr>
          <w:p>
            <w:pPr>
              <w:pStyle w:val="TableParagraph"/>
              <w:spacing w:before="59"/>
              <w:rPr>
                <w:sz w:val="20"/>
              </w:rPr>
            </w:pPr>
          </w:p>
          <w:p>
            <w:pPr>
              <w:pStyle w:val="TableParagraph"/>
              <w:ind w:left="107"/>
              <w:rPr>
                <w:rFonts w:ascii="Arial"/>
                <w:b/>
                <w:sz w:val="20"/>
              </w:rPr>
            </w:pPr>
            <w:r>
              <w:rPr>
                <w:rFonts w:ascii="Arial"/>
                <w:b/>
                <w:sz w:val="20"/>
              </w:rPr>
              <w:t>Board</w:t>
            </w:r>
            <w:r>
              <w:rPr>
                <w:rFonts w:ascii="Arial"/>
                <w:b/>
                <w:spacing w:val="-9"/>
                <w:sz w:val="20"/>
              </w:rPr>
              <w:t> </w:t>
            </w:r>
            <w:r>
              <w:rPr>
                <w:rFonts w:ascii="Arial"/>
                <w:b/>
                <w:spacing w:val="-2"/>
                <w:sz w:val="20"/>
              </w:rPr>
              <w:t>Member</w:t>
            </w:r>
          </w:p>
        </w:tc>
        <w:tc>
          <w:tcPr>
            <w:tcW w:w="1123" w:type="dxa"/>
            <w:tcBorders>
              <w:bottom w:val="single" w:sz="12" w:space="0" w:color="000000"/>
            </w:tcBorders>
          </w:tcPr>
          <w:p>
            <w:pPr>
              <w:pStyle w:val="TableParagraph"/>
              <w:spacing w:line="280" w:lineRule="atLeast" w:before="97"/>
              <w:ind w:left="558" w:right="100" w:hanging="123"/>
              <w:rPr>
                <w:rFonts w:ascii="Arial"/>
                <w:b/>
                <w:sz w:val="20"/>
              </w:rPr>
            </w:pPr>
            <w:r>
              <w:rPr>
                <w:rFonts w:ascii="Arial"/>
                <w:b/>
                <w:spacing w:val="-2"/>
                <w:sz w:val="20"/>
              </w:rPr>
              <w:t>Board </w:t>
            </w:r>
            <w:r>
              <w:rPr>
                <w:rFonts w:ascii="Arial"/>
                <w:b/>
                <w:spacing w:val="-4"/>
                <w:sz w:val="20"/>
              </w:rPr>
              <w:t>Fees</w:t>
            </w:r>
          </w:p>
        </w:tc>
        <w:tc>
          <w:tcPr>
            <w:tcW w:w="1386" w:type="dxa"/>
            <w:tcBorders>
              <w:bottom w:val="single" w:sz="12" w:space="0" w:color="000000"/>
            </w:tcBorders>
          </w:tcPr>
          <w:p>
            <w:pPr>
              <w:pStyle w:val="TableParagraph"/>
              <w:spacing w:line="280" w:lineRule="atLeast" w:before="97"/>
              <w:ind w:left="107" w:right="340" w:firstLine="134"/>
              <w:rPr>
                <w:rFonts w:ascii="Arial"/>
                <w:b/>
                <w:sz w:val="20"/>
              </w:rPr>
            </w:pPr>
            <w:r>
              <w:rPr>
                <w:rFonts w:ascii="Arial"/>
                <w:b/>
                <w:spacing w:val="-2"/>
                <w:sz w:val="20"/>
              </w:rPr>
              <w:t>Incurred Expenses</w:t>
            </w:r>
          </w:p>
        </w:tc>
        <w:tc>
          <w:tcPr>
            <w:tcW w:w="1320" w:type="dxa"/>
            <w:tcBorders>
              <w:bottom w:val="single" w:sz="12" w:space="0" w:color="000000"/>
            </w:tcBorders>
          </w:tcPr>
          <w:p>
            <w:pPr>
              <w:pStyle w:val="TableParagraph"/>
              <w:spacing w:line="280" w:lineRule="atLeast" w:before="97"/>
              <w:ind w:left="380" w:right="102" w:hanging="36"/>
              <w:rPr>
                <w:rFonts w:ascii="Arial"/>
                <w:b/>
                <w:sz w:val="20"/>
              </w:rPr>
            </w:pPr>
            <w:r>
              <w:rPr>
                <w:rFonts w:ascii="Arial"/>
                <w:b/>
                <w:spacing w:val="-2"/>
                <w:sz w:val="20"/>
              </w:rPr>
              <w:t>Meetings attended</w:t>
            </w:r>
          </w:p>
        </w:tc>
      </w:tr>
      <w:tr>
        <w:trPr>
          <w:trHeight w:val="280" w:hRule="atLeast"/>
        </w:trPr>
        <w:tc>
          <w:tcPr>
            <w:tcW w:w="4569" w:type="dxa"/>
            <w:tcBorders>
              <w:top w:val="single" w:sz="12" w:space="0" w:color="000000"/>
              <w:bottom w:val="single" w:sz="12" w:space="0" w:color="000000"/>
            </w:tcBorders>
          </w:tcPr>
          <w:p>
            <w:pPr>
              <w:pStyle w:val="TableParagraph"/>
              <w:rPr>
                <w:rFonts w:ascii="Times New Roman"/>
                <w:sz w:val="20"/>
              </w:rPr>
            </w:pPr>
          </w:p>
        </w:tc>
        <w:tc>
          <w:tcPr>
            <w:tcW w:w="1123" w:type="dxa"/>
            <w:tcBorders>
              <w:top w:val="single" w:sz="12" w:space="0" w:color="000000"/>
              <w:bottom w:val="single" w:sz="12" w:space="0" w:color="000000"/>
            </w:tcBorders>
          </w:tcPr>
          <w:p>
            <w:pPr>
              <w:pStyle w:val="TableParagraph"/>
              <w:rPr>
                <w:rFonts w:ascii="Times New Roman"/>
                <w:sz w:val="20"/>
              </w:rPr>
            </w:pPr>
          </w:p>
        </w:tc>
        <w:tc>
          <w:tcPr>
            <w:tcW w:w="1386" w:type="dxa"/>
            <w:tcBorders>
              <w:top w:val="single" w:sz="12" w:space="0" w:color="000000"/>
              <w:bottom w:val="single" w:sz="12" w:space="0" w:color="000000"/>
            </w:tcBorders>
          </w:tcPr>
          <w:p>
            <w:pPr>
              <w:pStyle w:val="TableParagraph"/>
              <w:rPr>
                <w:rFonts w:ascii="Times New Roman"/>
                <w:sz w:val="20"/>
              </w:rPr>
            </w:pPr>
          </w:p>
        </w:tc>
        <w:tc>
          <w:tcPr>
            <w:tcW w:w="1320" w:type="dxa"/>
            <w:tcBorders>
              <w:top w:val="single" w:sz="12" w:space="0" w:color="000000"/>
              <w:bottom w:val="single" w:sz="12" w:space="0" w:color="000000"/>
            </w:tcBorders>
          </w:tcPr>
          <w:p>
            <w:pPr>
              <w:pStyle w:val="TableParagraph"/>
              <w:rPr>
                <w:rFonts w:ascii="Times New Roman"/>
                <w:sz w:val="20"/>
              </w:rPr>
            </w:pPr>
          </w:p>
        </w:tc>
      </w:tr>
      <w:tr>
        <w:trPr>
          <w:trHeight w:val="272" w:hRule="atLeast"/>
        </w:trPr>
        <w:tc>
          <w:tcPr>
            <w:tcW w:w="4569" w:type="dxa"/>
            <w:tcBorders>
              <w:top w:val="single" w:sz="12" w:space="0" w:color="000000"/>
            </w:tcBorders>
          </w:tcPr>
          <w:p>
            <w:pPr>
              <w:pStyle w:val="TableParagraph"/>
              <w:spacing w:line="235" w:lineRule="exact"/>
              <w:ind w:left="107"/>
              <w:rPr>
                <w:sz w:val="22"/>
              </w:rPr>
            </w:pPr>
            <w:r>
              <w:rPr>
                <w:sz w:val="22"/>
              </w:rPr>
              <w:t>Ms</w:t>
            </w:r>
            <w:r>
              <w:rPr>
                <w:spacing w:val="-3"/>
                <w:sz w:val="22"/>
              </w:rPr>
              <w:t> </w:t>
            </w:r>
            <w:r>
              <w:rPr>
                <w:sz w:val="22"/>
              </w:rPr>
              <w:t>.Helen</w:t>
            </w:r>
            <w:r>
              <w:rPr>
                <w:spacing w:val="-4"/>
                <w:sz w:val="22"/>
              </w:rPr>
              <w:t> </w:t>
            </w:r>
            <w:r>
              <w:rPr>
                <w:sz w:val="22"/>
              </w:rPr>
              <w:t>Guinan</w:t>
            </w:r>
            <w:r>
              <w:rPr>
                <w:spacing w:val="-3"/>
                <w:sz w:val="22"/>
              </w:rPr>
              <w:t> </w:t>
            </w:r>
            <w:r>
              <w:rPr>
                <w:spacing w:val="-2"/>
                <w:sz w:val="22"/>
              </w:rPr>
              <w:t>(Chairperson)</w:t>
            </w:r>
          </w:p>
        </w:tc>
        <w:tc>
          <w:tcPr>
            <w:tcW w:w="1123" w:type="dxa"/>
            <w:tcBorders>
              <w:top w:val="single" w:sz="12" w:space="0" w:color="000000"/>
            </w:tcBorders>
          </w:tcPr>
          <w:p>
            <w:pPr>
              <w:pStyle w:val="TableParagraph"/>
              <w:spacing w:line="235" w:lineRule="exact"/>
              <w:ind w:right="103"/>
              <w:jc w:val="right"/>
              <w:rPr>
                <w:sz w:val="22"/>
              </w:rPr>
            </w:pPr>
            <w:r>
              <w:rPr>
                <w:spacing w:val="-2"/>
                <w:sz w:val="22"/>
              </w:rPr>
              <w:t>8,978</w:t>
            </w:r>
          </w:p>
        </w:tc>
        <w:tc>
          <w:tcPr>
            <w:tcW w:w="1386" w:type="dxa"/>
            <w:tcBorders>
              <w:top w:val="single" w:sz="12" w:space="0" w:color="000000"/>
            </w:tcBorders>
          </w:tcPr>
          <w:p>
            <w:pPr>
              <w:pStyle w:val="TableParagraph"/>
              <w:spacing w:line="235" w:lineRule="exact"/>
              <w:ind w:right="340"/>
              <w:jc w:val="right"/>
              <w:rPr>
                <w:sz w:val="22"/>
              </w:rPr>
            </w:pPr>
            <w:r>
              <w:rPr>
                <w:spacing w:val="-2"/>
                <w:sz w:val="22"/>
              </w:rPr>
              <w:t>4,088</w:t>
            </w:r>
          </w:p>
        </w:tc>
        <w:tc>
          <w:tcPr>
            <w:tcW w:w="1320" w:type="dxa"/>
            <w:tcBorders>
              <w:top w:val="single" w:sz="12" w:space="0" w:color="000000"/>
            </w:tcBorders>
          </w:tcPr>
          <w:p>
            <w:pPr>
              <w:pStyle w:val="TableParagraph"/>
              <w:spacing w:line="235" w:lineRule="exact"/>
              <w:ind w:right="102"/>
              <w:jc w:val="right"/>
              <w:rPr>
                <w:sz w:val="22"/>
              </w:rPr>
            </w:pPr>
            <w:r>
              <w:rPr>
                <w:spacing w:val="-5"/>
                <w:sz w:val="22"/>
              </w:rPr>
              <w:t>6/6</w:t>
            </w:r>
          </w:p>
        </w:tc>
      </w:tr>
      <w:tr>
        <w:trPr>
          <w:trHeight w:val="319" w:hRule="atLeast"/>
        </w:trPr>
        <w:tc>
          <w:tcPr>
            <w:tcW w:w="4569" w:type="dxa"/>
          </w:tcPr>
          <w:p>
            <w:pPr>
              <w:pStyle w:val="TableParagraph"/>
              <w:spacing w:before="32"/>
              <w:ind w:left="107"/>
              <w:rPr>
                <w:sz w:val="22"/>
              </w:rPr>
            </w:pPr>
            <w:r>
              <w:rPr>
                <w:sz w:val="22"/>
              </w:rPr>
              <w:t>Ms.</w:t>
            </w:r>
            <w:r>
              <w:rPr>
                <w:spacing w:val="-5"/>
                <w:sz w:val="22"/>
              </w:rPr>
              <w:t> </w:t>
            </w:r>
            <w:r>
              <w:rPr>
                <w:sz w:val="22"/>
              </w:rPr>
              <w:t>Aisling</w:t>
            </w:r>
            <w:r>
              <w:rPr>
                <w:spacing w:val="-4"/>
                <w:sz w:val="22"/>
              </w:rPr>
              <w:t> </w:t>
            </w:r>
            <w:r>
              <w:rPr>
                <w:sz w:val="22"/>
              </w:rPr>
              <w:t>Glynn</w:t>
            </w:r>
            <w:r>
              <w:rPr>
                <w:spacing w:val="-6"/>
                <w:sz w:val="22"/>
              </w:rPr>
              <w:t> </w:t>
            </w:r>
            <w:r>
              <w:rPr>
                <w:sz w:val="22"/>
              </w:rPr>
              <w:t>(Appointed</w:t>
            </w:r>
            <w:r>
              <w:rPr>
                <w:spacing w:val="-2"/>
                <w:sz w:val="22"/>
              </w:rPr>
              <w:t> 6/6/2017)</w:t>
            </w:r>
          </w:p>
        </w:tc>
        <w:tc>
          <w:tcPr>
            <w:tcW w:w="1123" w:type="dxa"/>
          </w:tcPr>
          <w:p>
            <w:pPr>
              <w:pStyle w:val="TableParagraph"/>
              <w:spacing w:before="32"/>
              <w:ind w:right="103"/>
              <w:jc w:val="right"/>
              <w:rPr>
                <w:sz w:val="22"/>
              </w:rPr>
            </w:pPr>
            <w:r>
              <w:rPr>
                <w:spacing w:val="-2"/>
                <w:sz w:val="22"/>
              </w:rPr>
              <w:t>2,993</w:t>
            </w:r>
          </w:p>
        </w:tc>
        <w:tc>
          <w:tcPr>
            <w:tcW w:w="1386" w:type="dxa"/>
          </w:tcPr>
          <w:p>
            <w:pPr>
              <w:pStyle w:val="TableParagraph"/>
              <w:spacing w:before="32"/>
              <w:ind w:right="343"/>
              <w:jc w:val="right"/>
              <w:rPr>
                <w:sz w:val="22"/>
              </w:rPr>
            </w:pPr>
            <w:r>
              <w:rPr>
                <w:spacing w:val="-5"/>
                <w:sz w:val="22"/>
              </w:rPr>
              <w:t>638</w:t>
            </w:r>
          </w:p>
        </w:tc>
        <w:tc>
          <w:tcPr>
            <w:tcW w:w="1320" w:type="dxa"/>
          </w:tcPr>
          <w:p>
            <w:pPr>
              <w:pStyle w:val="TableParagraph"/>
              <w:spacing w:before="32"/>
              <w:ind w:right="102"/>
              <w:jc w:val="right"/>
              <w:rPr>
                <w:sz w:val="22"/>
              </w:rPr>
            </w:pPr>
            <w:r>
              <w:rPr>
                <w:spacing w:val="-5"/>
                <w:sz w:val="22"/>
              </w:rPr>
              <w:t>3/3</w:t>
            </w:r>
          </w:p>
        </w:tc>
      </w:tr>
      <w:tr>
        <w:trPr>
          <w:trHeight w:val="319" w:hRule="atLeast"/>
        </w:trPr>
        <w:tc>
          <w:tcPr>
            <w:tcW w:w="4569" w:type="dxa"/>
          </w:tcPr>
          <w:p>
            <w:pPr>
              <w:pStyle w:val="TableParagraph"/>
              <w:spacing w:before="32"/>
              <w:ind w:left="107"/>
              <w:rPr>
                <w:sz w:val="22"/>
              </w:rPr>
            </w:pPr>
            <w:r>
              <w:rPr>
                <w:sz w:val="22"/>
              </w:rPr>
              <w:t>Mr.</w:t>
            </w:r>
            <w:r>
              <w:rPr>
                <w:spacing w:val="-2"/>
                <w:sz w:val="22"/>
              </w:rPr>
              <w:t> </w:t>
            </w:r>
            <w:r>
              <w:rPr>
                <w:sz w:val="22"/>
              </w:rPr>
              <w:t>Frank</w:t>
            </w:r>
            <w:r>
              <w:rPr>
                <w:spacing w:val="-2"/>
                <w:sz w:val="22"/>
              </w:rPr>
              <w:t> Cunneen</w:t>
            </w:r>
          </w:p>
        </w:tc>
        <w:tc>
          <w:tcPr>
            <w:tcW w:w="1123" w:type="dxa"/>
          </w:tcPr>
          <w:p>
            <w:pPr>
              <w:pStyle w:val="TableParagraph"/>
              <w:spacing w:before="32"/>
              <w:ind w:right="104"/>
              <w:jc w:val="right"/>
              <w:rPr>
                <w:sz w:val="22"/>
              </w:rPr>
            </w:pPr>
            <w:r>
              <w:rPr>
                <w:spacing w:val="-4"/>
                <w:sz w:val="22"/>
              </w:rPr>
              <w:t>5,985</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6/6</w:t>
            </w:r>
          </w:p>
        </w:tc>
      </w:tr>
      <w:tr>
        <w:trPr>
          <w:trHeight w:val="318" w:hRule="atLeast"/>
        </w:trPr>
        <w:tc>
          <w:tcPr>
            <w:tcW w:w="4569" w:type="dxa"/>
          </w:tcPr>
          <w:p>
            <w:pPr>
              <w:pStyle w:val="TableParagraph"/>
              <w:spacing w:before="32"/>
              <w:ind w:left="107"/>
              <w:rPr>
                <w:sz w:val="22"/>
              </w:rPr>
            </w:pPr>
            <w:r>
              <w:rPr>
                <w:sz w:val="22"/>
              </w:rPr>
              <w:t>Mr.</w:t>
            </w:r>
            <w:r>
              <w:rPr>
                <w:spacing w:val="-1"/>
                <w:sz w:val="22"/>
              </w:rPr>
              <w:t> </w:t>
            </w:r>
            <w:r>
              <w:rPr>
                <w:sz w:val="22"/>
              </w:rPr>
              <w:t>Des </w:t>
            </w:r>
            <w:r>
              <w:rPr>
                <w:spacing w:val="-2"/>
                <w:sz w:val="22"/>
              </w:rPr>
              <w:t>Kenny</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4/6</w:t>
            </w:r>
          </w:p>
        </w:tc>
      </w:tr>
      <w:tr>
        <w:trPr>
          <w:trHeight w:val="317" w:hRule="atLeast"/>
        </w:trPr>
        <w:tc>
          <w:tcPr>
            <w:tcW w:w="4569" w:type="dxa"/>
          </w:tcPr>
          <w:p>
            <w:pPr>
              <w:pStyle w:val="TableParagraph"/>
              <w:spacing w:before="31"/>
              <w:ind w:left="107"/>
              <w:rPr>
                <w:sz w:val="22"/>
              </w:rPr>
            </w:pPr>
            <w:r>
              <w:rPr>
                <w:sz w:val="22"/>
              </w:rPr>
              <w:t>Ms.</w:t>
            </w:r>
            <w:r>
              <w:rPr>
                <w:spacing w:val="-4"/>
                <w:sz w:val="22"/>
              </w:rPr>
              <w:t> </w:t>
            </w:r>
            <w:r>
              <w:rPr>
                <w:sz w:val="22"/>
              </w:rPr>
              <w:t>Ruthann</w:t>
            </w:r>
            <w:r>
              <w:rPr>
                <w:spacing w:val="-4"/>
                <w:sz w:val="22"/>
              </w:rPr>
              <w:t> </w:t>
            </w:r>
            <w:r>
              <w:rPr>
                <w:sz w:val="22"/>
              </w:rPr>
              <w:t>La</w:t>
            </w:r>
            <w:r>
              <w:rPr>
                <w:spacing w:val="-3"/>
                <w:sz w:val="22"/>
              </w:rPr>
              <w:t> </w:t>
            </w:r>
            <w:r>
              <w:rPr>
                <w:spacing w:val="-2"/>
                <w:sz w:val="22"/>
              </w:rPr>
              <w:t>Malfa</w:t>
            </w:r>
          </w:p>
        </w:tc>
        <w:tc>
          <w:tcPr>
            <w:tcW w:w="1123" w:type="dxa"/>
          </w:tcPr>
          <w:p>
            <w:pPr>
              <w:pStyle w:val="TableParagraph"/>
              <w:spacing w:before="31"/>
              <w:ind w:right="103"/>
              <w:jc w:val="right"/>
              <w:rPr>
                <w:sz w:val="22"/>
              </w:rPr>
            </w:pPr>
            <w:r>
              <w:rPr>
                <w:spacing w:val="-2"/>
                <w:sz w:val="22"/>
              </w:rPr>
              <w:t>5,985</w:t>
            </w:r>
          </w:p>
        </w:tc>
        <w:tc>
          <w:tcPr>
            <w:tcW w:w="1386" w:type="dxa"/>
          </w:tcPr>
          <w:p>
            <w:pPr>
              <w:pStyle w:val="TableParagraph"/>
              <w:spacing w:before="31"/>
              <w:ind w:right="343"/>
              <w:jc w:val="right"/>
              <w:rPr>
                <w:sz w:val="22"/>
              </w:rPr>
            </w:pPr>
            <w:r>
              <w:rPr>
                <w:spacing w:val="-10"/>
                <w:sz w:val="22"/>
              </w:rPr>
              <w:t>-</w:t>
            </w:r>
          </w:p>
        </w:tc>
        <w:tc>
          <w:tcPr>
            <w:tcW w:w="1320" w:type="dxa"/>
          </w:tcPr>
          <w:p>
            <w:pPr>
              <w:pStyle w:val="TableParagraph"/>
              <w:spacing w:before="31"/>
              <w:ind w:right="102"/>
              <w:jc w:val="right"/>
              <w:rPr>
                <w:sz w:val="22"/>
              </w:rPr>
            </w:pPr>
            <w:r>
              <w:rPr>
                <w:spacing w:val="-5"/>
                <w:sz w:val="22"/>
              </w:rPr>
              <w:t>6/6</w:t>
            </w:r>
          </w:p>
        </w:tc>
      </w:tr>
      <w:tr>
        <w:trPr>
          <w:trHeight w:val="319" w:hRule="atLeast"/>
        </w:trPr>
        <w:tc>
          <w:tcPr>
            <w:tcW w:w="4569" w:type="dxa"/>
          </w:tcPr>
          <w:p>
            <w:pPr>
              <w:pStyle w:val="TableParagraph"/>
              <w:spacing w:before="32"/>
              <w:ind w:left="107"/>
              <w:rPr>
                <w:sz w:val="22"/>
              </w:rPr>
            </w:pPr>
            <w:r>
              <w:rPr>
                <w:sz w:val="22"/>
              </w:rPr>
              <w:t>Ms.</w:t>
            </w:r>
            <w:r>
              <w:rPr>
                <w:spacing w:val="-3"/>
                <w:sz w:val="22"/>
              </w:rPr>
              <w:t> </w:t>
            </w:r>
            <w:r>
              <w:rPr>
                <w:sz w:val="22"/>
              </w:rPr>
              <w:t>Mary</w:t>
            </w:r>
            <w:r>
              <w:rPr>
                <w:spacing w:val="-2"/>
                <w:sz w:val="22"/>
              </w:rPr>
              <w:t> Lavelle</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6/6</w:t>
            </w:r>
          </w:p>
        </w:tc>
      </w:tr>
      <w:tr>
        <w:trPr>
          <w:trHeight w:val="319" w:hRule="atLeast"/>
        </w:trPr>
        <w:tc>
          <w:tcPr>
            <w:tcW w:w="4569" w:type="dxa"/>
          </w:tcPr>
          <w:p>
            <w:pPr>
              <w:pStyle w:val="TableParagraph"/>
              <w:spacing w:before="32"/>
              <w:ind w:left="107"/>
              <w:rPr>
                <w:sz w:val="22"/>
              </w:rPr>
            </w:pPr>
            <w:r>
              <w:rPr>
                <w:sz w:val="22"/>
              </w:rPr>
              <w:t>Ms.</w:t>
            </w:r>
            <w:r>
              <w:rPr>
                <w:spacing w:val="-5"/>
                <w:sz w:val="22"/>
              </w:rPr>
              <w:t> </w:t>
            </w:r>
            <w:r>
              <w:rPr>
                <w:sz w:val="22"/>
              </w:rPr>
              <w:t>Teresa</w:t>
            </w:r>
            <w:r>
              <w:rPr>
                <w:spacing w:val="-4"/>
                <w:sz w:val="22"/>
              </w:rPr>
              <w:t> </w:t>
            </w:r>
            <w:r>
              <w:rPr>
                <w:spacing w:val="-2"/>
                <w:sz w:val="22"/>
              </w:rPr>
              <w:t>McDonnell</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3"/>
              <w:jc w:val="right"/>
              <w:rPr>
                <w:sz w:val="22"/>
              </w:rPr>
            </w:pPr>
            <w:r>
              <w:rPr>
                <w:spacing w:val="-5"/>
                <w:sz w:val="22"/>
              </w:rPr>
              <w:t>384</w:t>
            </w:r>
          </w:p>
        </w:tc>
        <w:tc>
          <w:tcPr>
            <w:tcW w:w="1320" w:type="dxa"/>
          </w:tcPr>
          <w:p>
            <w:pPr>
              <w:pStyle w:val="TableParagraph"/>
              <w:spacing w:before="32"/>
              <w:ind w:right="102"/>
              <w:jc w:val="right"/>
              <w:rPr>
                <w:sz w:val="22"/>
              </w:rPr>
            </w:pPr>
            <w:r>
              <w:rPr>
                <w:spacing w:val="-5"/>
                <w:sz w:val="22"/>
              </w:rPr>
              <w:t>6/6</w:t>
            </w:r>
          </w:p>
        </w:tc>
      </w:tr>
      <w:tr>
        <w:trPr>
          <w:trHeight w:val="319" w:hRule="atLeast"/>
        </w:trPr>
        <w:tc>
          <w:tcPr>
            <w:tcW w:w="4569" w:type="dxa"/>
          </w:tcPr>
          <w:p>
            <w:pPr>
              <w:pStyle w:val="TableParagraph"/>
              <w:spacing w:before="32"/>
              <w:ind w:left="107"/>
              <w:rPr>
                <w:sz w:val="22"/>
              </w:rPr>
            </w:pPr>
            <w:r>
              <w:rPr>
                <w:sz w:val="22"/>
              </w:rPr>
              <w:t>Mr.</w:t>
            </w:r>
            <w:r>
              <w:rPr>
                <w:spacing w:val="-2"/>
                <w:sz w:val="22"/>
              </w:rPr>
              <w:t> </w:t>
            </w:r>
            <w:r>
              <w:rPr>
                <w:sz w:val="22"/>
              </w:rPr>
              <w:t>Deaglán</w:t>
            </w:r>
            <w:r>
              <w:rPr>
                <w:spacing w:val="-4"/>
                <w:sz w:val="22"/>
              </w:rPr>
              <w:t> </w:t>
            </w:r>
            <w:r>
              <w:rPr>
                <w:sz w:val="22"/>
              </w:rPr>
              <w:t>Ó</w:t>
            </w:r>
            <w:r>
              <w:rPr>
                <w:spacing w:val="-2"/>
                <w:sz w:val="22"/>
              </w:rPr>
              <w:t> Briain</w:t>
            </w:r>
          </w:p>
        </w:tc>
        <w:tc>
          <w:tcPr>
            <w:tcW w:w="1123" w:type="dxa"/>
          </w:tcPr>
          <w:p>
            <w:pPr>
              <w:pStyle w:val="TableParagraph"/>
              <w:spacing w:before="32"/>
              <w:ind w:right="104"/>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4/6</w:t>
            </w:r>
          </w:p>
        </w:tc>
      </w:tr>
      <w:tr>
        <w:trPr>
          <w:trHeight w:val="319" w:hRule="atLeast"/>
        </w:trPr>
        <w:tc>
          <w:tcPr>
            <w:tcW w:w="4569" w:type="dxa"/>
          </w:tcPr>
          <w:p>
            <w:pPr>
              <w:pStyle w:val="TableParagraph"/>
              <w:spacing w:before="32"/>
              <w:ind w:left="107"/>
              <w:rPr>
                <w:sz w:val="22"/>
              </w:rPr>
            </w:pPr>
            <w:r>
              <w:rPr>
                <w:sz w:val="22"/>
              </w:rPr>
              <w:t>Ms.</w:t>
            </w:r>
            <w:r>
              <w:rPr>
                <w:spacing w:val="-4"/>
                <w:sz w:val="22"/>
              </w:rPr>
              <w:t> </w:t>
            </w:r>
            <w:r>
              <w:rPr>
                <w:sz w:val="22"/>
              </w:rPr>
              <w:t>Deirdre</w:t>
            </w:r>
            <w:r>
              <w:rPr>
                <w:spacing w:val="-4"/>
                <w:sz w:val="22"/>
              </w:rPr>
              <w:t> </w:t>
            </w:r>
            <w:r>
              <w:rPr>
                <w:spacing w:val="-2"/>
                <w:sz w:val="22"/>
              </w:rPr>
              <w:t>O’Connor</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3/6</w:t>
            </w:r>
          </w:p>
        </w:tc>
      </w:tr>
      <w:tr>
        <w:trPr>
          <w:trHeight w:val="319" w:hRule="atLeast"/>
        </w:trPr>
        <w:tc>
          <w:tcPr>
            <w:tcW w:w="4569" w:type="dxa"/>
          </w:tcPr>
          <w:p>
            <w:pPr>
              <w:pStyle w:val="TableParagraph"/>
              <w:spacing w:before="32"/>
              <w:ind w:left="107"/>
              <w:rPr>
                <w:sz w:val="22"/>
              </w:rPr>
            </w:pPr>
            <w:r>
              <w:rPr>
                <w:sz w:val="22"/>
              </w:rPr>
              <w:t>Mr.</w:t>
            </w:r>
            <w:r>
              <w:rPr>
                <w:spacing w:val="-2"/>
                <w:sz w:val="22"/>
              </w:rPr>
              <w:t> </w:t>
            </w:r>
            <w:r>
              <w:rPr>
                <w:sz w:val="22"/>
              </w:rPr>
              <w:t>James</w:t>
            </w:r>
            <w:r>
              <w:rPr>
                <w:spacing w:val="-3"/>
                <w:sz w:val="22"/>
              </w:rPr>
              <w:t> </w:t>
            </w:r>
            <w:r>
              <w:rPr>
                <w:spacing w:val="-2"/>
                <w:sz w:val="22"/>
              </w:rPr>
              <w:t>O’Grady</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0"/>
              <w:jc w:val="right"/>
              <w:rPr>
                <w:sz w:val="22"/>
              </w:rPr>
            </w:pPr>
            <w:r>
              <w:rPr>
                <w:spacing w:val="-2"/>
                <w:sz w:val="22"/>
              </w:rPr>
              <w:t>4,371</w:t>
            </w:r>
          </w:p>
        </w:tc>
        <w:tc>
          <w:tcPr>
            <w:tcW w:w="1320" w:type="dxa"/>
          </w:tcPr>
          <w:p>
            <w:pPr>
              <w:pStyle w:val="TableParagraph"/>
              <w:spacing w:before="32"/>
              <w:ind w:right="102"/>
              <w:jc w:val="right"/>
              <w:rPr>
                <w:sz w:val="22"/>
              </w:rPr>
            </w:pPr>
            <w:r>
              <w:rPr>
                <w:spacing w:val="-5"/>
                <w:sz w:val="22"/>
              </w:rPr>
              <w:t>6/6</w:t>
            </w:r>
          </w:p>
        </w:tc>
      </w:tr>
      <w:tr>
        <w:trPr>
          <w:trHeight w:val="319" w:hRule="atLeast"/>
        </w:trPr>
        <w:tc>
          <w:tcPr>
            <w:tcW w:w="4569" w:type="dxa"/>
          </w:tcPr>
          <w:p>
            <w:pPr>
              <w:pStyle w:val="TableParagraph"/>
              <w:spacing w:before="32"/>
              <w:ind w:left="107"/>
              <w:rPr>
                <w:sz w:val="22"/>
              </w:rPr>
            </w:pPr>
            <w:r>
              <w:rPr>
                <w:sz w:val="22"/>
              </w:rPr>
              <w:t>Mr.</w:t>
            </w:r>
            <w:r>
              <w:rPr>
                <w:spacing w:val="-1"/>
                <w:sz w:val="22"/>
              </w:rPr>
              <w:t> </w:t>
            </w:r>
            <w:r>
              <w:rPr>
                <w:sz w:val="22"/>
              </w:rPr>
              <w:t>Donie</w:t>
            </w:r>
            <w:r>
              <w:rPr>
                <w:spacing w:val="-2"/>
                <w:sz w:val="22"/>
              </w:rPr>
              <w:t> O’Leary</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0"/>
              <w:jc w:val="right"/>
              <w:rPr>
                <w:sz w:val="22"/>
              </w:rPr>
            </w:pPr>
            <w:r>
              <w:rPr>
                <w:spacing w:val="-2"/>
                <w:sz w:val="22"/>
              </w:rPr>
              <w:t>1,076</w:t>
            </w:r>
          </w:p>
        </w:tc>
        <w:tc>
          <w:tcPr>
            <w:tcW w:w="1320" w:type="dxa"/>
          </w:tcPr>
          <w:p>
            <w:pPr>
              <w:pStyle w:val="TableParagraph"/>
              <w:spacing w:before="32"/>
              <w:ind w:right="102"/>
              <w:jc w:val="right"/>
              <w:rPr>
                <w:sz w:val="22"/>
              </w:rPr>
            </w:pPr>
            <w:r>
              <w:rPr>
                <w:spacing w:val="-5"/>
                <w:sz w:val="22"/>
              </w:rPr>
              <w:t>4/6</w:t>
            </w:r>
          </w:p>
        </w:tc>
      </w:tr>
      <w:tr>
        <w:trPr>
          <w:trHeight w:val="319" w:hRule="atLeast"/>
        </w:trPr>
        <w:tc>
          <w:tcPr>
            <w:tcW w:w="4569" w:type="dxa"/>
          </w:tcPr>
          <w:p>
            <w:pPr>
              <w:pStyle w:val="TableParagraph"/>
              <w:spacing w:before="32"/>
              <w:ind w:left="107"/>
              <w:rPr>
                <w:sz w:val="22"/>
              </w:rPr>
            </w:pPr>
            <w:r>
              <w:rPr>
                <w:sz w:val="22"/>
              </w:rPr>
              <w:t>Ms.</w:t>
            </w:r>
            <w:r>
              <w:rPr>
                <w:spacing w:val="-5"/>
                <w:sz w:val="22"/>
              </w:rPr>
              <w:t> </w:t>
            </w:r>
            <w:r>
              <w:rPr>
                <w:sz w:val="22"/>
              </w:rPr>
              <w:t>Alison</w:t>
            </w:r>
            <w:r>
              <w:rPr>
                <w:spacing w:val="-4"/>
                <w:sz w:val="22"/>
              </w:rPr>
              <w:t> Ryan</w:t>
            </w:r>
          </w:p>
        </w:tc>
        <w:tc>
          <w:tcPr>
            <w:tcW w:w="1123" w:type="dxa"/>
          </w:tcPr>
          <w:p>
            <w:pPr>
              <w:pStyle w:val="TableParagraph"/>
              <w:spacing w:before="32"/>
              <w:ind w:right="103"/>
              <w:jc w:val="right"/>
              <w:rPr>
                <w:sz w:val="22"/>
              </w:rPr>
            </w:pPr>
            <w:r>
              <w:rPr>
                <w:spacing w:val="-2"/>
                <w:sz w:val="22"/>
              </w:rPr>
              <w:t>5,985</w:t>
            </w:r>
          </w:p>
        </w:tc>
        <w:tc>
          <w:tcPr>
            <w:tcW w:w="1386" w:type="dxa"/>
          </w:tcPr>
          <w:p>
            <w:pPr>
              <w:pStyle w:val="TableParagraph"/>
              <w:spacing w:before="32"/>
              <w:ind w:right="343"/>
              <w:jc w:val="right"/>
              <w:rPr>
                <w:sz w:val="22"/>
              </w:rPr>
            </w:pPr>
            <w:r>
              <w:rPr>
                <w:spacing w:val="-5"/>
                <w:sz w:val="22"/>
              </w:rPr>
              <w:t>567</w:t>
            </w:r>
          </w:p>
        </w:tc>
        <w:tc>
          <w:tcPr>
            <w:tcW w:w="1320" w:type="dxa"/>
          </w:tcPr>
          <w:p>
            <w:pPr>
              <w:pStyle w:val="TableParagraph"/>
              <w:spacing w:before="32"/>
              <w:ind w:right="102"/>
              <w:jc w:val="right"/>
              <w:rPr>
                <w:sz w:val="22"/>
              </w:rPr>
            </w:pPr>
            <w:r>
              <w:rPr>
                <w:spacing w:val="-5"/>
                <w:sz w:val="22"/>
              </w:rPr>
              <w:t>5/6</w:t>
            </w:r>
          </w:p>
        </w:tc>
      </w:tr>
      <w:tr>
        <w:trPr>
          <w:trHeight w:val="616" w:hRule="atLeast"/>
        </w:trPr>
        <w:tc>
          <w:tcPr>
            <w:tcW w:w="4569" w:type="dxa"/>
          </w:tcPr>
          <w:p>
            <w:pPr>
              <w:pStyle w:val="TableParagraph"/>
              <w:spacing w:before="32"/>
              <w:ind w:left="107"/>
              <w:rPr>
                <w:sz w:val="22"/>
              </w:rPr>
            </w:pPr>
            <w:r>
              <w:rPr>
                <w:sz w:val="22"/>
              </w:rPr>
              <w:t>Mr.</w:t>
            </w:r>
            <w:r>
              <w:rPr>
                <w:spacing w:val="-3"/>
                <w:sz w:val="22"/>
              </w:rPr>
              <w:t> </w:t>
            </w:r>
            <w:r>
              <w:rPr>
                <w:sz w:val="22"/>
              </w:rPr>
              <w:t>Donal</w:t>
            </w:r>
            <w:r>
              <w:rPr>
                <w:spacing w:val="-4"/>
                <w:sz w:val="22"/>
              </w:rPr>
              <w:t> Rice</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5/6</w:t>
            </w:r>
          </w:p>
        </w:tc>
      </w:tr>
      <w:tr>
        <w:trPr>
          <w:trHeight w:val="565" w:hRule="atLeast"/>
        </w:trPr>
        <w:tc>
          <w:tcPr>
            <w:tcW w:w="4569" w:type="dxa"/>
          </w:tcPr>
          <w:p>
            <w:pPr>
              <w:pStyle w:val="TableParagraph"/>
              <w:spacing w:before="66"/>
              <w:rPr>
                <w:sz w:val="22"/>
              </w:rPr>
            </w:pPr>
          </w:p>
          <w:p>
            <w:pPr>
              <w:pStyle w:val="TableParagraph"/>
              <w:spacing w:line="224" w:lineRule="exact" w:before="1"/>
              <w:ind w:left="107"/>
              <w:rPr>
                <w:rFonts w:ascii="Arial"/>
                <w:b/>
                <w:sz w:val="22"/>
              </w:rPr>
            </w:pPr>
            <w:r>
              <w:rPr>
                <w:rFonts w:ascii="Arial"/>
                <w:b/>
                <w:sz w:val="22"/>
              </w:rPr>
              <w:t>Audit</w:t>
            </w:r>
            <w:r>
              <w:rPr>
                <w:rFonts w:ascii="Arial"/>
                <w:b/>
                <w:spacing w:val="-3"/>
                <w:sz w:val="22"/>
              </w:rPr>
              <w:t> </w:t>
            </w:r>
            <w:r>
              <w:rPr>
                <w:rFonts w:ascii="Arial"/>
                <w:b/>
                <w:spacing w:val="-2"/>
                <w:sz w:val="22"/>
              </w:rPr>
              <w:t>Committee</w:t>
            </w:r>
          </w:p>
        </w:tc>
        <w:tc>
          <w:tcPr>
            <w:tcW w:w="1123" w:type="dxa"/>
          </w:tcPr>
          <w:p>
            <w:pPr>
              <w:pStyle w:val="TableParagraph"/>
              <w:rPr>
                <w:rFonts w:ascii="Times New Roman"/>
                <w:sz w:val="22"/>
              </w:rPr>
            </w:pPr>
          </w:p>
        </w:tc>
        <w:tc>
          <w:tcPr>
            <w:tcW w:w="1386" w:type="dxa"/>
          </w:tcPr>
          <w:p>
            <w:pPr>
              <w:pStyle w:val="TableParagraph"/>
              <w:rPr>
                <w:rFonts w:ascii="Times New Roman"/>
                <w:sz w:val="22"/>
              </w:rPr>
            </w:pPr>
          </w:p>
        </w:tc>
        <w:tc>
          <w:tcPr>
            <w:tcW w:w="1320" w:type="dxa"/>
          </w:tcPr>
          <w:p>
            <w:pPr>
              <w:pStyle w:val="TableParagraph"/>
              <w:rPr>
                <w:rFonts w:ascii="Times New Roman"/>
                <w:sz w:val="22"/>
              </w:rPr>
            </w:pPr>
          </w:p>
        </w:tc>
      </w:tr>
      <w:tr>
        <w:trPr>
          <w:trHeight w:val="278" w:hRule="atLeast"/>
        </w:trPr>
        <w:tc>
          <w:tcPr>
            <w:tcW w:w="4569" w:type="dxa"/>
          </w:tcPr>
          <w:p>
            <w:pPr>
              <w:pStyle w:val="TableParagraph"/>
              <w:spacing w:line="246" w:lineRule="exact"/>
              <w:ind w:left="107"/>
              <w:rPr>
                <w:sz w:val="22"/>
              </w:rPr>
            </w:pPr>
            <w:r>
              <w:rPr>
                <w:sz w:val="22"/>
              </w:rPr>
              <w:t>Mr.</w:t>
            </w:r>
            <w:r>
              <w:rPr>
                <w:spacing w:val="-3"/>
                <w:sz w:val="22"/>
              </w:rPr>
              <w:t> </w:t>
            </w:r>
            <w:r>
              <w:rPr>
                <w:sz w:val="22"/>
              </w:rPr>
              <w:t>Donal</w:t>
            </w:r>
            <w:r>
              <w:rPr>
                <w:spacing w:val="-5"/>
                <w:sz w:val="22"/>
              </w:rPr>
              <w:t> </w:t>
            </w:r>
            <w:r>
              <w:rPr>
                <w:sz w:val="22"/>
              </w:rPr>
              <w:t>Lawlor</w:t>
            </w:r>
            <w:r>
              <w:rPr>
                <w:spacing w:val="-4"/>
                <w:sz w:val="22"/>
              </w:rPr>
              <w:t> </w:t>
            </w:r>
            <w:r>
              <w:rPr>
                <w:spacing w:val="-2"/>
                <w:sz w:val="22"/>
              </w:rPr>
              <w:t>(Chairperson)</w:t>
            </w:r>
          </w:p>
        </w:tc>
        <w:tc>
          <w:tcPr>
            <w:tcW w:w="1123" w:type="dxa"/>
          </w:tcPr>
          <w:p>
            <w:pPr>
              <w:pStyle w:val="TableParagraph"/>
              <w:spacing w:line="246" w:lineRule="exact"/>
              <w:ind w:right="103"/>
              <w:jc w:val="right"/>
              <w:rPr>
                <w:sz w:val="22"/>
              </w:rPr>
            </w:pPr>
            <w:r>
              <w:rPr>
                <w:spacing w:val="-2"/>
                <w:sz w:val="22"/>
              </w:rPr>
              <w:t>2,565</w:t>
            </w:r>
          </w:p>
        </w:tc>
        <w:tc>
          <w:tcPr>
            <w:tcW w:w="1386" w:type="dxa"/>
          </w:tcPr>
          <w:p>
            <w:pPr>
              <w:pStyle w:val="TableParagraph"/>
              <w:spacing w:line="246" w:lineRule="exact"/>
              <w:ind w:right="343"/>
              <w:jc w:val="right"/>
              <w:rPr>
                <w:sz w:val="22"/>
              </w:rPr>
            </w:pPr>
            <w:r>
              <w:rPr>
                <w:spacing w:val="-10"/>
                <w:sz w:val="22"/>
              </w:rPr>
              <w:t>-</w:t>
            </w:r>
          </w:p>
        </w:tc>
        <w:tc>
          <w:tcPr>
            <w:tcW w:w="1320" w:type="dxa"/>
          </w:tcPr>
          <w:p>
            <w:pPr>
              <w:pStyle w:val="TableParagraph"/>
              <w:spacing w:line="246" w:lineRule="exact"/>
              <w:ind w:right="102"/>
              <w:jc w:val="right"/>
              <w:rPr>
                <w:sz w:val="22"/>
              </w:rPr>
            </w:pPr>
            <w:r>
              <w:rPr>
                <w:spacing w:val="-5"/>
                <w:sz w:val="22"/>
              </w:rPr>
              <w:t>5/5</w:t>
            </w:r>
          </w:p>
        </w:tc>
      </w:tr>
      <w:tr>
        <w:trPr>
          <w:trHeight w:val="319" w:hRule="atLeast"/>
        </w:trPr>
        <w:tc>
          <w:tcPr>
            <w:tcW w:w="4569" w:type="dxa"/>
          </w:tcPr>
          <w:p>
            <w:pPr>
              <w:pStyle w:val="TableParagraph"/>
              <w:spacing w:before="32"/>
              <w:ind w:left="107"/>
              <w:rPr>
                <w:sz w:val="22"/>
              </w:rPr>
            </w:pPr>
            <w:r>
              <w:rPr>
                <w:sz w:val="22"/>
              </w:rPr>
              <w:t>Mr.</w:t>
            </w:r>
            <w:r>
              <w:rPr>
                <w:spacing w:val="-4"/>
                <w:sz w:val="22"/>
              </w:rPr>
              <w:t> </w:t>
            </w:r>
            <w:r>
              <w:rPr>
                <w:sz w:val="22"/>
              </w:rPr>
              <w:t>Frank</w:t>
            </w:r>
            <w:r>
              <w:rPr>
                <w:spacing w:val="-4"/>
                <w:sz w:val="22"/>
              </w:rPr>
              <w:t> </w:t>
            </w:r>
            <w:r>
              <w:rPr>
                <w:sz w:val="22"/>
              </w:rPr>
              <w:t>Cunneen</w:t>
            </w:r>
            <w:r>
              <w:rPr>
                <w:spacing w:val="-6"/>
                <w:sz w:val="22"/>
              </w:rPr>
              <w:t> </w:t>
            </w:r>
            <w:r>
              <w:rPr>
                <w:sz w:val="22"/>
              </w:rPr>
              <w:t>(Authority</w:t>
            </w:r>
            <w:r>
              <w:rPr>
                <w:spacing w:val="-3"/>
                <w:sz w:val="22"/>
              </w:rPr>
              <w:t> </w:t>
            </w:r>
            <w:r>
              <w:rPr>
                <w:spacing w:val="-2"/>
                <w:sz w:val="22"/>
              </w:rPr>
              <w:t>Member)</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5/5</w:t>
            </w:r>
          </w:p>
        </w:tc>
      </w:tr>
      <w:tr>
        <w:trPr>
          <w:trHeight w:val="319" w:hRule="atLeast"/>
        </w:trPr>
        <w:tc>
          <w:tcPr>
            <w:tcW w:w="4569" w:type="dxa"/>
          </w:tcPr>
          <w:p>
            <w:pPr>
              <w:pStyle w:val="TableParagraph"/>
              <w:spacing w:before="32"/>
              <w:ind w:left="107"/>
              <w:rPr>
                <w:sz w:val="22"/>
              </w:rPr>
            </w:pPr>
            <w:r>
              <w:rPr>
                <w:sz w:val="22"/>
              </w:rPr>
              <w:t>Mr.</w:t>
            </w:r>
            <w:r>
              <w:rPr>
                <w:spacing w:val="-3"/>
                <w:sz w:val="22"/>
              </w:rPr>
              <w:t> </w:t>
            </w:r>
            <w:r>
              <w:rPr>
                <w:sz w:val="22"/>
              </w:rPr>
              <w:t>Lawrence</w:t>
            </w:r>
            <w:r>
              <w:rPr>
                <w:spacing w:val="-2"/>
                <w:sz w:val="22"/>
              </w:rPr>
              <w:t> Byrne</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4/5</w:t>
            </w:r>
          </w:p>
        </w:tc>
      </w:tr>
      <w:tr>
        <w:trPr>
          <w:trHeight w:val="317" w:hRule="atLeast"/>
        </w:trPr>
        <w:tc>
          <w:tcPr>
            <w:tcW w:w="4569" w:type="dxa"/>
          </w:tcPr>
          <w:p>
            <w:pPr>
              <w:pStyle w:val="TableParagraph"/>
              <w:spacing w:before="32"/>
              <w:ind w:left="107"/>
              <w:rPr>
                <w:sz w:val="22"/>
              </w:rPr>
            </w:pPr>
            <w:r>
              <w:rPr>
                <w:sz w:val="22"/>
              </w:rPr>
              <w:t>Ms.</w:t>
            </w:r>
            <w:r>
              <w:rPr>
                <w:spacing w:val="-6"/>
                <w:sz w:val="22"/>
              </w:rPr>
              <w:t> </w:t>
            </w:r>
            <w:r>
              <w:rPr>
                <w:sz w:val="22"/>
              </w:rPr>
              <w:t>Teresa</w:t>
            </w:r>
            <w:r>
              <w:rPr>
                <w:spacing w:val="-7"/>
                <w:sz w:val="22"/>
              </w:rPr>
              <w:t> </w:t>
            </w:r>
            <w:r>
              <w:rPr>
                <w:sz w:val="22"/>
              </w:rPr>
              <w:t>McDonnell</w:t>
            </w:r>
            <w:r>
              <w:rPr>
                <w:spacing w:val="-5"/>
                <w:sz w:val="22"/>
              </w:rPr>
              <w:t> </w:t>
            </w:r>
            <w:r>
              <w:rPr>
                <w:sz w:val="22"/>
              </w:rPr>
              <w:t>(Authority</w:t>
            </w:r>
            <w:r>
              <w:rPr>
                <w:spacing w:val="-6"/>
                <w:sz w:val="22"/>
              </w:rPr>
              <w:t> </w:t>
            </w:r>
            <w:r>
              <w:rPr>
                <w:spacing w:val="-2"/>
                <w:sz w:val="22"/>
              </w:rPr>
              <w:t>Member)</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4/5</w:t>
            </w:r>
          </w:p>
        </w:tc>
      </w:tr>
      <w:tr>
        <w:trPr>
          <w:trHeight w:val="318" w:hRule="atLeast"/>
        </w:trPr>
        <w:tc>
          <w:tcPr>
            <w:tcW w:w="4569" w:type="dxa"/>
          </w:tcPr>
          <w:p>
            <w:pPr>
              <w:pStyle w:val="TableParagraph"/>
              <w:spacing w:before="31"/>
              <w:ind w:left="107"/>
              <w:rPr>
                <w:sz w:val="22"/>
              </w:rPr>
            </w:pPr>
            <w:r>
              <w:rPr>
                <w:sz w:val="22"/>
              </w:rPr>
              <w:t>Mr.</w:t>
            </w:r>
            <w:r>
              <w:rPr>
                <w:spacing w:val="-3"/>
                <w:sz w:val="22"/>
              </w:rPr>
              <w:t> </w:t>
            </w:r>
            <w:r>
              <w:rPr>
                <w:sz w:val="22"/>
              </w:rPr>
              <w:t>Des</w:t>
            </w:r>
            <w:r>
              <w:rPr>
                <w:spacing w:val="-3"/>
                <w:sz w:val="22"/>
              </w:rPr>
              <w:t> </w:t>
            </w:r>
            <w:r>
              <w:rPr>
                <w:sz w:val="22"/>
              </w:rPr>
              <w:t>Kenny</w:t>
            </w:r>
            <w:r>
              <w:rPr>
                <w:spacing w:val="-5"/>
                <w:sz w:val="22"/>
              </w:rPr>
              <w:t> </w:t>
            </w:r>
            <w:r>
              <w:rPr>
                <w:sz w:val="22"/>
              </w:rPr>
              <w:t>(Authority</w:t>
            </w:r>
            <w:r>
              <w:rPr>
                <w:spacing w:val="-7"/>
                <w:sz w:val="22"/>
              </w:rPr>
              <w:t> </w:t>
            </w:r>
            <w:r>
              <w:rPr>
                <w:spacing w:val="-2"/>
                <w:sz w:val="22"/>
              </w:rPr>
              <w:t>Member)</w:t>
            </w:r>
          </w:p>
        </w:tc>
        <w:tc>
          <w:tcPr>
            <w:tcW w:w="1123" w:type="dxa"/>
          </w:tcPr>
          <w:p>
            <w:pPr>
              <w:pStyle w:val="TableParagraph"/>
              <w:spacing w:before="31"/>
              <w:ind w:right="107"/>
              <w:jc w:val="right"/>
              <w:rPr>
                <w:sz w:val="22"/>
              </w:rPr>
            </w:pPr>
            <w:r>
              <w:rPr>
                <w:spacing w:val="-10"/>
                <w:sz w:val="22"/>
              </w:rPr>
              <w:t>-</w:t>
            </w:r>
          </w:p>
        </w:tc>
        <w:tc>
          <w:tcPr>
            <w:tcW w:w="1386" w:type="dxa"/>
          </w:tcPr>
          <w:p>
            <w:pPr>
              <w:pStyle w:val="TableParagraph"/>
              <w:spacing w:before="31"/>
              <w:ind w:right="343"/>
              <w:jc w:val="right"/>
              <w:rPr>
                <w:sz w:val="22"/>
              </w:rPr>
            </w:pPr>
            <w:r>
              <w:rPr>
                <w:spacing w:val="-10"/>
                <w:sz w:val="22"/>
              </w:rPr>
              <w:t>-</w:t>
            </w:r>
          </w:p>
        </w:tc>
        <w:tc>
          <w:tcPr>
            <w:tcW w:w="1320" w:type="dxa"/>
          </w:tcPr>
          <w:p>
            <w:pPr>
              <w:pStyle w:val="TableParagraph"/>
              <w:spacing w:before="31"/>
              <w:ind w:right="102"/>
              <w:jc w:val="right"/>
              <w:rPr>
                <w:sz w:val="22"/>
              </w:rPr>
            </w:pPr>
            <w:r>
              <w:rPr>
                <w:spacing w:val="-5"/>
                <w:sz w:val="22"/>
              </w:rPr>
              <w:t>4/5</w:t>
            </w:r>
          </w:p>
        </w:tc>
      </w:tr>
      <w:tr>
        <w:trPr>
          <w:trHeight w:val="319" w:hRule="atLeast"/>
        </w:trPr>
        <w:tc>
          <w:tcPr>
            <w:tcW w:w="4569" w:type="dxa"/>
          </w:tcPr>
          <w:p>
            <w:pPr>
              <w:pStyle w:val="TableParagraph"/>
              <w:spacing w:before="32"/>
              <w:ind w:left="107"/>
              <w:rPr>
                <w:sz w:val="22"/>
              </w:rPr>
            </w:pPr>
            <w:r>
              <w:rPr>
                <w:sz w:val="22"/>
              </w:rPr>
              <w:t>Mr.</w:t>
            </w:r>
            <w:r>
              <w:rPr>
                <w:spacing w:val="-3"/>
                <w:sz w:val="22"/>
              </w:rPr>
              <w:t> </w:t>
            </w:r>
            <w:r>
              <w:rPr>
                <w:sz w:val="22"/>
              </w:rPr>
              <w:t>Robert</w:t>
            </w:r>
            <w:r>
              <w:rPr>
                <w:spacing w:val="-2"/>
                <w:sz w:val="22"/>
              </w:rPr>
              <w:t> Cashell</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4/5</w:t>
            </w:r>
          </w:p>
        </w:tc>
      </w:tr>
      <w:tr>
        <w:trPr>
          <w:trHeight w:val="319" w:hRule="atLeast"/>
        </w:trPr>
        <w:tc>
          <w:tcPr>
            <w:tcW w:w="4569" w:type="dxa"/>
          </w:tcPr>
          <w:p>
            <w:pPr>
              <w:pStyle w:val="TableParagraph"/>
              <w:spacing w:before="32"/>
              <w:ind w:left="107"/>
              <w:rPr>
                <w:sz w:val="22"/>
              </w:rPr>
            </w:pPr>
            <w:r>
              <w:rPr>
                <w:sz w:val="22"/>
              </w:rPr>
              <w:t>Mr.</w:t>
            </w:r>
            <w:r>
              <w:rPr>
                <w:spacing w:val="-6"/>
                <w:sz w:val="22"/>
              </w:rPr>
              <w:t> </w:t>
            </w:r>
            <w:r>
              <w:rPr>
                <w:sz w:val="22"/>
              </w:rPr>
              <w:t>Tony</w:t>
            </w:r>
            <w:r>
              <w:rPr>
                <w:spacing w:val="-5"/>
                <w:sz w:val="22"/>
              </w:rPr>
              <w:t> </w:t>
            </w:r>
            <w:r>
              <w:rPr>
                <w:sz w:val="22"/>
              </w:rPr>
              <w:t>Fitzpatrick</w:t>
            </w:r>
            <w:r>
              <w:rPr>
                <w:spacing w:val="-5"/>
                <w:sz w:val="22"/>
              </w:rPr>
              <w:t> </w:t>
            </w:r>
            <w:r>
              <w:rPr>
                <w:sz w:val="22"/>
              </w:rPr>
              <w:t>(Appointed</w:t>
            </w:r>
            <w:r>
              <w:rPr>
                <w:spacing w:val="-5"/>
                <w:sz w:val="22"/>
              </w:rPr>
              <w:t> </w:t>
            </w:r>
            <w:r>
              <w:rPr>
                <w:spacing w:val="-2"/>
                <w:sz w:val="22"/>
              </w:rPr>
              <w:t>20/06/2017)</w:t>
            </w:r>
          </w:p>
        </w:tc>
        <w:tc>
          <w:tcPr>
            <w:tcW w:w="1123" w:type="dxa"/>
          </w:tcPr>
          <w:p>
            <w:pPr>
              <w:pStyle w:val="TableParagraph"/>
              <w:spacing w:before="32"/>
              <w:ind w:right="107"/>
              <w:jc w:val="right"/>
              <w:rPr>
                <w:sz w:val="22"/>
              </w:rPr>
            </w:pPr>
            <w:r>
              <w:rPr>
                <w:spacing w:val="-10"/>
                <w:sz w:val="22"/>
              </w:rPr>
              <w:t>-</w:t>
            </w:r>
          </w:p>
        </w:tc>
        <w:tc>
          <w:tcPr>
            <w:tcW w:w="1386" w:type="dxa"/>
          </w:tcPr>
          <w:p>
            <w:pPr>
              <w:pStyle w:val="TableParagraph"/>
              <w:spacing w:before="32"/>
              <w:ind w:right="343"/>
              <w:jc w:val="right"/>
              <w:rPr>
                <w:sz w:val="22"/>
              </w:rPr>
            </w:pPr>
            <w:r>
              <w:rPr>
                <w:spacing w:val="-10"/>
                <w:sz w:val="22"/>
              </w:rPr>
              <w:t>-</w:t>
            </w:r>
          </w:p>
        </w:tc>
        <w:tc>
          <w:tcPr>
            <w:tcW w:w="1320" w:type="dxa"/>
          </w:tcPr>
          <w:p>
            <w:pPr>
              <w:pStyle w:val="TableParagraph"/>
              <w:spacing w:before="32"/>
              <w:ind w:right="102"/>
              <w:jc w:val="right"/>
              <w:rPr>
                <w:sz w:val="22"/>
              </w:rPr>
            </w:pPr>
            <w:r>
              <w:rPr>
                <w:spacing w:val="-5"/>
                <w:sz w:val="22"/>
              </w:rPr>
              <w:t>1/1</w:t>
            </w:r>
          </w:p>
        </w:tc>
      </w:tr>
      <w:tr>
        <w:trPr>
          <w:trHeight w:val="287" w:hRule="atLeast"/>
        </w:trPr>
        <w:tc>
          <w:tcPr>
            <w:tcW w:w="4569" w:type="dxa"/>
          </w:tcPr>
          <w:p>
            <w:pPr>
              <w:pStyle w:val="TableParagraph"/>
              <w:spacing w:line="235" w:lineRule="exact" w:before="32"/>
              <w:ind w:left="107"/>
              <w:rPr>
                <w:sz w:val="22"/>
              </w:rPr>
            </w:pPr>
            <w:r>
              <w:rPr>
                <w:sz w:val="22"/>
              </w:rPr>
              <w:t>Mr.</w:t>
            </w:r>
            <w:r>
              <w:rPr>
                <w:spacing w:val="-4"/>
                <w:sz w:val="22"/>
              </w:rPr>
              <w:t> </w:t>
            </w:r>
            <w:r>
              <w:rPr>
                <w:sz w:val="22"/>
              </w:rPr>
              <w:t>John</w:t>
            </w:r>
            <w:r>
              <w:rPr>
                <w:spacing w:val="-5"/>
                <w:sz w:val="22"/>
              </w:rPr>
              <w:t> </w:t>
            </w:r>
            <w:r>
              <w:rPr>
                <w:sz w:val="22"/>
              </w:rPr>
              <w:t>Fitzgerald</w:t>
            </w:r>
            <w:r>
              <w:rPr>
                <w:spacing w:val="-6"/>
                <w:sz w:val="22"/>
              </w:rPr>
              <w:t> </w:t>
            </w:r>
            <w:r>
              <w:rPr>
                <w:sz w:val="22"/>
              </w:rPr>
              <w:t>(Appointed</w:t>
            </w:r>
            <w:r>
              <w:rPr>
                <w:spacing w:val="-5"/>
                <w:sz w:val="22"/>
              </w:rPr>
              <w:t> </w:t>
            </w:r>
            <w:r>
              <w:rPr>
                <w:spacing w:val="-2"/>
                <w:sz w:val="22"/>
              </w:rPr>
              <w:t>23/03/2017)</w:t>
            </w:r>
          </w:p>
        </w:tc>
        <w:tc>
          <w:tcPr>
            <w:tcW w:w="1123" w:type="dxa"/>
          </w:tcPr>
          <w:p>
            <w:pPr>
              <w:pStyle w:val="TableParagraph"/>
              <w:spacing w:line="235" w:lineRule="exact" w:before="32"/>
              <w:ind w:right="107"/>
              <w:jc w:val="right"/>
              <w:rPr>
                <w:sz w:val="22"/>
              </w:rPr>
            </w:pPr>
            <w:r>
              <w:rPr>
                <w:spacing w:val="-10"/>
                <w:sz w:val="22"/>
              </w:rPr>
              <w:t>-</w:t>
            </w:r>
          </w:p>
        </w:tc>
        <w:tc>
          <w:tcPr>
            <w:tcW w:w="1386" w:type="dxa"/>
          </w:tcPr>
          <w:p>
            <w:pPr>
              <w:pStyle w:val="TableParagraph"/>
              <w:spacing w:line="235" w:lineRule="exact" w:before="32"/>
              <w:ind w:right="343"/>
              <w:jc w:val="right"/>
              <w:rPr>
                <w:sz w:val="22"/>
              </w:rPr>
            </w:pPr>
            <w:r>
              <w:rPr>
                <w:spacing w:val="-10"/>
                <w:sz w:val="22"/>
              </w:rPr>
              <w:t>-</w:t>
            </w:r>
          </w:p>
        </w:tc>
        <w:tc>
          <w:tcPr>
            <w:tcW w:w="1320" w:type="dxa"/>
          </w:tcPr>
          <w:p>
            <w:pPr>
              <w:pStyle w:val="TableParagraph"/>
              <w:spacing w:line="235" w:lineRule="exact" w:before="32"/>
              <w:ind w:right="102"/>
              <w:jc w:val="right"/>
              <w:rPr>
                <w:sz w:val="22"/>
              </w:rPr>
            </w:pPr>
            <w:r>
              <w:rPr>
                <w:spacing w:val="-5"/>
                <w:sz w:val="22"/>
              </w:rPr>
              <w:t>0/1</w:t>
            </w:r>
          </w:p>
        </w:tc>
      </w:tr>
    </w:tbl>
    <w:p>
      <w:pPr>
        <w:pStyle w:val="TableParagraph"/>
        <w:spacing w:after="0" w:line="235" w:lineRule="exact"/>
        <w:jc w:val="right"/>
        <w:rPr>
          <w:sz w:val="22"/>
        </w:rPr>
        <w:sectPr>
          <w:type w:val="continuous"/>
          <w:pgSz w:w="11910" w:h="16850"/>
          <w:pgMar w:header="0" w:footer="811" w:top="1940" w:bottom="1000" w:left="283" w:right="992"/>
        </w:sectPr>
      </w:pPr>
    </w:p>
    <w:p>
      <w:pPr>
        <w:pStyle w:val="BodyText"/>
        <w:spacing w:before="6"/>
        <w:rPr>
          <w:sz w:val="3"/>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52"/>
        <w:gridCol w:w="1416"/>
        <w:gridCol w:w="1016"/>
        <w:gridCol w:w="1502"/>
      </w:tblGrid>
      <w:tr>
        <w:trPr>
          <w:trHeight w:val="269" w:hRule="atLeast"/>
        </w:trPr>
        <w:tc>
          <w:tcPr>
            <w:tcW w:w="4352" w:type="dxa"/>
          </w:tcPr>
          <w:p>
            <w:pPr>
              <w:pStyle w:val="TableParagraph"/>
              <w:spacing w:line="247" w:lineRule="exact"/>
              <w:ind w:left="50"/>
              <w:rPr>
                <w:rFonts w:ascii="Arial"/>
                <w:b/>
                <w:sz w:val="22"/>
              </w:rPr>
            </w:pPr>
            <w:r>
              <w:rPr>
                <w:rFonts w:ascii="Arial"/>
                <w:b/>
                <w:sz w:val="22"/>
              </w:rPr>
              <w:t>Finance</w:t>
            </w:r>
            <w:r>
              <w:rPr>
                <w:rFonts w:ascii="Arial"/>
                <w:b/>
                <w:spacing w:val="-2"/>
                <w:sz w:val="22"/>
              </w:rPr>
              <w:t> Committee</w:t>
            </w:r>
          </w:p>
        </w:tc>
        <w:tc>
          <w:tcPr>
            <w:tcW w:w="1416" w:type="dxa"/>
          </w:tcPr>
          <w:p>
            <w:pPr>
              <w:pStyle w:val="TableParagraph"/>
              <w:rPr>
                <w:rFonts w:ascii="Times New Roman"/>
                <w:sz w:val="18"/>
              </w:rPr>
            </w:pPr>
          </w:p>
        </w:tc>
        <w:tc>
          <w:tcPr>
            <w:tcW w:w="1016" w:type="dxa"/>
          </w:tcPr>
          <w:p>
            <w:pPr>
              <w:pStyle w:val="TableParagraph"/>
              <w:rPr>
                <w:rFonts w:ascii="Times New Roman"/>
                <w:sz w:val="18"/>
              </w:rPr>
            </w:pPr>
          </w:p>
        </w:tc>
        <w:tc>
          <w:tcPr>
            <w:tcW w:w="1502" w:type="dxa"/>
          </w:tcPr>
          <w:p>
            <w:pPr>
              <w:pStyle w:val="TableParagraph"/>
              <w:rPr>
                <w:rFonts w:ascii="Times New Roman"/>
                <w:sz w:val="18"/>
              </w:rPr>
            </w:pPr>
          </w:p>
        </w:tc>
      </w:tr>
      <w:tr>
        <w:trPr>
          <w:trHeight w:val="310" w:hRule="atLeast"/>
        </w:trPr>
        <w:tc>
          <w:tcPr>
            <w:tcW w:w="4352" w:type="dxa"/>
          </w:tcPr>
          <w:p>
            <w:pPr>
              <w:pStyle w:val="TableParagraph"/>
              <w:spacing w:before="23"/>
              <w:ind w:left="50"/>
              <w:rPr>
                <w:sz w:val="22"/>
              </w:rPr>
            </w:pPr>
            <w:r>
              <w:rPr>
                <w:sz w:val="22"/>
              </w:rPr>
              <w:t>Mr.</w:t>
            </w:r>
            <w:r>
              <w:rPr>
                <w:spacing w:val="-3"/>
                <w:sz w:val="22"/>
              </w:rPr>
              <w:t> </w:t>
            </w:r>
            <w:r>
              <w:rPr>
                <w:sz w:val="22"/>
              </w:rPr>
              <w:t>Frank</w:t>
            </w:r>
            <w:r>
              <w:rPr>
                <w:spacing w:val="-2"/>
                <w:sz w:val="22"/>
              </w:rPr>
              <w:t> </w:t>
            </w:r>
            <w:r>
              <w:rPr>
                <w:sz w:val="22"/>
              </w:rPr>
              <w:t>Cunneen</w:t>
            </w:r>
            <w:r>
              <w:rPr>
                <w:spacing w:val="-4"/>
                <w:sz w:val="22"/>
              </w:rPr>
              <w:t> </w:t>
            </w:r>
            <w:r>
              <w:rPr>
                <w:spacing w:val="-2"/>
                <w:sz w:val="22"/>
              </w:rPr>
              <w:t>(Chairperson)</w:t>
            </w:r>
          </w:p>
        </w:tc>
        <w:tc>
          <w:tcPr>
            <w:tcW w:w="1416" w:type="dxa"/>
          </w:tcPr>
          <w:p>
            <w:pPr>
              <w:pStyle w:val="TableParagraph"/>
              <w:spacing w:before="23"/>
              <w:ind w:right="241"/>
              <w:jc w:val="right"/>
              <w:rPr>
                <w:sz w:val="22"/>
              </w:rPr>
            </w:pPr>
            <w:r>
              <w:rPr>
                <w:spacing w:val="-10"/>
                <w:sz w:val="22"/>
              </w:rPr>
              <w:t>-</w:t>
            </w:r>
          </w:p>
        </w:tc>
        <w:tc>
          <w:tcPr>
            <w:tcW w:w="1016" w:type="dxa"/>
          </w:tcPr>
          <w:p>
            <w:pPr>
              <w:pStyle w:val="TableParagraph"/>
              <w:spacing w:before="23"/>
              <w:ind w:right="107"/>
              <w:jc w:val="right"/>
              <w:rPr>
                <w:sz w:val="22"/>
              </w:rPr>
            </w:pPr>
            <w:r>
              <w:rPr>
                <w:spacing w:val="-10"/>
                <w:sz w:val="22"/>
              </w:rPr>
              <w:t>-</w:t>
            </w:r>
          </w:p>
        </w:tc>
        <w:tc>
          <w:tcPr>
            <w:tcW w:w="1502" w:type="dxa"/>
          </w:tcPr>
          <w:p>
            <w:pPr>
              <w:pStyle w:val="TableParagraph"/>
              <w:spacing w:before="23"/>
              <w:ind w:right="48"/>
              <w:jc w:val="right"/>
              <w:rPr>
                <w:sz w:val="22"/>
              </w:rPr>
            </w:pPr>
            <w:r>
              <w:rPr>
                <w:spacing w:val="-5"/>
                <w:sz w:val="22"/>
              </w:rPr>
              <w:t>6/6</w:t>
            </w:r>
          </w:p>
        </w:tc>
      </w:tr>
      <w:tr>
        <w:trPr>
          <w:trHeight w:val="319" w:hRule="atLeast"/>
        </w:trPr>
        <w:tc>
          <w:tcPr>
            <w:tcW w:w="4352" w:type="dxa"/>
          </w:tcPr>
          <w:p>
            <w:pPr>
              <w:pStyle w:val="TableParagraph"/>
              <w:spacing w:before="32"/>
              <w:ind w:left="50"/>
              <w:rPr>
                <w:sz w:val="22"/>
              </w:rPr>
            </w:pPr>
            <w:r>
              <w:rPr>
                <w:sz w:val="22"/>
              </w:rPr>
              <w:t>Mr.</w:t>
            </w:r>
            <w:r>
              <w:rPr>
                <w:spacing w:val="-3"/>
                <w:sz w:val="22"/>
              </w:rPr>
              <w:t> </w:t>
            </w:r>
            <w:r>
              <w:rPr>
                <w:sz w:val="22"/>
              </w:rPr>
              <w:t>Pat</w:t>
            </w:r>
            <w:r>
              <w:rPr>
                <w:spacing w:val="-3"/>
                <w:sz w:val="22"/>
              </w:rPr>
              <w:t> </w:t>
            </w:r>
            <w:r>
              <w:rPr>
                <w:sz w:val="22"/>
              </w:rPr>
              <w:t>Fitzsimons</w:t>
            </w:r>
            <w:r>
              <w:rPr>
                <w:spacing w:val="-3"/>
                <w:sz w:val="22"/>
              </w:rPr>
              <w:t> </w:t>
            </w:r>
            <w:r>
              <w:rPr>
                <w:spacing w:val="-2"/>
                <w:sz w:val="22"/>
              </w:rPr>
              <w:t>(Independent)</w:t>
            </w:r>
          </w:p>
        </w:tc>
        <w:tc>
          <w:tcPr>
            <w:tcW w:w="1416" w:type="dxa"/>
          </w:tcPr>
          <w:p>
            <w:pPr>
              <w:pStyle w:val="TableParagraph"/>
              <w:spacing w:before="32"/>
              <w:ind w:right="241"/>
              <w:jc w:val="right"/>
              <w:rPr>
                <w:sz w:val="22"/>
              </w:rPr>
            </w:pPr>
            <w:r>
              <w:rPr>
                <w:spacing w:val="-10"/>
                <w:sz w:val="22"/>
              </w:rPr>
              <w:t>-</w:t>
            </w:r>
          </w:p>
        </w:tc>
        <w:tc>
          <w:tcPr>
            <w:tcW w:w="1016" w:type="dxa"/>
          </w:tcPr>
          <w:p>
            <w:pPr>
              <w:pStyle w:val="TableParagraph"/>
              <w:spacing w:before="32"/>
              <w:ind w:right="107"/>
              <w:jc w:val="right"/>
              <w:rPr>
                <w:sz w:val="22"/>
              </w:rPr>
            </w:pPr>
            <w:r>
              <w:rPr>
                <w:spacing w:val="-10"/>
                <w:sz w:val="22"/>
              </w:rPr>
              <w:t>-</w:t>
            </w:r>
          </w:p>
        </w:tc>
        <w:tc>
          <w:tcPr>
            <w:tcW w:w="1502" w:type="dxa"/>
          </w:tcPr>
          <w:p>
            <w:pPr>
              <w:pStyle w:val="TableParagraph"/>
              <w:spacing w:before="32"/>
              <w:ind w:right="48"/>
              <w:jc w:val="right"/>
              <w:rPr>
                <w:sz w:val="22"/>
              </w:rPr>
            </w:pPr>
            <w:r>
              <w:rPr>
                <w:spacing w:val="-5"/>
                <w:sz w:val="22"/>
              </w:rPr>
              <w:t>5/6</w:t>
            </w:r>
          </w:p>
        </w:tc>
      </w:tr>
      <w:tr>
        <w:trPr>
          <w:trHeight w:val="317" w:hRule="atLeast"/>
        </w:trPr>
        <w:tc>
          <w:tcPr>
            <w:tcW w:w="4352" w:type="dxa"/>
          </w:tcPr>
          <w:p>
            <w:pPr>
              <w:pStyle w:val="TableParagraph"/>
              <w:spacing w:before="32"/>
              <w:ind w:left="50"/>
              <w:rPr>
                <w:sz w:val="22"/>
              </w:rPr>
            </w:pPr>
            <w:r>
              <w:rPr>
                <w:sz w:val="22"/>
              </w:rPr>
              <w:t>Ms.</w:t>
            </w:r>
            <w:r>
              <w:rPr>
                <w:spacing w:val="-4"/>
                <w:sz w:val="22"/>
              </w:rPr>
              <w:t> </w:t>
            </w:r>
            <w:r>
              <w:rPr>
                <w:sz w:val="22"/>
              </w:rPr>
              <w:t>Ruthann</w:t>
            </w:r>
            <w:r>
              <w:rPr>
                <w:spacing w:val="-4"/>
                <w:sz w:val="22"/>
              </w:rPr>
              <w:t> </w:t>
            </w:r>
            <w:r>
              <w:rPr>
                <w:sz w:val="22"/>
              </w:rPr>
              <w:t>La</w:t>
            </w:r>
            <w:r>
              <w:rPr>
                <w:spacing w:val="-3"/>
                <w:sz w:val="22"/>
              </w:rPr>
              <w:t> </w:t>
            </w:r>
            <w:r>
              <w:rPr>
                <w:spacing w:val="-2"/>
                <w:sz w:val="22"/>
              </w:rPr>
              <w:t>Malfa</w:t>
            </w:r>
          </w:p>
        </w:tc>
        <w:tc>
          <w:tcPr>
            <w:tcW w:w="1416" w:type="dxa"/>
          </w:tcPr>
          <w:p>
            <w:pPr>
              <w:pStyle w:val="TableParagraph"/>
              <w:spacing w:before="32"/>
              <w:ind w:right="241"/>
              <w:jc w:val="right"/>
              <w:rPr>
                <w:sz w:val="22"/>
              </w:rPr>
            </w:pPr>
            <w:r>
              <w:rPr>
                <w:spacing w:val="-10"/>
                <w:sz w:val="22"/>
              </w:rPr>
              <w:t>-</w:t>
            </w:r>
          </w:p>
        </w:tc>
        <w:tc>
          <w:tcPr>
            <w:tcW w:w="1016" w:type="dxa"/>
          </w:tcPr>
          <w:p>
            <w:pPr>
              <w:pStyle w:val="TableParagraph"/>
              <w:spacing w:before="32"/>
              <w:ind w:right="107"/>
              <w:jc w:val="right"/>
              <w:rPr>
                <w:sz w:val="22"/>
              </w:rPr>
            </w:pPr>
            <w:r>
              <w:rPr>
                <w:spacing w:val="-10"/>
                <w:sz w:val="22"/>
              </w:rPr>
              <w:t>-</w:t>
            </w:r>
          </w:p>
        </w:tc>
        <w:tc>
          <w:tcPr>
            <w:tcW w:w="1502" w:type="dxa"/>
          </w:tcPr>
          <w:p>
            <w:pPr>
              <w:pStyle w:val="TableParagraph"/>
              <w:spacing w:before="32"/>
              <w:ind w:right="48"/>
              <w:jc w:val="right"/>
              <w:rPr>
                <w:sz w:val="22"/>
              </w:rPr>
            </w:pPr>
            <w:r>
              <w:rPr>
                <w:spacing w:val="-5"/>
                <w:sz w:val="22"/>
              </w:rPr>
              <w:t>6/6</w:t>
            </w:r>
          </w:p>
        </w:tc>
      </w:tr>
      <w:tr>
        <w:trPr>
          <w:trHeight w:val="318" w:hRule="atLeast"/>
        </w:trPr>
        <w:tc>
          <w:tcPr>
            <w:tcW w:w="4352" w:type="dxa"/>
          </w:tcPr>
          <w:p>
            <w:pPr>
              <w:pStyle w:val="TableParagraph"/>
              <w:spacing w:before="31"/>
              <w:ind w:left="50"/>
              <w:rPr>
                <w:sz w:val="22"/>
              </w:rPr>
            </w:pPr>
            <w:r>
              <w:rPr>
                <w:sz w:val="22"/>
              </w:rPr>
              <w:t>Mr.</w:t>
            </w:r>
            <w:r>
              <w:rPr>
                <w:spacing w:val="-1"/>
                <w:sz w:val="22"/>
              </w:rPr>
              <w:t> </w:t>
            </w:r>
            <w:r>
              <w:rPr>
                <w:sz w:val="22"/>
              </w:rPr>
              <w:t>Des </w:t>
            </w:r>
            <w:r>
              <w:rPr>
                <w:spacing w:val="-2"/>
                <w:sz w:val="22"/>
              </w:rPr>
              <w:t>Kenny</w:t>
            </w:r>
          </w:p>
        </w:tc>
        <w:tc>
          <w:tcPr>
            <w:tcW w:w="1416" w:type="dxa"/>
          </w:tcPr>
          <w:p>
            <w:pPr>
              <w:pStyle w:val="TableParagraph"/>
              <w:spacing w:before="31"/>
              <w:ind w:right="241"/>
              <w:jc w:val="right"/>
              <w:rPr>
                <w:sz w:val="22"/>
              </w:rPr>
            </w:pPr>
            <w:r>
              <w:rPr>
                <w:spacing w:val="-10"/>
                <w:sz w:val="22"/>
              </w:rPr>
              <w:t>-</w:t>
            </w:r>
          </w:p>
        </w:tc>
        <w:tc>
          <w:tcPr>
            <w:tcW w:w="1016" w:type="dxa"/>
          </w:tcPr>
          <w:p>
            <w:pPr>
              <w:pStyle w:val="TableParagraph"/>
              <w:spacing w:before="31"/>
              <w:ind w:right="107"/>
              <w:jc w:val="right"/>
              <w:rPr>
                <w:sz w:val="22"/>
              </w:rPr>
            </w:pPr>
            <w:r>
              <w:rPr>
                <w:spacing w:val="-10"/>
                <w:sz w:val="22"/>
              </w:rPr>
              <w:t>-</w:t>
            </w:r>
          </w:p>
        </w:tc>
        <w:tc>
          <w:tcPr>
            <w:tcW w:w="1502" w:type="dxa"/>
          </w:tcPr>
          <w:p>
            <w:pPr>
              <w:pStyle w:val="TableParagraph"/>
              <w:spacing w:before="31"/>
              <w:ind w:right="48"/>
              <w:jc w:val="right"/>
              <w:rPr>
                <w:sz w:val="22"/>
              </w:rPr>
            </w:pPr>
            <w:r>
              <w:rPr>
                <w:spacing w:val="-5"/>
                <w:sz w:val="22"/>
              </w:rPr>
              <w:t>4/6</w:t>
            </w:r>
          </w:p>
        </w:tc>
      </w:tr>
      <w:tr>
        <w:trPr>
          <w:trHeight w:val="319" w:hRule="atLeast"/>
        </w:trPr>
        <w:tc>
          <w:tcPr>
            <w:tcW w:w="4352" w:type="dxa"/>
          </w:tcPr>
          <w:p>
            <w:pPr>
              <w:pStyle w:val="TableParagraph"/>
              <w:spacing w:before="32"/>
              <w:ind w:left="50"/>
              <w:rPr>
                <w:sz w:val="22"/>
              </w:rPr>
            </w:pPr>
            <w:r>
              <w:rPr>
                <w:sz w:val="22"/>
              </w:rPr>
              <w:t>Mr.</w:t>
            </w:r>
            <w:r>
              <w:rPr>
                <w:spacing w:val="-3"/>
                <w:sz w:val="22"/>
              </w:rPr>
              <w:t> </w:t>
            </w:r>
            <w:r>
              <w:rPr>
                <w:sz w:val="22"/>
              </w:rPr>
              <w:t>David</w:t>
            </w:r>
            <w:r>
              <w:rPr>
                <w:spacing w:val="-2"/>
                <w:sz w:val="22"/>
              </w:rPr>
              <w:t> </w:t>
            </w:r>
            <w:r>
              <w:rPr>
                <w:sz w:val="22"/>
              </w:rPr>
              <w:t>Scott</w:t>
            </w:r>
            <w:r>
              <w:rPr>
                <w:spacing w:val="-2"/>
                <w:sz w:val="22"/>
              </w:rPr>
              <w:t> (Independent)</w:t>
            </w:r>
          </w:p>
        </w:tc>
        <w:tc>
          <w:tcPr>
            <w:tcW w:w="1416" w:type="dxa"/>
          </w:tcPr>
          <w:p>
            <w:pPr>
              <w:pStyle w:val="TableParagraph"/>
              <w:spacing w:before="32"/>
              <w:ind w:right="241"/>
              <w:jc w:val="right"/>
              <w:rPr>
                <w:sz w:val="22"/>
              </w:rPr>
            </w:pPr>
            <w:r>
              <w:rPr>
                <w:spacing w:val="-10"/>
                <w:sz w:val="22"/>
              </w:rPr>
              <w:t>-</w:t>
            </w:r>
          </w:p>
        </w:tc>
        <w:tc>
          <w:tcPr>
            <w:tcW w:w="1016" w:type="dxa"/>
          </w:tcPr>
          <w:p>
            <w:pPr>
              <w:pStyle w:val="TableParagraph"/>
              <w:spacing w:before="32"/>
              <w:ind w:right="107"/>
              <w:jc w:val="right"/>
              <w:rPr>
                <w:sz w:val="22"/>
              </w:rPr>
            </w:pPr>
            <w:r>
              <w:rPr>
                <w:spacing w:val="-10"/>
                <w:sz w:val="22"/>
              </w:rPr>
              <w:t>-</w:t>
            </w:r>
          </w:p>
        </w:tc>
        <w:tc>
          <w:tcPr>
            <w:tcW w:w="1502" w:type="dxa"/>
          </w:tcPr>
          <w:p>
            <w:pPr>
              <w:pStyle w:val="TableParagraph"/>
              <w:spacing w:before="32"/>
              <w:ind w:right="48"/>
              <w:jc w:val="right"/>
              <w:rPr>
                <w:sz w:val="22"/>
              </w:rPr>
            </w:pPr>
            <w:r>
              <w:rPr>
                <w:spacing w:val="-5"/>
                <w:sz w:val="22"/>
              </w:rPr>
              <w:t>4/6</w:t>
            </w:r>
          </w:p>
        </w:tc>
      </w:tr>
      <w:tr>
        <w:trPr>
          <w:trHeight w:val="490" w:hRule="atLeast"/>
        </w:trPr>
        <w:tc>
          <w:tcPr>
            <w:tcW w:w="4352" w:type="dxa"/>
          </w:tcPr>
          <w:p>
            <w:pPr>
              <w:pStyle w:val="TableParagraph"/>
              <w:spacing w:before="32"/>
              <w:ind w:left="50"/>
              <w:rPr>
                <w:sz w:val="22"/>
              </w:rPr>
            </w:pPr>
            <w:r>
              <w:rPr>
                <w:sz w:val="22"/>
              </w:rPr>
              <w:t>Ms.</w:t>
            </w:r>
            <w:r>
              <w:rPr>
                <w:spacing w:val="-5"/>
                <w:sz w:val="22"/>
              </w:rPr>
              <w:t> </w:t>
            </w:r>
            <w:r>
              <w:rPr>
                <w:sz w:val="22"/>
              </w:rPr>
              <w:t>Aisling</w:t>
            </w:r>
            <w:r>
              <w:rPr>
                <w:spacing w:val="-4"/>
                <w:sz w:val="22"/>
              </w:rPr>
              <w:t> </w:t>
            </w:r>
            <w:r>
              <w:rPr>
                <w:sz w:val="22"/>
              </w:rPr>
              <w:t>Glynn</w:t>
            </w:r>
            <w:r>
              <w:rPr>
                <w:spacing w:val="-6"/>
                <w:sz w:val="22"/>
              </w:rPr>
              <w:t> </w:t>
            </w:r>
            <w:r>
              <w:rPr>
                <w:sz w:val="22"/>
              </w:rPr>
              <w:t>(Appointed</w:t>
            </w:r>
            <w:r>
              <w:rPr>
                <w:spacing w:val="-2"/>
                <w:sz w:val="22"/>
              </w:rPr>
              <w:t> 06/06/2017)</w:t>
            </w:r>
          </w:p>
        </w:tc>
        <w:tc>
          <w:tcPr>
            <w:tcW w:w="1416" w:type="dxa"/>
          </w:tcPr>
          <w:p>
            <w:pPr>
              <w:pStyle w:val="TableParagraph"/>
              <w:spacing w:before="32"/>
              <w:ind w:right="241"/>
              <w:jc w:val="right"/>
              <w:rPr>
                <w:sz w:val="22"/>
              </w:rPr>
            </w:pPr>
            <w:r>
              <w:rPr>
                <w:spacing w:val="-10"/>
                <w:sz w:val="22"/>
              </w:rPr>
              <w:t>-</w:t>
            </w:r>
          </w:p>
        </w:tc>
        <w:tc>
          <w:tcPr>
            <w:tcW w:w="1016" w:type="dxa"/>
          </w:tcPr>
          <w:p>
            <w:pPr>
              <w:pStyle w:val="TableParagraph"/>
              <w:spacing w:before="32"/>
              <w:ind w:right="107"/>
              <w:jc w:val="right"/>
              <w:rPr>
                <w:sz w:val="22"/>
              </w:rPr>
            </w:pPr>
            <w:r>
              <w:rPr>
                <w:spacing w:val="-10"/>
                <w:sz w:val="22"/>
              </w:rPr>
              <w:t>-</w:t>
            </w:r>
          </w:p>
        </w:tc>
        <w:tc>
          <w:tcPr>
            <w:tcW w:w="1502" w:type="dxa"/>
          </w:tcPr>
          <w:p>
            <w:pPr>
              <w:pStyle w:val="TableParagraph"/>
              <w:spacing w:before="32"/>
              <w:ind w:right="48"/>
              <w:jc w:val="right"/>
              <w:rPr>
                <w:sz w:val="22"/>
              </w:rPr>
            </w:pPr>
            <w:r>
              <w:rPr>
                <w:spacing w:val="-5"/>
                <w:sz w:val="22"/>
              </w:rPr>
              <w:t>2/2</w:t>
            </w:r>
          </w:p>
        </w:tc>
      </w:tr>
      <w:tr>
        <w:trPr>
          <w:trHeight w:val="472" w:hRule="atLeast"/>
        </w:trPr>
        <w:tc>
          <w:tcPr>
            <w:tcW w:w="4352" w:type="dxa"/>
          </w:tcPr>
          <w:p>
            <w:pPr>
              <w:pStyle w:val="TableParagraph"/>
              <w:spacing w:before="196"/>
              <w:ind w:left="50"/>
              <w:rPr>
                <w:rFonts w:ascii="Arial"/>
                <w:b/>
                <w:sz w:val="22"/>
              </w:rPr>
            </w:pPr>
            <w:r>
              <w:rPr>
                <w:rFonts w:ascii="Arial"/>
                <w:b/>
                <w:sz w:val="22"/>
              </w:rPr>
              <w:t>Risk</w:t>
            </w:r>
            <w:r>
              <w:rPr>
                <w:rFonts w:ascii="Arial"/>
                <w:b/>
                <w:spacing w:val="-3"/>
                <w:sz w:val="22"/>
              </w:rPr>
              <w:t> </w:t>
            </w:r>
            <w:r>
              <w:rPr>
                <w:rFonts w:ascii="Arial"/>
                <w:b/>
                <w:spacing w:val="-2"/>
                <w:sz w:val="22"/>
              </w:rPr>
              <w:t>Committee</w:t>
            </w:r>
          </w:p>
        </w:tc>
        <w:tc>
          <w:tcPr>
            <w:tcW w:w="1416" w:type="dxa"/>
          </w:tcPr>
          <w:p>
            <w:pPr>
              <w:pStyle w:val="TableParagraph"/>
              <w:rPr>
                <w:rFonts w:ascii="Times New Roman"/>
                <w:sz w:val="22"/>
              </w:rPr>
            </w:pPr>
          </w:p>
        </w:tc>
        <w:tc>
          <w:tcPr>
            <w:tcW w:w="1016" w:type="dxa"/>
          </w:tcPr>
          <w:p>
            <w:pPr>
              <w:pStyle w:val="TableParagraph"/>
              <w:rPr>
                <w:rFonts w:ascii="Times New Roman"/>
                <w:sz w:val="22"/>
              </w:rPr>
            </w:pPr>
          </w:p>
        </w:tc>
        <w:tc>
          <w:tcPr>
            <w:tcW w:w="1502" w:type="dxa"/>
          </w:tcPr>
          <w:p>
            <w:pPr>
              <w:pStyle w:val="TableParagraph"/>
              <w:rPr>
                <w:rFonts w:ascii="Times New Roman"/>
                <w:sz w:val="22"/>
              </w:rPr>
            </w:pPr>
          </w:p>
        </w:tc>
      </w:tr>
      <w:tr>
        <w:trPr>
          <w:trHeight w:val="306" w:hRule="atLeast"/>
        </w:trPr>
        <w:tc>
          <w:tcPr>
            <w:tcW w:w="4352" w:type="dxa"/>
          </w:tcPr>
          <w:p>
            <w:pPr>
              <w:pStyle w:val="TableParagraph"/>
              <w:spacing w:before="23"/>
              <w:ind w:left="50"/>
              <w:rPr>
                <w:sz w:val="22"/>
              </w:rPr>
            </w:pPr>
            <w:r>
              <w:rPr>
                <w:sz w:val="22"/>
              </w:rPr>
              <w:t>Mr.</w:t>
            </w:r>
            <w:r>
              <w:rPr>
                <w:spacing w:val="-4"/>
                <w:sz w:val="22"/>
              </w:rPr>
              <w:t> </w:t>
            </w:r>
            <w:r>
              <w:rPr>
                <w:sz w:val="22"/>
              </w:rPr>
              <w:t>Robert</w:t>
            </w:r>
            <w:r>
              <w:rPr>
                <w:spacing w:val="-5"/>
                <w:sz w:val="22"/>
              </w:rPr>
              <w:t> </w:t>
            </w:r>
            <w:r>
              <w:rPr>
                <w:sz w:val="22"/>
              </w:rPr>
              <w:t>Cashell</w:t>
            </w:r>
            <w:r>
              <w:rPr>
                <w:spacing w:val="-3"/>
                <w:sz w:val="22"/>
              </w:rPr>
              <w:t> </w:t>
            </w:r>
            <w:r>
              <w:rPr>
                <w:spacing w:val="-2"/>
                <w:sz w:val="22"/>
              </w:rPr>
              <w:t>(Chairperson)</w:t>
            </w:r>
          </w:p>
        </w:tc>
        <w:tc>
          <w:tcPr>
            <w:tcW w:w="1416" w:type="dxa"/>
          </w:tcPr>
          <w:p>
            <w:pPr>
              <w:pStyle w:val="TableParagraph"/>
              <w:spacing w:line="234" w:lineRule="exact" w:before="52"/>
              <w:ind w:right="241"/>
              <w:jc w:val="right"/>
              <w:rPr>
                <w:sz w:val="22"/>
              </w:rPr>
            </w:pPr>
            <w:r>
              <w:rPr>
                <w:spacing w:val="-10"/>
                <w:sz w:val="22"/>
              </w:rPr>
              <w:t>-</w:t>
            </w:r>
          </w:p>
        </w:tc>
        <w:tc>
          <w:tcPr>
            <w:tcW w:w="1016" w:type="dxa"/>
          </w:tcPr>
          <w:p>
            <w:pPr>
              <w:pStyle w:val="TableParagraph"/>
              <w:spacing w:line="234" w:lineRule="exact" w:before="52"/>
              <w:ind w:right="107"/>
              <w:jc w:val="right"/>
              <w:rPr>
                <w:sz w:val="22"/>
              </w:rPr>
            </w:pPr>
            <w:r>
              <w:rPr>
                <w:spacing w:val="-10"/>
                <w:sz w:val="22"/>
              </w:rPr>
              <w:t>-</w:t>
            </w:r>
          </w:p>
        </w:tc>
        <w:tc>
          <w:tcPr>
            <w:tcW w:w="1502" w:type="dxa"/>
          </w:tcPr>
          <w:p>
            <w:pPr>
              <w:pStyle w:val="TableParagraph"/>
              <w:spacing w:line="234" w:lineRule="exact" w:before="52"/>
              <w:ind w:right="48"/>
              <w:jc w:val="right"/>
              <w:rPr>
                <w:sz w:val="22"/>
              </w:rPr>
            </w:pPr>
            <w:r>
              <w:rPr>
                <w:spacing w:val="-5"/>
                <w:sz w:val="22"/>
              </w:rPr>
              <w:t>3/3</w:t>
            </w:r>
          </w:p>
        </w:tc>
      </w:tr>
      <w:tr>
        <w:trPr>
          <w:trHeight w:val="454" w:hRule="atLeast"/>
        </w:trPr>
        <w:tc>
          <w:tcPr>
            <w:tcW w:w="4352" w:type="dxa"/>
          </w:tcPr>
          <w:p>
            <w:pPr>
              <w:pStyle w:val="TableParagraph"/>
              <w:ind w:left="50"/>
              <w:rPr>
                <w:sz w:val="22"/>
              </w:rPr>
            </w:pPr>
            <w:r>
              <w:rPr>
                <w:sz w:val="22"/>
              </w:rPr>
              <w:t>Mr.</w:t>
            </w:r>
            <w:r>
              <w:rPr>
                <w:spacing w:val="-1"/>
                <w:sz w:val="22"/>
              </w:rPr>
              <w:t> </w:t>
            </w:r>
            <w:r>
              <w:rPr>
                <w:sz w:val="22"/>
              </w:rPr>
              <w:t>Pat</w:t>
            </w:r>
            <w:r>
              <w:rPr>
                <w:spacing w:val="-2"/>
                <w:sz w:val="22"/>
              </w:rPr>
              <w:t> Fitzsimons</w:t>
            </w:r>
          </w:p>
        </w:tc>
        <w:tc>
          <w:tcPr>
            <w:tcW w:w="1416" w:type="dxa"/>
          </w:tcPr>
          <w:p>
            <w:pPr>
              <w:pStyle w:val="TableParagraph"/>
              <w:spacing w:before="29"/>
              <w:ind w:right="241"/>
              <w:jc w:val="right"/>
              <w:rPr>
                <w:sz w:val="22"/>
              </w:rPr>
            </w:pPr>
            <w:r>
              <w:rPr>
                <w:spacing w:val="-10"/>
                <w:sz w:val="22"/>
              </w:rPr>
              <w:t>-</w:t>
            </w:r>
          </w:p>
        </w:tc>
        <w:tc>
          <w:tcPr>
            <w:tcW w:w="1016" w:type="dxa"/>
          </w:tcPr>
          <w:p>
            <w:pPr>
              <w:pStyle w:val="TableParagraph"/>
              <w:spacing w:before="29"/>
              <w:ind w:right="107"/>
              <w:jc w:val="right"/>
              <w:rPr>
                <w:sz w:val="22"/>
              </w:rPr>
            </w:pPr>
            <w:r>
              <w:rPr>
                <w:spacing w:val="-10"/>
                <w:sz w:val="22"/>
              </w:rPr>
              <w:t>-</w:t>
            </w:r>
          </w:p>
        </w:tc>
        <w:tc>
          <w:tcPr>
            <w:tcW w:w="1502" w:type="dxa"/>
          </w:tcPr>
          <w:p>
            <w:pPr>
              <w:pStyle w:val="TableParagraph"/>
              <w:spacing w:before="29"/>
              <w:ind w:right="48"/>
              <w:jc w:val="right"/>
              <w:rPr>
                <w:sz w:val="22"/>
              </w:rPr>
            </w:pPr>
            <w:r>
              <w:rPr>
                <w:spacing w:val="-5"/>
                <w:sz w:val="22"/>
              </w:rPr>
              <w:t>2/3</w:t>
            </w:r>
          </w:p>
        </w:tc>
      </w:tr>
      <w:tr>
        <w:trPr>
          <w:trHeight w:val="439" w:hRule="atLeast"/>
        </w:trPr>
        <w:tc>
          <w:tcPr>
            <w:tcW w:w="4352" w:type="dxa"/>
          </w:tcPr>
          <w:p>
            <w:pPr>
              <w:pStyle w:val="TableParagraph"/>
              <w:spacing w:before="163"/>
              <w:ind w:left="50"/>
              <w:rPr>
                <w:rFonts w:ascii="Arial"/>
                <w:b/>
                <w:sz w:val="22"/>
              </w:rPr>
            </w:pPr>
            <w:r>
              <w:rPr>
                <w:rFonts w:ascii="Arial"/>
                <w:b/>
                <w:sz w:val="22"/>
              </w:rPr>
              <w:t>Strategic</w:t>
            </w:r>
            <w:r>
              <w:rPr>
                <w:rFonts w:ascii="Arial"/>
                <w:b/>
                <w:spacing w:val="-5"/>
                <w:sz w:val="22"/>
              </w:rPr>
              <w:t> </w:t>
            </w:r>
            <w:r>
              <w:rPr>
                <w:rFonts w:ascii="Arial"/>
                <w:b/>
                <w:sz w:val="22"/>
              </w:rPr>
              <w:t>Planning</w:t>
            </w:r>
            <w:r>
              <w:rPr>
                <w:rFonts w:ascii="Arial"/>
                <w:b/>
                <w:spacing w:val="-6"/>
                <w:sz w:val="22"/>
              </w:rPr>
              <w:t> </w:t>
            </w:r>
            <w:r>
              <w:rPr>
                <w:rFonts w:ascii="Arial"/>
                <w:b/>
                <w:spacing w:val="-2"/>
                <w:sz w:val="22"/>
              </w:rPr>
              <w:t>Committee</w:t>
            </w:r>
          </w:p>
        </w:tc>
        <w:tc>
          <w:tcPr>
            <w:tcW w:w="1416" w:type="dxa"/>
          </w:tcPr>
          <w:p>
            <w:pPr>
              <w:pStyle w:val="TableParagraph"/>
              <w:rPr>
                <w:rFonts w:ascii="Times New Roman"/>
                <w:sz w:val="22"/>
              </w:rPr>
            </w:pPr>
          </w:p>
        </w:tc>
        <w:tc>
          <w:tcPr>
            <w:tcW w:w="1016" w:type="dxa"/>
          </w:tcPr>
          <w:p>
            <w:pPr>
              <w:pStyle w:val="TableParagraph"/>
              <w:rPr>
                <w:rFonts w:ascii="Times New Roman"/>
                <w:sz w:val="22"/>
              </w:rPr>
            </w:pPr>
          </w:p>
        </w:tc>
        <w:tc>
          <w:tcPr>
            <w:tcW w:w="1502" w:type="dxa"/>
          </w:tcPr>
          <w:p>
            <w:pPr>
              <w:pStyle w:val="TableParagraph"/>
              <w:rPr>
                <w:rFonts w:ascii="Times New Roman"/>
                <w:sz w:val="22"/>
              </w:rPr>
            </w:pPr>
          </w:p>
        </w:tc>
      </w:tr>
      <w:tr>
        <w:trPr>
          <w:trHeight w:val="341" w:hRule="atLeast"/>
        </w:trPr>
        <w:tc>
          <w:tcPr>
            <w:tcW w:w="4352" w:type="dxa"/>
          </w:tcPr>
          <w:p>
            <w:pPr>
              <w:pStyle w:val="TableParagraph"/>
              <w:spacing w:line="236" w:lineRule="exact" w:before="86"/>
              <w:ind w:left="50"/>
              <w:rPr>
                <w:sz w:val="22"/>
              </w:rPr>
            </w:pPr>
            <w:r>
              <w:rPr>
                <w:sz w:val="22"/>
              </w:rPr>
              <w:t>Ms.</w:t>
            </w:r>
            <w:r>
              <w:rPr>
                <w:spacing w:val="-4"/>
                <w:sz w:val="22"/>
              </w:rPr>
              <w:t> </w:t>
            </w:r>
            <w:r>
              <w:rPr>
                <w:sz w:val="22"/>
              </w:rPr>
              <w:t>Helen</w:t>
            </w:r>
            <w:r>
              <w:rPr>
                <w:spacing w:val="-4"/>
                <w:sz w:val="22"/>
              </w:rPr>
              <w:t> </w:t>
            </w:r>
            <w:r>
              <w:rPr>
                <w:sz w:val="22"/>
              </w:rPr>
              <w:t>Guinan</w:t>
            </w:r>
            <w:r>
              <w:rPr>
                <w:spacing w:val="-4"/>
                <w:sz w:val="22"/>
              </w:rPr>
              <w:t> </w:t>
            </w:r>
            <w:r>
              <w:rPr>
                <w:spacing w:val="-2"/>
                <w:sz w:val="22"/>
              </w:rPr>
              <w:t>(Chairperson)</w:t>
            </w:r>
          </w:p>
        </w:tc>
        <w:tc>
          <w:tcPr>
            <w:tcW w:w="1416" w:type="dxa"/>
          </w:tcPr>
          <w:p>
            <w:pPr>
              <w:pStyle w:val="TableParagraph"/>
              <w:spacing w:before="23"/>
              <w:ind w:right="241"/>
              <w:jc w:val="right"/>
              <w:rPr>
                <w:sz w:val="22"/>
              </w:rPr>
            </w:pPr>
            <w:r>
              <w:rPr>
                <w:spacing w:val="-10"/>
                <w:sz w:val="22"/>
              </w:rPr>
              <w:t>-</w:t>
            </w:r>
          </w:p>
        </w:tc>
        <w:tc>
          <w:tcPr>
            <w:tcW w:w="1016" w:type="dxa"/>
          </w:tcPr>
          <w:p>
            <w:pPr>
              <w:pStyle w:val="TableParagraph"/>
              <w:spacing w:before="23"/>
              <w:ind w:right="107"/>
              <w:jc w:val="right"/>
              <w:rPr>
                <w:sz w:val="22"/>
              </w:rPr>
            </w:pPr>
            <w:r>
              <w:rPr>
                <w:spacing w:val="-10"/>
                <w:sz w:val="22"/>
              </w:rPr>
              <w:t>-</w:t>
            </w:r>
          </w:p>
        </w:tc>
        <w:tc>
          <w:tcPr>
            <w:tcW w:w="1502" w:type="dxa"/>
          </w:tcPr>
          <w:p>
            <w:pPr>
              <w:pStyle w:val="TableParagraph"/>
              <w:spacing w:before="23"/>
              <w:ind w:right="48"/>
              <w:jc w:val="right"/>
              <w:rPr>
                <w:sz w:val="22"/>
              </w:rPr>
            </w:pPr>
            <w:r>
              <w:rPr>
                <w:spacing w:val="-5"/>
                <w:sz w:val="22"/>
              </w:rPr>
              <w:t>1/1</w:t>
            </w:r>
          </w:p>
        </w:tc>
      </w:tr>
      <w:tr>
        <w:trPr>
          <w:trHeight w:val="319" w:hRule="atLeast"/>
        </w:trPr>
        <w:tc>
          <w:tcPr>
            <w:tcW w:w="4352" w:type="dxa"/>
          </w:tcPr>
          <w:p>
            <w:pPr>
              <w:pStyle w:val="TableParagraph"/>
              <w:spacing w:line="236" w:lineRule="exact" w:before="63"/>
              <w:ind w:left="50"/>
              <w:rPr>
                <w:sz w:val="22"/>
              </w:rPr>
            </w:pPr>
            <w:r>
              <w:rPr>
                <w:sz w:val="22"/>
              </w:rPr>
              <w:t>Mr.</w:t>
            </w:r>
            <w:r>
              <w:rPr>
                <w:spacing w:val="-2"/>
                <w:sz w:val="22"/>
              </w:rPr>
              <w:t> </w:t>
            </w:r>
            <w:r>
              <w:rPr>
                <w:sz w:val="22"/>
              </w:rPr>
              <w:t>Frank</w:t>
            </w:r>
            <w:r>
              <w:rPr>
                <w:spacing w:val="-2"/>
                <w:sz w:val="22"/>
              </w:rPr>
              <w:t> Cunneen</w:t>
            </w:r>
          </w:p>
        </w:tc>
        <w:tc>
          <w:tcPr>
            <w:tcW w:w="1416" w:type="dxa"/>
          </w:tcPr>
          <w:p>
            <w:pPr>
              <w:pStyle w:val="TableParagraph"/>
              <w:spacing w:before="1"/>
              <w:ind w:right="241"/>
              <w:jc w:val="right"/>
              <w:rPr>
                <w:sz w:val="22"/>
              </w:rPr>
            </w:pPr>
            <w:r>
              <w:rPr>
                <w:spacing w:val="-10"/>
                <w:sz w:val="22"/>
              </w:rPr>
              <w:t>-</w:t>
            </w:r>
          </w:p>
        </w:tc>
        <w:tc>
          <w:tcPr>
            <w:tcW w:w="1016" w:type="dxa"/>
          </w:tcPr>
          <w:p>
            <w:pPr>
              <w:pStyle w:val="TableParagraph"/>
              <w:spacing w:before="1"/>
              <w:ind w:right="107"/>
              <w:jc w:val="right"/>
              <w:rPr>
                <w:sz w:val="22"/>
              </w:rPr>
            </w:pPr>
            <w:r>
              <w:rPr>
                <w:spacing w:val="-10"/>
                <w:sz w:val="22"/>
              </w:rPr>
              <w:t>-</w:t>
            </w:r>
          </w:p>
        </w:tc>
        <w:tc>
          <w:tcPr>
            <w:tcW w:w="1502" w:type="dxa"/>
          </w:tcPr>
          <w:p>
            <w:pPr>
              <w:pStyle w:val="TableParagraph"/>
              <w:spacing w:before="1"/>
              <w:ind w:right="48"/>
              <w:jc w:val="right"/>
              <w:rPr>
                <w:sz w:val="22"/>
              </w:rPr>
            </w:pPr>
            <w:r>
              <w:rPr>
                <w:spacing w:val="-5"/>
                <w:sz w:val="22"/>
              </w:rPr>
              <w:t>1/1</w:t>
            </w:r>
          </w:p>
        </w:tc>
      </w:tr>
      <w:tr>
        <w:trPr>
          <w:trHeight w:val="317" w:hRule="atLeast"/>
        </w:trPr>
        <w:tc>
          <w:tcPr>
            <w:tcW w:w="4352" w:type="dxa"/>
          </w:tcPr>
          <w:p>
            <w:pPr>
              <w:pStyle w:val="TableParagraph"/>
              <w:spacing w:line="234" w:lineRule="exact" w:before="63"/>
              <w:ind w:left="50"/>
              <w:rPr>
                <w:sz w:val="22"/>
              </w:rPr>
            </w:pPr>
            <w:r>
              <w:rPr>
                <w:sz w:val="22"/>
              </w:rPr>
              <w:t>Mr.</w:t>
            </w:r>
            <w:r>
              <w:rPr>
                <w:spacing w:val="-1"/>
                <w:sz w:val="22"/>
              </w:rPr>
              <w:t> </w:t>
            </w:r>
            <w:r>
              <w:rPr>
                <w:sz w:val="22"/>
              </w:rPr>
              <w:t>Des </w:t>
            </w:r>
            <w:r>
              <w:rPr>
                <w:spacing w:val="-2"/>
                <w:sz w:val="22"/>
              </w:rPr>
              <w:t>Kenny</w:t>
            </w:r>
          </w:p>
        </w:tc>
        <w:tc>
          <w:tcPr>
            <w:tcW w:w="1416" w:type="dxa"/>
          </w:tcPr>
          <w:p>
            <w:pPr>
              <w:pStyle w:val="TableParagraph"/>
              <w:spacing w:before="1"/>
              <w:ind w:right="241"/>
              <w:jc w:val="right"/>
              <w:rPr>
                <w:sz w:val="22"/>
              </w:rPr>
            </w:pPr>
            <w:r>
              <w:rPr>
                <w:spacing w:val="-10"/>
                <w:sz w:val="22"/>
              </w:rPr>
              <w:t>-</w:t>
            </w:r>
          </w:p>
        </w:tc>
        <w:tc>
          <w:tcPr>
            <w:tcW w:w="1016" w:type="dxa"/>
          </w:tcPr>
          <w:p>
            <w:pPr>
              <w:pStyle w:val="TableParagraph"/>
              <w:spacing w:before="1"/>
              <w:ind w:right="107"/>
              <w:jc w:val="right"/>
              <w:rPr>
                <w:sz w:val="22"/>
              </w:rPr>
            </w:pPr>
            <w:r>
              <w:rPr>
                <w:spacing w:val="-10"/>
                <w:sz w:val="22"/>
              </w:rPr>
              <w:t>-</w:t>
            </w:r>
          </w:p>
        </w:tc>
        <w:tc>
          <w:tcPr>
            <w:tcW w:w="1502" w:type="dxa"/>
          </w:tcPr>
          <w:p>
            <w:pPr>
              <w:pStyle w:val="TableParagraph"/>
              <w:spacing w:before="1"/>
              <w:ind w:right="48"/>
              <w:jc w:val="right"/>
              <w:rPr>
                <w:sz w:val="22"/>
              </w:rPr>
            </w:pPr>
            <w:r>
              <w:rPr>
                <w:spacing w:val="-5"/>
                <w:sz w:val="22"/>
              </w:rPr>
              <w:t>1/1</w:t>
            </w:r>
          </w:p>
        </w:tc>
      </w:tr>
      <w:tr>
        <w:trPr>
          <w:trHeight w:val="287" w:hRule="atLeast"/>
        </w:trPr>
        <w:tc>
          <w:tcPr>
            <w:tcW w:w="4352" w:type="dxa"/>
          </w:tcPr>
          <w:p>
            <w:pPr>
              <w:pStyle w:val="TableParagraph"/>
              <w:ind w:left="50"/>
              <w:rPr>
                <w:sz w:val="22"/>
              </w:rPr>
            </w:pPr>
            <w:r>
              <w:rPr>
                <w:sz w:val="22"/>
              </w:rPr>
              <w:t>Ms.</w:t>
            </w:r>
            <w:r>
              <w:rPr>
                <w:spacing w:val="-3"/>
                <w:sz w:val="22"/>
              </w:rPr>
              <w:t> </w:t>
            </w:r>
            <w:r>
              <w:rPr>
                <w:sz w:val="22"/>
              </w:rPr>
              <w:t>Mary</w:t>
            </w:r>
            <w:r>
              <w:rPr>
                <w:spacing w:val="-2"/>
                <w:sz w:val="22"/>
              </w:rPr>
              <w:t> Lavelle</w:t>
            </w:r>
          </w:p>
        </w:tc>
        <w:tc>
          <w:tcPr>
            <w:tcW w:w="1416" w:type="dxa"/>
          </w:tcPr>
          <w:p>
            <w:pPr>
              <w:pStyle w:val="TableParagraph"/>
              <w:ind w:right="241"/>
              <w:jc w:val="right"/>
              <w:rPr>
                <w:sz w:val="22"/>
              </w:rPr>
            </w:pPr>
            <w:r>
              <w:rPr>
                <w:spacing w:val="-10"/>
                <w:sz w:val="22"/>
              </w:rPr>
              <w:t>-</w:t>
            </w:r>
          </w:p>
        </w:tc>
        <w:tc>
          <w:tcPr>
            <w:tcW w:w="1016" w:type="dxa"/>
          </w:tcPr>
          <w:p>
            <w:pPr>
              <w:pStyle w:val="TableParagraph"/>
              <w:ind w:right="107"/>
              <w:jc w:val="right"/>
              <w:rPr>
                <w:sz w:val="22"/>
              </w:rPr>
            </w:pPr>
            <w:r>
              <w:rPr>
                <w:spacing w:val="-10"/>
                <w:sz w:val="22"/>
              </w:rPr>
              <w:t>-</w:t>
            </w:r>
          </w:p>
        </w:tc>
        <w:tc>
          <w:tcPr>
            <w:tcW w:w="1502" w:type="dxa"/>
          </w:tcPr>
          <w:p>
            <w:pPr>
              <w:pStyle w:val="TableParagraph"/>
              <w:ind w:right="48"/>
              <w:jc w:val="right"/>
              <w:rPr>
                <w:sz w:val="22"/>
              </w:rPr>
            </w:pPr>
            <w:r>
              <w:rPr>
                <w:spacing w:val="-5"/>
                <w:sz w:val="22"/>
              </w:rPr>
              <w:t>1/1</w:t>
            </w:r>
          </w:p>
        </w:tc>
      </w:tr>
      <w:tr>
        <w:trPr>
          <w:trHeight w:val="316" w:hRule="atLeast"/>
        </w:trPr>
        <w:tc>
          <w:tcPr>
            <w:tcW w:w="4352" w:type="dxa"/>
          </w:tcPr>
          <w:p>
            <w:pPr>
              <w:pStyle w:val="TableParagraph"/>
              <w:spacing w:before="32"/>
              <w:ind w:left="50"/>
              <w:rPr>
                <w:sz w:val="22"/>
              </w:rPr>
            </w:pPr>
            <w:r>
              <w:rPr>
                <w:sz w:val="22"/>
              </w:rPr>
              <w:t>Ms.</w:t>
            </w:r>
            <w:r>
              <w:rPr>
                <w:spacing w:val="-5"/>
                <w:sz w:val="22"/>
              </w:rPr>
              <w:t> </w:t>
            </w:r>
            <w:r>
              <w:rPr>
                <w:sz w:val="22"/>
              </w:rPr>
              <w:t>Teresa</w:t>
            </w:r>
            <w:r>
              <w:rPr>
                <w:spacing w:val="-4"/>
                <w:sz w:val="22"/>
              </w:rPr>
              <w:t> </w:t>
            </w:r>
            <w:r>
              <w:rPr>
                <w:spacing w:val="-2"/>
                <w:sz w:val="22"/>
              </w:rPr>
              <w:t>McDonnell</w:t>
            </w:r>
          </w:p>
        </w:tc>
        <w:tc>
          <w:tcPr>
            <w:tcW w:w="1416" w:type="dxa"/>
          </w:tcPr>
          <w:p>
            <w:pPr>
              <w:pStyle w:val="TableParagraph"/>
              <w:spacing w:line="236" w:lineRule="exact" w:before="61"/>
              <w:ind w:right="241"/>
              <w:jc w:val="right"/>
              <w:rPr>
                <w:sz w:val="22"/>
              </w:rPr>
            </w:pPr>
            <w:r>
              <w:rPr>
                <w:spacing w:val="-10"/>
                <w:sz w:val="22"/>
              </w:rPr>
              <w:t>-</w:t>
            </w:r>
          </w:p>
        </w:tc>
        <w:tc>
          <w:tcPr>
            <w:tcW w:w="1016" w:type="dxa"/>
          </w:tcPr>
          <w:p>
            <w:pPr>
              <w:pStyle w:val="TableParagraph"/>
              <w:spacing w:line="236" w:lineRule="exact" w:before="61"/>
              <w:ind w:right="107"/>
              <w:jc w:val="right"/>
              <w:rPr>
                <w:sz w:val="22"/>
              </w:rPr>
            </w:pPr>
            <w:r>
              <w:rPr>
                <w:spacing w:val="-10"/>
                <w:sz w:val="22"/>
              </w:rPr>
              <w:t>-</w:t>
            </w:r>
          </w:p>
        </w:tc>
        <w:tc>
          <w:tcPr>
            <w:tcW w:w="1502" w:type="dxa"/>
          </w:tcPr>
          <w:p>
            <w:pPr>
              <w:pStyle w:val="TableParagraph"/>
              <w:spacing w:line="236" w:lineRule="exact" w:before="61"/>
              <w:ind w:right="48"/>
              <w:jc w:val="right"/>
              <w:rPr>
                <w:sz w:val="22"/>
              </w:rPr>
            </w:pPr>
            <w:r>
              <w:rPr>
                <w:spacing w:val="-5"/>
                <w:sz w:val="22"/>
              </w:rPr>
              <w:t>1/1</w:t>
            </w:r>
          </w:p>
        </w:tc>
      </w:tr>
      <w:tr>
        <w:trPr>
          <w:trHeight w:val="284" w:hRule="atLeast"/>
        </w:trPr>
        <w:tc>
          <w:tcPr>
            <w:tcW w:w="4352" w:type="dxa"/>
          </w:tcPr>
          <w:p>
            <w:pPr>
              <w:pStyle w:val="TableParagraph"/>
              <w:spacing w:before="1"/>
              <w:ind w:left="50"/>
              <w:rPr>
                <w:sz w:val="22"/>
              </w:rPr>
            </w:pPr>
            <w:r>
              <w:rPr>
                <w:sz w:val="22"/>
              </w:rPr>
              <w:t>Mr.</w:t>
            </w:r>
            <w:r>
              <w:rPr>
                <w:spacing w:val="-2"/>
                <w:sz w:val="22"/>
              </w:rPr>
              <w:t> </w:t>
            </w:r>
            <w:r>
              <w:rPr>
                <w:sz w:val="22"/>
              </w:rPr>
              <w:t>James</w:t>
            </w:r>
            <w:r>
              <w:rPr>
                <w:spacing w:val="-3"/>
                <w:sz w:val="22"/>
              </w:rPr>
              <w:t> </w:t>
            </w:r>
            <w:r>
              <w:rPr>
                <w:spacing w:val="-2"/>
                <w:sz w:val="22"/>
              </w:rPr>
              <w:t>O’Grady</w:t>
            </w:r>
          </w:p>
        </w:tc>
        <w:tc>
          <w:tcPr>
            <w:tcW w:w="1416" w:type="dxa"/>
          </w:tcPr>
          <w:p>
            <w:pPr>
              <w:pStyle w:val="TableParagraph"/>
              <w:spacing w:line="234" w:lineRule="exact" w:before="30"/>
              <w:ind w:right="241"/>
              <w:jc w:val="right"/>
              <w:rPr>
                <w:sz w:val="22"/>
              </w:rPr>
            </w:pPr>
            <w:r>
              <w:rPr>
                <w:spacing w:val="-10"/>
                <w:sz w:val="22"/>
              </w:rPr>
              <w:t>-</w:t>
            </w:r>
          </w:p>
        </w:tc>
        <w:tc>
          <w:tcPr>
            <w:tcW w:w="1016" w:type="dxa"/>
          </w:tcPr>
          <w:p>
            <w:pPr>
              <w:pStyle w:val="TableParagraph"/>
              <w:spacing w:line="234" w:lineRule="exact" w:before="30"/>
              <w:ind w:right="107"/>
              <w:jc w:val="right"/>
              <w:rPr>
                <w:sz w:val="22"/>
              </w:rPr>
            </w:pPr>
            <w:r>
              <w:rPr>
                <w:spacing w:val="-10"/>
                <w:sz w:val="22"/>
              </w:rPr>
              <w:t>-</w:t>
            </w:r>
          </w:p>
        </w:tc>
        <w:tc>
          <w:tcPr>
            <w:tcW w:w="1502" w:type="dxa"/>
          </w:tcPr>
          <w:p>
            <w:pPr>
              <w:pStyle w:val="TableParagraph"/>
              <w:spacing w:line="234" w:lineRule="exact" w:before="30"/>
              <w:ind w:right="48"/>
              <w:jc w:val="right"/>
              <w:rPr>
                <w:sz w:val="22"/>
              </w:rPr>
            </w:pPr>
            <w:r>
              <w:rPr>
                <w:spacing w:val="-5"/>
                <w:sz w:val="22"/>
              </w:rPr>
              <w:t>1/1</w:t>
            </w:r>
          </w:p>
        </w:tc>
      </w:tr>
      <w:tr>
        <w:trPr>
          <w:trHeight w:val="283" w:hRule="atLeast"/>
        </w:trPr>
        <w:tc>
          <w:tcPr>
            <w:tcW w:w="4352" w:type="dxa"/>
          </w:tcPr>
          <w:p>
            <w:pPr>
              <w:pStyle w:val="TableParagraph"/>
              <w:ind w:left="50"/>
              <w:rPr>
                <w:sz w:val="22"/>
              </w:rPr>
            </w:pPr>
            <w:r>
              <w:rPr>
                <w:sz w:val="22"/>
              </w:rPr>
              <w:t>Mr.</w:t>
            </w:r>
            <w:r>
              <w:rPr>
                <w:spacing w:val="-1"/>
                <w:sz w:val="22"/>
              </w:rPr>
              <w:t> </w:t>
            </w:r>
            <w:r>
              <w:rPr>
                <w:sz w:val="22"/>
              </w:rPr>
              <w:t>Donie</w:t>
            </w:r>
            <w:r>
              <w:rPr>
                <w:spacing w:val="-2"/>
                <w:sz w:val="22"/>
              </w:rPr>
              <w:t> O’Leary</w:t>
            </w:r>
          </w:p>
        </w:tc>
        <w:tc>
          <w:tcPr>
            <w:tcW w:w="1416" w:type="dxa"/>
          </w:tcPr>
          <w:p>
            <w:pPr>
              <w:pStyle w:val="TableParagraph"/>
              <w:spacing w:line="234" w:lineRule="exact" w:before="29"/>
              <w:ind w:right="241"/>
              <w:jc w:val="right"/>
              <w:rPr>
                <w:sz w:val="22"/>
              </w:rPr>
            </w:pPr>
            <w:r>
              <w:rPr>
                <w:spacing w:val="-10"/>
                <w:sz w:val="22"/>
              </w:rPr>
              <w:t>-</w:t>
            </w:r>
          </w:p>
        </w:tc>
        <w:tc>
          <w:tcPr>
            <w:tcW w:w="1016" w:type="dxa"/>
          </w:tcPr>
          <w:p>
            <w:pPr>
              <w:pStyle w:val="TableParagraph"/>
              <w:spacing w:line="234" w:lineRule="exact" w:before="29"/>
              <w:ind w:right="107"/>
              <w:jc w:val="right"/>
              <w:rPr>
                <w:sz w:val="22"/>
              </w:rPr>
            </w:pPr>
            <w:r>
              <w:rPr>
                <w:spacing w:val="-10"/>
                <w:sz w:val="22"/>
              </w:rPr>
              <w:t>-</w:t>
            </w:r>
          </w:p>
        </w:tc>
        <w:tc>
          <w:tcPr>
            <w:tcW w:w="1502" w:type="dxa"/>
          </w:tcPr>
          <w:p>
            <w:pPr>
              <w:pStyle w:val="TableParagraph"/>
              <w:spacing w:line="234" w:lineRule="exact" w:before="29"/>
              <w:ind w:right="48"/>
              <w:jc w:val="right"/>
              <w:rPr>
                <w:sz w:val="22"/>
              </w:rPr>
            </w:pPr>
            <w:r>
              <w:rPr>
                <w:spacing w:val="-5"/>
                <w:sz w:val="22"/>
              </w:rPr>
              <w:t>1/1</w:t>
            </w:r>
          </w:p>
        </w:tc>
      </w:tr>
      <w:tr>
        <w:trPr>
          <w:trHeight w:val="284" w:hRule="atLeast"/>
        </w:trPr>
        <w:tc>
          <w:tcPr>
            <w:tcW w:w="4352" w:type="dxa"/>
          </w:tcPr>
          <w:p>
            <w:pPr>
              <w:pStyle w:val="TableParagraph"/>
              <w:ind w:left="50"/>
              <w:rPr>
                <w:sz w:val="22"/>
              </w:rPr>
            </w:pPr>
            <w:r>
              <w:rPr>
                <w:sz w:val="22"/>
              </w:rPr>
              <w:t>Ms.</w:t>
            </w:r>
            <w:r>
              <w:rPr>
                <w:spacing w:val="-5"/>
                <w:sz w:val="22"/>
              </w:rPr>
              <w:t> </w:t>
            </w:r>
            <w:r>
              <w:rPr>
                <w:sz w:val="22"/>
              </w:rPr>
              <w:t>Alison</w:t>
            </w:r>
            <w:r>
              <w:rPr>
                <w:spacing w:val="-4"/>
                <w:sz w:val="22"/>
              </w:rPr>
              <w:t> Ryan</w:t>
            </w:r>
          </w:p>
        </w:tc>
        <w:tc>
          <w:tcPr>
            <w:tcW w:w="1416" w:type="dxa"/>
          </w:tcPr>
          <w:p>
            <w:pPr>
              <w:pStyle w:val="TableParagraph"/>
              <w:spacing w:line="236" w:lineRule="exact" w:before="29"/>
              <w:ind w:right="241"/>
              <w:jc w:val="right"/>
              <w:rPr>
                <w:sz w:val="22"/>
              </w:rPr>
            </w:pPr>
            <w:r>
              <w:rPr>
                <w:spacing w:val="-10"/>
                <w:sz w:val="22"/>
              </w:rPr>
              <w:t>-</w:t>
            </w:r>
          </w:p>
        </w:tc>
        <w:tc>
          <w:tcPr>
            <w:tcW w:w="1016" w:type="dxa"/>
          </w:tcPr>
          <w:p>
            <w:pPr>
              <w:pStyle w:val="TableParagraph"/>
              <w:spacing w:line="236" w:lineRule="exact" w:before="29"/>
              <w:ind w:right="107"/>
              <w:jc w:val="right"/>
              <w:rPr>
                <w:sz w:val="22"/>
              </w:rPr>
            </w:pPr>
            <w:r>
              <w:rPr>
                <w:spacing w:val="-10"/>
                <w:sz w:val="22"/>
              </w:rPr>
              <w:t>-</w:t>
            </w:r>
          </w:p>
        </w:tc>
        <w:tc>
          <w:tcPr>
            <w:tcW w:w="1502" w:type="dxa"/>
          </w:tcPr>
          <w:p>
            <w:pPr>
              <w:pStyle w:val="TableParagraph"/>
              <w:spacing w:line="236" w:lineRule="exact" w:before="29"/>
              <w:ind w:right="48"/>
              <w:jc w:val="right"/>
              <w:rPr>
                <w:sz w:val="22"/>
              </w:rPr>
            </w:pPr>
            <w:r>
              <w:rPr>
                <w:spacing w:val="-5"/>
                <w:sz w:val="22"/>
              </w:rPr>
              <w:t>0/1</w:t>
            </w:r>
          </w:p>
        </w:tc>
      </w:tr>
      <w:tr>
        <w:trPr>
          <w:trHeight w:val="594" w:hRule="atLeast"/>
        </w:trPr>
        <w:tc>
          <w:tcPr>
            <w:tcW w:w="4352" w:type="dxa"/>
          </w:tcPr>
          <w:p>
            <w:pPr>
              <w:pStyle w:val="TableParagraph"/>
              <w:spacing w:before="1"/>
              <w:ind w:left="50"/>
              <w:rPr>
                <w:sz w:val="22"/>
              </w:rPr>
            </w:pPr>
            <w:r>
              <w:rPr>
                <w:sz w:val="22"/>
              </w:rPr>
              <w:t>Mr.</w:t>
            </w:r>
            <w:r>
              <w:rPr>
                <w:spacing w:val="-3"/>
                <w:sz w:val="22"/>
              </w:rPr>
              <w:t> </w:t>
            </w:r>
            <w:r>
              <w:rPr>
                <w:sz w:val="22"/>
              </w:rPr>
              <w:t>Donal</w:t>
            </w:r>
            <w:r>
              <w:rPr>
                <w:spacing w:val="-4"/>
                <w:sz w:val="22"/>
              </w:rPr>
              <w:t> Rice</w:t>
            </w:r>
          </w:p>
        </w:tc>
        <w:tc>
          <w:tcPr>
            <w:tcW w:w="1416" w:type="dxa"/>
            <w:tcBorders>
              <w:bottom w:val="single" w:sz="4" w:space="0" w:color="000000"/>
            </w:tcBorders>
          </w:tcPr>
          <w:p>
            <w:pPr>
              <w:pStyle w:val="TableParagraph"/>
              <w:spacing w:before="30"/>
              <w:ind w:right="241"/>
              <w:jc w:val="right"/>
              <w:rPr>
                <w:sz w:val="22"/>
              </w:rPr>
            </w:pPr>
            <w:r>
              <w:rPr>
                <w:spacing w:val="-10"/>
                <w:sz w:val="22"/>
              </w:rPr>
              <w:t>-</w:t>
            </w:r>
          </w:p>
        </w:tc>
        <w:tc>
          <w:tcPr>
            <w:tcW w:w="1016" w:type="dxa"/>
            <w:tcBorders>
              <w:bottom w:val="single" w:sz="4" w:space="0" w:color="000000"/>
            </w:tcBorders>
          </w:tcPr>
          <w:p>
            <w:pPr>
              <w:pStyle w:val="TableParagraph"/>
              <w:spacing w:before="30"/>
              <w:ind w:right="107"/>
              <w:jc w:val="right"/>
              <w:rPr>
                <w:sz w:val="22"/>
              </w:rPr>
            </w:pPr>
            <w:r>
              <w:rPr>
                <w:spacing w:val="-10"/>
                <w:sz w:val="22"/>
              </w:rPr>
              <w:t>-</w:t>
            </w:r>
          </w:p>
        </w:tc>
        <w:tc>
          <w:tcPr>
            <w:tcW w:w="1502" w:type="dxa"/>
          </w:tcPr>
          <w:p>
            <w:pPr>
              <w:pStyle w:val="TableParagraph"/>
              <w:spacing w:before="30"/>
              <w:ind w:right="48"/>
              <w:jc w:val="right"/>
              <w:rPr>
                <w:sz w:val="22"/>
              </w:rPr>
            </w:pPr>
            <w:r>
              <w:rPr>
                <w:spacing w:val="-5"/>
                <w:sz w:val="22"/>
              </w:rPr>
              <w:t>1/1</w:t>
            </w:r>
          </w:p>
        </w:tc>
      </w:tr>
      <w:tr>
        <w:trPr>
          <w:trHeight w:val="287" w:hRule="atLeast"/>
        </w:trPr>
        <w:tc>
          <w:tcPr>
            <w:tcW w:w="4352" w:type="dxa"/>
          </w:tcPr>
          <w:p>
            <w:pPr>
              <w:pStyle w:val="TableParagraph"/>
              <w:rPr>
                <w:rFonts w:ascii="Times New Roman"/>
                <w:sz w:val="20"/>
              </w:rPr>
            </w:pPr>
          </w:p>
        </w:tc>
        <w:tc>
          <w:tcPr>
            <w:tcW w:w="1416" w:type="dxa"/>
            <w:tcBorders>
              <w:top w:val="single" w:sz="4" w:space="0" w:color="000000"/>
              <w:bottom w:val="double" w:sz="4" w:space="0" w:color="000000"/>
            </w:tcBorders>
          </w:tcPr>
          <w:p>
            <w:pPr>
              <w:pStyle w:val="TableParagraph"/>
              <w:spacing w:before="9"/>
              <w:ind w:right="239"/>
              <w:jc w:val="right"/>
              <w:rPr>
                <w:b/>
                <w:sz w:val="22"/>
              </w:rPr>
            </w:pPr>
            <w:r>
              <w:rPr>
                <w:b/>
                <w:spacing w:val="-2"/>
                <w:sz w:val="22"/>
              </w:rPr>
              <w:t>68,401</w:t>
            </w:r>
          </w:p>
        </w:tc>
        <w:tc>
          <w:tcPr>
            <w:tcW w:w="1016" w:type="dxa"/>
            <w:tcBorders>
              <w:top w:val="single" w:sz="4" w:space="0" w:color="000000"/>
              <w:bottom w:val="double" w:sz="4" w:space="0" w:color="000000"/>
            </w:tcBorders>
          </w:tcPr>
          <w:p>
            <w:pPr>
              <w:pStyle w:val="TableParagraph"/>
              <w:spacing w:before="9"/>
              <w:ind w:right="105"/>
              <w:jc w:val="right"/>
              <w:rPr>
                <w:b/>
                <w:sz w:val="22"/>
              </w:rPr>
            </w:pPr>
            <w:r>
              <w:rPr>
                <w:b/>
                <w:spacing w:val="-2"/>
                <w:sz w:val="22"/>
              </w:rPr>
              <w:t>11,124</w:t>
            </w:r>
          </w:p>
        </w:tc>
        <w:tc>
          <w:tcPr>
            <w:tcW w:w="1502" w:type="dxa"/>
          </w:tcPr>
          <w:p>
            <w:pPr>
              <w:pStyle w:val="TableParagraph"/>
              <w:rPr>
                <w:rFonts w:ascii="Times New Roman"/>
                <w:sz w:val="20"/>
              </w:rPr>
            </w:pPr>
          </w:p>
        </w:tc>
      </w:tr>
    </w:tbl>
    <w:p>
      <w:pPr>
        <w:pStyle w:val="BodyText"/>
        <w:spacing w:before="183"/>
        <w:rPr>
          <w:sz w:val="24"/>
        </w:rPr>
      </w:pPr>
    </w:p>
    <w:p>
      <w:pPr>
        <w:spacing w:before="0"/>
        <w:ind w:left="1702" w:right="0" w:firstLine="0"/>
        <w:jc w:val="both"/>
        <w:rPr>
          <w:b/>
          <w:sz w:val="24"/>
        </w:rPr>
      </w:pPr>
      <w:r>
        <w:rPr>
          <w:b/>
          <w:sz w:val="24"/>
        </w:rPr>
        <w:t>Key</w:t>
      </w:r>
      <w:r>
        <w:rPr>
          <w:b/>
          <w:spacing w:val="-1"/>
          <w:sz w:val="24"/>
        </w:rPr>
        <w:t> </w:t>
      </w:r>
      <w:r>
        <w:rPr>
          <w:b/>
          <w:sz w:val="24"/>
        </w:rPr>
        <w:t>Personnel </w:t>
      </w:r>
      <w:r>
        <w:rPr>
          <w:b/>
          <w:spacing w:val="-2"/>
          <w:sz w:val="24"/>
        </w:rPr>
        <w:t>Changes</w:t>
      </w:r>
    </w:p>
    <w:p>
      <w:pPr>
        <w:pStyle w:val="BodyText"/>
        <w:rPr>
          <w:b/>
          <w:sz w:val="24"/>
        </w:rPr>
      </w:pPr>
    </w:p>
    <w:p>
      <w:pPr>
        <w:spacing w:before="0"/>
        <w:ind w:left="1702" w:right="991" w:firstLine="0"/>
        <w:jc w:val="both"/>
        <w:rPr>
          <w:sz w:val="24"/>
        </w:rPr>
      </w:pPr>
      <w:r>
        <w:rPr>
          <w:sz w:val="24"/>
        </w:rPr>
        <w:t>In accordance with the NDA Act, the Minister appointed a new member, Ms. Aisling Glynn to the Authority on 6 June 2017.</w:t>
      </w:r>
    </w:p>
    <w:p>
      <w:pPr>
        <w:pStyle w:val="BodyText"/>
        <w:spacing w:before="1"/>
        <w:rPr>
          <w:sz w:val="24"/>
        </w:rPr>
      </w:pPr>
    </w:p>
    <w:p>
      <w:pPr>
        <w:spacing w:before="0"/>
        <w:ind w:left="1702" w:right="992" w:firstLine="0"/>
        <w:jc w:val="both"/>
        <w:rPr>
          <w:b/>
          <w:sz w:val="24"/>
        </w:rPr>
      </w:pPr>
      <w:r>
        <w:rPr>
          <w:b/>
          <w:sz w:val="24"/>
        </w:rPr>
        <w:t>Disclosures Required by Code of Practice for the Governance of State Bodies (2016)</w:t>
      </w:r>
    </w:p>
    <w:p>
      <w:pPr>
        <w:spacing w:before="276"/>
        <w:ind w:left="1702" w:right="988" w:firstLine="0"/>
        <w:jc w:val="both"/>
        <w:rPr>
          <w:sz w:val="24"/>
        </w:rPr>
      </w:pPr>
      <w:r>
        <w:rPr>
          <w:sz w:val="24"/>
        </w:rPr>
        <w:t>The Authority is responsible for ensuring that the National Disability Authority has complied with the requirements of the Code of Practice for the Governance of State Bodies (“the Code”), as published by the Department of Public Expenditure and Reform in August 2016. The following disclosures are required by the Code:</w:t>
      </w:r>
    </w:p>
    <w:p>
      <w:pPr>
        <w:spacing w:after="0"/>
        <w:jc w:val="both"/>
        <w:rPr>
          <w:sz w:val="24"/>
        </w:rPr>
        <w:sectPr>
          <w:pgSz w:w="11910" w:h="16850"/>
          <w:pgMar w:header="0" w:footer="811" w:top="1940" w:bottom="1000" w:left="283" w:right="992"/>
        </w:sectPr>
      </w:pPr>
    </w:p>
    <w:p>
      <w:pPr>
        <w:pStyle w:val="ListParagraph"/>
        <w:numPr>
          <w:ilvl w:val="0"/>
          <w:numId w:val="12"/>
        </w:numPr>
        <w:tabs>
          <w:tab w:pos="2059" w:val="left" w:leader="none"/>
        </w:tabs>
        <w:spacing w:line="240" w:lineRule="auto" w:before="78" w:after="0"/>
        <w:ind w:left="2059" w:right="0" w:hanging="357"/>
        <w:jc w:val="left"/>
        <w:rPr>
          <w:b/>
          <w:i/>
          <w:sz w:val="24"/>
        </w:rPr>
      </w:pPr>
      <w:r>
        <w:rPr>
          <w:b/>
          <w:i/>
          <w:sz w:val="24"/>
        </w:rPr>
        <w:t>Employee</w:t>
      </w:r>
      <w:r>
        <w:rPr>
          <w:b/>
          <w:i/>
          <w:spacing w:val="-3"/>
          <w:sz w:val="24"/>
        </w:rPr>
        <w:t> </w:t>
      </w:r>
      <w:r>
        <w:rPr>
          <w:b/>
          <w:i/>
          <w:sz w:val="24"/>
        </w:rPr>
        <w:t>short</w:t>
      </w:r>
      <w:r>
        <w:rPr>
          <w:b/>
          <w:i/>
          <w:spacing w:val="-3"/>
          <w:sz w:val="24"/>
        </w:rPr>
        <w:t> </w:t>
      </w:r>
      <w:r>
        <w:rPr>
          <w:b/>
          <w:i/>
          <w:sz w:val="24"/>
        </w:rPr>
        <w:t>term</w:t>
      </w:r>
      <w:r>
        <w:rPr>
          <w:b/>
          <w:i/>
          <w:spacing w:val="-4"/>
          <w:sz w:val="24"/>
        </w:rPr>
        <w:t> </w:t>
      </w:r>
      <w:r>
        <w:rPr>
          <w:b/>
          <w:i/>
          <w:sz w:val="24"/>
        </w:rPr>
        <w:t>benefits</w:t>
      </w:r>
      <w:r>
        <w:rPr>
          <w:b/>
          <w:i/>
          <w:spacing w:val="-1"/>
          <w:sz w:val="24"/>
        </w:rPr>
        <w:t> </w:t>
      </w:r>
      <w:r>
        <w:rPr>
          <w:b/>
          <w:i/>
          <w:spacing w:val="-2"/>
          <w:sz w:val="24"/>
        </w:rPr>
        <w:t>breakdown</w:t>
      </w:r>
    </w:p>
    <w:p>
      <w:pPr>
        <w:pStyle w:val="BodyText"/>
        <w:spacing w:before="139"/>
        <w:rPr>
          <w:b/>
          <w:i/>
          <w:sz w:val="24"/>
        </w:rPr>
      </w:pPr>
    </w:p>
    <w:p>
      <w:pPr>
        <w:spacing w:line="300" w:lineRule="auto" w:before="0"/>
        <w:ind w:left="1702" w:right="1080" w:firstLine="0"/>
        <w:jc w:val="left"/>
        <w:rPr>
          <w:sz w:val="24"/>
        </w:rPr>
      </w:pPr>
      <w:r>
        <w:rPr>
          <w:sz w:val="24"/>
        </w:rPr>
        <w:t>A</w:t>
      </w:r>
      <w:r>
        <w:rPr>
          <w:spacing w:val="-3"/>
          <w:sz w:val="24"/>
        </w:rPr>
        <w:t> </w:t>
      </w:r>
      <w:r>
        <w:rPr>
          <w:sz w:val="24"/>
        </w:rPr>
        <w:t>table</w:t>
      </w:r>
      <w:r>
        <w:rPr>
          <w:spacing w:val="-3"/>
          <w:sz w:val="24"/>
        </w:rPr>
        <w:t> </w:t>
      </w:r>
      <w:r>
        <w:rPr>
          <w:sz w:val="24"/>
        </w:rPr>
        <w:t>showing</w:t>
      </w:r>
      <w:r>
        <w:rPr>
          <w:spacing w:val="-3"/>
          <w:sz w:val="24"/>
        </w:rPr>
        <w:t> </w:t>
      </w:r>
      <w:r>
        <w:rPr>
          <w:sz w:val="24"/>
        </w:rPr>
        <w:t>the</w:t>
      </w:r>
      <w:r>
        <w:rPr>
          <w:spacing w:val="-3"/>
          <w:sz w:val="24"/>
        </w:rPr>
        <w:t> </w:t>
      </w:r>
      <w:r>
        <w:rPr>
          <w:sz w:val="24"/>
        </w:rPr>
        <w:t>breakdown</w:t>
      </w:r>
      <w:r>
        <w:rPr>
          <w:spacing w:val="-3"/>
          <w:sz w:val="24"/>
        </w:rPr>
        <w:t> </w:t>
      </w:r>
      <w:r>
        <w:rPr>
          <w:sz w:val="24"/>
        </w:rPr>
        <w:t>of</w:t>
      </w:r>
      <w:r>
        <w:rPr>
          <w:spacing w:val="-3"/>
          <w:sz w:val="24"/>
        </w:rPr>
        <w:t> </w:t>
      </w:r>
      <w:r>
        <w:rPr>
          <w:sz w:val="24"/>
        </w:rPr>
        <w:t>employee</w:t>
      </w:r>
      <w:r>
        <w:rPr>
          <w:spacing w:val="-3"/>
          <w:sz w:val="24"/>
        </w:rPr>
        <w:t> </w:t>
      </w:r>
      <w:r>
        <w:rPr>
          <w:sz w:val="24"/>
        </w:rPr>
        <w:t>short</w:t>
      </w:r>
      <w:r>
        <w:rPr>
          <w:spacing w:val="-3"/>
          <w:sz w:val="24"/>
        </w:rPr>
        <w:t> </w:t>
      </w:r>
      <w:r>
        <w:rPr>
          <w:sz w:val="24"/>
        </w:rPr>
        <w:t>term</w:t>
      </w:r>
      <w:r>
        <w:rPr>
          <w:spacing w:val="-3"/>
          <w:sz w:val="24"/>
        </w:rPr>
        <w:t> </w:t>
      </w:r>
      <w:r>
        <w:rPr>
          <w:sz w:val="24"/>
        </w:rPr>
        <w:t>benefits</w:t>
      </w:r>
      <w:r>
        <w:rPr>
          <w:spacing w:val="-5"/>
          <w:sz w:val="24"/>
        </w:rPr>
        <w:t> </w:t>
      </w:r>
      <w:r>
        <w:rPr>
          <w:sz w:val="24"/>
        </w:rPr>
        <w:t>is</w:t>
      </w:r>
      <w:r>
        <w:rPr>
          <w:spacing w:val="-5"/>
          <w:sz w:val="24"/>
        </w:rPr>
        <w:t> </w:t>
      </w:r>
      <w:r>
        <w:rPr>
          <w:sz w:val="24"/>
        </w:rPr>
        <w:t>included</w:t>
      </w:r>
      <w:r>
        <w:rPr>
          <w:spacing w:val="-3"/>
          <w:sz w:val="24"/>
        </w:rPr>
        <w:t> </w:t>
      </w:r>
      <w:r>
        <w:rPr>
          <w:sz w:val="24"/>
        </w:rPr>
        <w:t>in Note 6(a) – Remuneration and Other Pay Costs.</w:t>
      </w:r>
    </w:p>
    <w:p>
      <w:pPr>
        <w:pStyle w:val="BodyText"/>
        <w:rPr>
          <w:sz w:val="24"/>
        </w:rPr>
      </w:pPr>
    </w:p>
    <w:p>
      <w:pPr>
        <w:pStyle w:val="ListParagraph"/>
        <w:numPr>
          <w:ilvl w:val="0"/>
          <w:numId w:val="12"/>
        </w:numPr>
        <w:tabs>
          <w:tab w:pos="2060" w:val="left" w:leader="none"/>
        </w:tabs>
        <w:spacing w:line="240" w:lineRule="auto" w:before="1" w:after="0"/>
        <w:ind w:left="2060" w:right="0" w:hanging="358"/>
        <w:jc w:val="left"/>
        <w:rPr>
          <w:b/>
          <w:i/>
          <w:sz w:val="24"/>
        </w:rPr>
      </w:pPr>
      <w:r>
        <w:rPr>
          <w:b/>
          <w:i/>
          <w:sz w:val="24"/>
        </w:rPr>
        <w:t>Consultancy</w:t>
      </w:r>
      <w:r>
        <w:rPr>
          <w:b/>
          <w:i/>
          <w:spacing w:val="-5"/>
          <w:sz w:val="24"/>
        </w:rPr>
        <w:t> </w:t>
      </w:r>
      <w:r>
        <w:rPr>
          <w:b/>
          <w:i/>
          <w:spacing w:val="-4"/>
          <w:sz w:val="24"/>
        </w:rPr>
        <w:t>Costs</w:t>
      </w:r>
    </w:p>
    <w:p>
      <w:pPr>
        <w:pStyle w:val="BodyText"/>
        <w:spacing w:before="9" w:after="1"/>
        <w:rPr>
          <w:b/>
          <w:i/>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88"/>
        <w:gridCol w:w="1160"/>
        <w:gridCol w:w="1135"/>
      </w:tblGrid>
      <w:tr>
        <w:trPr>
          <w:trHeight w:val="635" w:hRule="atLeast"/>
        </w:trPr>
        <w:tc>
          <w:tcPr>
            <w:tcW w:w="6188" w:type="dxa"/>
          </w:tcPr>
          <w:p>
            <w:pPr>
              <w:pStyle w:val="TableParagraph"/>
              <w:rPr>
                <w:rFonts w:ascii="Times New Roman"/>
                <w:sz w:val="22"/>
              </w:rPr>
            </w:pPr>
          </w:p>
        </w:tc>
        <w:tc>
          <w:tcPr>
            <w:tcW w:w="1160" w:type="dxa"/>
          </w:tcPr>
          <w:p>
            <w:pPr>
              <w:pStyle w:val="TableParagraph"/>
              <w:spacing w:line="252" w:lineRule="exact"/>
              <w:ind w:right="109"/>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135" w:type="dxa"/>
            <w:shd w:val="clear" w:color="auto" w:fill="E4E4E4"/>
          </w:tcPr>
          <w:p>
            <w:pPr>
              <w:pStyle w:val="TableParagraph"/>
              <w:spacing w:line="252" w:lineRule="exact"/>
              <w:ind w:right="112"/>
              <w:jc w:val="right"/>
              <w:rPr>
                <w:b/>
                <w:sz w:val="24"/>
              </w:rPr>
            </w:pPr>
            <w:r>
              <w:rPr>
                <w:b/>
                <w:spacing w:val="-4"/>
                <w:sz w:val="24"/>
              </w:rPr>
              <w:t>2016</w:t>
            </w:r>
          </w:p>
          <w:p>
            <w:pPr>
              <w:pStyle w:val="TableParagraph"/>
              <w:spacing w:before="69"/>
              <w:ind w:right="109"/>
              <w:jc w:val="right"/>
              <w:rPr>
                <w:b/>
                <w:sz w:val="24"/>
              </w:rPr>
            </w:pPr>
            <w:r>
              <w:rPr>
                <w:b/>
                <w:spacing w:val="-10"/>
                <w:sz w:val="24"/>
              </w:rPr>
              <w:t>€</w:t>
            </w:r>
          </w:p>
        </w:tc>
      </w:tr>
      <w:tr>
        <w:trPr>
          <w:trHeight w:val="387" w:hRule="atLeast"/>
        </w:trPr>
        <w:tc>
          <w:tcPr>
            <w:tcW w:w="6188" w:type="dxa"/>
          </w:tcPr>
          <w:p>
            <w:pPr>
              <w:pStyle w:val="TableParagraph"/>
              <w:spacing w:before="35"/>
              <w:ind w:left="50"/>
              <w:rPr>
                <w:sz w:val="24"/>
              </w:rPr>
            </w:pPr>
            <w:r>
              <w:rPr>
                <w:sz w:val="24"/>
              </w:rPr>
              <w:t>Legal</w:t>
            </w:r>
            <w:r>
              <w:rPr>
                <w:spacing w:val="-3"/>
                <w:sz w:val="24"/>
              </w:rPr>
              <w:t> </w:t>
            </w:r>
            <w:r>
              <w:rPr>
                <w:spacing w:val="-2"/>
                <w:sz w:val="24"/>
              </w:rPr>
              <w:t>advice</w:t>
            </w:r>
          </w:p>
        </w:tc>
        <w:tc>
          <w:tcPr>
            <w:tcW w:w="1160" w:type="dxa"/>
            <w:tcBorders>
              <w:bottom w:val="single" w:sz="4" w:space="0" w:color="000000"/>
            </w:tcBorders>
          </w:tcPr>
          <w:p>
            <w:pPr>
              <w:pStyle w:val="TableParagraph"/>
              <w:spacing w:before="35"/>
              <w:ind w:right="107"/>
              <w:jc w:val="right"/>
              <w:rPr>
                <w:sz w:val="24"/>
              </w:rPr>
            </w:pPr>
            <w:r>
              <w:rPr>
                <w:spacing w:val="-2"/>
                <w:sz w:val="24"/>
              </w:rPr>
              <w:t>12,193</w:t>
            </w:r>
          </w:p>
        </w:tc>
        <w:tc>
          <w:tcPr>
            <w:tcW w:w="1135" w:type="dxa"/>
            <w:tcBorders>
              <w:bottom w:val="single" w:sz="4" w:space="0" w:color="000000"/>
            </w:tcBorders>
            <w:shd w:val="clear" w:color="auto" w:fill="E4E4E4"/>
          </w:tcPr>
          <w:p>
            <w:pPr>
              <w:pStyle w:val="TableParagraph"/>
              <w:spacing w:before="35"/>
              <w:ind w:right="107"/>
              <w:jc w:val="right"/>
              <w:rPr>
                <w:sz w:val="24"/>
              </w:rPr>
            </w:pPr>
            <w:r>
              <w:rPr>
                <w:spacing w:val="-10"/>
                <w:sz w:val="24"/>
              </w:rPr>
              <w:t>-</w:t>
            </w:r>
          </w:p>
        </w:tc>
      </w:tr>
      <w:tr>
        <w:trPr>
          <w:trHeight w:val="368" w:hRule="atLeast"/>
        </w:trPr>
        <w:tc>
          <w:tcPr>
            <w:tcW w:w="6188" w:type="dxa"/>
          </w:tcPr>
          <w:p>
            <w:pPr>
              <w:pStyle w:val="TableParagraph"/>
              <w:spacing w:line="273" w:lineRule="exact"/>
              <w:ind w:left="50"/>
              <w:rPr>
                <w:b/>
                <w:sz w:val="24"/>
              </w:rPr>
            </w:pPr>
            <w:r>
              <w:rPr>
                <w:b/>
                <w:sz w:val="24"/>
              </w:rPr>
              <w:t>Total</w:t>
            </w:r>
            <w:r>
              <w:rPr>
                <w:b/>
                <w:spacing w:val="-3"/>
                <w:sz w:val="24"/>
              </w:rPr>
              <w:t> </w:t>
            </w:r>
            <w:r>
              <w:rPr>
                <w:b/>
                <w:sz w:val="24"/>
              </w:rPr>
              <w:t>Consultancy</w:t>
            </w:r>
            <w:r>
              <w:rPr>
                <w:b/>
                <w:spacing w:val="-3"/>
                <w:sz w:val="24"/>
              </w:rPr>
              <w:t> </w:t>
            </w:r>
            <w:r>
              <w:rPr>
                <w:b/>
                <w:spacing w:val="-4"/>
                <w:sz w:val="24"/>
              </w:rPr>
              <w:t>Costs</w:t>
            </w:r>
          </w:p>
        </w:tc>
        <w:tc>
          <w:tcPr>
            <w:tcW w:w="1160"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12,193</w:t>
            </w:r>
          </w:p>
        </w:tc>
        <w:tc>
          <w:tcPr>
            <w:tcW w:w="1135" w:type="dxa"/>
            <w:tcBorders>
              <w:top w:val="single" w:sz="4" w:space="0" w:color="000000"/>
              <w:bottom w:val="double" w:sz="4" w:space="0" w:color="000000"/>
            </w:tcBorders>
            <w:shd w:val="clear" w:color="auto" w:fill="E4E4E4"/>
          </w:tcPr>
          <w:p>
            <w:pPr>
              <w:pStyle w:val="TableParagraph"/>
              <w:spacing w:line="252" w:lineRule="exact"/>
              <w:ind w:right="107"/>
              <w:jc w:val="right"/>
              <w:rPr>
                <w:sz w:val="24"/>
              </w:rPr>
            </w:pPr>
            <w:r>
              <w:rPr>
                <w:spacing w:val="-10"/>
                <w:sz w:val="24"/>
              </w:rPr>
              <w:t>-</w:t>
            </w:r>
          </w:p>
        </w:tc>
      </w:tr>
    </w:tbl>
    <w:p>
      <w:pPr>
        <w:pStyle w:val="BodyText"/>
        <w:spacing w:before="49"/>
        <w:rPr>
          <w:b/>
          <w:i/>
          <w:sz w:val="24"/>
        </w:rPr>
      </w:pPr>
    </w:p>
    <w:p>
      <w:pPr>
        <w:pStyle w:val="ListParagraph"/>
        <w:numPr>
          <w:ilvl w:val="0"/>
          <w:numId w:val="12"/>
        </w:numPr>
        <w:tabs>
          <w:tab w:pos="2059" w:val="left" w:leader="none"/>
        </w:tabs>
        <w:spacing w:line="240" w:lineRule="auto" w:before="0" w:after="0"/>
        <w:ind w:left="2059" w:right="0" w:hanging="357"/>
        <w:jc w:val="left"/>
        <w:rPr>
          <w:b/>
          <w:i/>
          <w:sz w:val="24"/>
        </w:rPr>
      </w:pPr>
      <w:r>
        <w:rPr>
          <w:b/>
          <w:i/>
          <w:sz w:val="24"/>
        </w:rPr>
        <w:t>Travel</w:t>
      </w:r>
      <w:r>
        <w:rPr>
          <w:b/>
          <w:i/>
          <w:spacing w:val="-1"/>
          <w:sz w:val="24"/>
        </w:rPr>
        <w:t> </w:t>
      </w:r>
      <w:r>
        <w:rPr>
          <w:b/>
          <w:i/>
          <w:sz w:val="24"/>
        </w:rPr>
        <w:t>and</w:t>
      </w:r>
      <w:r>
        <w:rPr>
          <w:b/>
          <w:i/>
          <w:spacing w:val="-1"/>
          <w:sz w:val="24"/>
        </w:rPr>
        <w:t> </w:t>
      </w:r>
      <w:r>
        <w:rPr>
          <w:b/>
          <w:i/>
          <w:sz w:val="24"/>
        </w:rPr>
        <w:t>Subsistence</w:t>
      </w:r>
      <w:r>
        <w:rPr>
          <w:b/>
          <w:i/>
          <w:spacing w:val="-3"/>
          <w:sz w:val="24"/>
        </w:rPr>
        <w:t> </w:t>
      </w:r>
      <w:r>
        <w:rPr>
          <w:b/>
          <w:i/>
          <w:spacing w:val="-4"/>
          <w:sz w:val="24"/>
        </w:rPr>
        <w:t>Costs</w:t>
      </w:r>
    </w:p>
    <w:p>
      <w:pPr>
        <w:pStyle w:val="BodyText"/>
        <w:spacing w:before="69"/>
        <w:rPr>
          <w:b/>
          <w:i/>
          <w:sz w:val="24"/>
        </w:rPr>
      </w:pPr>
    </w:p>
    <w:p>
      <w:pPr>
        <w:spacing w:before="1"/>
        <w:ind w:left="1702" w:right="0" w:firstLine="0"/>
        <w:jc w:val="left"/>
        <w:rPr>
          <w:sz w:val="24"/>
        </w:rPr>
      </w:pPr>
      <w:r>
        <w:rPr>
          <w:sz w:val="24"/>
        </w:rPr>
        <w:t>Travel</w:t>
      </w:r>
      <w:r>
        <w:rPr>
          <w:spacing w:val="-2"/>
          <w:sz w:val="24"/>
        </w:rPr>
        <w:t> </w:t>
      </w:r>
      <w:r>
        <w:rPr>
          <w:sz w:val="24"/>
        </w:rPr>
        <w:t>and</w:t>
      </w:r>
      <w:r>
        <w:rPr>
          <w:spacing w:val="-1"/>
          <w:sz w:val="24"/>
        </w:rPr>
        <w:t> </w:t>
      </w:r>
      <w:r>
        <w:rPr>
          <w:sz w:val="24"/>
        </w:rPr>
        <w:t>subsistence</w:t>
      </w:r>
      <w:r>
        <w:rPr>
          <w:spacing w:val="-2"/>
          <w:sz w:val="24"/>
        </w:rPr>
        <w:t> </w:t>
      </w:r>
      <w:r>
        <w:rPr>
          <w:sz w:val="24"/>
        </w:rPr>
        <w:t>is</w:t>
      </w:r>
      <w:r>
        <w:rPr>
          <w:spacing w:val="-4"/>
          <w:sz w:val="24"/>
        </w:rPr>
        <w:t> </w:t>
      </w:r>
      <w:r>
        <w:rPr>
          <w:sz w:val="24"/>
        </w:rPr>
        <w:t>categorised</w:t>
      </w:r>
      <w:r>
        <w:rPr>
          <w:spacing w:val="-2"/>
          <w:sz w:val="24"/>
        </w:rPr>
        <w:t> </w:t>
      </w:r>
      <w:r>
        <w:rPr>
          <w:sz w:val="24"/>
        </w:rPr>
        <w:t>as</w:t>
      </w:r>
      <w:r>
        <w:rPr>
          <w:spacing w:val="-1"/>
          <w:sz w:val="24"/>
        </w:rPr>
        <w:t> </w:t>
      </w:r>
      <w:r>
        <w:rPr>
          <w:spacing w:val="-2"/>
          <w:sz w:val="24"/>
        </w:rPr>
        <w:t>follows:</w:t>
      </w:r>
    </w:p>
    <w:p>
      <w:pPr>
        <w:pStyle w:val="BodyText"/>
        <w:spacing w:before="67" w:after="1"/>
        <w:rPr>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88"/>
        <w:gridCol w:w="1160"/>
        <w:gridCol w:w="1135"/>
      </w:tblGrid>
      <w:tr>
        <w:trPr>
          <w:trHeight w:val="635" w:hRule="atLeast"/>
        </w:trPr>
        <w:tc>
          <w:tcPr>
            <w:tcW w:w="6188" w:type="dxa"/>
          </w:tcPr>
          <w:p>
            <w:pPr>
              <w:pStyle w:val="TableParagraph"/>
              <w:rPr>
                <w:rFonts w:ascii="Times New Roman"/>
                <w:sz w:val="22"/>
              </w:rPr>
            </w:pPr>
          </w:p>
        </w:tc>
        <w:tc>
          <w:tcPr>
            <w:tcW w:w="1160" w:type="dxa"/>
          </w:tcPr>
          <w:p>
            <w:pPr>
              <w:pStyle w:val="TableParagraph"/>
              <w:spacing w:line="252" w:lineRule="exact"/>
              <w:ind w:right="109"/>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135" w:type="dxa"/>
            <w:shd w:val="clear" w:color="auto" w:fill="E4E4E4"/>
          </w:tcPr>
          <w:p>
            <w:pPr>
              <w:pStyle w:val="TableParagraph"/>
              <w:spacing w:line="252" w:lineRule="exact"/>
              <w:ind w:right="112"/>
              <w:jc w:val="right"/>
              <w:rPr>
                <w:b/>
                <w:sz w:val="24"/>
              </w:rPr>
            </w:pPr>
            <w:r>
              <w:rPr>
                <w:b/>
                <w:spacing w:val="-4"/>
                <w:sz w:val="24"/>
              </w:rPr>
              <w:t>2016</w:t>
            </w:r>
          </w:p>
          <w:p>
            <w:pPr>
              <w:pStyle w:val="TableParagraph"/>
              <w:spacing w:before="69"/>
              <w:ind w:right="109"/>
              <w:jc w:val="right"/>
              <w:rPr>
                <w:b/>
                <w:sz w:val="24"/>
              </w:rPr>
            </w:pPr>
            <w:r>
              <w:rPr>
                <w:b/>
                <w:spacing w:val="-10"/>
                <w:sz w:val="24"/>
              </w:rPr>
              <w:t>€</w:t>
            </w:r>
          </w:p>
        </w:tc>
      </w:tr>
      <w:tr>
        <w:trPr>
          <w:trHeight w:val="349" w:hRule="atLeast"/>
        </w:trPr>
        <w:tc>
          <w:tcPr>
            <w:tcW w:w="6188" w:type="dxa"/>
          </w:tcPr>
          <w:p>
            <w:pPr>
              <w:pStyle w:val="TableParagraph"/>
              <w:spacing w:before="35"/>
              <w:ind w:left="50"/>
              <w:rPr>
                <w:sz w:val="24"/>
              </w:rPr>
            </w:pPr>
            <w:r>
              <w:rPr>
                <w:spacing w:val="-2"/>
                <w:sz w:val="24"/>
              </w:rPr>
              <w:t>Domestic</w:t>
            </w:r>
          </w:p>
        </w:tc>
        <w:tc>
          <w:tcPr>
            <w:tcW w:w="1160" w:type="dxa"/>
          </w:tcPr>
          <w:p>
            <w:pPr>
              <w:pStyle w:val="TableParagraph"/>
              <w:rPr>
                <w:rFonts w:ascii="Times New Roman"/>
                <w:sz w:val="22"/>
              </w:rPr>
            </w:pPr>
          </w:p>
        </w:tc>
        <w:tc>
          <w:tcPr>
            <w:tcW w:w="1135" w:type="dxa"/>
            <w:shd w:val="clear" w:color="auto" w:fill="E4E4E4"/>
          </w:tcPr>
          <w:p>
            <w:pPr>
              <w:pStyle w:val="TableParagraph"/>
              <w:rPr>
                <w:rFonts w:ascii="Times New Roman"/>
                <w:sz w:val="22"/>
              </w:rPr>
            </w:pPr>
          </w:p>
        </w:tc>
      </w:tr>
      <w:tr>
        <w:trPr>
          <w:trHeight w:val="350"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z w:val="24"/>
              </w:rPr>
              <w:t>Authority</w:t>
            </w:r>
            <w:r>
              <w:rPr>
                <w:spacing w:val="-9"/>
                <w:sz w:val="24"/>
              </w:rPr>
              <w:t> </w:t>
            </w:r>
            <w:r>
              <w:rPr>
                <w:sz w:val="24"/>
              </w:rPr>
              <w:t>(the</w:t>
            </w:r>
            <w:r>
              <w:rPr>
                <w:spacing w:val="-9"/>
                <w:sz w:val="24"/>
              </w:rPr>
              <w:t> </w:t>
            </w:r>
            <w:r>
              <w:rPr>
                <w:spacing w:val="-2"/>
                <w:sz w:val="24"/>
              </w:rPr>
              <w:t>Board)</w:t>
            </w:r>
          </w:p>
        </w:tc>
        <w:tc>
          <w:tcPr>
            <w:tcW w:w="1160" w:type="dxa"/>
          </w:tcPr>
          <w:p>
            <w:pPr>
              <w:pStyle w:val="TableParagraph"/>
              <w:spacing w:before="36"/>
              <w:ind w:right="107"/>
              <w:jc w:val="right"/>
              <w:rPr>
                <w:sz w:val="24"/>
              </w:rPr>
            </w:pPr>
            <w:r>
              <w:rPr>
                <w:spacing w:val="-2"/>
                <w:sz w:val="24"/>
              </w:rPr>
              <w:t>11,124</w:t>
            </w:r>
          </w:p>
        </w:tc>
        <w:tc>
          <w:tcPr>
            <w:tcW w:w="1135" w:type="dxa"/>
            <w:shd w:val="clear" w:color="auto" w:fill="E4E4E4"/>
          </w:tcPr>
          <w:p>
            <w:pPr>
              <w:pStyle w:val="TableParagraph"/>
              <w:spacing w:before="36"/>
              <w:ind w:right="108"/>
              <w:jc w:val="right"/>
              <w:rPr>
                <w:sz w:val="24"/>
              </w:rPr>
            </w:pPr>
            <w:r>
              <w:rPr>
                <w:spacing w:val="-2"/>
                <w:sz w:val="24"/>
              </w:rPr>
              <w:t>6,657</w:t>
            </w:r>
          </w:p>
        </w:tc>
      </w:tr>
      <w:tr>
        <w:trPr>
          <w:trHeight w:val="349"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pacing w:val="-2"/>
                <w:sz w:val="24"/>
              </w:rPr>
              <w:t>Employees</w:t>
            </w:r>
          </w:p>
        </w:tc>
        <w:tc>
          <w:tcPr>
            <w:tcW w:w="1160" w:type="dxa"/>
          </w:tcPr>
          <w:p>
            <w:pPr>
              <w:pStyle w:val="TableParagraph"/>
              <w:spacing w:before="36"/>
              <w:ind w:right="107"/>
              <w:jc w:val="right"/>
              <w:rPr>
                <w:sz w:val="24"/>
              </w:rPr>
            </w:pPr>
            <w:r>
              <w:rPr>
                <w:spacing w:val="-2"/>
                <w:sz w:val="24"/>
              </w:rPr>
              <w:t>17,676</w:t>
            </w:r>
          </w:p>
        </w:tc>
        <w:tc>
          <w:tcPr>
            <w:tcW w:w="1135" w:type="dxa"/>
            <w:shd w:val="clear" w:color="auto" w:fill="E4E4E4"/>
          </w:tcPr>
          <w:p>
            <w:pPr>
              <w:pStyle w:val="TableParagraph"/>
              <w:spacing w:before="36"/>
              <w:ind w:right="108"/>
              <w:jc w:val="right"/>
              <w:rPr>
                <w:sz w:val="24"/>
              </w:rPr>
            </w:pPr>
            <w:r>
              <w:rPr>
                <w:spacing w:val="-2"/>
                <w:sz w:val="24"/>
              </w:rPr>
              <w:t>12,545</w:t>
            </w:r>
          </w:p>
        </w:tc>
      </w:tr>
      <w:tr>
        <w:trPr>
          <w:trHeight w:val="349" w:hRule="atLeast"/>
        </w:trPr>
        <w:tc>
          <w:tcPr>
            <w:tcW w:w="6188" w:type="dxa"/>
          </w:tcPr>
          <w:p>
            <w:pPr>
              <w:pStyle w:val="TableParagraph"/>
              <w:spacing w:before="35"/>
              <w:ind w:left="50"/>
              <w:rPr>
                <w:sz w:val="24"/>
              </w:rPr>
            </w:pPr>
            <w:r>
              <w:rPr>
                <w:spacing w:val="-2"/>
                <w:sz w:val="24"/>
              </w:rPr>
              <w:t>International</w:t>
            </w:r>
          </w:p>
        </w:tc>
        <w:tc>
          <w:tcPr>
            <w:tcW w:w="1160" w:type="dxa"/>
          </w:tcPr>
          <w:p>
            <w:pPr>
              <w:pStyle w:val="TableParagraph"/>
              <w:rPr>
                <w:rFonts w:ascii="Times New Roman"/>
                <w:sz w:val="22"/>
              </w:rPr>
            </w:pPr>
          </w:p>
        </w:tc>
        <w:tc>
          <w:tcPr>
            <w:tcW w:w="1135" w:type="dxa"/>
            <w:shd w:val="clear" w:color="auto" w:fill="E4E4E4"/>
          </w:tcPr>
          <w:p>
            <w:pPr>
              <w:pStyle w:val="TableParagraph"/>
              <w:rPr>
                <w:rFonts w:ascii="Times New Roman"/>
                <w:sz w:val="22"/>
              </w:rPr>
            </w:pPr>
          </w:p>
        </w:tc>
      </w:tr>
      <w:tr>
        <w:trPr>
          <w:trHeight w:val="349" w:hRule="atLeast"/>
        </w:trPr>
        <w:tc>
          <w:tcPr>
            <w:tcW w:w="6188" w:type="dxa"/>
          </w:tcPr>
          <w:p>
            <w:pPr>
              <w:pStyle w:val="TableParagraph"/>
              <w:tabs>
                <w:tab w:pos="769" w:val="left" w:leader="none"/>
              </w:tabs>
              <w:spacing w:before="34"/>
              <w:ind w:left="410"/>
              <w:rPr>
                <w:sz w:val="24"/>
              </w:rPr>
            </w:pPr>
            <w:r>
              <w:rPr>
                <w:rFonts w:ascii="Arial"/>
                <w:spacing w:val="-10"/>
                <w:sz w:val="24"/>
              </w:rPr>
              <w:t>-</w:t>
            </w:r>
            <w:r>
              <w:rPr>
                <w:rFonts w:ascii="Arial"/>
                <w:sz w:val="24"/>
              </w:rPr>
              <w:tab/>
            </w:r>
            <w:r>
              <w:rPr>
                <w:sz w:val="24"/>
              </w:rPr>
              <w:t>Authority</w:t>
            </w:r>
            <w:r>
              <w:rPr>
                <w:spacing w:val="-9"/>
                <w:sz w:val="24"/>
              </w:rPr>
              <w:t> </w:t>
            </w:r>
            <w:r>
              <w:rPr>
                <w:sz w:val="24"/>
              </w:rPr>
              <w:t>(the</w:t>
            </w:r>
            <w:r>
              <w:rPr>
                <w:spacing w:val="-9"/>
                <w:sz w:val="24"/>
              </w:rPr>
              <w:t> </w:t>
            </w:r>
            <w:r>
              <w:rPr>
                <w:spacing w:val="-2"/>
                <w:sz w:val="24"/>
              </w:rPr>
              <w:t>Board)</w:t>
            </w:r>
          </w:p>
        </w:tc>
        <w:tc>
          <w:tcPr>
            <w:tcW w:w="1160" w:type="dxa"/>
          </w:tcPr>
          <w:p>
            <w:pPr>
              <w:pStyle w:val="TableParagraph"/>
              <w:spacing w:before="36"/>
              <w:ind w:right="105"/>
              <w:jc w:val="right"/>
              <w:rPr>
                <w:sz w:val="24"/>
              </w:rPr>
            </w:pPr>
            <w:r>
              <w:rPr>
                <w:spacing w:val="-10"/>
                <w:sz w:val="24"/>
              </w:rPr>
              <w:t>-</w:t>
            </w:r>
          </w:p>
        </w:tc>
        <w:tc>
          <w:tcPr>
            <w:tcW w:w="1135" w:type="dxa"/>
            <w:shd w:val="clear" w:color="auto" w:fill="E4E4E4"/>
          </w:tcPr>
          <w:p>
            <w:pPr>
              <w:pStyle w:val="TableParagraph"/>
              <w:spacing w:before="36"/>
              <w:ind w:right="107"/>
              <w:jc w:val="right"/>
              <w:rPr>
                <w:sz w:val="24"/>
              </w:rPr>
            </w:pPr>
            <w:r>
              <w:rPr>
                <w:spacing w:val="-10"/>
                <w:sz w:val="24"/>
              </w:rPr>
              <w:t>-</w:t>
            </w:r>
          </w:p>
        </w:tc>
      </w:tr>
      <w:tr>
        <w:trPr>
          <w:trHeight w:val="389" w:hRule="atLeast"/>
        </w:trPr>
        <w:tc>
          <w:tcPr>
            <w:tcW w:w="6188" w:type="dxa"/>
          </w:tcPr>
          <w:p>
            <w:pPr>
              <w:pStyle w:val="TableParagraph"/>
              <w:tabs>
                <w:tab w:pos="769" w:val="left" w:leader="none"/>
              </w:tabs>
              <w:spacing w:before="35"/>
              <w:ind w:left="410"/>
              <w:rPr>
                <w:sz w:val="24"/>
              </w:rPr>
            </w:pPr>
            <w:r>
              <w:rPr>
                <w:rFonts w:ascii="Arial"/>
                <w:spacing w:val="-10"/>
                <w:sz w:val="24"/>
              </w:rPr>
              <w:t>-</w:t>
            </w:r>
            <w:r>
              <w:rPr>
                <w:rFonts w:ascii="Arial"/>
                <w:sz w:val="24"/>
              </w:rPr>
              <w:tab/>
            </w:r>
            <w:r>
              <w:rPr>
                <w:spacing w:val="-2"/>
                <w:sz w:val="24"/>
              </w:rPr>
              <w:t>Employees</w:t>
            </w:r>
          </w:p>
        </w:tc>
        <w:tc>
          <w:tcPr>
            <w:tcW w:w="1160" w:type="dxa"/>
            <w:tcBorders>
              <w:bottom w:val="single" w:sz="4" w:space="0" w:color="000000"/>
            </w:tcBorders>
          </w:tcPr>
          <w:p>
            <w:pPr>
              <w:pStyle w:val="TableParagraph"/>
              <w:spacing w:before="35"/>
              <w:ind w:right="107"/>
              <w:jc w:val="right"/>
              <w:rPr>
                <w:sz w:val="24"/>
              </w:rPr>
            </w:pPr>
            <w:r>
              <w:rPr>
                <w:spacing w:val="-2"/>
                <w:sz w:val="24"/>
              </w:rPr>
              <w:t>7,983</w:t>
            </w:r>
          </w:p>
        </w:tc>
        <w:tc>
          <w:tcPr>
            <w:tcW w:w="1135" w:type="dxa"/>
            <w:tcBorders>
              <w:bottom w:val="single" w:sz="4" w:space="0" w:color="000000"/>
            </w:tcBorders>
            <w:shd w:val="clear" w:color="auto" w:fill="E4E4E4"/>
          </w:tcPr>
          <w:p>
            <w:pPr>
              <w:pStyle w:val="TableParagraph"/>
              <w:spacing w:before="35"/>
              <w:ind w:right="108"/>
              <w:jc w:val="right"/>
              <w:rPr>
                <w:sz w:val="24"/>
              </w:rPr>
            </w:pPr>
            <w:r>
              <w:rPr>
                <w:spacing w:val="-2"/>
                <w:sz w:val="24"/>
              </w:rPr>
              <w:t>3,848</w:t>
            </w:r>
          </w:p>
        </w:tc>
      </w:tr>
      <w:tr>
        <w:trPr>
          <w:trHeight w:val="368" w:hRule="atLeast"/>
        </w:trPr>
        <w:tc>
          <w:tcPr>
            <w:tcW w:w="6188" w:type="dxa"/>
          </w:tcPr>
          <w:p>
            <w:pPr>
              <w:pStyle w:val="TableParagraph"/>
              <w:spacing w:line="273" w:lineRule="exact"/>
              <w:ind w:left="50"/>
              <w:rPr>
                <w:b/>
                <w:sz w:val="24"/>
              </w:rPr>
            </w:pPr>
            <w:r>
              <w:rPr>
                <w:b/>
                <w:sz w:val="24"/>
              </w:rPr>
              <w:t>Total</w:t>
            </w:r>
            <w:r>
              <w:rPr>
                <w:b/>
                <w:spacing w:val="-2"/>
                <w:sz w:val="24"/>
              </w:rPr>
              <w:t> </w:t>
            </w:r>
            <w:r>
              <w:rPr>
                <w:b/>
                <w:sz w:val="24"/>
              </w:rPr>
              <w:t>Travel</w:t>
            </w:r>
            <w:r>
              <w:rPr>
                <w:b/>
                <w:spacing w:val="-2"/>
                <w:sz w:val="24"/>
              </w:rPr>
              <w:t> </w:t>
            </w:r>
            <w:r>
              <w:rPr>
                <w:b/>
                <w:sz w:val="24"/>
              </w:rPr>
              <w:t>and</w:t>
            </w:r>
            <w:r>
              <w:rPr>
                <w:b/>
                <w:spacing w:val="-3"/>
                <w:sz w:val="24"/>
              </w:rPr>
              <w:t> </w:t>
            </w:r>
            <w:r>
              <w:rPr>
                <w:b/>
                <w:sz w:val="24"/>
              </w:rPr>
              <w:t>Subsistence</w:t>
            </w:r>
            <w:r>
              <w:rPr>
                <w:b/>
                <w:spacing w:val="-1"/>
                <w:sz w:val="24"/>
              </w:rPr>
              <w:t> </w:t>
            </w:r>
            <w:r>
              <w:rPr>
                <w:b/>
                <w:spacing w:val="-4"/>
                <w:sz w:val="24"/>
              </w:rPr>
              <w:t>Costs</w:t>
            </w:r>
          </w:p>
        </w:tc>
        <w:tc>
          <w:tcPr>
            <w:tcW w:w="1160" w:type="dxa"/>
            <w:tcBorders>
              <w:top w:val="single" w:sz="4" w:space="0" w:color="000000"/>
              <w:bottom w:val="double" w:sz="4" w:space="0" w:color="000000"/>
            </w:tcBorders>
          </w:tcPr>
          <w:p>
            <w:pPr>
              <w:pStyle w:val="TableParagraph"/>
              <w:spacing w:line="254" w:lineRule="exact"/>
              <w:ind w:right="108"/>
              <w:jc w:val="right"/>
              <w:rPr>
                <w:b/>
                <w:sz w:val="24"/>
              </w:rPr>
            </w:pPr>
            <w:r>
              <w:rPr>
                <w:b/>
                <w:spacing w:val="-2"/>
                <w:sz w:val="24"/>
              </w:rPr>
              <w:t>36,783</w:t>
            </w:r>
          </w:p>
        </w:tc>
        <w:tc>
          <w:tcPr>
            <w:tcW w:w="1135" w:type="dxa"/>
            <w:tcBorders>
              <w:top w:val="single" w:sz="4" w:space="0" w:color="000000"/>
              <w:bottom w:val="double" w:sz="4" w:space="0" w:color="000000"/>
            </w:tcBorders>
            <w:shd w:val="clear" w:color="auto" w:fill="E4E4E4"/>
          </w:tcPr>
          <w:p>
            <w:pPr>
              <w:pStyle w:val="TableParagraph"/>
              <w:spacing w:line="254" w:lineRule="exact"/>
              <w:ind w:right="110"/>
              <w:jc w:val="right"/>
              <w:rPr>
                <w:b/>
                <w:sz w:val="24"/>
              </w:rPr>
            </w:pPr>
            <w:r>
              <w:rPr>
                <w:b/>
                <w:spacing w:val="-2"/>
                <w:sz w:val="24"/>
              </w:rPr>
              <w:t>23,050</w:t>
            </w:r>
          </w:p>
        </w:tc>
      </w:tr>
    </w:tbl>
    <w:p>
      <w:pPr>
        <w:spacing w:before="259"/>
        <w:ind w:left="1702" w:right="0" w:firstLine="0"/>
        <w:jc w:val="left"/>
        <w:rPr>
          <w:b/>
          <w:sz w:val="24"/>
        </w:rPr>
      </w:pPr>
      <w:r>
        <w:rPr>
          <w:b/>
          <w:sz w:val="24"/>
        </w:rPr>
        <w:t>Statement</w:t>
      </w:r>
      <w:r>
        <w:rPr>
          <w:b/>
          <w:spacing w:val="-2"/>
          <w:sz w:val="24"/>
        </w:rPr>
        <w:t> </w:t>
      </w:r>
      <w:r>
        <w:rPr>
          <w:b/>
          <w:sz w:val="24"/>
        </w:rPr>
        <w:t>of</w:t>
      </w:r>
      <w:r>
        <w:rPr>
          <w:b/>
          <w:spacing w:val="-2"/>
          <w:sz w:val="24"/>
        </w:rPr>
        <w:t> Compliance</w:t>
      </w:r>
    </w:p>
    <w:p>
      <w:pPr>
        <w:pStyle w:val="BodyText"/>
        <w:spacing w:before="1"/>
        <w:rPr>
          <w:b/>
          <w:sz w:val="24"/>
        </w:rPr>
      </w:pPr>
    </w:p>
    <w:p>
      <w:pPr>
        <w:spacing w:before="0"/>
        <w:ind w:left="1702" w:right="989" w:firstLine="0"/>
        <w:jc w:val="both"/>
        <w:rPr>
          <w:sz w:val="24"/>
        </w:rPr>
      </w:pPr>
      <w:r>
        <w:rPr>
          <w:sz w:val="24"/>
        </w:rPr>
        <w:t>The Authority has adopted the Code of Practice for the Governance of State Bodies (2016) and has put procedures in place to ensure compliance with the Code. The National Disability Authority was in compliance with the Code of Practice for the Governance of State Bodies for 2017.</w:t>
      </w:r>
    </w:p>
    <w:p>
      <w:pPr>
        <w:pStyle w:val="BodyText"/>
        <w:spacing w:before="47"/>
        <w:rPr>
          <w:sz w:val="20"/>
        </w:rPr>
      </w:pPr>
      <w:r>
        <w:rPr>
          <w:sz w:val="20"/>
        </w:rPr>
        <w:drawing>
          <wp:anchor distT="0" distB="0" distL="0" distR="0" allowOverlap="1" layoutInCell="1" locked="0" behindDoc="1" simplePos="0" relativeHeight="487590912">
            <wp:simplePos x="0" y="0"/>
            <wp:positionH relativeFrom="page">
              <wp:posOffset>1260475</wp:posOffset>
            </wp:positionH>
            <wp:positionV relativeFrom="paragraph">
              <wp:posOffset>192454</wp:posOffset>
            </wp:positionV>
            <wp:extent cx="1424962" cy="530066"/>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1424962" cy="530066"/>
                    </a:xfrm>
                    <a:prstGeom prst="rect">
                      <a:avLst/>
                    </a:prstGeom>
                  </pic:spPr>
                </pic:pic>
              </a:graphicData>
            </a:graphic>
          </wp:anchor>
        </w:drawing>
      </w:r>
      <w:r>
        <w:rPr>
          <w:sz w:val="20"/>
        </w:rPr>
        <w:drawing>
          <wp:anchor distT="0" distB="0" distL="0" distR="0" allowOverlap="1" layoutInCell="1" locked="0" behindDoc="1" simplePos="0" relativeHeight="487591424">
            <wp:simplePos x="0" y="0"/>
            <wp:positionH relativeFrom="page">
              <wp:posOffset>2874302</wp:posOffset>
            </wp:positionH>
            <wp:positionV relativeFrom="paragraph">
              <wp:posOffset>201471</wp:posOffset>
            </wp:positionV>
            <wp:extent cx="1680638" cy="315372"/>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1680638" cy="315372"/>
                    </a:xfrm>
                    <a:prstGeom prst="rect">
                      <a:avLst/>
                    </a:prstGeom>
                  </pic:spPr>
                </pic:pic>
              </a:graphicData>
            </a:graphic>
          </wp:anchor>
        </w:drawing>
      </w:r>
      <w:r>
        <w:rPr>
          <w:sz w:val="20"/>
        </w:rPr>
        <w:drawing>
          <wp:anchor distT="0" distB="0" distL="0" distR="0" allowOverlap="1" layoutInCell="1" locked="0" behindDoc="1" simplePos="0" relativeHeight="487591936">
            <wp:simplePos x="0" y="0"/>
            <wp:positionH relativeFrom="page">
              <wp:posOffset>4971115</wp:posOffset>
            </wp:positionH>
            <wp:positionV relativeFrom="paragraph">
              <wp:posOffset>201471</wp:posOffset>
            </wp:positionV>
            <wp:extent cx="1332795" cy="492251"/>
            <wp:effectExtent l="0" t="0" r="0" b="0"/>
            <wp:wrapTopAndBottom/>
            <wp:docPr id="10" name="Image 10" descr="Siobhan Barron’s signature"/>
            <wp:cNvGraphicFramePr>
              <a:graphicFrameLocks/>
            </wp:cNvGraphicFramePr>
            <a:graphic>
              <a:graphicData uri="http://schemas.openxmlformats.org/drawingml/2006/picture">
                <pic:pic>
                  <pic:nvPicPr>
                    <pic:cNvPr id="10" name="Image 10" descr="Siobhan Barron’s signature"/>
                    <pic:cNvPicPr/>
                  </pic:nvPicPr>
                  <pic:blipFill>
                    <a:blip r:embed="rId11" cstate="print"/>
                    <a:stretch>
                      <a:fillRect/>
                    </a:stretch>
                  </pic:blipFill>
                  <pic:spPr>
                    <a:xfrm>
                      <a:off x="0" y="0"/>
                      <a:ext cx="1332795" cy="49225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92448">
                <wp:simplePos x="0" y="0"/>
                <wp:positionH relativeFrom="page">
                  <wp:posOffset>1260652</wp:posOffset>
                </wp:positionH>
                <wp:positionV relativeFrom="paragraph">
                  <wp:posOffset>867747</wp:posOffset>
                </wp:positionV>
                <wp:extent cx="1311275"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9.264pt;margin-top:68.326546pt;width:103.25pt;height:.1pt;mso-position-horizontal-relative:page;mso-position-vertical-relative:paragraph;z-index:-15724032;mso-wrap-distance-left:0;mso-wrap-distance-right:0" id="docshape6" coordorigin="1985,1367" coordsize="2065,0" path="m1985,1367l4050,1367e" filled="false" stroked="true" strokeweight=".70656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2960">
                <wp:simplePos x="0" y="0"/>
                <wp:positionH relativeFrom="page">
                  <wp:posOffset>3089782</wp:posOffset>
                </wp:positionH>
                <wp:positionV relativeFrom="paragraph">
                  <wp:posOffset>867747</wp:posOffset>
                </wp:positionV>
                <wp:extent cx="1311275"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3.289993pt;margin-top:68.326546pt;width:103.25pt;height:.1pt;mso-position-horizontal-relative:page;mso-position-vertical-relative:paragraph;z-index:-15723520;mso-wrap-distance-left:0;mso-wrap-distance-right:0" id="docshape7" coordorigin="4866,1367" coordsize="2065,0" path="m4866,1367l6931,1367e" filled="false" stroked="true" strokeweight=".70656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4918836</wp:posOffset>
                </wp:positionH>
                <wp:positionV relativeFrom="paragraph">
                  <wp:posOffset>867747</wp:posOffset>
                </wp:positionV>
                <wp:extent cx="1311275"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7.309998pt;margin-top:68.326546pt;width:103.25pt;height:.1pt;mso-position-horizontal-relative:page;mso-position-vertical-relative:paragraph;z-index:-15723008;mso-wrap-distance-left:0;mso-wrap-distance-right:0" id="docshape8" coordorigin="7746,1367" coordsize="2065,0" path="m7746,1367l9811,1367e" filled="false" stroked="true" strokeweight=".70656pt" strokecolor="#000000">
                <v:path arrowok="t"/>
                <v:stroke dashstyle="solid"/>
                <w10:wrap type="topAndBottom"/>
              </v:shape>
            </w:pict>
          </mc:Fallback>
        </mc:AlternateContent>
      </w:r>
    </w:p>
    <w:p>
      <w:pPr>
        <w:pStyle w:val="BodyText"/>
        <w:spacing w:before="7"/>
        <w:rPr>
          <w:sz w:val="17"/>
        </w:rPr>
      </w:pPr>
    </w:p>
    <w:p>
      <w:pPr>
        <w:pStyle w:val="BodyText"/>
        <w:spacing w:before="15" w:after="1"/>
        <w:rPr>
          <w:sz w:val="20"/>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5"/>
        <w:gridCol w:w="2881"/>
        <w:gridCol w:w="2395"/>
      </w:tblGrid>
      <w:tr>
        <w:trPr>
          <w:trHeight w:val="702" w:hRule="atLeast"/>
        </w:trPr>
        <w:tc>
          <w:tcPr>
            <w:tcW w:w="2395"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127"/>
              <w:ind w:left="50"/>
              <w:rPr>
                <w:sz w:val="22"/>
              </w:rPr>
            </w:pPr>
            <w:r>
              <w:rPr>
                <w:spacing w:val="-2"/>
                <w:sz w:val="22"/>
              </w:rPr>
              <w:t>Chairperson</w:t>
            </w:r>
          </w:p>
        </w:tc>
        <w:tc>
          <w:tcPr>
            <w:tcW w:w="2881" w:type="dxa"/>
          </w:tcPr>
          <w:p>
            <w:pPr>
              <w:pStyle w:val="TableParagraph"/>
              <w:ind w:left="535"/>
              <w:rPr>
                <w:sz w:val="22"/>
              </w:rPr>
            </w:pPr>
            <w:r>
              <w:rPr>
                <w:sz w:val="22"/>
              </w:rPr>
              <w:t>Frank</w:t>
            </w:r>
            <w:r>
              <w:rPr>
                <w:spacing w:val="-5"/>
                <w:sz w:val="22"/>
              </w:rPr>
              <w:t> </w:t>
            </w:r>
            <w:r>
              <w:rPr>
                <w:spacing w:val="-2"/>
                <w:sz w:val="22"/>
              </w:rPr>
              <w:t>Cunneen,</w:t>
            </w:r>
          </w:p>
          <w:p>
            <w:pPr>
              <w:pStyle w:val="TableParagraph"/>
              <w:spacing w:before="127"/>
              <w:ind w:left="535"/>
              <w:rPr>
                <w:sz w:val="22"/>
              </w:rPr>
            </w:pPr>
            <w:r>
              <w:rPr>
                <w:sz w:val="22"/>
              </w:rPr>
              <w:t>Authority</w:t>
            </w:r>
            <w:r>
              <w:rPr>
                <w:spacing w:val="-7"/>
                <w:sz w:val="22"/>
              </w:rPr>
              <w:t> </w:t>
            </w:r>
            <w:r>
              <w:rPr>
                <w:spacing w:val="-2"/>
                <w:sz w:val="22"/>
              </w:rPr>
              <w:t>Member</w:t>
            </w:r>
          </w:p>
        </w:tc>
        <w:tc>
          <w:tcPr>
            <w:tcW w:w="2395" w:type="dxa"/>
          </w:tcPr>
          <w:p>
            <w:pPr>
              <w:pStyle w:val="TableParagraph"/>
              <w:ind w:left="534"/>
              <w:rPr>
                <w:sz w:val="22"/>
              </w:rPr>
            </w:pPr>
            <w:r>
              <w:rPr>
                <w:sz w:val="22"/>
              </w:rPr>
              <w:t>Siobhan</w:t>
            </w:r>
            <w:r>
              <w:rPr>
                <w:spacing w:val="-4"/>
                <w:sz w:val="22"/>
              </w:rPr>
              <w:t> </w:t>
            </w:r>
            <w:r>
              <w:rPr>
                <w:spacing w:val="-2"/>
                <w:sz w:val="22"/>
              </w:rPr>
              <w:t>Barron,</w:t>
            </w:r>
          </w:p>
          <w:p>
            <w:pPr>
              <w:pStyle w:val="TableParagraph"/>
              <w:spacing w:before="127"/>
              <w:ind w:left="534"/>
              <w:rPr>
                <w:sz w:val="22"/>
              </w:rPr>
            </w:pPr>
            <w:r>
              <w:rPr>
                <w:spacing w:val="-2"/>
                <w:sz w:val="22"/>
              </w:rPr>
              <w:t>Director</w:t>
            </w:r>
          </w:p>
        </w:tc>
      </w:tr>
      <w:tr>
        <w:trPr>
          <w:trHeight w:val="320" w:hRule="atLeast"/>
        </w:trPr>
        <w:tc>
          <w:tcPr>
            <w:tcW w:w="2395" w:type="dxa"/>
          </w:tcPr>
          <w:p>
            <w:pPr>
              <w:pStyle w:val="TableParagraph"/>
              <w:spacing w:line="235" w:lineRule="exact" w:before="64"/>
              <w:ind w:left="50"/>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881" w:type="dxa"/>
          </w:tcPr>
          <w:p>
            <w:pPr>
              <w:pStyle w:val="TableParagraph"/>
              <w:spacing w:line="235" w:lineRule="exact" w:before="64"/>
              <w:ind w:left="535"/>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395" w:type="dxa"/>
          </w:tcPr>
          <w:p>
            <w:pPr>
              <w:pStyle w:val="TableParagraph"/>
              <w:spacing w:line="235" w:lineRule="exact" w:before="64"/>
              <w:ind w:left="534"/>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992"/>
        </w:sectPr>
      </w:pPr>
    </w:p>
    <w:p>
      <w:pPr>
        <w:spacing w:line="480" w:lineRule="auto" w:before="78"/>
        <w:ind w:left="1702" w:right="1391" w:firstLine="0"/>
        <w:jc w:val="both"/>
        <w:rPr>
          <w:b/>
          <w:sz w:val="24"/>
        </w:rPr>
      </w:pPr>
      <w:r>
        <w:rPr>
          <w:b/>
          <w:sz w:val="24"/>
        </w:rPr>
        <w:t>Statement</w:t>
      </w:r>
      <w:r>
        <w:rPr>
          <w:b/>
          <w:spacing w:val="-3"/>
          <w:sz w:val="24"/>
        </w:rPr>
        <w:t> </w:t>
      </w:r>
      <w:r>
        <w:rPr>
          <w:b/>
          <w:sz w:val="24"/>
        </w:rPr>
        <w:t>on</w:t>
      </w:r>
      <w:r>
        <w:rPr>
          <w:b/>
          <w:spacing w:val="-5"/>
          <w:sz w:val="24"/>
        </w:rPr>
        <w:t> </w:t>
      </w:r>
      <w:r>
        <w:rPr>
          <w:b/>
          <w:sz w:val="24"/>
        </w:rPr>
        <w:t>Internal</w:t>
      </w:r>
      <w:r>
        <w:rPr>
          <w:b/>
          <w:spacing w:val="-3"/>
          <w:sz w:val="24"/>
        </w:rPr>
        <w:t> </w:t>
      </w:r>
      <w:r>
        <w:rPr>
          <w:b/>
          <w:sz w:val="24"/>
        </w:rPr>
        <w:t>Control</w:t>
      </w:r>
      <w:r>
        <w:rPr>
          <w:b/>
          <w:spacing w:val="-4"/>
          <w:sz w:val="24"/>
        </w:rPr>
        <w:t> </w:t>
      </w:r>
      <w:r>
        <w:rPr>
          <w:b/>
          <w:sz w:val="24"/>
        </w:rPr>
        <w:t>2017</w:t>
      </w:r>
      <w:r>
        <w:rPr>
          <w:b/>
          <w:spacing w:val="-1"/>
          <w:sz w:val="24"/>
        </w:rPr>
        <w:t> </w:t>
      </w:r>
      <w:r>
        <w:rPr>
          <w:b/>
          <w:sz w:val="24"/>
        </w:rPr>
        <w:t>–</w:t>
      </w:r>
      <w:r>
        <w:rPr>
          <w:b/>
          <w:spacing w:val="-3"/>
          <w:sz w:val="24"/>
        </w:rPr>
        <w:t> </w:t>
      </w:r>
      <w:r>
        <w:rPr>
          <w:b/>
          <w:sz w:val="24"/>
        </w:rPr>
        <w:t>by</w:t>
      </w:r>
      <w:r>
        <w:rPr>
          <w:b/>
          <w:spacing w:val="-3"/>
          <w:sz w:val="24"/>
        </w:rPr>
        <w:t> </w:t>
      </w:r>
      <w:r>
        <w:rPr>
          <w:b/>
          <w:sz w:val="24"/>
        </w:rPr>
        <w:t>the</w:t>
      </w:r>
      <w:r>
        <w:rPr>
          <w:b/>
          <w:spacing w:val="-3"/>
          <w:sz w:val="24"/>
        </w:rPr>
        <w:t> </w:t>
      </w:r>
      <w:r>
        <w:rPr>
          <w:b/>
          <w:sz w:val="24"/>
        </w:rPr>
        <w:t>Authority</w:t>
      </w:r>
      <w:r>
        <w:rPr>
          <w:b/>
          <w:spacing w:val="-3"/>
          <w:sz w:val="24"/>
        </w:rPr>
        <w:t> </w:t>
      </w:r>
      <w:r>
        <w:rPr>
          <w:b/>
          <w:sz w:val="24"/>
        </w:rPr>
        <w:t>of</w:t>
      </w:r>
      <w:r>
        <w:rPr>
          <w:b/>
          <w:spacing w:val="-4"/>
          <w:sz w:val="24"/>
        </w:rPr>
        <w:t> </w:t>
      </w:r>
      <w:r>
        <w:rPr>
          <w:b/>
          <w:sz w:val="24"/>
        </w:rPr>
        <w:t>the</w:t>
      </w:r>
      <w:r>
        <w:rPr>
          <w:b/>
          <w:spacing w:val="-3"/>
          <w:sz w:val="24"/>
        </w:rPr>
        <w:t> </w:t>
      </w:r>
      <w:r>
        <w:rPr>
          <w:b/>
          <w:sz w:val="24"/>
        </w:rPr>
        <w:t>NDA Scope of Responsibility</w:t>
      </w:r>
    </w:p>
    <w:p>
      <w:pPr>
        <w:spacing w:before="0"/>
        <w:ind w:left="1702" w:right="988" w:firstLine="0"/>
        <w:jc w:val="both"/>
        <w:rPr>
          <w:sz w:val="24"/>
        </w:rPr>
      </w:pPr>
      <w:r>
        <w:rPr>
          <w:sz w:val="24"/>
        </w:rPr>
        <w:t>On behalf of the Authority of the NDA, I confirm that the Authority has overall responsibility</w:t>
      </w:r>
      <w:r>
        <w:rPr>
          <w:spacing w:val="-13"/>
          <w:sz w:val="24"/>
        </w:rPr>
        <w:t> </w:t>
      </w:r>
      <w:r>
        <w:rPr>
          <w:sz w:val="24"/>
        </w:rPr>
        <w:t>for</w:t>
      </w:r>
      <w:r>
        <w:rPr>
          <w:spacing w:val="-13"/>
          <w:sz w:val="24"/>
        </w:rPr>
        <w:t> </w:t>
      </w:r>
      <w:r>
        <w:rPr>
          <w:sz w:val="24"/>
        </w:rPr>
        <w:t>ensuring</w:t>
      </w:r>
      <w:r>
        <w:rPr>
          <w:spacing w:val="-13"/>
          <w:sz w:val="24"/>
        </w:rPr>
        <w:t> </w:t>
      </w:r>
      <w:r>
        <w:rPr>
          <w:sz w:val="24"/>
        </w:rPr>
        <w:t>that</w:t>
      </w:r>
      <w:r>
        <w:rPr>
          <w:spacing w:val="-13"/>
          <w:sz w:val="24"/>
        </w:rPr>
        <w:t> </w:t>
      </w:r>
      <w:r>
        <w:rPr>
          <w:sz w:val="24"/>
        </w:rPr>
        <w:t>an</w:t>
      </w:r>
      <w:r>
        <w:rPr>
          <w:spacing w:val="-14"/>
          <w:sz w:val="24"/>
        </w:rPr>
        <w:t> </w:t>
      </w:r>
      <w:r>
        <w:rPr>
          <w:sz w:val="24"/>
        </w:rPr>
        <w:t>effective</w:t>
      </w:r>
      <w:r>
        <w:rPr>
          <w:spacing w:val="-13"/>
          <w:sz w:val="24"/>
        </w:rPr>
        <w:t> </w:t>
      </w:r>
      <w:r>
        <w:rPr>
          <w:sz w:val="24"/>
        </w:rPr>
        <w:t>system</w:t>
      </w:r>
      <w:r>
        <w:rPr>
          <w:spacing w:val="-13"/>
          <w:sz w:val="24"/>
        </w:rPr>
        <w:t> </w:t>
      </w:r>
      <w:r>
        <w:rPr>
          <w:sz w:val="24"/>
        </w:rPr>
        <w:t>of</w:t>
      </w:r>
      <w:r>
        <w:rPr>
          <w:spacing w:val="-13"/>
          <w:sz w:val="24"/>
        </w:rPr>
        <w:t> </w:t>
      </w:r>
      <w:r>
        <w:rPr>
          <w:sz w:val="24"/>
        </w:rPr>
        <w:t>internal</w:t>
      </w:r>
      <w:r>
        <w:rPr>
          <w:spacing w:val="-15"/>
          <w:sz w:val="24"/>
        </w:rPr>
        <w:t> </w:t>
      </w:r>
      <w:r>
        <w:rPr>
          <w:sz w:val="24"/>
        </w:rPr>
        <w:t>control</w:t>
      </w:r>
      <w:r>
        <w:rPr>
          <w:spacing w:val="-13"/>
          <w:sz w:val="24"/>
        </w:rPr>
        <w:t> </w:t>
      </w:r>
      <w:r>
        <w:rPr>
          <w:sz w:val="24"/>
        </w:rPr>
        <w:t>is</w:t>
      </w:r>
      <w:r>
        <w:rPr>
          <w:spacing w:val="-13"/>
          <w:sz w:val="24"/>
        </w:rPr>
        <w:t> </w:t>
      </w:r>
      <w:r>
        <w:rPr>
          <w:sz w:val="24"/>
        </w:rPr>
        <w:t>maintained and</w:t>
      </w:r>
      <w:r>
        <w:rPr>
          <w:spacing w:val="-7"/>
          <w:sz w:val="24"/>
        </w:rPr>
        <w:t> </w:t>
      </w:r>
      <w:r>
        <w:rPr>
          <w:sz w:val="24"/>
        </w:rPr>
        <w:t>operated,</w:t>
      </w:r>
      <w:r>
        <w:rPr>
          <w:spacing w:val="-8"/>
          <w:sz w:val="24"/>
        </w:rPr>
        <w:t> </w:t>
      </w:r>
      <w:r>
        <w:rPr>
          <w:sz w:val="24"/>
        </w:rPr>
        <w:t>and</w:t>
      </w:r>
      <w:r>
        <w:rPr>
          <w:spacing w:val="-7"/>
          <w:sz w:val="24"/>
        </w:rPr>
        <w:t> </w:t>
      </w:r>
      <w:r>
        <w:rPr>
          <w:sz w:val="24"/>
        </w:rPr>
        <w:t>for</w:t>
      </w:r>
      <w:r>
        <w:rPr>
          <w:spacing w:val="-7"/>
          <w:sz w:val="24"/>
        </w:rPr>
        <w:t> </w:t>
      </w:r>
      <w:r>
        <w:rPr>
          <w:sz w:val="24"/>
        </w:rPr>
        <w:t>reviewing</w:t>
      </w:r>
      <w:r>
        <w:rPr>
          <w:spacing w:val="-7"/>
          <w:sz w:val="24"/>
        </w:rPr>
        <w:t> </w:t>
      </w:r>
      <w:r>
        <w:rPr>
          <w:sz w:val="24"/>
        </w:rPr>
        <w:t>its</w:t>
      </w:r>
      <w:r>
        <w:rPr>
          <w:spacing w:val="-9"/>
          <w:sz w:val="24"/>
        </w:rPr>
        <w:t> </w:t>
      </w:r>
      <w:r>
        <w:rPr>
          <w:sz w:val="24"/>
        </w:rPr>
        <w:t>effectiveness.</w:t>
      </w:r>
      <w:r>
        <w:rPr>
          <w:spacing w:val="-5"/>
          <w:sz w:val="24"/>
        </w:rPr>
        <w:t> </w:t>
      </w:r>
      <w:r>
        <w:rPr>
          <w:sz w:val="24"/>
        </w:rPr>
        <w:t>This</w:t>
      </w:r>
      <w:r>
        <w:rPr>
          <w:spacing w:val="-9"/>
          <w:sz w:val="24"/>
        </w:rPr>
        <w:t> </w:t>
      </w:r>
      <w:r>
        <w:rPr>
          <w:sz w:val="24"/>
        </w:rPr>
        <w:t>responsibility</w:t>
      </w:r>
      <w:r>
        <w:rPr>
          <w:spacing w:val="-8"/>
          <w:sz w:val="24"/>
        </w:rPr>
        <w:t> </w:t>
      </w:r>
      <w:r>
        <w:rPr>
          <w:sz w:val="24"/>
        </w:rPr>
        <w:t>takes</w:t>
      </w:r>
      <w:r>
        <w:rPr>
          <w:spacing w:val="-6"/>
          <w:sz w:val="24"/>
        </w:rPr>
        <w:t> </w:t>
      </w:r>
      <w:r>
        <w:rPr>
          <w:sz w:val="24"/>
        </w:rPr>
        <w:t>account of the requirements of the Code of Practice for the Governance of State Bodies </w:t>
      </w:r>
      <w:r>
        <w:rPr>
          <w:spacing w:val="-2"/>
          <w:sz w:val="24"/>
        </w:rPr>
        <w:t>(2016).</w:t>
      </w:r>
    </w:p>
    <w:p>
      <w:pPr>
        <w:pStyle w:val="BodyText"/>
        <w:spacing w:before="1"/>
        <w:rPr>
          <w:sz w:val="24"/>
        </w:rPr>
      </w:pPr>
    </w:p>
    <w:p>
      <w:pPr>
        <w:spacing w:before="0"/>
        <w:ind w:left="1702" w:right="990" w:firstLine="0"/>
        <w:jc w:val="both"/>
        <w:rPr>
          <w:sz w:val="24"/>
        </w:rPr>
      </w:pPr>
      <w:r>
        <w:rPr>
          <w:sz w:val="24"/>
        </w:rPr>
        <w:t>Through the Director and Senior Management Group structure, management at all</w:t>
      </w:r>
      <w:r>
        <w:rPr>
          <w:spacing w:val="-7"/>
          <w:sz w:val="24"/>
        </w:rPr>
        <w:t> </w:t>
      </w:r>
      <w:r>
        <w:rPr>
          <w:sz w:val="24"/>
        </w:rPr>
        <w:t>levels</w:t>
      </w:r>
      <w:r>
        <w:rPr>
          <w:spacing w:val="-7"/>
          <w:sz w:val="24"/>
        </w:rPr>
        <w:t> </w:t>
      </w:r>
      <w:r>
        <w:rPr>
          <w:sz w:val="24"/>
        </w:rPr>
        <w:t>of</w:t>
      </w:r>
      <w:r>
        <w:rPr>
          <w:spacing w:val="-7"/>
          <w:sz w:val="24"/>
        </w:rPr>
        <w:t> </w:t>
      </w:r>
      <w:r>
        <w:rPr>
          <w:sz w:val="24"/>
        </w:rPr>
        <w:t>the</w:t>
      </w:r>
      <w:r>
        <w:rPr>
          <w:spacing w:val="-7"/>
          <w:sz w:val="24"/>
        </w:rPr>
        <w:t> </w:t>
      </w:r>
      <w:r>
        <w:rPr>
          <w:sz w:val="24"/>
        </w:rPr>
        <w:t>NDA</w:t>
      </w:r>
      <w:r>
        <w:rPr>
          <w:spacing w:val="-7"/>
          <w:sz w:val="24"/>
        </w:rPr>
        <w:t> </w:t>
      </w:r>
      <w:r>
        <w:rPr>
          <w:sz w:val="24"/>
        </w:rPr>
        <w:t>are</w:t>
      </w:r>
      <w:r>
        <w:rPr>
          <w:spacing w:val="-9"/>
          <w:sz w:val="24"/>
        </w:rPr>
        <w:t> </w:t>
      </w:r>
      <w:r>
        <w:rPr>
          <w:sz w:val="24"/>
        </w:rPr>
        <w:t>responsible</w:t>
      </w:r>
      <w:r>
        <w:rPr>
          <w:spacing w:val="-7"/>
          <w:sz w:val="24"/>
        </w:rPr>
        <w:t> </w:t>
      </w:r>
      <w:r>
        <w:rPr>
          <w:sz w:val="24"/>
        </w:rPr>
        <w:t>to</w:t>
      </w:r>
      <w:r>
        <w:rPr>
          <w:spacing w:val="-8"/>
          <w:sz w:val="24"/>
        </w:rPr>
        <w:t> </w:t>
      </w:r>
      <w:r>
        <w:rPr>
          <w:sz w:val="24"/>
        </w:rPr>
        <w:t>the</w:t>
      </w:r>
      <w:r>
        <w:rPr>
          <w:spacing w:val="-7"/>
          <w:sz w:val="24"/>
        </w:rPr>
        <w:t> </w:t>
      </w:r>
      <w:r>
        <w:rPr>
          <w:sz w:val="24"/>
        </w:rPr>
        <w:t>Authority</w:t>
      </w:r>
      <w:r>
        <w:rPr>
          <w:spacing w:val="-7"/>
          <w:sz w:val="24"/>
        </w:rPr>
        <w:t> </w:t>
      </w:r>
      <w:r>
        <w:rPr>
          <w:sz w:val="24"/>
        </w:rPr>
        <w:t>for</w:t>
      </w:r>
      <w:r>
        <w:rPr>
          <w:spacing w:val="-7"/>
          <w:sz w:val="24"/>
        </w:rPr>
        <w:t> </w:t>
      </w:r>
      <w:r>
        <w:rPr>
          <w:sz w:val="24"/>
        </w:rPr>
        <w:t>the</w:t>
      </w:r>
      <w:r>
        <w:rPr>
          <w:spacing w:val="-7"/>
          <w:sz w:val="24"/>
        </w:rPr>
        <w:t> </w:t>
      </w:r>
      <w:r>
        <w:rPr>
          <w:sz w:val="24"/>
        </w:rPr>
        <w:t>implementation</w:t>
      </w:r>
      <w:r>
        <w:rPr>
          <w:spacing w:val="-7"/>
          <w:sz w:val="24"/>
        </w:rPr>
        <w:t> </w:t>
      </w:r>
      <w:r>
        <w:rPr>
          <w:sz w:val="24"/>
        </w:rPr>
        <w:t>and maintenance of internal controls over all functions.</w:t>
      </w:r>
    </w:p>
    <w:p>
      <w:pPr>
        <w:pStyle w:val="BodyText"/>
        <w:rPr>
          <w:sz w:val="24"/>
        </w:rPr>
      </w:pPr>
    </w:p>
    <w:p>
      <w:pPr>
        <w:spacing w:before="1"/>
        <w:ind w:left="1702" w:right="0" w:firstLine="0"/>
        <w:jc w:val="both"/>
        <w:rPr>
          <w:b/>
          <w:sz w:val="24"/>
        </w:rPr>
      </w:pPr>
      <w:r>
        <w:rPr>
          <w:b/>
          <w:sz w:val="24"/>
        </w:rPr>
        <w:t>Purpose</w:t>
      </w:r>
      <w:r>
        <w:rPr>
          <w:b/>
          <w:spacing w:val="-2"/>
          <w:sz w:val="24"/>
        </w:rPr>
        <w:t> </w:t>
      </w:r>
      <w:r>
        <w:rPr>
          <w:b/>
          <w:sz w:val="24"/>
        </w:rPr>
        <w:t>of</w:t>
      </w:r>
      <w:r>
        <w:rPr>
          <w:b/>
          <w:spacing w:val="-2"/>
          <w:sz w:val="24"/>
        </w:rPr>
        <w:t> </w:t>
      </w:r>
      <w:r>
        <w:rPr>
          <w:b/>
          <w:sz w:val="24"/>
        </w:rPr>
        <w:t>the</w:t>
      </w:r>
      <w:r>
        <w:rPr>
          <w:b/>
          <w:spacing w:val="-2"/>
          <w:sz w:val="24"/>
        </w:rPr>
        <w:t> </w:t>
      </w:r>
      <w:r>
        <w:rPr>
          <w:b/>
          <w:sz w:val="24"/>
        </w:rPr>
        <w:t>System</w:t>
      </w:r>
      <w:r>
        <w:rPr>
          <w:b/>
          <w:spacing w:val="-1"/>
          <w:sz w:val="24"/>
        </w:rPr>
        <w:t> </w:t>
      </w:r>
      <w:r>
        <w:rPr>
          <w:b/>
          <w:sz w:val="24"/>
        </w:rPr>
        <w:t>of</w:t>
      </w:r>
      <w:r>
        <w:rPr>
          <w:b/>
          <w:spacing w:val="-3"/>
          <w:sz w:val="24"/>
        </w:rPr>
        <w:t> </w:t>
      </w:r>
      <w:r>
        <w:rPr>
          <w:b/>
          <w:sz w:val="24"/>
        </w:rPr>
        <w:t>Internal</w:t>
      </w:r>
      <w:r>
        <w:rPr>
          <w:b/>
          <w:spacing w:val="-1"/>
          <w:sz w:val="24"/>
        </w:rPr>
        <w:t> </w:t>
      </w:r>
      <w:r>
        <w:rPr>
          <w:b/>
          <w:spacing w:val="-2"/>
          <w:sz w:val="24"/>
        </w:rPr>
        <w:t>Control</w:t>
      </w:r>
    </w:p>
    <w:p>
      <w:pPr>
        <w:pStyle w:val="BodyText"/>
        <w:rPr>
          <w:b/>
          <w:sz w:val="24"/>
        </w:rPr>
      </w:pPr>
    </w:p>
    <w:p>
      <w:pPr>
        <w:spacing w:line="240" w:lineRule="auto" w:before="0"/>
        <w:ind w:left="1702" w:right="988" w:firstLine="0"/>
        <w:jc w:val="both"/>
        <w:rPr>
          <w:sz w:val="24"/>
        </w:rPr>
      </w:pPr>
      <w:r>
        <w:rPr>
          <w:sz w:val="24"/>
        </w:rPr>
        <w:t>The</w:t>
      </w:r>
      <w:r>
        <w:rPr>
          <w:spacing w:val="-17"/>
          <w:sz w:val="24"/>
        </w:rPr>
        <w:t> </w:t>
      </w:r>
      <w:r>
        <w:rPr>
          <w:sz w:val="24"/>
        </w:rPr>
        <w:t>system</w:t>
      </w:r>
      <w:r>
        <w:rPr>
          <w:spacing w:val="-17"/>
          <w:sz w:val="24"/>
        </w:rPr>
        <w:t> </w:t>
      </w:r>
      <w:r>
        <w:rPr>
          <w:sz w:val="24"/>
        </w:rPr>
        <w:t>of</w:t>
      </w:r>
      <w:r>
        <w:rPr>
          <w:spacing w:val="-16"/>
          <w:sz w:val="24"/>
        </w:rPr>
        <w:t> </w:t>
      </w:r>
      <w:r>
        <w:rPr>
          <w:sz w:val="24"/>
        </w:rPr>
        <w:t>internal</w:t>
      </w:r>
      <w:r>
        <w:rPr>
          <w:spacing w:val="-17"/>
          <w:sz w:val="24"/>
        </w:rPr>
        <w:t> </w:t>
      </w:r>
      <w:r>
        <w:rPr>
          <w:sz w:val="24"/>
        </w:rPr>
        <w:t>control</w:t>
      </w:r>
      <w:r>
        <w:rPr>
          <w:spacing w:val="-17"/>
          <w:sz w:val="24"/>
        </w:rPr>
        <w:t> </w:t>
      </w:r>
      <w:r>
        <w:rPr>
          <w:sz w:val="24"/>
        </w:rPr>
        <w:t>is</w:t>
      </w:r>
      <w:r>
        <w:rPr>
          <w:spacing w:val="-17"/>
          <w:sz w:val="24"/>
        </w:rPr>
        <w:t> </w:t>
      </w:r>
      <w:r>
        <w:rPr>
          <w:sz w:val="24"/>
        </w:rPr>
        <w:t>designed</w:t>
      </w:r>
      <w:r>
        <w:rPr>
          <w:spacing w:val="-16"/>
          <w:sz w:val="24"/>
        </w:rPr>
        <w:t> </w:t>
      </w:r>
      <w:r>
        <w:rPr>
          <w:sz w:val="24"/>
        </w:rPr>
        <w:t>to</w:t>
      </w:r>
      <w:r>
        <w:rPr>
          <w:spacing w:val="-17"/>
          <w:sz w:val="24"/>
        </w:rPr>
        <w:t> </w:t>
      </w:r>
      <w:r>
        <w:rPr>
          <w:sz w:val="24"/>
        </w:rPr>
        <w:t>manage</w:t>
      </w:r>
      <w:r>
        <w:rPr>
          <w:spacing w:val="-17"/>
          <w:sz w:val="24"/>
        </w:rPr>
        <w:t> </w:t>
      </w:r>
      <w:r>
        <w:rPr>
          <w:sz w:val="24"/>
        </w:rPr>
        <w:t>risk</w:t>
      </w:r>
      <w:r>
        <w:rPr>
          <w:spacing w:val="-16"/>
          <w:sz w:val="24"/>
        </w:rPr>
        <w:t> </w:t>
      </w:r>
      <w:r>
        <w:rPr>
          <w:sz w:val="24"/>
        </w:rPr>
        <w:t>to</w:t>
      </w:r>
      <w:r>
        <w:rPr>
          <w:spacing w:val="-17"/>
          <w:sz w:val="24"/>
        </w:rPr>
        <w:t> </w:t>
      </w:r>
      <w:r>
        <w:rPr>
          <w:sz w:val="24"/>
        </w:rPr>
        <w:t>a</w:t>
      </w:r>
      <w:r>
        <w:rPr>
          <w:spacing w:val="-17"/>
          <w:sz w:val="24"/>
        </w:rPr>
        <w:t> </w:t>
      </w:r>
      <w:r>
        <w:rPr>
          <w:sz w:val="24"/>
        </w:rPr>
        <w:t>tolerable</w:t>
      </w:r>
      <w:r>
        <w:rPr>
          <w:spacing w:val="-16"/>
          <w:sz w:val="24"/>
        </w:rPr>
        <w:t> </w:t>
      </w:r>
      <w:r>
        <w:rPr>
          <w:sz w:val="24"/>
        </w:rPr>
        <w:t>level</w:t>
      </w:r>
      <w:r>
        <w:rPr>
          <w:spacing w:val="-17"/>
          <w:sz w:val="24"/>
        </w:rPr>
        <w:t> </w:t>
      </w:r>
      <w:r>
        <w:rPr>
          <w:sz w:val="24"/>
        </w:rPr>
        <w:t>rather than to eliminate it. The system can therefore only provide reasonable and not absolute assurance that assets are safeguarded, transactions authorised and properly</w:t>
      </w:r>
      <w:r>
        <w:rPr>
          <w:spacing w:val="-3"/>
          <w:sz w:val="24"/>
        </w:rPr>
        <w:t> </w:t>
      </w:r>
      <w:r>
        <w:rPr>
          <w:sz w:val="24"/>
        </w:rPr>
        <w:t>recorded,</w:t>
      </w:r>
      <w:r>
        <w:rPr>
          <w:spacing w:val="-3"/>
          <w:sz w:val="24"/>
        </w:rPr>
        <w:t> </w:t>
      </w:r>
      <w:r>
        <w:rPr>
          <w:sz w:val="24"/>
        </w:rPr>
        <w:t>and that</w:t>
      </w:r>
      <w:r>
        <w:rPr>
          <w:spacing w:val="-1"/>
          <w:sz w:val="24"/>
        </w:rPr>
        <w:t> </w:t>
      </w:r>
      <w:r>
        <w:rPr>
          <w:sz w:val="24"/>
        </w:rPr>
        <w:t>material</w:t>
      </w:r>
      <w:r>
        <w:rPr>
          <w:spacing w:val="-3"/>
          <w:sz w:val="24"/>
        </w:rPr>
        <w:t> </w:t>
      </w:r>
      <w:r>
        <w:rPr>
          <w:sz w:val="24"/>
        </w:rPr>
        <w:t>errors</w:t>
      </w:r>
      <w:r>
        <w:rPr>
          <w:spacing w:val="-1"/>
          <w:sz w:val="24"/>
        </w:rPr>
        <w:t> </w:t>
      </w:r>
      <w:r>
        <w:rPr>
          <w:sz w:val="24"/>
        </w:rPr>
        <w:t>or</w:t>
      </w:r>
      <w:r>
        <w:rPr>
          <w:spacing w:val="-3"/>
          <w:sz w:val="24"/>
        </w:rPr>
        <w:t> </w:t>
      </w:r>
      <w:r>
        <w:rPr>
          <w:sz w:val="24"/>
        </w:rPr>
        <w:t>irregularities</w:t>
      </w:r>
      <w:r>
        <w:rPr>
          <w:spacing w:val="-5"/>
          <w:sz w:val="24"/>
        </w:rPr>
        <w:t> </w:t>
      </w:r>
      <w:r>
        <w:rPr>
          <w:sz w:val="24"/>
        </w:rPr>
        <w:t>are</w:t>
      </w:r>
      <w:r>
        <w:rPr>
          <w:spacing w:val="-3"/>
          <w:sz w:val="24"/>
        </w:rPr>
        <w:t> </w:t>
      </w:r>
      <w:r>
        <w:rPr>
          <w:sz w:val="24"/>
        </w:rPr>
        <w:t>either prevented or detected in a timely way. The system of internal control, which accords with guidance</w:t>
      </w:r>
      <w:r>
        <w:rPr>
          <w:spacing w:val="-8"/>
          <w:sz w:val="24"/>
        </w:rPr>
        <w:t> </w:t>
      </w:r>
      <w:r>
        <w:rPr>
          <w:sz w:val="24"/>
        </w:rPr>
        <w:t>issued</w:t>
      </w:r>
      <w:r>
        <w:rPr>
          <w:spacing w:val="-7"/>
          <w:sz w:val="24"/>
        </w:rPr>
        <w:t> </w:t>
      </w:r>
      <w:r>
        <w:rPr>
          <w:sz w:val="24"/>
        </w:rPr>
        <w:t>by</w:t>
      </w:r>
      <w:r>
        <w:rPr>
          <w:spacing w:val="-10"/>
          <w:sz w:val="24"/>
        </w:rPr>
        <w:t> </w:t>
      </w:r>
      <w:r>
        <w:rPr>
          <w:sz w:val="24"/>
        </w:rPr>
        <w:t>the</w:t>
      </w:r>
      <w:r>
        <w:rPr>
          <w:spacing w:val="-8"/>
          <w:sz w:val="24"/>
        </w:rPr>
        <w:t> </w:t>
      </w:r>
      <w:r>
        <w:rPr>
          <w:sz w:val="24"/>
        </w:rPr>
        <w:t>Department</w:t>
      </w:r>
      <w:r>
        <w:rPr>
          <w:spacing w:val="-8"/>
          <w:sz w:val="24"/>
        </w:rPr>
        <w:t> </w:t>
      </w:r>
      <w:r>
        <w:rPr>
          <w:sz w:val="24"/>
        </w:rPr>
        <w:t>of</w:t>
      </w:r>
      <w:r>
        <w:rPr>
          <w:spacing w:val="-8"/>
          <w:sz w:val="24"/>
        </w:rPr>
        <w:t> </w:t>
      </w:r>
      <w:r>
        <w:rPr>
          <w:sz w:val="24"/>
        </w:rPr>
        <w:t>Public</w:t>
      </w:r>
      <w:r>
        <w:rPr>
          <w:spacing w:val="-7"/>
          <w:sz w:val="24"/>
        </w:rPr>
        <w:t> </w:t>
      </w:r>
      <w:r>
        <w:rPr>
          <w:sz w:val="24"/>
        </w:rPr>
        <w:t>Expenditure</w:t>
      </w:r>
      <w:r>
        <w:rPr>
          <w:spacing w:val="-7"/>
          <w:sz w:val="24"/>
        </w:rPr>
        <w:t> </w:t>
      </w:r>
      <w:r>
        <w:rPr>
          <w:sz w:val="24"/>
        </w:rPr>
        <w:t>and</w:t>
      </w:r>
      <w:r>
        <w:rPr>
          <w:spacing w:val="-7"/>
          <w:sz w:val="24"/>
        </w:rPr>
        <w:t> </w:t>
      </w:r>
      <w:r>
        <w:rPr>
          <w:sz w:val="24"/>
        </w:rPr>
        <w:t>Reform,</w:t>
      </w:r>
      <w:r>
        <w:rPr>
          <w:spacing w:val="-10"/>
          <w:sz w:val="24"/>
        </w:rPr>
        <w:t> </w:t>
      </w:r>
      <w:r>
        <w:rPr>
          <w:sz w:val="24"/>
        </w:rPr>
        <w:t>has</w:t>
      </w:r>
      <w:r>
        <w:rPr>
          <w:spacing w:val="-11"/>
          <w:sz w:val="24"/>
        </w:rPr>
        <w:t> </w:t>
      </w:r>
      <w:r>
        <w:rPr>
          <w:sz w:val="24"/>
        </w:rPr>
        <w:t>been</w:t>
      </w:r>
      <w:r>
        <w:rPr>
          <w:spacing w:val="-7"/>
          <w:sz w:val="24"/>
        </w:rPr>
        <w:t> </w:t>
      </w:r>
      <w:r>
        <w:rPr>
          <w:sz w:val="24"/>
        </w:rPr>
        <w:t>in place in the NDA for the year ended 31 December 2017 and up to the date of approval of the financial statements.</w:t>
      </w:r>
    </w:p>
    <w:p>
      <w:pPr>
        <w:spacing w:before="277"/>
        <w:ind w:left="1702" w:right="0" w:firstLine="0"/>
        <w:jc w:val="both"/>
        <w:rPr>
          <w:b/>
          <w:sz w:val="24"/>
        </w:rPr>
      </w:pPr>
      <w:r>
        <w:rPr>
          <w:b/>
          <w:sz w:val="24"/>
        </w:rPr>
        <w:t>Capacity</w:t>
      </w:r>
      <w:r>
        <w:rPr>
          <w:b/>
          <w:spacing w:val="-2"/>
          <w:sz w:val="24"/>
        </w:rPr>
        <w:t> </w:t>
      </w:r>
      <w:r>
        <w:rPr>
          <w:b/>
          <w:sz w:val="24"/>
        </w:rPr>
        <w:t>to</w:t>
      </w:r>
      <w:r>
        <w:rPr>
          <w:b/>
          <w:spacing w:val="-3"/>
          <w:sz w:val="24"/>
        </w:rPr>
        <w:t> </w:t>
      </w:r>
      <w:r>
        <w:rPr>
          <w:b/>
          <w:sz w:val="24"/>
        </w:rPr>
        <w:t>Manage</w:t>
      </w:r>
      <w:r>
        <w:rPr>
          <w:b/>
          <w:spacing w:val="1"/>
          <w:sz w:val="24"/>
        </w:rPr>
        <w:t> </w:t>
      </w:r>
      <w:r>
        <w:rPr>
          <w:b/>
          <w:spacing w:val="-4"/>
          <w:sz w:val="24"/>
        </w:rPr>
        <w:t>Risk</w:t>
      </w:r>
    </w:p>
    <w:p>
      <w:pPr>
        <w:pStyle w:val="BodyText"/>
        <w:rPr>
          <w:b/>
          <w:sz w:val="24"/>
        </w:rPr>
      </w:pPr>
    </w:p>
    <w:p>
      <w:pPr>
        <w:spacing w:before="0"/>
        <w:ind w:left="1702" w:right="994" w:firstLine="0"/>
        <w:jc w:val="both"/>
        <w:rPr>
          <w:sz w:val="24"/>
        </w:rPr>
      </w:pPr>
      <w:r>
        <w:rPr>
          <w:sz w:val="24"/>
        </w:rPr>
        <w:t>Risk management is integral to how the NDA works, and is implemented and monitored through structures described as follows.</w:t>
      </w:r>
    </w:p>
    <w:p>
      <w:pPr>
        <w:pStyle w:val="BodyText"/>
        <w:rPr>
          <w:sz w:val="24"/>
        </w:rPr>
      </w:pPr>
    </w:p>
    <w:p>
      <w:pPr>
        <w:spacing w:before="0"/>
        <w:ind w:left="1702" w:right="986" w:firstLine="0"/>
        <w:jc w:val="both"/>
        <w:rPr>
          <w:sz w:val="24"/>
        </w:rPr>
      </w:pPr>
      <w:r>
        <w:rPr>
          <w:sz w:val="24"/>
        </w:rPr>
        <w:t>The</w:t>
      </w:r>
      <w:r>
        <w:rPr>
          <w:spacing w:val="-5"/>
          <w:sz w:val="24"/>
        </w:rPr>
        <w:t> </w:t>
      </w:r>
      <w:r>
        <w:rPr>
          <w:sz w:val="24"/>
        </w:rPr>
        <w:t>NDA</w:t>
      </w:r>
      <w:r>
        <w:rPr>
          <w:spacing w:val="-5"/>
          <w:sz w:val="24"/>
        </w:rPr>
        <w:t> </w:t>
      </w:r>
      <w:r>
        <w:rPr>
          <w:sz w:val="24"/>
        </w:rPr>
        <w:t>Audit</w:t>
      </w:r>
      <w:r>
        <w:rPr>
          <w:spacing w:val="-6"/>
          <w:sz w:val="24"/>
        </w:rPr>
        <w:t> </w:t>
      </w:r>
      <w:r>
        <w:rPr>
          <w:sz w:val="24"/>
        </w:rPr>
        <w:t>Committee</w:t>
      </w:r>
      <w:r>
        <w:rPr>
          <w:spacing w:val="-6"/>
          <w:sz w:val="24"/>
        </w:rPr>
        <w:t> </w:t>
      </w:r>
      <w:r>
        <w:rPr>
          <w:sz w:val="24"/>
        </w:rPr>
        <w:t>was</w:t>
      </w:r>
      <w:r>
        <w:rPr>
          <w:spacing w:val="-7"/>
          <w:sz w:val="24"/>
        </w:rPr>
        <w:t> </w:t>
      </w:r>
      <w:r>
        <w:rPr>
          <w:sz w:val="24"/>
        </w:rPr>
        <w:t>appointed</w:t>
      </w:r>
      <w:r>
        <w:rPr>
          <w:spacing w:val="-5"/>
          <w:sz w:val="24"/>
        </w:rPr>
        <w:t> </w:t>
      </w:r>
      <w:r>
        <w:rPr>
          <w:sz w:val="24"/>
        </w:rPr>
        <w:t>by</w:t>
      </w:r>
      <w:r>
        <w:rPr>
          <w:spacing w:val="-5"/>
          <w:sz w:val="24"/>
        </w:rPr>
        <w:t> </w:t>
      </w:r>
      <w:r>
        <w:rPr>
          <w:sz w:val="24"/>
        </w:rPr>
        <w:t>the</w:t>
      </w:r>
      <w:r>
        <w:rPr>
          <w:spacing w:val="-8"/>
          <w:sz w:val="24"/>
        </w:rPr>
        <w:t> </w:t>
      </w:r>
      <w:r>
        <w:rPr>
          <w:sz w:val="24"/>
        </w:rPr>
        <w:t>Authority</w:t>
      </w:r>
      <w:r>
        <w:rPr>
          <w:spacing w:val="-5"/>
          <w:sz w:val="24"/>
        </w:rPr>
        <w:t> </w:t>
      </w:r>
      <w:r>
        <w:rPr>
          <w:sz w:val="24"/>
        </w:rPr>
        <w:t>and</w:t>
      </w:r>
      <w:r>
        <w:rPr>
          <w:spacing w:val="-7"/>
          <w:sz w:val="24"/>
        </w:rPr>
        <w:t> </w:t>
      </w:r>
      <w:r>
        <w:rPr>
          <w:sz w:val="24"/>
        </w:rPr>
        <w:t>comprises</w:t>
      </w:r>
      <w:r>
        <w:rPr>
          <w:spacing w:val="-5"/>
          <w:sz w:val="24"/>
        </w:rPr>
        <w:t> </w:t>
      </w:r>
      <w:r>
        <w:rPr>
          <w:sz w:val="24"/>
        </w:rPr>
        <w:t>three Authority members and five independent members including an independent chairperson who has the required financial and audit expertise. Its role is, as part of the ongoing systematic review of the business and corporate governance procedures</w:t>
      </w:r>
      <w:r>
        <w:rPr>
          <w:spacing w:val="-17"/>
          <w:sz w:val="24"/>
        </w:rPr>
        <w:t> </w:t>
      </w:r>
      <w:r>
        <w:rPr>
          <w:sz w:val="24"/>
        </w:rPr>
        <w:t>of</w:t>
      </w:r>
      <w:r>
        <w:rPr>
          <w:spacing w:val="-17"/>
          <w:sz w:val="24"/>
        </w:rPr>
        <w:t> </w:t>
      </w:r>
      <w:r>
        <w:rPr>
          <w:sz w:val="24"/>
        </w:rPr>
        <w:t>the</w:t>
      </w:r>
      <w:r>
        <w:rPr>
          <w:spacing w:val="-16"/>
          <w:sz w:val="24"/>
        </w:rPr>
        <w:t> </w:t>
      </w:r>
      <w:r>
        <w:rPr>
          <w:sz w:val="24"/>
        </w:rPr>
        <w:t>Authority,</w:t>
      </w:r>
      <w:r>
        <w:rPr>
          <w:spacing w:val="-17"/>
          <w:sz w:val="24"/>
        </w:rPr>
        <w:t> </w:t>
      </w:r>
      <w:r>
        <w:rPr>
          <w:sz w:val="24"/>
        </w:rPr>
        <w:t>to</w:t>
      </w:r>
      <w:r>
        <w:rPr>
          <w:spacing w:val="-17"/>
          <w:sz w:val="24"/>
        </w:rPr>
        <w:t> </w:t>
      </w:r>
      <w:r>
        <w:rPr>
          <w:sz w:val="24"/>
        </w:rPr>
        <w:t>oversee</w:t>
      </w:r>
      <w:r>
        <w:rPr>
          <w:spacing w:val="-17"/>
          <w:sz w:val="24"/>
        </w:rPr>
        <w:t> </w:t>
      </w:r>
      <w:r>
        <w:rPr>
          <w:sz w:val="24"/>
        </w:rPr>
        <w:t>and</w:t>
      </w:r>
      <w:r>
        <w:rPr>
          <w:spacing w:val="-16"/>
          <w:sz w:val="24"/>
        </w:rPr>
        <w:t> </w:t>
      </w:r>
      <w:r>
        <w:rPr>
          <w:sz w:val="24"/>
        </w:rPr>
        <w:t>advise</w:t>
      </w:r>
      <w:r>
        <w:rPr>
          <w:spacing w:val="-17"/>
          <w:sz w:val="24"/>
        </w:rPr>
        <w:t> </w:t>
      </w:r>
      <w:r>
        <w:rPr>
          <w:sz w:val="24"/>
        </w:rPr>
        <w:t>the</w:t>
      </w:r>
      <w:r>
        <w:rPr>
          <w:spacing w:val="-17"/>
          <w:sz w:val="24"/>
        </w:rPr>
        <w:t> </w:t>
      </w:r>
      <w:r>
        <w:rPr>
          <w:sz w:val="24"/>
        </w:rPr>
        <w:t>Authority</w:t>
      </w:r>
      <w:r>
        <w:rPr>
          <w:spacing w:val="-16"/>
          <w:sz w:val="24"/>
        </w:rPr>
        <w:t> </w:t>
      </w:r>
      <w:r>
        <w:rPr>
          <w:sz w:val="24"/>
        </w:rPr>
        <w:t>and</w:t>
      </w:r>
      <w:r>
        <w:rPr>
          <w:spacing w:val="-17"/>
          <w:sz w:val="24"/>
        </w:rPr>
        <w:t> </w:t>
      </w:r>
      <w:r>
        <w:rPr>
          <w:sz w:val="24"/>
        </w:rPr>
        <w:t>the</w:t>
      </w:r>
      <w:r>
        <w:rPr>
          <w:spacing w:val="-17"/>
          <w:sz w:val="24"/>
        </w:rPr>
        <w:t> </w:t>
      </w:r>
      <w:r>
        <w:rPr>
          <w:sz w:val="24"/>
        </w:rPr>
        <w:t>Director on matters concerning the effectiveness of internal controls and the risk management environment. The Committee met five times in 2017 and its chairperson presented its</w:t>
      </w:r>
      <w:r>
        <w:rPr>
          <w:spacing w:val="-1"/>
          <w:sz w:val="24"/>
        </w:rPr>
        <w:t> </w:t>
      </w:r>
      <w:r>
        <w:rPr>
          <w:sz w:val="24"/>
        </w:rPr>
        <w:t>annual report to the Authority on 30 November 2017.</w:t>
      </w:r>
    </w:p>
    <w:p>
      <w:pPr>
        <w:pStyle w:val="BodyText"/>
        <w:spacing w:before="1"/>
        <w:rPr>
          <w:sz w:val="24"/>
        </w:rPr>
      </w:pPr>
    </w:p>
    <w:p>
      <w:pPr>
        <w:spacing w:before="1"/>
        <w:ind w:left="1702" w:right="987" w:firstLine="0"/>
        <w:jc w:val="both"/>
        <w:rPr>
          <w:sz w:val="24"/>
        </w:rPr>
      </w:pPr>
      <w:r>
        <w:rPr>
          <w:sz w:val="24"/>
        </w:rPr>
        <w:t>An</w:t>
      </w:r>
      <w:r>
        <w:rPr>
          <w:spacing w:val="-1"/>
          <w:sz w:val="24"/>
        </w:rPr>
        <w:t> </w:t>
      </w:r>
      <w:r>
        <w:rPr>
          <w:sz w:val="24"/>
        </w:rPr>
        <w:t>NDA Risk</w:t>
      </w:r>
      <w:r>
        <w:rPr>
          <w:spacing w:val="-1"/>
          <w:sz w:val="24"/>
        </w:rPr>
        <w:t> </w:t>
      </w:r>
      <w:r>
        <w:rPr>
          <w:sz w:val="24"/>
        </w:rPr>
        <w:t>Management</w:t>
      </w:r>
      <w:r>
        <w:rPr>
          <w:spacing w:val="-2"/>
          <w:sz w:val="24"/>
        </w:rPr>
        <w:t> </w:t>
      </w:r>
      <w:r>
        <w:rPr>
          <w:sz w:val="24"/>
        </w:rPr>
        <w:t>Committee</w:t>
      </w:r>
      <w:r>
        <w:rPr>
          <w:spacing w:val="-1"/>
          <w:sz w:val="24"/>
        </w:rPr>
        <w:t> </w:t>
      </w:r>
      <w:r>
        <w:rPr>
          <w:sz w:val="24"/>
        </w:rPr>
        <w:t>is</w:t>
      </w:r>
      <w:r>
        <w:rPr>
          <w:spacing w:val="-2"/>
          <w:sz w:val="24"/>
        </w:rPr>
        <w:t> </w:t>
      </w:r>
      <w:r>
        <w:rPr>
          <w:sz w:val="24"/>
        </w:rPr>
        <w:t>also</w:t>
      </w:r>
      <w:r>
        <w:rPr>
          <w:spacing w:val="-1"/>
          <w:sz w:val="24"/>
        </w:rPr>
        <w:t> </w:t>
      </w:r>
      <w:r>
        <w:rPr>
          <w:sz w:val="24"/>
        </w:rPr>
        <w:t>in</w:t>
      </w:r>
      <w:r>
        <w:rPr>
          <w:spacing w:val="-1"/>
          <w:sz w:val="24"/>
        </w:rPr>
        <w:t> </w:t>
      </w:r>
      <w:r>
        <w:rPr>
          <w:sz w:val="24"/>
        </w:rPr>
        <w:t>place chaired</w:t>
      </w:r>
      <w:r>
        <w:rPr>
          <w:spacing w:val="-1"/>
          <w:sz w:val="24"/>
        </w:rPr>
        <w:t> </w:t>
      </w:r>
      <w:r>
        <w:rPr>
          <w:sz w:val="24"/>
        </w:rPr>
        <w:t>by an</w:t>
      </w:r>
      <w:r>
        <w:rPr>
          <w:spacing w:val="-2"/>
          <w:sz w:val="24"/>
        </w:rPr>
        <w:t> </w:t>
      </w:r>
      <w:r>
        <w:rPr>
          <w:sz w:val="24"/>
        </w:rPr>
        <w:t>independent member</w:t>
      </w:r>
      <w:r>
        <w:rPr>
          <w:spacing w:val="-9"/>
          <w:sz w:val="24"/>
        </w:rPr>
        <w:t> </w:t>
      </w:r>
      <w:r>
        <w:rPr>
          <w:sz w:val="24"/>
        </w:rPr>
        <w:t>of</w:t>
      </w:r>
      <w:r>
        <w:rPr>
          <w:spacing w:val="-11"/>
          <w:sz w:val="24"/>
        </w:rPr>
        <w:t> </w:t>
      </w:r>
      <w:r>
        <w:rPr>
          <w:sz w:val="24"/>
        </w:rPr>
        <w:t>the</w:t>
      </w:r>
      <w:r>
        <w:rPr>
          <w:spacing w:val="-13"/>
          <w:sz w:val="24"/>
        </w:rPr>
        <w:t> </w:t>
      </w:r>
      <w:r>
        <w:rPr>
          <w:sz w:val="24"/>
        </w:rPr>
        <w:t>Audit</w:t>
      </w:r>
      <w:r>
        <w:rPr>
          <w:spacing w:val="-13"/>
          <w:sz w:val="24"/>
        </w:rPr>
        <w:t> </w:t>
      </w:r>
      <w:r>
        <w:rPr>
          <w:sz w:val="24"/>
        </w:rPr>
        <w:t>Committee.</w:t>
      </w:r>
      <w:r>
        <w:rPr>
          <w:spacing w:val="40"/>
          <w:sz w:val="24"/>
        </w:rPr>
        <w:t> </w:t>
      </w:r>
      <w:r>
        <w:rPr>
          <w:sz w:val="24"/>
        </w:rPr>
        <w:t>Membership</w:t>
      </w:r>
      <w:r>
        <w:rPr>
          <w:spacing w:val="-10"/>
          <w:sz w:val="24"/>
        </w:rPr>
        <w:t> </w:t>
      </w:r>
      <w:r>
        <w:rPr>
          <w:sz w:val="24"/>
        </w:rPr>
        <w:t>of</w:t>
      </w:r>
      <w:r>
        <w:rPr>
          <w:spacing w:val="-13"/>
          <w:sz w:val="24"/>
        </w:rPr>
        <w:t> </w:t>
      </w:r>
      <w:r>
        <w:rPr>
          <w:sz w:val="24"/>
        </w:rPr>
        <w:t>that</w:t>
      </w:r>
      <w:r>
        <w:rPr>
          <w:spacing w:val="-11"/>
          <w:sz w:val="24"/>
        </w:rPr>
        <w:t> </w:t>
      </w:r>
      <w:r>
        <w:rPr>
          <w:sz w:val="24"/>
        </w:rPr>
        <w:t>committee</w:t>
      </w:r>
      <w:r>
        <w:rPr>
          <w:spacing w:val="-10"/>
          <w:sz w:val="24"/>
        </w:rPr>
        <w:t> </w:t>
      </w:r>
      <w:r>
        <w:rPr>
          <w:sz w:val="24"/>
        </w:rPr>
        <w:t>also</w:t>
      </w:r>
      <w:r>
        <w:rPr>
          <w:spacing w:val="-11"/>
          <w:sz w:val="24"/>
        </w:rPr>
        <w:t> </w:t>
      </w:r>
      <w:r>
        <w:rPr>
          <w:sz w:val="24"/>
        </w:rPr>
        <w:t>includes</w:t>
      </w:r>
      <w:r>
        <w:rPr>
          <w:spacing w:val="-11"/>
          <w:sz w:val="24"/>
        </w:rPr>
        <w:t> </w:t>
      </w:r>
      <w:r>
        <w:rPr>
          <w:sz w:val="24"/>
        </w:rPr>
        <w:t>an external member of the NDA Finance Committee and the Senior Management Group. The chairman reports directly into the Audit Committee on risk matters and the risk policy, guidelines and risk register which are approved by the Audit Committee for recommendation to the Authority.</w:t>
      </w:r>
    </w:p>
    <w:p>
      <w:pPr>
        <w:spacing w:after="0"/>
        <w:jc w:val="both"/>
        <w:rPr>
          <w:sz w:val="24"/>
        </w:rPr>
        <w:sectPr>
          <w:pgSz w:w="11910" w:h="16850"/>
          <w:pgMar w:header="0" w:footer="811" w:top="1880" w:bottom="1000" w:left="283" w:right="992"/>
        </w:sectPr>
      </w:pPr>
    </w:p>
    <w:p>
      <w:pPr>
        <w:spacing w:before="78"/>
        <w:ind w:left="1702" w:right="986" w:firstLine="0"/>
        <w:jc w:val="both"/>
        <w:rPr>
          <w:sz w:val="24"/>
        </w:rPr>
      </w:pPr>
      <w:r>
        <w:rPr>
          <w:sz w:val="24"/>
        </w:rPr>
        <w:t>The Risk Committee, in collaboration with the Audit Committee, has developed a risk management policy which has been approved by the NDA Authority and which sets out the NDA’s capacity to deal with risk, the risk management processes in place, risk management monitoring structures and details the roles and</w:t>
      </w:r>
      <w:r>
        <w:rPr>
          <w:spacing w:val="-14"/>
          <w:sz w:val="24"/>
        </w:rPr>
        <w:t> </w:t>
      </w:r>
      <w:r>
        <w:rPr>
          <w:sz w:val="24"/>
        </w:rPr>
        <w:t>responsibilities</w:t>
      </w:r>
      <w:r>
        <w:rPr>
          <w:spacing w:val="-16"/>
          <w:sz w:val="24"/>
        </w:rPr>
        <w:t> </w:t>
      </w:r>
      <w:r>
        <w:rPr>
          <w:sz w:val="24"/>
        </w:rPr>
        <w:t>of</w:t>
      </w:r>
      <w:r>
        <w:rPr>
          <w:spacing w:val="-15"/>
          <w:sz w:val="24"/>
        </w:rPr>
        <w:t> </w:t>
      </w:r>
      <w:r>
        <w:rPr>
          <w:sz w:val="24"/>
        </w:rPr>
        <w:t>staff</w:t>
      </w:r>
      <w:r>
        <w:rPr>
          <w:spacing w:val="-15"/>
          <w:sz w:val="24"/>
        </w:rPr>
        <w:t> </w:t>
      </w:r>
      <w:r>
        <w:rPr>
          <w:sz w:val="24"/>
        </w:rPr>
        <w:t>in</w:t>
      </w:r>
      <w:r>
        <w:rPr>
          <w:spacing w:val="-15"/>
          <w:sz w:val="24"/>
        </w:rPr>
        <w:t> </w:t>
      </w:r>
      <w:r>
        <w:rPr>
          <w:sz w:val="24"/>
        </w:rPr>
        <w:t>relation</w:t>
      </w:r>
      <w:r>
        <w:rPr>
          <w:spacing w:val="-15"/>
          <w:sz w:val="24"/>
        </w:rPr>
        <w:t> </w:t>
      </w:r>
      <w:r>
        <w:rPr>
          <w:sz w:val="24"/>
        </w:rPr>
        <w:t>to</w:t>
      </w:r>
      <w:r>
        <w:rPr>
          <w:spacing w:val="-16"/>
          <w:sz w:val="24"/>
        </w:rPr>
        <w:t> </w:t>
      </w:r>
      <w:r>
        <w:rPr>
          <w:sz w:val="24"/>
        </w:rPr>
        <w:t>risk.</w:t>
      </w:r>
      <w:r>
        <w:rPr>
          <w:spacing w:val="-15"/>
          <w:sz w:val="24"/>
        </w:rPr>
        <w:t> </w:t>
      </w:r>
      <w:r>
        <w:rPr>
          <w:sz w:val="24"/>
        </w:rPr>
        <w:t>The</w:t>
      </w:r>
      <w:r>
        <w:rPr>
          <w:spacing w:val="-17"/>
          <w:sz w:val="24"/>
        </w:rPr>
        <w:t> </w:t>
      </w:r>
      <w:r>
        <w:rPr>
          <w:sz w:val="24"/>
        </w:rPr>
        <w:t>risk</w:t>
      </w:r>
      <w:r>
        <w:rPr>
          <w:spacing w:val="-14"/>
          <w:sz w:val="24"/>
        </w:rPr>
        <w:t> </w:t>
      </w:r>
      <w:r>
        <w:rPr>
          <w:sz w:val="24"/>
        </w:rPr>
        <w:t>management</w:t>
      </w:r>
      <w:r>
        <w:rPr>
          <w:spacing w:val="-16"/>
          <w:sz w:val="24"/>
        </w:rPr>
        <w:t> </w:t>
      </w:r>
      <w:r>
        <w:rPr>
          <w:sz w:val="24"/>
        </w:rPr>
        <w:t>policy</w:t>
      </w:r>
      <w:r>
        <w:rPr>
          <w:spacing w:val="-12"/>
          <w:sz w:val="24"/>
        </w:rPr>
        <w:t> </w:t>
      </w:r>
      <w:r>
        <w:rPr>
          <w:sz w:val="24"/>
        </w:rPr>
        <w:t>has</w:t>
      </w:r>
      <w:r>
        <w:rPr>
          <w:spacing w:val="-15"/>
          <w:sz w:val="24"/>
        </w:rPr>
        <w:t> </w:t>
      </w:r>
      <w:r>
        <w:rPr>
          <w:sz w:val="24"/>
        </w:rPr>
        <w:t>been issued to staff who are expected to work within the NDA’s risk management policies, to alert management on emerging risks and control weaknesses, and assume responsibility for risks and controls within their own area of work.</w:t>
      </w:r>
    </w:p>
    <w:p>
      <w:pPr>
        <w:pStyle w:val="BodyText"/>
        <w:spacing w:before="1"/>
        <w:rPr>
          <w:sz w:val="24"/>
        </w:rPr>
      </w:pPr>
    </w:p>
    <w:p>
      <w:pPr>
        <w:spacing w:before="0"/>
        <w:ind w:left="1702" w:right="990" w:firstLine="0"/>
        <w:jc w:val="both"/>
        <w:rPr>
          <w:sz w:val="24"/>
        </w:rPr>
      </w:pPr>
      <w:r>
        <w:rPr>
          <w:sz w:val="24"/>
        </w:rPr>
        <w:t>The Authority has a Finance Committee to review and monitor expenditure and budget planning. The committee comprises members from the Authority and independent members and it meets at least 4 times per year.</w:t>
      </w:r>
    </w:p>
    <w:p>
      <w:pPr>
        <w:pStyle w:val="BodyText"/>
        <w:rPr>
          <w:sz w:val="24"/>
        </w:rPr>
      </w:pPr>
    </w:p>
    <w:p>
      <w:pPr>
        <w:spacing w:before="1"/>
        <w:ind w:left="1702" w:right="986" w:firstLine="0"/>
        <w:jc w:val="both"/>
        <w:rPr>
          <w:sz w:val="24"/>
        </w:rPr>
      </w:pPr>
      <w:r>
        <w:rPr>
          <w:sz w:val="24"/>
        </w:rPr>
        <w:t>The Authority avails of audit services from the Internal Audit Unit under the Department</w:t>
      </w:r>
      <w:r>
        <w:rPr>
          <w:spacing w:val="-8"/>
          <w:sz w:val="24"/>
        </w:rPr>
        <w:t> </w:t>
      </w:r>
      <w:r>
        <w:rPr>
          <w:sz w:val="24"/>
        </w:rPr>
        <w:t>of</w:t>
      </w:r>
      <w:r>
        <w:rPr>
          <w:spacing w:val="-8"/>
          <w:sz w:val="24"/>
        </w:rPr>
        <w:t> </w:t>
      </w:r>
      <w:r>
        <w:rPr>
          <w:sz w:val="24"/>
        </w:rPr>
        <w:t>Justice</w:t>
      </w:r>
      <w:r>
        <w:rPr>
          <w:spacing w:val="-8"/>
          <w:sz w:val="24"/>
        </w:rPr>
        <w:t> </w:t>
      </w:r>
      <w:r>
        <w:rPr>
          <w:sz w:val="24"/>
        </w:rPr>
        <w:t>and</w:t>
      </w:r>
      <w:r>
        <w:rPr>
          <w:spacing w:val="-8"/>
          <w:sz w:val="24"/>
        </w:rPr>
        <w:t> </w:t>
      </w:r>
      <w:r>
        <w:rPr>
          <w:sz w:val="24"/>
        </w:rPr>
        <w:t>Equality</w:t>
      </w:r>
      <w:r>
        <w:rPr>
          <w:spacing w:val="-8"/>
          <w:sz w:val="24"/>
        </w:rPr>
        <w:t> </w:t>
      </w:r>
      <w:r>
        <w:rPr>
          <w:sz w:val="24"/>
        </w:rPr>
        <w:t>which</w:t>
      </w:r>
      <w:r>
        <w:rPr>
          <w:spacing w:val="-7"/>
          <w:sz w:val="24"/>
        </w:rPr>
        <w:t> </w:t>
      </w:r>
      <w:r>
        <w:rPr>
          <w:sz w:val="24"/>
        </w:rPr>
        <w:t>it</w:t>
      </w:r>
      <w:r>
        <w:rPr>
          <w:spacing w:val="-11"/>
          <w:sz w:val="24"/>
        </w:rPr>
        <w:t> </w:t>
      </w:r>
      <w:r>
        <w:rPr>
          <w:sz w:val="24"/>
        </w:rPr>
        <w:t>considers</w:t>
      </w:r>
      <w:r>
        <w:rPr>
          <w:spacing w:val="-9"/>
          <w:sz w:val="24"/>
        </w:rPr>
        <w:t> </w:t>
      </w:r>
      <w:r>
        <w:rPr>
          <w:sz w:val="24"/>
        </w:rPr>
        <w:t>to</w:t>
      </w:r>
      <w:r>
        <w:rPr>
          <w:spacing w:val="-9"/>
          <w:sz w:val="24"/>
        </w:rPr>
        <w:t> </w:t>
      </w:r>
      <w:r>
        <w:rPr>
          <w:sz w:val="24"/>
        </w:rPr>
        <w:t>be</w:t>
      </w:r>
      <w:r>
        <w:rPr>
          <w:spacing w:val="-8"/>
          <w:sz w:val="24"/>
        </w:rPr>
        <w:t> </w:t>
      </w:r>
      <w:r>
        <w:rPr>
          <w:sz w:val="24"/>
        </w:rPr>
        <w:t>adequately</w:t>
      </w:r>
      <w:r>
        <w:rPr>
          <w:spacing w:val="-10"/>
          <w:sz w:val="24"/>
        </w:rPr>
        <w:t> </w:t>
      </w:r>
      <w:r>
        <w:rPr>
          <w:sz w:val="24"/>
        </w:rPr>
        <w:t>resourced, and</w:t>
      </w:r>
      <w:r>
        <w:rPr>
          <w:spacing w:val="-14"/>
          <w:sz w:val="24"/>
        </w:rPr>
        <w:t> </w:t>
      </w:r>
      <w:r>
        <w:rPr>
          <w:sz w:val="24"/>
        </w:rPr>
        <w:t>conducts</w:t>
      </w:r>
      <w:r>
        <w:rPr>
          <w:spacing w:val="-16"/>
          <w:sz w:val="24"/>
        </w:rPr>
        <w:t> </w:t>
      </w:r>
      <w:r>
        <w:rPr>
          <w:sz w:val="24"/>
        </w:rPr>
        <w:t>a</w:t>
      </w:r>
      <w:r>
        <w:rPr>
          <w:spacing w:val="-14"/>
          <w:sz w:val="24"/>
        </w:rPr>
        <w:t> </w:t>
      </w:r>
      <w:r>
        <w:rPr>
          <w:sz w:val="24"/>
        </w:rPr>
        <w:t>programme</w:t>
      </w:r>
      <w:r>
        <w:rPr>
          <w:spacing w:val="-15"/>
          <w:sz w:val="24"/>
        </w:rPr>
        <w:t> </w:t>
      </w:r>
      <w:r>
        <w:rPr>
          <w:sz w:val="24"/>
        </w:rPr>
        <w:t>of</w:t>
      </w:r>
      <w:r>
        <w:rPr>
          <w:spacing w:val="-15"/>
          <w:sz w:val="24"/>
        </w:rPr>
        <w:t> </w:t>
      </w:r>
      <w:r>
        <w:rPr>
          <w:sz w:val="24"/>
        </w:rPr>
        <w:t>work</w:t>
      </w:r>
      <w:r>
        <w:rPr>
          <w:spacing w:val="-15"/>
          <w:sz w:val="24"/>
        </w:rPr>
        <w:t> </w:t>
      </w:r>
      <w:r>
        <w:rPr>
          <w:sz w:val="24"/>
        </w:rPr>
        <w:t>agreed</w:t>
      </w:r>
      <w:r>
        <w:rPr>
          <w:spacing w:val="-14"/>
          <w:sz w:val="24"/>
        </w:rPr>
        <w:t> </w:t>
      </w:r>
      <w:r>
        <w:rPr>
          <w:sz w:val="24"/>
        </w:rPr>
        <w:t>directly</w:t>
      </w:r>
      <w:r>
        <w:rPr>
          <w:spacing w:val="-14"/>
          <w:sz w:val="24"/>
        </w:rPr>
        <w:t> </w:t>
      </w:r>
      <w:r>
        <w:rPr>
          <w:sz w:val="24"/>
        </w:rPr>
        <w:t>with</w:t>
      </w:r>
      <w:r>
        <w:rPr>
          <w:spacing w:val="-15"/>
          <w:sz w:val="24"/>
        </w:rPr>
        <w:t> </w:t>
      </w:r>
      <w:r>
        <w:rPr>
          <w:sz w:val="24"/>
        </w:rPr>
        <w:t>the</w:t>
      </w:r>
      <w:r>
        <w:rPr>
          <w:spacing w:val="-15"/>
          <w:sz w:val="24"/>
        </w:rPr>
        <w:t> </w:t>
      </w:r>
      <w:r>
        <w:rPr>
          <w:sz w:val="24"/>
        </w:rPr>
        <w:t>Audit</w:t>
      </w:r>
      <w:r>
        <w:rPr>
          <w:spacing w:val="-15"/>
          <w:sz w:val="24"/>
        </w:rPr>
        <w:t> </w:t>
      </w:r>
      <w:r>
        <w:rPr>
          <w:sz w:val="24"/>
        </w:rPr>
        <w:t>Committee</w:t>
      </w:r>
      <w:r>
        <w:rPr>
          <w:spacing w:val="-15"/>
          <w:sz w:val="24"/>
        </w:rPr>
        <w:t> </w:t>
      </w:r>
      <w:r>
        <w:rPr>
          <w:sz w:val="24"/>
        </w:rPr>
        <w:t>and approved by the NDA Authority.</w:t>
      </w:r>
    </w:p>
    <w:p>
      <w:pPr>
        <w:spacing w:before="276"/>
        <w:ind w:left="1702" w:right="994" w:firstLine="0"/>
        <w:jc w:val="both"/>
        <w:rPr>
          <w:sz w:val="24"/>
        </w:rPr>
      </w:pPr>
      <w:r>
        <w:rPr>
          <w:sz w:val="24"/>
        </w:rPr>
        <w:t>The NDA is also a member of the IPA governance forum and avails of training through same on areas including risk management.</w:t>
      </w:r>
    </w:p>
    <w:p>
      <w:pPr>
        <w:pStyle w:val="BodyText"/>
        <w:rPr>
          <w:sz w:val="24"/>
        </w:rPr>
      </w:pPr>
    </w:p>
    <w:p>
      <w:pPr>
        <w:spacing w:before="0"/>
        <w:ind w:left="1702" w:right="0" w:firstLine="0"/>
        <w:jc w:val="both"/>
        <w:rPr>
          <w:b/>
          <w:sz w:val="24"/>
        </w:rPr>
      </w:pPr>
      <w:r>
        <w:rPr>
          <w:b/>
          <w:sz w:val="24"/>
        </w:rPr>
        <w:t>Risk</w:t>
      </w:r>
      <w:r>
        <w:rPr>
          <w:b/>
          <w:spacing w:val="-2"/>
          <w:sz w:val="24"/>
        </w:rPr>
        <w:t> </w:t>
      </w:r>
      <w:r>
        <w:rPr>
          <w:b/>
          <w:sz w:val="24"/>
        </w:rPr>
        <w:t>and</w:t>
      </w:r>
      <w:r>
        <w:rPr>
          <w:b/>
          <w:spacing w:val="-2"/>
          <w:sz w:val="24"/>
        </w:rPr>
        <w:t> </w:t>
      </w:r>
      <w:r>
        <w:rPr>
          <w:b/>
          <w:sz w:val="24"/>
        </w:rPr>
        <w:t>Control</w:t>
      </w:r>
      <w:r>
        <w:rPr>
          <w:b/>
          <w:spacing w:val="-2"/>
          <w:sz w:val="24"/>
        </w:rPr>
        <w:t> Framework</w:t>
      </w:r>
    </w:p>
    <w:p>
      <w:pPr>
        <w:pStyle w:val="BodyText"/>
        <w:rPr>
          <w:b/>
          <w:sz w:val="24"/>
        </w:rPr>
      </w:pPr>
    </w:p>
    <w:p>
      <w:pPr>
        <w:spacing w:before="1"/>
        <w:ind w:left="1702" w:right="985" w:firstLine="0"/>
        <w:jc w:val="both"/>
        <w:rPr>
          <w:sz w:val="24"/>
        </w:rPr>
      </w:pPr>
      <w:r>
        <w:rPr>
          <w:sz w:val="24"/>
        </w:rPr>
        <w:t>The</w:t>
      </w:r>
      <w:r>
        <w:rPr>
          <w:spacing w:val="-17"/>
          <w:sz w:val="24"/>
        </w:rPr>
        <w:t> </w:t>
      </w:r>
      <w:r>
        <w:rPr>
          <w:sz w:val="24"/>
        </w:rPr>
        <w:t>NDA</w:t>
      </w:r>
      <w:r>
        <w:rPr>
          <w:spacing w:val="-14"/>
          <w:sz w:val="24"/>
        </w:rPr>
        <w:t> </w:t>
      </w:r>
      <w:r>
        <w:rPr>
          <w:sz w:val="24"/>
        </w:rPr>
        <w:t>has</w:t>
      </w:r>
      <w:r>
        <w:rPr>
          <w:spacing w:val="-17"/>
          <w:sz w:val="24"/>
        </w:rPr>
        <w:t> </w:t>
      </w:r>
      <w:r>
        <w:rPr>
          <w:sz w:val="24"/>
        </w:rPr>
        <w:t>implemented</w:t>
      </w:r>
      <w:r>
        <w:rPr>
          <w:spacing w:val="-15"/>
          <w:sz w:val="24"/>
        </w:rPr>
        <w:t> </w:t>
      </w:r>
      <w:r>
        <w:rPr>
          <w:sz w:val="24"/>
        </w:rPr>
        <w:t>a</w:t>
      </w:r>
      <w:r>
        <w:rPr>
          <w:spacing w:val="-17"/>
          <w:sz w:val="24"/>
        </w:rPr>
        <w:t> </w:t>
      </w:r>
      <w:r>
        <w:rPr>
          <w:sz w:val="24"/>
        </w:rPr>
        <w:t>risk</w:t>
      </w:r>
      <w:r>
        <w:rPr>
          <w:spacing w:val="-15"/>
          <w:sz w:val="24"/>
        </w:rPr>
        <w:t> </w:t>
      </w:r>
      <w:r>
        <w:rPr>
          <w:sz w:val="24"/>
        </w:rPr>
        <w:t>management</w:t>
      </w:r>
      <w:r>
        <w:rPr>
          <w:spacing w:val="-17"/>
          <w:sz w:val="24"/>
        </w:rPr>
        <w:t> </w:t>
      </w:r>
      <w:r>
        <w:rPr>
          <w:sz w:val="24"/>
        </w:rPr>
        <w:t>system</w:t>
      </w:r>
      <w:r>
        <w:rPr>
          <w:spacing w:val="-16"/>
          <w:sz w:val="24"/>
        </w:rPr>
        <w:t> </w:t>
      </w:r>
      <w:r>
        <w:rPr>
          <w:sz w:val="24"/>
        </w:rPr>
        <w:t>which</w:t>
      </w:r>
      <w:r>
        <w:rPr>
          <w:spacing w:val="-15"/>
          <w:sz w:val="24"/>
        </w:rPr>
        <w:t> </w:t>
      </w:r>
      <w:r>
        <w:rPr>
          <w:sz w:val="24"/>
        </w:rPr>
        <w:t>identifies</w:t>
      </w:r>
      <w:r>
        <w:rPr>
          <w:spacing w:val="-17"/>
          <w:sz w:val="24"/>
        </w:rPr>
        <w:t> </w:t>
      </w:r>
      <w:r>
        <w:rPr>
          <w:sz w:val="24"/>
        </w:rPr>
        <w:t>and</w:t>
      </w:r>
      <w:r>
        <w:rPr>
          <w:spacing w:val="-17"/>
          <w:sz w:val="24"/>
        </w:rPr>
        <w:t> </w:t>
      </w:r>
      <w:r>
        <w:rPr>
          <w:sz w:val="24"/>
        </w:rPr>
        <w:t>reports key risks and the management actions being taken to address them and, to the greatest extent possible, to mitigate those risks.</w:t>
      </w:r>
      <w:r>
        <w:rPr>
          <w:spacing w:val="40"/>
          <w:sz w:val="24"/>
        </w:rPr>
        <w:t> </w:t>
      </w:r>
      <w:r>
        <w:rPr>
          <w:sz w:val="24"/>
        </w:rPr>
        <w:t>A risk register is in place which identifies the key risks facing the NDA which have been evaluated and graded according</w:t>
      </w:r>
      <w:r>
        <w:rPr>
          <w:spacing w:val="-8"/>
          <w:sz w:val="24"/>
        </w:rPr>
        <w:t> </w:t>
      </w:r>
      <w:r>
        <w:rPr>
          <w:sz w:val="24"/>
        </w:rPr>
        <w:t>to</w:t>
      </w:r>
      <w:r>
        <w:rPr>
          <w:spacing w:val="-8"/>
          <w:sz w:val="24"/>
        </w:rPr>
        <w:t> </w:t>
      </w:r>
      <w:r>
        <w:rPr>
          <w:sz w:val="24"/>
        </w:rPr>
        <w:t>their</w:t>
      </w:r>
      <w:r>
        <w:rPr>
          <w:spacing w:val="-8"/>
          <w:sz w:val="24"/>
        </w:rPr>
        <w:t> </w:t>
      </w:r>
      <w:r>
        <w:rPr>
          <w:sz w:val="24"/>
        </w:rPr>
        <w:t>significance.</w:t>
      </w:r>
      <w:r>
        <w:rPr>
          <w:spacing w:val="-6"/>
          <w:sz w:val="24"/>
        </w:rPr>
        <w:t> </w:t>
      </w:r>
      <w:r>
        <w:rPr>
          <w:sz w:val="24"/>
        </w:rPr>
        <w:t>The</w:t>
      </w:r>
      <w:r>
        <w:rPr>
          <w:spacing w:val="-9"/>
          <w:sz w:val="24"/>
        </w:rPr>
        <w:t> </w:t>
      </w:r>
      <w:r>
        <w:rPr>
          <w:sz w:val="24"/>
        </w:rPr>
        <w:t>register</w:t>
      </w:r>
      <w:r>
        <w:rPr>
          <w:spacing w:val="-6"/>
          <w:sz w:val="24"/>
        </w:rPr>
        <w:t> </w:t>
      </w:r>
      <w:r>
        <w:rPr>
          <w:sz w:val="24"/>
        </w:rPr>
        <w:t>is</w:t>
      </w:r>
      <w:r>
        <w:rPr>
          <w:spacing w:val="-10"/>
          <w:sz w:val="24"/>
        </w:rPr>
        <w:t> </w:t>
      </w:r>
      <w:r>
        <w:rPr>
          <w:sz w:val="24"/>
        </w:rPr>
        <w:t>reviewed</w:t>
      </w:r>
      <w:r>
        <w:rPr>
          <w:spacing w:val="-7"/>
          <w:sz w:val="24"/>
        </w:rPr>
        <w:t> </w:t>
      </w:r>
      <w:r>
        <w:rPr>
          <w:sz w:val="24"/>
        </w:rPr>
        <w:t>and</w:t>
      </w:r>
      <w:r>
        <w:rPr>
          <w:spacing w:val="-8"/>
          <w:sz w:val="24"/>
        </w:rPr>
        <w:t> </w:t>
      </w:r>
      <w:r>
        <w:rPr>
          <w:sz w:val="24"/>
        </w:rPr>
        <w:t>updated</w:t>
      </w:r>
      <w:r>
        <w:rPr>
          <w:spacing w:val="-6"/>
          <w:sz w:val="24"/>
        </w:rPr>
        <w:t> </w:t>
      </w:r>
      <w:r>
        <w:rPr>
          <w:sz w:val="24"/>
        </w:rPr>
        <w:t>by</w:t>
      </w:r>
      <w:r>
        <w:rPr>
          <w:spacing w:val="-9"/>
          <w:sz w:val="24"/>
        </w:rPr>
        <w:t> </w:t>
      </w:r>
      <w:r>
        <w:rPr>
          <w:sz w:val="24"/>
        </w:rPr>
        <w:t>the</w:t>
      </w:r>
      <w:r>
        <w:rPr>
          <w:spacing w:val="-10"/>
          <w:sz w:val="24"/>
        </w:rPr>
        <w:t> </w:t>
      </w:r>
      <w:r>
        <w:rPr>
          <w:sz w:val="24"/>
        </w:rPr>
        <w:t>Senior Management Group who has responsibility for its implementation. The draft Register and reviews of progress in implementing actions are conducted by the Risk</w:t>
      </w:r>
      <w:r>
        <w:rPr>
          <w:spacing w:val="-17"/>
          <w:sz w:val="24"/>
        </w:rPr>
        <w:t> </w:t>
      </w:r>
      <w:r>
        <w:rPr>
          <w:sz w:val="24"/>
        </w:rPr>
        <w:t>Management</w:t>
      </w:r>
      <w:r>
        <w:rPr>
          <w:spacing w:val="-17"/>
          <w:sz w:val="24"/>
        </w:rPr>
        <w:t> </w:t>
      </w:r>
      <w:r>
        <w:rPr>
          <w:sz w:val="24"/>
        </w:rPr>
        <w:t>Committee.</w:t>
      </w:r>
      <w:r>
        <w:rPr>
          <w:spacing w:val="30"/>
          <w:sz w:val="24"/>
        </w:rPr>
        <w:t> </w:t>
      </w:r>
      <w:r>
        <w:rPr>
          <w:sz w:val="24"/>
        </w:rPr>
        <w:t>The</w:t>
      </w:r>
      <w:r>
        <w:rPr>
          <w:spacing w:val="-17"/>
          <w:sz w:val="24"/>
        </w:rPr>
        <w:t> </w:t>
      </w:r>
      <w:r>
        <w:rPr>
          <w:sz w:val="24"/>
        </w:rPr>
        <w:t>Chair</w:t>
      </w:r>
      <w:r>
        <w:rPr>
          <w:spacing w:val="-15"/>
          <w:sz w:val="24"/>
        </w:rPr>
        <w:t> </w:t>
      </w:r>
      <w:r>
        <w:rPr>
          <w:sz w:val="24"/>
        </w:rPr>
        <w:t>of</w:t>
      </w:r>
      <w:r>
        <w:rPr>
          <w:spacing w:val="-17"/>
          <w:sz w:val="24"/>
        </w:rPr>
        <w:t> </w:t>
      </w:r>
      <w:r>
        <w:rPr>
          <w:sz w:val="24"/>
        </w:rPr>
        <w:t>the</w:t>
      </w:r>
      <w:r>
        <w:rPr>
          <w:spacing w:val="-17"/>
          <w:sz w:val="24"/>
        </w:rPr>
        <w:t> </w:t>
      </w:r>
      <w:r>
        <w:rPr>
          <w:sz w:val="24"/>
        </w:rPr>
        <w:t>Committee</w:t>
      </w:r>
      <w:r>
        <w:rPr>
          <w:spacing w:val="-16"/>
          <w:sz w:val="24"/>
        </w:rPr>
        <w:t> </w:t>
      </w:r>
      <w:r>
        <w:rPr>
          <w:sz w:val="24"/>
        </w:rPr>
        <w:t>reports</w:t>
      </w:r>
      <w:r>
        <w:rPr>
          <w:spacing w:val="-17"/>
          <w:sz w:val="24"/>
        </w:rPr>
        <w:t> </w:t>
      </w:r>
      <w:r>
        <w:rPr>
          <w:sz w:val="24"/>
        </w:rPr>
        <w:t>into</w:t>
      </w:r>
      <w:r>
        <w:rPr>
          <w:spacing w:val="-17"/>
          <w:sz w:val="24"/>
        </w:rPr>
        <w:t> </w:t>
      </w:r>
      <w:r>
        <w:rPr>
          <w:sz w:val="24"/>
        </w:rPr>
        <w:t>the</w:t>
      </w:r>
      <w:r>
        <w:rPr>
          <w:spacing w:val="-16"/>
          <w:sz w:val="24"/>
        </w:rPr>
        <w:t> </w:t>
      </w:r>
      <w:r>
        <w:rPr>
          <w:sz w:val="24"/>
        </w:rPr>
        <w:t>Audit Committee</w:t>
      </w:r>
      <w:r>
        <w:rPr>
          <w:spacing w:val="-11"/>
          <w:sz w:val="24"/>
        </w:rPr>
        <w:t> </w:t>
      </w:r>
      <w:r>
        <w:rPr>
          <w:sz w:val="24"/>
        </w:rPr>
        <w:t>presenting</w:t>
      </w:r>
      <w:r>
        <w:rPr>
          <w:spacing w:val="-11"/>
          <w:sz w:val="24"/>
        </w:rPr>
        <w:t> </w:t>
      </w:r>
      <w:r>
        <w:rPr>
          <w:sz w:val="24"/>
        </w:rPr>
        <w:t>the</w:t>
      </w:r>
      <w:r>
        <w:rPr>
          <w:spacing w:val="-11"/>
          <w:sz w:val="24"/>
        </w:rPr>
        <w:t> </w:t>
      </w:r>
      <w:r>
        <w:rPr>
          <w:sz w:val="24"/>
        </w:rPr>
        <w:t>revised</w:t>
      </w:r>
      <w:r>
        <w:rPr>
          <w:spacing w:val="-11"/>
          <w:sz w:val="24"/>
        </w:rPr>
        <w:t> </w:t>
      </w:r>
      <w:r>
        <w:rPr>
          <w:sz w:val="24"/>
        </w:rPr>
        <w:t>register</w:t>
      </w:r>
      <w:r>
        <w:rPr>
          <w:spacing w:val="-11"/>
          <w:sz w:val="24"/>
        </w:rPr>
        <w:t> </w:t>
      </w:r>
      <w:r>
        <w:rPr>
          <w:sz w:val="24"/>
        </w:rPr>
        <w:t>updating</w:t>
      </w:r>
      <w:r>
        <w:rPr>
          <w:spacing w:val="-11"/>
          <w:sz w:val="24"/>
        </w:rPr>
        <w:t> </w:t>
      </w:r>
      <w:r>
        <w:rPr>
          <w:sz w:val="24"/>
        </w:rPr>
        <w:t>on</w:t>
      </w:r>
      <w:r>
        <w:rPr>
          <w:spacing w:val="-12"/>
          <w:sz w:val="24"/>
        </w:rPr>
        <w:t> </w:t>
      </w:r>
      <w:r>
        <w:rPr>
          <w:sz w:val="24"/>
        </w:rPr>
        <w:t>progress.</w:t>
      </w:r>
      <w:r>
        <w:rPr>
          <w:spacing w:val="-11"/>
          <w:sz w:val="24"/>
        </w:rPr>
        <w:t> </w:t>
      </w:r>
      <w:r>
        <w:rPr>
          <w:sz w:val="24"/>
        </w:rPr>
        <w:t>Further</w:t>
      </w:r>
      <w:r>
        <w:rPr>
          <w:spacing w:val="-13"/>
          <w:sz w:val="24"/>
        </w:rPr>
        <w:t> </w:t>
      </w:r>
      <w:r>
        <w:rPr>
          <w:sz w:val="24"/>
        </w:rPr>
        <w:t>to</w:t>
      </w:r>
      <w:r>
        <w:rPr>
          <w:spacing w:val="-12"/>
          <w:sz w:val="24"/>
        </w:rPr>
        <w:t> </w:t>
      </w:r>
      <w:r>
        <w:rPr>
          <w:sz w:val="24"/>
        </w:rPr>
        <w:t>same, the Audit Committee recommends the draft register for approval by the </w:t>
      </w:r>
      <w:r>
        <w:rPr>
          <w:spacing w:val="-2"/>
          <w:sz w:val="24"/>
        </w:rPr>
        <w:t>Authority.</w:t>
      </w:r>
    </w:p>
    <w:p>
      <w:pPr>
        <w:pStyle w:val="BodyText"/>
        <w:spacing w:before="1"/>
        <w:rPr>
          <w:sz w:val="24"/>
        </w:rPr>
      </w:pPr>
    </w:p>
    <w:p>
      <w:pPr>
        <w:spacing w:before="0"/>
        <w:ind w:left="1702" w:right="991" w:firstLine="0"/>
        <w:jc w:val="both"/>
        <w:rPr>
          <w:sz w:val="24"/>
        </w:rPr>
      </w:pPr>
      <w:r>
        <w:rPr>
          <w:sz w:val="24"/>
        </w:rPr>
        <w:t>The</w:t>
      </w:r>
      <w:r>
        <w:rPr>
          <w:spacing w:val="-4"/>
          <w:sz w:val="24"/>
        </w:rPr>
        <w:t> </w:t>
      </w:r>
      <w:r>
        <w:rPr>
          <w:sz w:val="24"/>
        </w:rPr>
        <w:t>outcome</w:t>
      </w:r>
      <w:r>
        <w:rPr>
          <w:spacing w:val="-4"/>
          <w:sz w:val="24"/>
        </w:rPr>
        <w:t> </w:t>
      </w:r>
      <w:r>
        <w:rPr>
          <w:sz w:val="24"/>
        </w:rPr>
        <w:t>of</w:t>
      </w:r>
      <w:r>
        <w:rPr>
          <w:spacing w:val="-5"/>
          <w:sz w:val="24"/>
        </w:rPr>
        <w:t> </w:t>
      </w:r>
      <w:r>
        <w:rPr>
          <w:sz w:val="24"/>
        </w:rPr>
        <w:t>risk</w:t>
      </w:r>
      <w:r>
        <w:rPr>
          <w:spacing w:val="-4"/>
          <w:sz w:val="24"/>
        </w:rPr>
        <w:t> </w:t>
      </w:r>
      <w:r>
        <w:rPr>
          <w:sz w:val="24"/>
        </w:rPr>
        <w:t>assessments</w:t>
      </w:r>
      <w:r>
        <w:rPr>
          <w:spacing w:val="-6"/>
          <w:sz w:val="24"/>
        </w:rPr>
        <w:t> </w:t>
      </w:r>
      <w:r>
        <w:rPr>
          <w:sz w:val="24"/>
        </w:rPr>
        <w:t>is</w:t>
      </w:r>
      <w:r>
        <w:rPr>
          <w:spacing w:val="-5"/>
          <w:sz w:val="24"/>
        </w:rPr>
        <w:t> </w:t>
      </w:r>
      <w:r>
        <w:rPr>
          <w:sz w:val="24"/>
        </w:rPr>
        <w:t>used</w:t>
      </w:r>
      <w:r>
        <w:rPr>
          <w:spacing w:val="-4"/>
          <w:sz w:val="24"/>
        </w:rPr>
        <w:t> </w:t>
      </w:r>
      <w:r>
        <w:rPr>
          <w:sz w:val="24"/>
        </w:rPr>
        <w:t>to</w:t>
      </w:r>
      <w:r>
        <w:rPr>
          <w:spacing w:val="-5"/>
          <w:sz w:val="24"/>
        </w:rPr>
        <w:t> </w:t>
      </w:r>
      <w:r>
        <w:rPr>
          <w:sz w:val="24"/>
        </w:rPr>
        <w:t>plan</w:t>
      </w:r>
      <w:r>
        <w:rPr>
          <w:spacing w:val="-4"/>
          <w:sz w:val="24"/>
        </w:rPr>
        <w:t> </w:t>
      </w:r>
      <w:r>
        <w:rPr>
          <w:sz w:val="24"/>
        </w:rPr>
        <w:t>and</w:t>
      </w:r>
      <w:r>
        <w:rPr>
          <w:spacing w:val="-4"/>
          <w:sz w:val="24"/>
        </w:rPr>
        <w:t> </w:t>
      </w:r>
      <w:r>
        <w:rPr>
          <w:sz w:val="24"/>
        </w:rPr>
        <w:t>allocate</w:t>
      </w:r>
      <w:r>
        <w:rPr>
          <w:spacing w:val="-7"/>
          <w:sz w:val="24"/>
        </w:rPr>
        <w:t> </w:t>
      </w:r>
      <w:r>
        <w:rPr>
          <w:sz w:val="24"/>
        </w:rPr>
        <w:t>resources</w:t>
      </w:r>
      <w:r>
        <w:rPr>
          <w:spacing w:val="-5"/>
          <w:sz w:val="24"/>
        </w:rPr>
        <w:t> </w:t>
      </w:r>
      <w:r>
        <w:rPr>
          <w:sz w:val="24"/>
        </w:rPr>
        <w:t>to</w:t>
      </w:r>
      <w:r>
        <w:rPr>
          <w:spacing w:val="-6"/>
          <w:sz w:val="24"/>
        </w:rPr>
        <w:t> </w:t>
      </w:r>
      <w:r>
        <w:rPr>
          <w:sz w:val="24"/>
        </w:rPr>
        <w:t>ensure risks</w:t>
      </w:r>
      <w:r>
        <w:rPr>
          <w:spacing w:val="-8"/>
          <w:sz w:val="24"/>
        </w:rPr>
        <w:t> </w:t>
      </w:r>
      <w:r>
        <w:rPr>
          <w:sz w:val="24"/>
        </w:rPr>
        <w:t>are</w:t>
      </w:r>
      <w:r>
        <w:rPr>
          <w:spacing w:val="-7"/>
          <w:sz w:val="24"/>
        </w:rPr>
        <w:t> </w:t>
      </w:r>
      <w:r>
        <w:rPr>
          <w:sz w:val="24"/>
        </w:rPr>
        <w:t>managed</w:t>
      </w:r>
      <w:r>
        <w:rPr>
          <w:spacing w:val="-7"/>
          <w:sz w:val="24"/>
        </w:rPr>
        <w:t> </w:t>
      </w:r>
      <w:r>
        <w:rPr>
          <w:sz w:val="24"/>
        </w:rPr>
        <w:t>to</w:t>
      </w:r>
      <w:r>
        <w:rPr>
          <w:spacing w:val="-8"/>
          <w:sz w:val="24"/>
        </w:rPr>
        <w:t> </w:t>
      </w:r>
      <w:r>
        <w:rPr>
          <w:sz w:val="24"/>
        </w:rPr>
        <w:t>an</w:t>
      </w:r>
      <w:r>
        <w:rPr>
          <w:spacing w:val="-8"/>
          <w:sz w:val="24"/>
        </w:rPr>
        <w:t> </w:t>
      </w:r>
      <w:r>
        <w:rPr>
          <w:sz w:val="24"/>
        </w:rPr>
        <w:t>acceptable</w:t>
      </w:r>
      <w:r>
        <w:rPr>
          <w:spacing w:val="-6"/>
          <w:sz w:val="24"/>
        </w:rPr>
        <w:t> </w:t>
      </w:r>
      <w:r>
        <w:rPr>
          <w:sz w:val="24"/>
        </w:rPr>
        <w:t>level.</w:t>
      </w:r>
      <w:r>
        <w:rPr>
          <w:spacing w:val="-7"/>
          <w:sz w:val="24"/>
        </w:rPr>
        <w:t> </w:t>
      </w:r>
      <w:r>
        <w:rPr>
          <w:sz w:val="24"/>
        </w:rPr>
        <w:t>The</w:t>
      </w:r>
      <w:r>
        <w:rPr>
          <w:spacing w:val="-7"/>
          <w:sz w:val="24"/>
        </w:rPr>
        <w:t> </w:t>
      </w:r>
      <w:r>
        <w:rPr>
          <w:sz w:val="24"/>
        </w:rPr>
        <w:t>risk</w:t>
      </w:r>
      <w:r>
        <w:rPr>
          <w:spacing w:val="-7"/>
          <w:sz w:val="24"/>
        </w:rPr>
        <w:t> </w:t>
      </w:r>
      <w:r>
        <w:rPr>
          <w:sz w:val="24"/>
        </w:rPr>
        <w:t>register</w:t>
      </w:r>
      <w:r>
        <w:rPr>
          <w:spacing w:val="-6"/>
          <w:sz w:val="24"/>
        </w:rPr>
        <w:t> </w:t>
      </w:r>
      <w:r>
        <w:rPr>
          <w:sz w:val="24"/>
        </w:rPr>
        <w:t>details</w:t>
      </w:r>
      <w:r>
        <w:rPr>
          <w:spacing w:val="-8"/>
          <w:sz w:val="24"/>
        </w:rPr>
        <w:t> </w:t>
      </w:r>
      <w:r>
        <w:rPr>
          <w:sz w:val="24"/>
        </w:rPr>
        <w:t>the</w:t>
      </w:r>
      <w:r>
        <w:rPr>
          <w:spacing w:val="-7"/>
          <w:sz w:val="24"/>
        </w:rPr>
        <w:t> </w:t>
      </w:r>
      <w:r>
        <w:rPr>
          <w:sz w:val="24"/>
        </w:rPr>
        <w:t>controls</w:t>
      </w:r>
      <w:r>
        <w:rPr>
          <w:spacing w:val="-8"/>
          <w:sz w:val="24"/>
        </w:rPr>
        <w:t> </w:t>
      </w:r>
      <w:r>
        <w:rPr>
          <w:sz w:val="24"/>
        </w:rPr>
        <w:t>and actions needed to mitigate risks and responsibility for operation of controls assigned to specific staff for delivery within stated timeframes. In addition, the NDA operates a project management system whereby the risks of individual projects are identified at the earliest stage of a proposal alongside the actions to address these.</w:t>
      </w:r>
    </w:p>
    <w:p>
      <w:pPr>
        <w:pStyle w:val="BodyText"/>
        <w:spacing w:before="1"/>
        <w:rPr>
          <w:sz w:val="24"/>
        </w:rPr>
      </w:pPr>
    </w:p>
    <w:p>
      <w:pPr>
        <w:spacing w:before="0"/>
        <w:ind w:left="1702" w:right="988" w:firstLine="0"/>
        <w:jc w:val="both"/>
        <w:rPr>
          <w:sz w:val="24"/>
        </w:rPr>
      </w:pPr>
      <w:r>
        <w:rPr>
          <w:sz w:val="24"/>
        </w:rPr>
        <w:t>The NDA budget is profiled at the start of year and distributed between all relevant</w:t>
      </w:r>
      <w:r>
        <w:rPr>
          <w:spacing w:val="-13"/>
          <w:sz w:val="24"/>
        </w:rPr>
        <w:t> </w:t>
      </w:r>
      <w:r>
        <w:rPr>
          <w:sz w:val="24"/>
        </w:rPr>
        <w:t>items</w:t>
      </w:r>
      <w:r>
        <w:rPr>
          <w:spacing w:val="-14"/>
          <w:sz w:val="24"/>
        </w:rPr>
        <w:t> </w:t>
      </w:r>
      <w:r>
        <w:rPr>
          <w:sz w:val="24"/>
        </w:rPr>
        <w:t>as</w:t>
      </w:r>
      <w:r>
        <w:rPr>
          <w:spacing w:val="-13"/>
          <w:sz w:val="24"/>
        </w:rPr>
        <w:t> </w:t>
      </w:r>
      <w:r>
        <w:rPr>
          <w:sz w:val="24"/>
        </w:rPr>
        <w:t>approved</w:t>
      </w:r>
      <w:r>
        <w:rPr>
          <w:spacing w:val="-12"/>
          <w:sz w:val="24"/>
        </w:rPr>
        <w:t> </w:t>
      </w:r>
      <w:r>
        <w:rPr>
          <w:sz w:val="24"/>
        </w:rPr>
        <w:t>by</w:t>
      </w:r>
      <w:r>
        <w:rPr>
          <w:spacing w:val="-12"/>
          <w:sz w:val="24"/>
        </w:rPr>
        <w:t> </w:t>
      </w:r>
      <w:r>
        <w:rPr>
          <w:sz w:val="24"/>
        </w:rPr>
        <w:t>the</w:t>
      </w:r>
      <w:r>
        <w:rPr>
          <w:spacing w:val="-13"/>
          <w:sz w:val="24"/>
        </w:rPr>
        <w:t> </w:t>
      </w:r>
      <w:r>
        <w:rPr>
          <w:sz w:val="24"/>
        </w:rPr>
        <w:t>Authority,</w:t>
      </w:r>
      <w:r>
        <w:rPr>
          <w:spacing w:val="-12"/>
          <w:sz w:val="24"/>
        </w:rPr>
        <w:t> </w:t>
      </w:r>
      <w:r>
        <w:rPr>
          <w:sz w:val="24"/>
        </w:rPr>
        <w:t>including</w:t>
      </w:r>
      <w:r>
        <w:rPr>
          <w:spacing w:val="-12"/>
          <w:sz w:val="24"/>
        </w:rPr>
        <w:t> </w:t>
      </w:r>
      <w:r>
        <w:rPr>
          <w:sz w:val="24"/>
        </w:rPr>
        <w:t>payroll,</w:t>
      </w:r>
      <w:r>
        <w:rPr>
          <w:spacing w:val="-15"/>
          <w:sz w:val="24"/>
        </w:rPr>
        <w:t> </w:t>
      </w:r>
      <w:r>
        <w:rPr>
          <w:sz w:val="24"/>
        </w:rPr>
        <w:t>central</w:t>
      </w:r>
      <w:r>
        <w:rPr>
          <w:spacing w:val="-12"/>
          <w:sz w:val="24"/>
        </w:rPr>
        <w:t> </w:t>
      </w:r>
      <w:r>
        <w:rPr>
          <w:sz w:val="24"/>
        </w:rPr>
        <w:t>services</w:t>
      </w:r>
      <w:r>
        <w:rPr>
          <w:spacing w:val="-13"/>
          <w:sz w:val="24"/>
        </w:rPr>
        <w:t> </w:t>
      </w:r>
      <w:r>
        <w:rPr>
          <w:sz w:val="24"/>
        </w:rPr>
        <w:t>and commissioned</w:t>
      </w:r>
      <w:r>
        <w:rPr>
          <w:spacing w:val="64"/>
          <w:sz w:val="24"/>
        </w:rPr>
        <w:t> </w:t>
      </w:r>
      <w:r>
        <w:rPr>
          <w:sz w:val="24"/>
        </w:rPr>
        <w:t>works.</w:t>
      </w:r>
      <w:r>
        <w:rPr>
          <w:spacing w:val="65"/>
          <w:sz w:val="24"/>
        </w:rPr>
        <w:t> </w:t>
      </w:r>
      <w:r>
        <w:rPr>
          <w:sz w:val="24"/>
        </w:rPr>
        <w:t>The</w:t>
      </w:r>
      <w:r>
        <w:rPr>
          <w:spacing w:val="66"/>
          <w:sz w:val="24"/>
        </w:rPr>
        <w:t> </w:t>
      </w:r>
      <w:r>
        <w:rPr>
          <w:sz w:val="24"/>
        </w:rPr>
        <w:t>detailed</w:t>
      </w:r>
      <w:r>
        <w:rPr>
          <w:spacing w:val="65"/>
          <w:sz w:val="24"/>
        </w:rPr>
        <w:t> </w:t>
      </w:r>
      <w:r>
        <w:rPr>
          <w:sz w:val="24"/>
        </w:rPr>
        <w:t>profile</w:t>
      </w:r>
      <w:r>
        <w:rPr>
          <w:spacing w:val="62"/>
          <w:sz w:val="24"/>
        </w:rPr>
        <w:t> </w:t>
      </w:r>
      <w:r>
        <w:rPr>
          <w:sz w:val="24"/>
        </w:rPr>
        <w:t>expenditure</w:t>
      </w:r>
      <w:r>
        <w:rPr>
          <w:spacing w:val="65"/>
          <w:sz w:val="24"/>
        </w:rPr>
        <w:t> </w:t>
      </w:r>
      <w:r>
        <w:rPr>
          <w:sz w:val="24"/>
        </w:rPr>
        <w:t>is</w:t>
      </w:r>
      <w:r>
        <w:rPr>
          <w:spacing w:val="63"/>
          <w:sz w:val="24"/>
        </w:rPr>
        <w:t> </w:t>
      </w:r>
      <w:r>
        <w:rPr>
          <w:sz w:val="24"/>
        </w:rPr>
        <w:t>reviewed</w:t>
      </w:r>
      <w:r>
        <w:rPr>
          <w:spacing w:val="62"/>
          <w:sz w:val="24"/>
        </w:rPr>
        <w:t> </w:t>
      </w:r>
      <w:r>
        <w:rPr>
          <w:spacing w:val="-2"/>
          <w:sz w:val="24"/>
        </w:rPr>
        <w:t>regularly</w:t>
      </w:r>
    </w:p>
    <w:p>
      <w:pPr>
        <w:spacing w:after="0"/>
        <w:jc w:val="both"/>
        <w:rPr>
          <w:sz w:val="24"/>
        </w:rPr>
        <w:sectPr>
          <w:pgSz w:w="11910" w:h="16850"/>
          <w:pgMar w:header="0" w:footer="811" w:top="1880" w:bottom="1000" w:left="283" w:right="992"/>
        </w:sectPr>
      </w:pPr>
    </w:p>
    <w:p>
      <w:pPr>
        <w:spacing w:before="78"/>
        <w:ind w:left="1702" w:right="987" w:firstLine="0"/>
        <w:jc w:val="both"/>
        <w:rPr>
          <w:sz w:val="24"/>
        </w:rPr>
      </w:pPr>
      <w:r>
        <w:rPr>
          <w:sz w:val="24"/>
        </w:rPr>
        <w:t>through the monthly management accounts, meetings of the Senior Management Group,</w:t>
      </w:r>
      <w:r>
        <w:rPr>
          <w:spacing w:val="-6"/>
          <w:sz w:val="24"/>
        </w:rPr>
        <w:t> </w:t>
      </w:r>
      <w:r>
        <w:rPr>
          <w:sz w:val="24"/>
        </w:rPr>
        <w:t>Finance</w:t>
      </w:r>
      <w:r>
        <w:rPr>
          <w:spacing w:val="-7"/>
          <w:sz w:val="24"/>
        </w:rPr>
        <w:t> </w:t>
      </w:r>
      <w:r>
        <w:rPr>
          <w:sz w:val="24"/>
        </w:rPr>
        <w:t>and</w:t>
      </w:r>
      <w:r>
        <w:rPr>
          <w:spacing w:val="-7"/>
          <w:sz w:val="24"/>
        </w:rPr>
        <w:t> </w:t>
      </w:r>
      <w:r>
        <w:rPr>
          <w:sz w:val="24"/>
        </w:rPr>
        <w:t>Audit</w:t>
      </w:r>
      <w:r>
        <w:rPr>
          <w:spacing w:val="-6"/>
          <w:sz w:val="24"/>
        </w:rPr>
        <w:t> </w:t>
      </w:r>
      <w:r>
        <w:rPr>
          <w:sz w:val="24"/>
        </w:rPr>
        <w:t>Committees,</w:t>
      </w:r>
      <w:r>
        <w:rPr>
          <w:spacing w:val="-5"/>
          <w:sz w:val="24"/>
        </w:rPr>
        <w:t> </w:t>
      </w:r>
      <w:r>
        <w:rPr>
          <w:sz w:val="24"/>
        </w:rPr>
        <w:t>and</w:t>
      </w:r>
      <w:r>
        <w:rPr>
          <w:spacing w:val="-5"/>
          <w:sz w:val="24"/>
        </w:rPr>
        <w:t> </w:t>
      </w:r>
      <w:r>
        <w:rPr>
          <w:sz w:val="24"/>
        </w:rPr>
        <w:t>through</w:t>
      </w:r>
      <w:r>
        <w:rPr>
          <w:spacing w:val="-5"/>
          <w:sz w:val="24"/>
        </w:rPr>
        <w:t> </w:t>
      </w:r>
      <w:r>
        <w:rPr>
          <w:sz w:val="24"/>
        </w:rPr>
        <w:t>reports</w:t>
      </w:r>
      <w:r>
        <w:rPr>
          <w:spacing w:val="-7"/>
          <w:sz w:val="24"/>
        </w:rPr>
        <w:t> </w:t>
      </w:r>
      <w:r>
        <w:rPr>
          <w:sz w:val="24"/>
        </w:rPr>
        <w:t>to</w:t>
      </w:r>
      <w:r>
        <w:rPr>
          <w:spacing w:val="-7"/>
          <w:sz w:val="24"/>
        </w:rPr>
        <w:t> </w:t>
      </w:r>
      <w:r>
        <w:rPr>
          <w:sz w:val="24"/>
        </w:rPr>
        <w:t>the</w:t>
      </w:r>
      <w:r>
        <w:rPr>
          <w:spacing w:val="-8"/>
          <w:sz w:val="24"/>
        </w:rPr>
        <w:t> </w:t>
      </w:r>
      <w:r>
        <w:rPr>
          <w:sz w:val="24"/>
        </w:rPr>
        <w:t>Authority</w:t>
      </w:r>
      <w:r>
        <w:rPr>
          <w:spacing w:val="-5"/>
          <w:sz w:val="24"/>
        </w:rPr>
        <w:t> </w:t>
      </w:r>
      <w:r>
        <w:rPr>
          <w:sz w:val="24"/>
        </w:rPr>
        <w:t>as</w:t>
      </w:r>
      <w:r>
        <w:rPr>
          <w:spacing w:val="-6"/>
          <w:sz w:val="24"/>
        </w:rPr>
        <w:t> </w:t>
      </w:r>
      <w:r>
        <w:rPr>
          <w:sz w:val="24"/>
        </w:rPr>
        <w:t>a standing item on the agenda. The monthly management accounts are reconciled with</w:t>
      </w:r>
      <w:r>
        <w:rPr>
          <w:spacing w:val="-6"/>
          <w:sz w:val="24"/>
        </w:rPr>
        <w:t> </w:t>
      </w:r>
      <w:r>
        <w:rPr>
          <w:sz w:val="24"/>
        </w:rPr>
        <w:t>reports</w:t>
      </w:r>
      <w:r>
        <w:rPr>
          <w:spacing w:val="-7"/>
          <w:sz w:val="24"/>
        </w:rPr>
        <w:t> </w:t>
      </w:r>
      <w:r>
        <w:rPr>
          <w:sz w:val="24"/>
        </w:rPr>
        <w:t>of</w:t>
      </w:r>
      <w:r>
        <w:rPr>
          <w:spacing w:val="-8"/>
          <w:sz w:val="24"/>
        </w:rPr>
        <w:t> </w:t>
      </w:r>
      <w:r>
        <w:rPr>
          <w:sz w:val="24"/>
        </w:rPr>
        <w:t>expenditure</w:t>
      </w:r>
      <w:r>
        <w:rPr>
          <w:spacing w:val="-8"/>
          <w:sz w:val="24"/>
        </w:rPr>
        <w:t> </w:t>
      </w:r>
      <w:r>
        <w:rPr>
          <w:sz w:val="24"/>
        </w:rPr>
        <w:t>received</w:t>
      </w:r>
      <w:r>
        <w:rPr>
          <w:spacing w:val="-8"/>
          <w:sz w:val="24"/>
        </w:rPr>
        <w:t> </w:t>
      </w:r>
      <w:r>
        <w:rPr>
          <w:sz w:val="24"/>
        </w:rPr>
        <w:t>from</w:t>
      </w:r>
      <w:r>
        <w:rPr>
          <w:spacing w:val="-8"/>
          <w:sz w:val="24"/>
        </w:rPr>
        <w:t> </w:t>
      </w:r>
      <w:r>
        <w:rPr>
          <w:sz w:val="24"/>
        </w:rPr>
        <w:t>the</w:t>
      </w:r>
      <w:r>
        <w:rPr>
          <w:spacing w:val="-6"/>
          <w:sz w:val="24"/>
        </w:rPr>
        <w:t> </w:t>
      </w:r>
      <w:r>
        <w:rPr>
          <w:sz w:val="24"/>
        </w:rPr>
        <w:t>Department</w:t>
      </w:r>
      <w:r>
        <w:rPr>
          <w:spacing w:val="-6"/>
          <w:sz w:val="24"/>
        </w:rPr>
        <w:t> </w:t>
      </w:r>
      <w:r>
        <w:rPr>
          <w:sz w:val="24"/>
        </w:rPr>
        <w:t>of</w:t>
      </w:r>
      <w:r>
        <w:rPr>
          <w:spacing w:val="-6"/>
          <w:sz w:val="24"/>
        </w:rPr>
        <w:t> </w:t>
      </w:r>
      <w:r>
        <w:rPr>
          <w:sz w:val="24"/>
        </w:rPr>
        <w:t>Justice</w:t>
      </w:r>
      <w:r>
        <w:rPr>
          <w:spacing w:val="-8"/>
          <w:sz w:val="24"/>
        </w:rPr>
        <w:t> </w:t>
      </w:r>
      <w:r>
        <w:rPr>
          <w:sz w:val="24"/>
        </w:rPr>
        <w:t>and</w:t>
      </w:r>
      <w:r>
        <w:rPr>
          <w:spacing w:val="-8"/>
          <w:sz w:val="24"/>
        </w:rPr>
        <w:t> </w:t>
      </w:r>
      <w:r>
        <w:rPr>
          <w:sz w:val="24"/>
        </w:rPr>
        <w:t>Equality and</w:t>
      </w:r>
      <w:r>
        <w:rPr>
          <w:spacing w:val="-11"/>
          <w:sz w:val="24"/>
        </w:rPr>
        <w:t> </w:t>
      </w:r>
      <w:r>
        <w:rPr>
          <w:sz w:val="24"/>
        </w:rPr>
        <w:t>reports</w:t>
      </w:r>
      <w:r>
        <w:rPr>
          <w:spacing w:val="-13"/>
          <w:sz w:val="24"/>
        </w:rPr>
        <w:t> </w:t>
      </w:r>
      <w:r>
        <w:rPr>
          <w:sz w:val="24"/>
        </w:rPr>
        <w:t>of</w:t>
      </w:r>
      <w:r>
        <w:rPr>
          <w:spacing w:val="-12"/>
          <w:sz w:val="24"/>
        </w:rPr>
        <w:t> </w:t>
      </w:r>
      <w:r>
        <w:rPr>
          <w:sz w:val="24"/>
        </w:rPr>
        <w:t>the</w:t>
      </w:r>
      <w:r>
        <w:rPr>
          <w:spacing w:val="-12"/>
          <w:sz w:val="24"/>
        </w:rPr>
        <w:t> </w:t>
      </w:r>
      <w:r>
        <w:rPr>
          <w:sz w:val="24"/>
        </w:rPr>
        <w:t>Payroll</w:t>
      </w:r>
      <w:r>
        <w:rPr>
          <w:spacing w:val="-12"/>
          <w:sz w:val="24"/>
        </w:rPr>
        <w:t> </w:t>
      </w:r>
      <w:r>
        <w:rPr>
          <w:sz w:val="24"/>
        </w:rPr>
        <w:t>Shared</w:t>
      </w:r>
      <w:r>
        <w:rPr>
          <w:spacing w:val="-11"/>
          <w:sz w:val="24"/>
        </w:rPr>
        <w:t> </w:t>
      </w:r>
      <w:r>
        <w:rPr>
          <w:sz w:val="24"/>
        </w:rPr>
        <w:t>Services</w:t>
      </w:r>
      <w:r>
        <w:rPr>
          <w:spacing w:val="-13"/>
          <w:sz w:val="24"/>
        </w:rPr>
        <w:t> </w:t>
      </w:r>
      <w:r>
        <w:rPr>
          <w:sz w:val="24"/>
        </w:rPr>
        <w:t>Centre</w:t>
      </w:r>
      <w:r>
        <w:rPr>
          <w:spacing w:val="-11"/>
          <w:sz w:val="24"/>
        </w:rPr>
        <w:t> </w:t>
      </w:r>
      <w:r>
        <w:rPr>
          <w:sz w:val="24"/>
        </w:rPr>
        <w:t>under</w:t>
      </w:r>
      <w:r>
        <w:rPr>
          <w:spacing w:val="-11"/>
          <w:sz w:val="24"/>
        </w:rPr>
        <w:t> </w:t>
      </w:r>
      <w:r>
        <w:rPr>
          <w:sz w:val="24"/>
        </w:rPr>
        <w:t>the</w:t>
      </w:r>
      <w:r>
        <w:rPr>
          <w:spacing w:val="-12"/>
          <w:sz w:val="24"/>
        </w:rPr>
        <w:t> </w:t>
      </w:r>
      <w:r>
        <w:rPr>
          <w:sz w:val="24"/>
        </w:rPr>
        <w:t>Department</w:t>
      </w:r>
      <w:r>
        <w:rPr>
          <w:spacing w:val="-12"/>
          <w:sz w:val="24"/>
        </w:rPr>
        <w:t> </w:t>
      </w:r>
      <w:r>
        <w:rPr>
          <w:sz w:val="24"/>
        </w:rPr>
        <w:t>of</w:t>
      </w:r>
      <w:r>
        <w:rPr>
          <w:spacing w:val="-12"/>
          <w:sz w:val="24"/>
        </w:rPr>
        <w:t> </w:t>
      </w:r>
      <w:r>
        <w:rPr>
          <w:sz w:val="24"/>
        </w:rPr>
        <w:t>Public Expenditure</w:t>
      </w:r>
      <w:r>
        <w:rPr>
          <w:spacing w:val="-9"/>
          <w:sz w:val="24"/>
        </w:rPr>
        <w:t> </w:t>
      </w:r>
      <w:r>
        <w:rPr>
          <w:sz w:val="24"/>
        </w:rPr>
        <w:t>and</w:t>
      </w:r>
      <w:r>
        <w:rPr>
          <w:spacing w:val="-9"/>
          <w:sz w:val="24"/>
        </w:rPr>
        <w:t> </w:t>
      </w:r>
      <w:r>
        <w:rPr>
          <w:sz w:val="24"/>
        </w:rPr>
        <w:t>Reform.</w:t>
      </w:r>
      <w:r>
        <w:rPr>
          <w:spacing w:val="40"/>
          <w:sz w:val="24"/>
        </w:rPr>
        <w:t> </w:t>
      </w:r>
      <w:r>
        <w:rPr>
          <w:sz w:val="24"/>
        </w:rPr>
        <w:t>Reports</w:t>
      </w:r>
      <w:r>
        <w:rPr>
          <w:spacing w:val="-11"/>
          <w:sz w:val="24"/>
        </w:rPr>
        <w:t> </w:t>
      </w:r>
      <w:r>
        <w:rPr>
          <w:sz w:val="24"/>
        </w:rPr>
        <w:t>of</w:t>
      </w:r>
      <w:r>
        <w:rPr>
          <w:spacing w:val="-10"/>
          <w:sz w:val="24"/>
        </w:rPr>
        <w:t> </w:t>
      </w:r>
      <w:r>
        <w:rPr>
          <w:sz w:val="24"/>
        </w:rPr>
        <w:t>expenditure</w:t>
      </w:r>
      <w:r>
        <w:rPr>
          <w:spacing w:val="-11"/>
          <w:sz w:val="24"/>
        </w:rPr>
        <w:t> </w:t>
      </w:r>
      <w:r>
        <w:rPr>
          <w:sz w:val="24"/>
        </w:rPr>
        <w:t>analysis</w:t>
      </w:r>
      <w:r>
        <w:rPr>
          <w:spacing w:val="-11"/>
          <w:sz w:val="24"/>
        </w:rPr>
        <w:t> </w:t>
      </w:r>
      <w:r>
        <w:rPr>
          <w:sz w:val="24"/>
        </w:rPr>
        <w:t>are</w:t>
      </w:r>
      <w:r>
        <w:rPr>
          <w:spacing w:val="-11"/>
          <w:sz w:val="24"/>
        </w:rPr>
        <w:t> </w:t>
      </w:r>
      <w:r>
        <w:rPr>
          <w:sz w:val="24"/>
        </w:rPr>
        <w:t>produced</w:t>
      </w:r>
      <w:r>
        <w:rPr>
          <w:spacing w:val="-11"/>
          <w:sz w:val="24"/>
        </w:rPr>
        <w:t> </w:t>
      </w:r>
      <w:r>
        <w:rPr>
          <w:sz w:val="24"/>
        </w:rPr>
        <w:t>at</w:t>
      </w:r>
      <w:r>
        <w:rPr>
          <w:spacing w:val="-12"/>
          <w:sz w:val="24"/>
        </w:rPr>
        <w:t> </w:t>
      </w:r>
      <w:r>
        <w:rPr>
          <w:sz w:val="24"/>
        </w:rPr>
        <w:t>regular intervals by the Senior Management Group and considered by the Finance Committee and Audit Committee.</w:t>
      </w:r>
    </w:p>
    <w:p>
      <w:pPr>
        <w:pStyle w:val="BodyText"/>
        <w:spacing w:before="1"/>
        <w:rPr>
          <w:sz w:val="24"/>
        </w:rPr>
      </w:pPr>
    </w:p>
    <w:p>
      <w:pPr>
        <w:spacing w:before="0"/>
        <w:ind w:left="1702" w:right="990" w:firstLine="0"/>
        <w:jc w:val="both"/>
        <w:rPr>
          <w:sz w:val="24"/>
        </w:rPr>
      </w:pPr>
      <w:r>
        <w:rPr>
          <w:sz w:val="24"/>
        </w:rPr>
        <w:t>Consistent</w:t>
      </w:r>
      <w:r>
        <w:rPr>
          <w:spacing w:val="-9"/>
          <w:sz w:val="24"/>
        </w:rPr>
        <w:t> </w:t>
      </w:r>
      <w:r>
        <w:rPr>
          <w:sz w:val="24"/>
        </w:rPr>
        <w:t>quality</w:t>
      </w:r>
      <w:r>
        <w:rPr>
          <w:spacing w:val="-8"/>
          <w:sz w:val="24"/>
        </w:rPr>
        <w:t> </w:t>
      </w:r>
      <w:r>
        <w:rPr>
          <w:sz w:val="24"/>
        </w:rPr>
        <w:t>reports</w:t>
      </w:r>
      <w:r>
        <w:rPr>
          <w:spacing w:val="-9"/>
          <w:sz w:val="24"/>
        </w:rPr>
        <w:t> </w:t>
      </w:r>
      <w:r>
        <w:rPr>
          <w:sz w:val="24"/>
        </w:rPr>
        <w:t>from</w:t>
      </w:r>
      <w:r>
        <w:rPr>
          <w:spacing w:val="-8"/>
          <w:sz w:val="24"/>
        </w:rPr>
        <w:t> </w:t>
      </w:r>
      <w:r>
        <w:rPr>
          <w:sz w:val="24"/>
        </w:rPr>
        <w:t>shared</w:t>
      </w:r>
      <w:r>
        <w:rPr>
          <w:spacing w:val="-7"/>
          <w:sz w:val="24"/>
        </w:rPr>
        <w:t> </w:t>
      </w:r>
      <w:r>
        <w:rPr>
          <w:sz w:val="24"/>
        </w:rPr>
        <w:t>service</w:t>
      </w:r>
      <w:r>
        <w:rPr>
          <w:spacing w:val="-8"/>
          <w:sz w:val="24"/>
        </w:rPr>
        <w:t> </w:t>
      </w:r>
      <w:r>
        <w:rPr>
          <w:sz w:val="24"/>
        </w:rPr>
        <w:t>centres</w:t>
      </w:r>
      <w:r>
        <w:rPr>
          <w:spacing w:val="-8"/>
          <w:sz w:val="24"/>
        </w:rPr>
        <w:t> </w:t>
      </w:r>
      <w:r>
        <w:rPr>
          <w:sz w:val="24"/>
        </w:rPr>
        <w:t>are</w:t>
      </w:r>
      <w:r>
        <w:rPr>
          <w:spacing w:val="-8"/>
          <w:sz w:val="24"/>
        </w:rPr>
        <w:t> </w:t>
      </w:r>
      <w:r>
        <w:rPr>
          <w:sz w:val="24"/>
        </w:rPr>
        <w:t>important</w:t>
      </w:r>
      <w:r>
        <w:rPr>
          <w:spacing w:val="-8"/>
          <w:sz w:val="24"/>
        </w:rPr>
        <w:t> </w:t>
      </w:r>
      <w:r>
        <w:rPr>
          <w:sz w:val="24"/>
        </w:rPr>
        <w:t>in</w:t>
      </w:r>
      <w:r>
        <w:rPr>
          <w:spacing w:val="-8"/>
          <w:sz w:val="24"/>
        </w:rPr>
        <w:t> </w:t>
      </w:r>
      <w:r>
        <w:rPr>
          <w:sz w:val="24"/>
        </w:rPr>
        <w:t>informing fully effective controls monitoring.</w:t>
      </w:r>
    </w:p>
    <w:p>
      <w:pPr>
        <w:pStyle w:val="BodyText"/>
        <w:rPr>
          <w:sz w:val="24"/>
        </w:rPr>
      </w:pPr>
    </w:p>
    <w:p>
      <w:pPr>
        <w:spacing w:before="0"/>
        <w:ind w:left="1702" w:right="0" w:firstLine="0"/>
        <w:jc w:val="both"/>
        <w:rPr>
          <w:b/>
          <w:sz w:val="24"/>
        </w:rPr>
      </w:pPr>
      <w:r>
        <w:rPr>
          <w:b/>
          <w:sz w:val="24"/>
        </w:rPr>
        <w:t>ICT</w:t>
      </w:r>
      <w:r>
        <w:rPr>
          <w:b/>
          <w:spacing w:val="-1"/>
          <w:sz w:val="24"/>
        </w:rPr>
        <w:t> </w:t>
      </w:r>
      <w:r>
        <w:rPr>
          <w:b/>
          <w:sz w:val="24"/>
        </w:rPr>
        <w:t>Systems and</w:t>
      </w:r>
      <w:r>
        <w:rPr>
          <w:b/>
          <w:spacing w:val="-1"/>
          <w:sz w:val="24"/>
        </w:rPr>
        <w:t> </w:t>
      </w:r>
      <w:r>
        <w:rPr>
          <w:b/>
          <w:spacing w:val="-2"/>
          <w:sz w:val="24"/>
        </w:rPr>
        <w:t>Assets</w:t>
      </w:r>
    </w:p>
    <w:p>
      <w:pPr>
        <w:pStyle w:val="BodyText"/>
        <w:rPr>
          <w:b/>
          <w:sz w:val="24"/>
        </w:rPr>
      </w:pPr>
    </w:p>
    <w:p>
      <w:pPr>
        <w:spacing w:line="240" w:lineRule="auto" w:before="1"/>
        <w:ind w:left="1702" w:right="986" w:firstLine="0"/>
        <w:jc w:val="both"/>
        <w:rPr>
          <w:sz w:val="24"/>
        </w:rPr>
      </w:pPr>
      <w:r>
        <w:rPr>
          <w:sz w:val="24"/>
        </w:rPr>
        <w:t>The</w:t>
      </w:r>
      <w:r>
        <w:rPr>
          <w:spacing w:val="-11"/>
          <w:sz w:val="24"/>
        </w:rPr>
        <w:t> </w:t>
      </w:r>
      <w:r>
        <w:rPr>
          <w:sz w:val="24"/>
        </w:rPr>
        <w:t>NDA</w:t>
      </w:r>
      <w:r>
        <w:rPr>
          <w:spacing w:val="-11"/>
          <w:sz w:val="24"/>
        </w:rPr>
        <w:t> </w:t>
      </w:r>
      <w:r>
        <w:rPr>
          <w:sz w:val="24"/>
        </w:rPr>
        <w:t>avails</w:t>
      </w:r>
      <w:r>
        <w:rPr>
          <w:spacing w:val="-12"/>
          <w:sz w:val="24"/>
        </w:rPr>
        <w:t> </w:t>
      </w:r>
      <w:r>
        <w:rPr>
          <w:sz w:val="24"/>
        </w:rPr>
        <w:t>of</w:t>
      </w:r>
      <w:r>
        <w:rPr>
          <w:spacing w:val="-12"/>
          <w:sz w:val="24"/>
        </w:rPr>
        <w:t> </w:t>
      </w:r>
      <w:r>
        <w:rPr>
          <w:sz w:val="24"/>
        </w:rPr>
        <w:t>the</w:t>
      </w:r>
      <w:r>
        <w:rPr>
          <w:spacing w:val="-10"/>
          <w:sz w:val="24"/>
        </w:rPr>
        <w:t> </w:t>
      </w:r>
      <w:r>
        <w:rPr>
          <w:sz w:val="24"/>
        </w:rPr>
        <w:t>shared</w:t>
      </w:r>
      <w:r>
        <w:rPr>
          <w:spacing w:val="-11"/>
          <w:sz w:val="24"/>
        </w:rPr>
        <w:t> </w:t>
      </w:r>
      <w:r>
        <w:rPr>
          <w:sz w:val="24"/>
        </w:rPr>
        <w:t>ICT</w:t>
      </w:r>
      <w:r>
        <w:rPr>
          <w:spacing w:val="-12"/>
          <w:sz w:val="24"/>
        </w:rPr>
        <w:t> </w:t>
      </w:r>
      <w:r>
        <w:rPr>
          <w:sz w:val="24"/>
        </w:rPr>
        <w:t>support</w:t>
      </w:r>
      <w:r>
        <w:rPr>
          <w:spacing w:val="-12"/>
          <w:sz w:val="24"/>
        </w:rPr>
        <w:t> </w:t>
      </w:r>
      <w:r>
        <w:rPr>
          <w:sz w:val="24"/>
        </w:rPr>
        <w:t>service</w:t>
      </w:r>
      <w:r>
        <w:rPr>
          <w:spacing w:val="-11"/>
          <w:sz w:val="24"/>
        </w:rPr>
        <w:t> </w:t>
      </w:r>
      <w:r>
        <w:rPr>
          <w:sz w:val="24"/>
        </w:rPr>
        <w:t>from</w:t>
      </w:r>
      <w:r>
        <w:rPr>
          <w:spacing w:val="-12"/>
          <w:sz w:val="24"/>
        </w:rPr>
        <w:t> </w:t>
      </w:r>
      <w:r>
        <w:rPr>
          <w:sz w:val="24"/>
        </w:rPr>
        <w:t>the</w:t>
      </w:r>
      <w:r>
        <w:rPr>
          <w:spacing w:val="-12"/>
          <w:sz w:val="24"/>
        </w:rPr>
        <w:t> </w:t>
      </w:r>
      <w:r>
        <w:rPr>
          <w:sz w:val="24"/>
        </w:rPr>
        <w:t>Department</w:t>
      </w:r>
      <w:r>
        <w:rPr>
          <w:spacing w:val="-12"/>
          <w:sz w:val="24"/>
        </w:rPr>
        <w:t> </w:t>
      </w:r>
      <w:r>
        <w:rPr>
          <w:sz w:val="24"/>
        </w:rPr>
        <w:t>of</w:t>
      </w:r>
      <w:r>
        <w:rPr>
          <w:spacing w:val="-10"/>
          <w:sz w:val="24"/>
        </w:rPr>
        <w:t> </w:t>
      </w:r>
      <w:r>
        <w:rPr>
          <w:sz w:val="24"/>
        </w:rPr>
        <w:t>Justice and Equality and the shared print management service through the Irish Prison Service.</w:t>
      </w:r>
      <w:r>
        <w:rPr>
          <w:spacing w:val="40"/>
          <w:sz w:val="24"/>
        </w:rPr>
        <w:t> </w:t>
      </w:r>
      <w:r>
        <w:rPr>
          <w:sz w:val="24"/>
        </w:rPr>
        <w:t>A</w:t>
      </w:r>
      <w:r>
        <w:rPr>
          <w:spacing w:val="-6"/>
          <w:sz w:val="24"/>
        </w:rPr>
        <w:t> </w:t>
      </w:r>
      <w:r>
        <w:rPr>
          <w:sz w:val="24"/>
        </w:rPr>
        <w:t>Service</w:t>
      </w:r>
      <w:r>
        <w:rPr>
          <w:spacing w:val="-9"/>
          <w:sz w:val="24"/>
        </w:rPr>
        <w:t> </w:t>
      </w:r>
      <w:r>
        <w:rPr>
          <w:sz w:val="24"/>
        </w:rPr>
        <w:t>Level</w:t>
      </w:r>
      <w:r>
        <w:rPr>
          <w:spacing w:val="-11"/>
          <w:sz w:val="24"/>
        </w:rPr>
        <w:t> </w:t>
      </w:r>
      <w:r>
        <w:rPr>
          <w:sz w:val="24"/>
        </w:rPr>
        <w:t>Agreement</w:t>
      </w:r>
      <w:r>
        <w:rPr>
          <w:spacing w:val="-7"/>
          <w:sz w:val="24"/>
        </w:rPr>
        <w:t> </w:t>
      </w:r>
      <w:r>
        <w:rPr>
          <w:sz w:val="24"/>
        </w:rPr>
        <w:t>is</w:t>
      </w:r>
      <w:r>
        <w:rPr>
          <w:spacing w:val="-10"/>
          <w:sz w:val="24"/>
        </w:rPr>
        <w:t> </w:t>
      </w:r>
      <w:r>
        <w:rPr>
          <w:sz w:val="24"/>
        </w:rPr>
        <w:t>in</w:t>
      </w:r>
      <w:r>
        <w:rPr>
          <w:spacing w:val="-7"/>
          <w:sz w:val="24"/>
        </w:rPr>
        <w:t> </w:t>
      </w:r>
      <w:r>
        <w:rPr>
          <w:sz w:val="24"/>
        </w:rPr>
        <w:t>place</w:t>
      </w:r>
      <w:r>
        <w:rPr>
          <w:spacing w:val="-6"/>
          <w:sz w:val="24"/>
        </w:rPr>
        <w:t> </w:t>
      </w:r>
      <w:r>
        <w:rPr>
          <w:sz w:val="24"/>
        </w:rPr>
        <w:t>with</w:t>
      </w:r>
      <w:r>
        <w:rPr>
          <w:spacing w:val="-7"/>
          <w:sz w:val="24"/>
        </w:rPr>
        <w:t> </w:t>
      </w:r>
      <w:r>
        <w:rPr>
          <w:sz w:val="24"/>
        </w:rPr>
        <w:t>the</w:t>
      </w:r>
      <w:r>
        <w:rPr>
          <w:spacing w:val="-7"/>
          <w:sz w:val="24"/>
        </w:rPr>
        <w:t> </w:t>
      </w:r>
      <w:r>
        <w:rPr>
          <w:sz w:val="24"/>
        </w:rPr>
        <w:t>Department</w:t>
      </w:r>
      <w:r>
        <w:rPr>
          <w:spacing w:val="-7"/>
          <w:sz w:val="24"/>
        </w:rPr>
        <w:t> </w:t>
      </w:r>
      <w:r>
        <w:rPr>
          <w:sz w:val="24"/>
        </w:rPr>
        <w:t>in</w:t>
      </w:r>
      <w:r>
        <w:rPr>
          <w:spacing w:val="-9"/>
          <w:sz w:val="24"/>
        </w:rPr>
        <w:t> </w:t>
      </w:r>
      <w:r>
        <w:rPr>
          <w:sz w:val="24"/>
        </w:rPr>
        <w:t>relation</w:t>
      </w:r>
      <w:r>
        <w:rPr>
          <w:spacing w:val="-7"/>
          <w:sz w:val="24"/>
        </w:rPr>
        <w:t> </w:t>
      </w:r>
      <w:r>
        <w:rPr>
          <w:sz w:val="24"/>
        </w:rPr>
        <w:t>to the ICT service and arrangements are in place to back up NDA systems. An independent review of the service has been commissioned by the Department of Justice and Equality, and we await the report and findings of same.</w:t>
      </w:r>
    </w:p>
    <w:p>
      <w:pPr>
        <w:spacing w:before="276"/>
        <w:ind w:left="1702" w:right="988" w:firstLine="0"/>
        <w:jc w:val="both"/>
        <w:rPr>
          <w:sz w:val="24"/>
        </w:rPr>
      </w:pPr>
      <w:r>
        <w:rPr>
          <w:sz w:val="24"/>
        </w:rPr>
        <w:t>The</w:t>
      </w:r>
      <w:r>
        <w:rPr>
          <w:spacing w:val="-7"/>
          <w:sz w:val="24"/>
        </w:rPr>
        <w:t> </w:t>
      </w:r>
      <w:r>
        <w:rPr>
          <w:sz w:val="24"/>
        </w:rPr>
        <w:t>NDA</w:t>
      </w:r>
      <w:r>
        <w:rPr>
          <w:spacing w:val="-6"/>
          <w:sz w:val="24"/>
        </w:rPr>
        <w:t> </w:t>
      </w:r>
      <w:r>
        <w:rPr>
          <w:sz w:val="24"/>
        </w:rPr>
        <w:t>takes</w:t>
      </w:r>
      <w:r>
        <w:rPr>
          <w:spacing w:val="-7"/>
          <w:sz w:val="24"/>
        </w:rPr>
        <w:t> </w:t>
      </w:r>
      <w:r>
        <w:rPr>
          <w:sz w:val="24"/>
        </w:rPr>
        <w:t>assurance</w:t>
      </w:r>
      <w:r>
        <w:rPr>
          <w:spacing w:val="-7"/>
          <w:sz w:val="24"/>
        </w:rPr>
        <w:t> </w:t>
      </w:r>
      <w:r>
        <w:rPr>
          <w:sz w:val="24"/>
        </w:rPr>
        <w:t>from</w:t>
      </w:r>
      <w:r>
        <w:rPr>
          <w:spacing w:val="-7"/>
          <w:sz w:val="24"/>
        </w:rPr>
        <w:t> </w:t>
      </w:r>
      <w:r>
        <w:rPr>
          <w:sz w:val="24"/>
        </w:rPr>
        <w:t>the</w:t>
      </w:r>
      <w:r>
        <w:rPr>
          <w:spacing w:val="-7"/>
          <w:sz w:val="24"/>
        </w:rPr>
        <w:t> </w:t>
      </w:r>
      <w:r>
        <w:rPr>
          <w:sz w:val="24"/>
        </w:rPr>
        <w:t>Head</w:t>
      </w:r>
      <w:r>
        <w:rPr>
          <w:spacing w:val="-7"/>
          <w:sz w:val="24"/>
        </w:rPr>
        <w:t> </w:t>
      </w:r>
      <w:r>
        <w:rPr>
          <w:sz w:val="24"/>
        </w:rPr>
        <w:t>of</w:t>
      </w:r>
      <w:r>
        <w:rPr>
          <w:spacing w:val="-7"/>
          <w:sz w:val="24"/>
        </w:rPr>
        <w:t> </w:t>
      </w:r>
      <w:r>
        <w:rPr>
          <w:sz w:val="24"/>
        </w:rPr>
        <w:t>ICT</w:t>
      </w:r>
      <w:r>
        <w:rPr>
          <w:spacing w:val="-7"/>
          <w:sz w:val="24"/>
        </w:rPr>
        <w:t> </w:t>
      </w:r>
      <w:r>
        <w:rPr>
          <w:sz w:val="24"/>
        </w:rPr>
        <w:t>in</w:t>
      </w:r>
      <w:r>
        <w:rPr>
          <w:spacing w:val="-7"/>
          <w:sz w:val="24"/>
        </w:rPr>
        <w:t> </w:t>
      </w:r>
      <w:r>
        <w:rPr>
          <w:sz w:val="24"/>
        </w:rPr>
        <w:t>the</w:t>
      </w:r>
      <w:r>
        <w:rPr>
          <w:spacing w:val="-7"/>
          <w:sz w:val="24"/>
        </w:rPr>
        <w:t> </w:t>
      </w:r>
      <w:r>
        <w:rPr>
          <w:sz w:val="24"/>
        </w:rPr>
        <w:t>Department</w:t>
      </w:r>
      <w:r>
        <w:rPr>
          <w:spacing w:val="-7"/>
          <w:sz w:val="24"/>
        </w:rPr>
        <w:t> </w:t>
      </w:r>
      <w:r>
        <w:rPr>
          <w:sz w:val="24"/>
        </w:rPr>
        <w:t>of</w:t>
      </w:r>
      <w:r>
        <w:rPr>
          <w:spacing w:val="-7"/>
          <w:sz w:val="24"/>
        </w:rPr>
        <w:t> </w:t>
      </w:r>
      <w:r>
        <w:rPr>
          <w:sz w:val="24"/>
        </w:rPr>
        <w:t>Justice</w:t>
      </w:r>
      <w:r>
        <w:rPr>
          <w:spacing w:val="-7"/>
          <w:sz w:val="24"/>
        </w:rPr>
        <w:t> </w:t>
      </w:r>
      <w:r>
        <w:rPr>
          <w:sz w:val="24"/>
        </w:rPr>
        <w:t>and Equality’s</w:t>
      </w:r>
      <w:r>
        <w:rPr>
          <w:spacing w:val="-5"/>
          <w:sz w:val="24"/>
        </w:rPr>
        <w:t> </w:t>
      </w:r>
      <w:r>
        <w:rPr>
          <w:sz w:val="24"/>
        </w:rPr>
        <w:t>letter</w:t>
      </w:r>
      <w:r>
        <w:rPr>
          <w:spacing w:val="-2"/>
          <w:sz w:val="24"/>
        </w:rPr>
        <w:t> </w:t>
      </w:r>
      <w:r>
        <w:rPr>
          <w:sz w:val="24"/>
        </w:rPr>
        <w:t>and</w:t>
      </w:r>
      <w:r>
        <w:rPr>
          <w:spacing w:val="-3"/>
          <w:sz w:val="24"/>
        </w:rPr>
        <w:t> </w:t>
      </w:r>
      <w:r>
        <w:rPr>
          <w:sz w:val="24"/>
        </w:rPr>
        <w:t>statement</w:t>
      </w:r>
      <w:r>
        <w:rPr>
          <w:spacing w:val="-4"/>
          <w:sz w:val="24"/>
        </w:rPr>
        <w:t> </w:t>
      </w:r>
      <w:r>
        <w:rPr>
          <w:sz w:val="24"/>
        </w:rPr>
        <w:t>of</w:t>
      </w:r>
      <w:r>
        <w:rPr>
          <w:spacing w:val="-3"/>
          <w:sz w:val="24"/>
        </w:rPr>
        <w:t> </w:t>
      </w:r>
      <w:r>
        <w:rPr>
          <w:sz w:val="24"/>
        </w:rPr>
        <w:t>controls</w:t>
      </w:r>
      <w:r>
        <w:rPr>
          <w:spacing w:val="-5"/>
          <w:sz w:val="24"/>
        </w:rPr>
        <w:t> </w:t>
      </w:r>
      <w:r>
        <w:rPr>
          <w:sz w:val="24"/>
        </w:rPr>
        <w:t>stating</w:t>
      </w:r>
      <w:r>
        <w:rPr>
          <w:spacing w:val="-3"/>
          <w:sz w:val="24"/>
        </w:rPr>
        <w:t> </w:t>
      </w:r>
      <w:r>
        <w:rPr>
          <w:sz w:val="24"/>
        </w:rPr>
        <w:t>that</w:t>
      </w:r>
      <w:r>
        <w:rPr>
          <w:spacing w:val="-3"/>
          <w:sz w:val="24"/>
        </w:rPr>
        <w:t> </w:t>
      </w:r>
      <w:r>
        <w:rPr>
          <w:sz w:val="24"/>
        </w:rPr>
        <w:t>adequate</w:t>
      </w:r>
      <w:r>
        <w:rPr>
          <w:spacing w:val="-3"/>
          <w:sz w:val="24"/>
        </w:rPr>
        <w:t> </w:t>
      </w:r>
      <w:r>
        <w:rPr>
          <w:sz w:val="24"/>
        </w:rPr>
        <w:t>IT</w:t>
      </w:r>
      <w:r>
        <w:rPr>
          <w:spacing w:val="-3"/>
          <w:sz w:val="24"/>
        </w:rPr>
        <w:t> </w:t>
      </w:r>
      <w:r>
        <w:rPr>
          <w:sz w:val="24"/>
        </w:rPr>
        <w:t>controls</w:t>
      </w:r>
      <w:r>
        <w:rPr>
          <w:spacing w:val="-5"/>
          <w:sz w:val="24"/>
        </w:rPr>
        <w:t> </w:t>
      </w:r>
      <w:r>
        <w:rPr>
          <w:sz w:val="24"/>
        </w:rPr>
        <w:t>are</w:t>
      </w:r>
      <w:r>
        <w:rPr>
          <w:spacing w:val="-3"/>
          <w:sz w:val="24"/>
        </w:rPr>
        <w:t> </w:t>
      </w:r>
      <w:r>
        <w:rPr>
          <w:sz w:val="24"/>
        </w:rPr>
        <w:t>in place and are operating effectively. A statement of controls is appended to the letter,</w:t>
      </w:r>
      <w:r>
        <w:rPr>
          <w:spacing w:val="-12"/>
          <w:sz w:val="24"/>
        </w:rPr>
        <w:t> </w:t>
      </w:r>
      <w:r>
        <w:rPr>
          <w:sz w:val="24"/>
        </w:rPr>
        <w:t>covering</w:t>
      </w:r>
      <w:r>
        <w:rPr>
          <w:spacing w:val="-11"/>
          <w:sz w:val="24"/>
        </w:rPr>
        <w:t> </w:t>
      </w:r>
      <w:r>
        <w:rPr>
          <w:sz w:val="24"/>
        </w:rPr>
        <w:t>information</w:t>
      </w:r>
      <w:r>
        <w:rPr>
          <w:spacing w:val="-12"/>
          <w:sz w:val="24"/>
        </w:rPr>
        <w:t> </w:t>
      </w:r>
      <w:r>
        <w:rPr>
          <w:sz w:val="24"/>
        </w:rPr>
        <w:t>management</w:t>
      </w:r>
      <w:r>
        <w:rPr>
          <w:spacing w:val="-13"/>
          <w:sz w:val="24"/>
        </w:rPr>
        <w:t> </w:t>
      </w:r>
      <w:r>
        <w:rPr>
          <w:sz w:val="24"/>
        </w:rPr>
        <w:t>including</w:t>
      </w:r>
      <w:r>
        <w:rPr>
          <w:spacing w:val="-13"/>
          <w:sz w:val="24"/>
        </w:rPr>
        <w:t> </w:t>
      </w:r>
      <w:r>
        <w:rPr>
          <w:sz w:val="24"/>
        </w:rPr>
        <w:t>security</w:t>
      </w:r>
      <w:r>
        <w:rPr>
          <w:spacing w:val="-14"/>
          <w:sz w:val="24"/>
        </w:rPr>
        <w:t> </w:t>
      </w:r>
      <w:r>
        <w:rPr>
          <w:sz w:val="24"/>
        </w:rPr>
        <w:t>&amp;</w:t>
      </w:r>
      <w:r>
        <w:rPr>
          <w:spacing w:val="-10"/>
          <w:sz w:val="24"/>
        </w:rPr>
        <w:t> </w:t>
      </w:r>
      <w:r>
        <w:rPr>
          <w:sz w:val="24"/>
        </w:rPr>
        <w:t>privacy;</w:t>
      </w:r>
      <w:r>
        <w:rPr>
          <w:spacing w:val="-11"/>
          <w:sz w:val="24"/>
        </w:rPr>
        <w:t> </w:t>
      </w:r>
      <w:r>
        <w:rPr>
          <w:sz w:val="24"/>
        </w:rPr>
        <w:t>ICT</w:t>
      </w:r>
      <w:r>
        <w:rPr>
          <w:spacing w:val="-13"/>
          <w:sz w:val="24"/>
        </w:rPr>
        <w:t> </w:t>
      </w:r>
      <w:r>
        <w:rPr>
          <w:sz w:val="24"/>
        </w:rPr>
        <w:t>disaster recovery; SLA arrangements; security of ICT infrastructure; ICT asset management; Data Protection; Mobile Asset Security; Communication networks; Governance of ICTs and Project Management practices.</w:t>
      </w:r>
    </w:p>
    <w:p>
      <w:pPr>
        <w:pStyle w:val="BodyText"/>
        <w:spacing w:before="1"/>
        <w:rPr>
          <w:sz w:val="24"/>
        </w:rPr>
      </w:pPr>
    </w:p>
    <w:p>
      <w:pPr>
        <w:spacing w:before="0"/>
        <w:ind w:left="1702" w:right="986" w:firstLine="0"/>
        <w:jc w:val="both"/>
        <w:rPr>
          <w:sz w:val="24"/>
        </w:rPr>
      </w:pPr>
      <w:r>
        <w:rPr>
          <w:sz w:val="24"/>
        </w:rPr>
        <w:t>IT assets are recorded on the Asset Register of the Department of Justice and Equality and checked at regular intervals. All other assets are recorded on the NDA Asset Register and also checked at regular intervals.</w:t>
      </w:r>
      <w:r>
        <w:rPr>
          <w:spacing w:val="40"/>
          <w:sz w:val="24"/>
        </w:rPr>
        <w:t> </w:t>
      </w:r>
      <w:r>
        <w:rPr>
          <w:sz w:val="24"/>
        </w:rPr>
        <w:t>Assets are treated in the financial statements in line with the appropriate depreciation rates.</w:t>
      </w:r>
    </w:p>
    <w:p>
      <w:pPr>
        <w:pStyle w:val="BodyText"/>
        <w:rPr>
          <w:sz w:val="24"/>
        </w:rPr>
      </w:pPr>
    </w:p>
    <w:p>
      <w:pPr>
        <w:pStyle w:val="BodyText"/>
        <w:spacing w:before="1"/>
        <w:rPr>
          <w:sz w:val="24"/>
        </w:rPr>
      </w:pPr>
    </w:p>
    <w:p>
      <w:pPr>
        <w:spacing w:before="0"/>
        <w:ind w:left="1702" w:right="0" w:firstLine="0"/>
        <w:jc w:val="both"/>
        <w:rPr>
          <w:b/>
          <w:sz w:val="24"/>
        </w:rPr>
      </w:pPr>
      <w:r>
        <w:rPr>
          <w:b/>
          <w:sz w:val="24"/>
        </w:rPr>
        <w:t>Shared</w:t>
      </w:r>
      <w:r>
        <w:rPr>
          <w:b/>
          <w:spacing w:val="-3"/>
          <w:sz w:val="24"/>
        </w:rPr>
        <w:t> </w:t>
      </w:r>
      <w:r>
        <w:rPr>
          <w:b/>
          <w:sz w:val="24"/>
        </w:rPr>
        <w:t>Financial</w:t>
      </w:r>
      <w:r>
        <w:rPr>
          <w:b/>
          <w:spacing w:val="1"/>
          <w:sz w:val="24"/>
        </w:rPr>
        <w:t> </w:t>
      </w:r>
      <w:r>
        <w:rPr>
          <w:b/>
          <w:spacing w:val="-2"/>
          <w:sz w:val="24"/>
        </w:rPr>
        <w:t>Services</w:t>
      </w:r>
    </w:p>
    <w:p>
      <w:pPr>
        <w:pStyle w:val="BodyText"/>
        <w:spacing w:before="53"/>
        <w:rPr>
          <w:b/>
          <w:sz w:val="24"/>
        </w:rPr>
      </w:pPr>
    </w:p>
    <w:p>
      <w:pPr>
        <w:spacing w:before="0"/>
        <w:ind w:left="1702" w:right="987" w:firstLine="0"/>
        <w:jc w:val="both"/>
        <w:rPr>
          <w:sz w:val="24"/>
        </w:rPr>
      </w:pPr>
      <w:r>
        <w:rPr>
          <w:sz w:val="24"/>
        </w:rPr>
        <w:t>The NDA avails of shared financial services under the Department of Justice &amp; Equality. There is no Service Level Agreement in place between the Department and the NDA, as the NDA does not have its own funding Vote. However, the Department</w:t>
      </w:r>
      <w:r>
        <w:rPr>
          <w:spacing w:val="-11"/>
          <w:sz w:val="24"/>
        </w:rPr>
        <w:t> </w:t>
      </w:r>
      <w:r>
        <w:rPr>
          <w:sz w:val="24"/>
        </w:rPr>
        <w:t>has</w:t>
      </w:r>
      <w:r>
        <w:rPr>
          <w:spacing w:val="-10"/>
          <w:sz w:val="24"/>
        </w:rPr>
        <w:t> </w:t>
      </w:r>
      <w:r>
        <w:rPr>
          <w:sz w:val="24"/>
        </w:rPr>
        <w:t>provided</w:t>
      </w:r>
      <w:r>
        <w:rPr>
          <w:spacing w:val="-10"/>
          <w:sz w:val="24"/>
        </w:rPr>
        <w:t> </w:t>
      </w:r>
      <w:r>
        <w:rPr>
          <w:sz w:val="24"/>
        </w:rPr>
        <w:t>written</w:t>
      </w:r>
      <w:r>
        <w:rPr>
          <w:spacing w:val="-10"/>
          <w:sz w:val="24"/>
        </w:rPr>
        <w:t> </w:t>
      </w:r>
      <w:r>
        <w:rPr>
          <w:sz w:val="24"/>
        </w:rPr>
        <w:t>assurance</w:t>
      </w:r>
      <w:r>
        <w:rPr>
          <w:spacing w:val="-10"/>
          <w:sz w:val="24"/>
        </w:rPr>
        <w:t> </w:t>
      </w:r>
      <w:r>
        <w:rPr>
          <w:sz w:val="24"/>
        </w:rPr>
        <w:t>to</w:t>
      </w:r>
      <w:r>
        <w:rPr>
          <w:spacing w:val="-11"/>
          <w:sz w:val="24"/>
        </w:rPr>
        <w:t> </w:t>
      </w:r>
      <w:r>
        <w:rPr>
          <w:sz w:val="24"/>
        </w:rPr>
        <w:t>the</w:t>
      </w:r>
      <w:r>
        <w:rPr>
          <w:spacing w:val="-10"/>
          <w:sz w:val="24"/>
        </w:rPr>
        <w:t> </w:t>
      </w:r>
      <w:r>
        <w:rPr>
          <w:sz w:val="24"/>
        </w:rPr>
        <w:t>NDA</w:t>
      </w:r>
      <w:r>
        <w:rPr>
          <w:spacing w:val="-10"/>
          <w:sz w:val="24"/>
        </w:rPr>
        <w:t> </w:t>
      </w:r>
      <w:r>
        <w:rPr>
          <w:sz w:val="24"/>
        </w:rPr>
        <w:t>in</w:t>
      </w:r>
      <w:r>
        <w:rPr>
          <w:spacing w:val="-10"/>
          <w:sz w:val="24"/>
        </w:rPr>
        <w:t> </w:t>
      </w:r>
      <w:r>
        <w:rPr>
          <w:sz w:val="24"/>
        </w:rPr>
        <w:t>relation</w:t>
      </w:r>
      <w:r>
        <w:rPr>
          <w:spacing w:val="-10"/>
          <w:sz w:val="24"/>
        </w:rPr>
        <w:t> </w:t>
      </w:r>
      <w:r>
        <w:rPr>
          <w:sz w:val="24"/>
        </w:rPr>
        <w:t>to</w:t>
      </w:r>
      <w:r>
        <w:rPr>
          <w:spacing w:val="-11"/>
          <w:sz w:val="24"/>
        </w:rPr>
        <w:t> </w:t>
      </w:r>
      <w:r>
        <w:rPr>
          <w:sz w:val="24"/>
        </w:rPr>
        <w:t>controls</w:t>
      </w:r>
      <w:r>
        <w:rPr>
          <w:spacing w:val="-11"/>
          <w:sz w:val="24"/>
        </w:rPr>
        <w:t> </w:t>
      </w:r>
      <w:r>
        <w:rPr>
          <w:sz w:val="24"/>
        </w:rPr>
        <w:t>of the financial shared service. The NDA receives monthly reports of expenditure from the Department and these are reconciled monthly against NDA data on expenditure and budget profiles.</w:t>
      </w:r>
    </w:p>
    <w:p>
      <w:pPr>
        <w:spacing w:after="0"/>
        <w:jc w:val="both"/>
        <w:rPr>
          <w:sz w:val="24"/>
        </w:rPr>
        <w:sectPr>
          <w:pgSz w:w="11910" w:h="16850"/>
          <w:pgMar w:header="0" w:footer="811" w:top="1880" w:bottom="1000" w:left="283" w:right="992"/>
        </w:sectPr>
      </w:pPr>
    </w:p>
    <w:p>
      <w:pPr>
        <w:spacing w:before="78"/>
        <w:ind w:left="1702" w:right="991" w:firstLine="0"/>
        <w:jc w:val="both"/>
        <w:rPr>
          <w:sz w:val="24"/>
        </w:rPr>
      </w:pPr>
      <w:r>
        <w:rPr>
          <w:sz w:val="24"/>
        </w:rPr>
        <w:t>The NDA takes assurance from the system of control within the Department of Justice and Equality as reported by Assistant Secretary of the Corporate Services </w:t>
      </w:r>
      <w:r>
        <w:rPr>
          <w:spacing w:val="-2"/>
          <w:sz w:val="24"/>
        </w:rPr>
        <w:t>Department.</w:t>
      </w:r>
    </w:p>
    <w:p>
      <w:pPr>
        <w:pStyle w:val="BodyText"/>
        <w:spacing w:before="53"/>
        <w:rPr>
          <w:sz w:val="24"/>
        </w:rPr>
      </w:pPr>
    </w:p>
    <w:p>
      <w:pPr>
        <w:spacing w:before="0"/>
        <w:ind w:left="1702" w:right="990" w:firstLine="0"/>
        <w:jc w:val="both"/>
        <w:rPr>
          <w:sz w:val="24"/>
        </w:rPr>
      </w:pPr>
      <w:r>
        <w:rPr>
          <w:sz w:val="24"/>
        </w:rPr>
        <w:t>The NDA also avails of shared services from the Payroll Shared Services Centre (PSSC) under the Department of Public Expenditure and Reform. The service is covered under a Service Level Agreement (SLA) between the PSSC and the Department, but there is no SLA in place directly with the NDA.</w:t>
      </w:r>
    </w:p>
    <w:p>
      <w:pPr>
        <w:pStyle w:val="BodyText"/>
        <w:spacing w:before="56"/>
        <w:rPr>
          <w:sz w:val="24"/>
        </w:rPr>
      </w:pPr>
    </w:p>
    <w:p>
      <w:pPr>
        <w:spacing w:before="0"/>
        <w:ind w:left="1702" w:right="986" w:firstLine="0"/>
        <w:jc w:val="both"/>
        <w:rPr>
          <w:sz w:val="24"/>
        </w:rPr>
      </w:pPr>
      <w:r>
        <w:rPr>
          <w:sz w:val="24"/>
        </w:rPr>
        <w:t>The</w:t>
      </w:r>
      <w:r>
        <w:rPr>
          <w:spacing w:val="-1"/>
          <w:sz w:val="24"/>
        </w:rPr>
        <w:t> </w:t>
      </w:r>
      <w:r>
        <w:rPr>
          <w:sz w:val="24"/>
        </w:rPr>
        <w:t>NDA</w:t>
      </w:r>
      <w:r>
        <w:rPr>
          <w:spacing w:val="-2"/>
          <w:sz w:val="24"/>
        </w:rPr>
        <w:t> </w:t>
      </w:r>
      <w:r>
        <w:rPr>
          <w:sz w:val="24"/>
        </w:rPr>
        <w:t>receives</w:t>
      </w:r>
      <w:r>
        <w:rPr>
          <w:spacing w:val="-1"/>
          <w:sz w:val="24"/>
        </w:rPr>
        <w:t> </w:t>
      </w:r>
      <w:r>
        <w:rPr>
          <w:sz w:val="24"/>
        </w:rPr>
        <w:t>fortnightly</w:t>
      </w:r>
      <w:r>
        <w:rPr>
          <w:spacing w:val="-1"/>
          <w:sz w:val="24"/>
        </w:rPr>
        <w:t> </w:t>
      </w:r>
      <w:r>
        <w:rPr>
          <w:sz w:val="24"/>
        </w:rPr>
        <w:t>payroll</w:t>
      </w:r>
      <w:r>
        <w:rPr>
          <w:spacing w:val="-3"/>
          <w:sz w:val="24"/>
        </w:rPr>
        <w:t> </w:t>
      </w:r>
      <w:r>
        <w:rPr>
          <w:sz w:val="24"/>
        </w:rPr>
        <w:t>reports</w:t>
      </w:r>
      <w:r>
        <w:rPr>
          <w:spacing w:val="-2"/>
          <w:sz w:val="24"/>
        </w:rPr>
        <w:t> </w:t>
      </w:r>
      <w:r>
        <w:rPr>
          <w:sz w:val="24"/>
        </w:rPr>
        <w:t>and</w:t>
      </w:r>
      <w:r>
        <w:rPr>
          <w:spacing w:val="-1"/>
          <w:sz w:val="24"/>
        </w:rPr>
        <w:t> </w:t>
      </w:r>
      <w:r>
        <w:rPr>
          <w:sz w:val="24"/>
        </w:rPr>
        <w:t>the NDA</w:t>
      </w:r>
      <w:r>
        <w:rPr>
          <w:spacing w:val="-2"/>
          <w:sz w:val="24"/>
        </w:rPr>
        <w:t> </w:t>
      </w:r>
      <w:r>
        <w:rPr>
          <w:sz w:val="24"/>
        </w:rPr>
        <w:t>met</w:t>
      </w:r>
      <w:r>
        <w:rPr>
          <w:spacing w:val="-1"/>
          <w:sz w:val="24"/>
        </w:rPr>
        <w:t> </w:t>
      </w:r>
      <w:r>
        <w:rPr>
          <w:sz w:val="24"/>
        </w:rPr>
        <w:t>with</w:t>
      </w:r>
      <w:r>
        <w:rPr>
          <w:spacing w:val="-2"/>
          <w:sz w:val="24"/>
        </w:rPr>
        <w:t> </w:t>
      </w:r>
      <w:r>
        <w:rPr>
          <w:sz w:val="24"/>
        </w:rPr>
        <w:t>the</w:t>
      </w:r>
      <w:r>
        <w:rPr>
          <w:spacing w:val="-2"/>
          <w:sz w:val="24"/>
        </w:rPr>
        <w:t> </w:t>
      </w:r>
      <w:r>
        <w:rPr>
          <w:sz w:val="24"/>
        </w:rPr>
        <w:t>head</w:t>
      </w:r>
      <w:r>
        <w:rPr>
          <w:spacing w:val="-1"/>
          <w:sz w:val="24"/>
        </w:rPr>
        <w:t> </w:t>
      </w:r>
      <w:r>
        <w:rPr>
          <w:sz w:val="24"/>
        </w:rPr>
        <w:t>of service and senior officials in the National Shared Services Office of the Department of Public Expenditure and Reform in relation to payroll reporting in September</w:t>
      </w:r>
      <w:r>
        <w:rPr>
          <w:spacing w:val="-1"/>
          <w:sz w:val="24"/>
        </w:rPr>
        <w:t> </w:t>
      </w:r>
      <w:r>
        <w:rPr>
          <w:sz w:val="24"/>
        </w:rPr>
        <w:t>2017.</w:t>
      </w:r>
      <w:r>
        <w:rPr>
          <w:spacing w:val="80"/>
          <w:sz w:val="24"/>
        </w:rPr>
        <w:t> </w:t>
      </w:r>
      <w:r>
        <w:rPr>
          <w:sz w:val="24"/>
        </w:rPr>
        <w:t>The</w:t>
      </w:r>
      <w:r>
        <w:rPr>
          <w:spacing w:val="-5"/>
          <w:sz w:val="24"/>
        </w:rPr>
        <w:t> </w:t>
      </w:r>
      <w:r>
        <w:rPr>
          <w:sz w:val="24"/>
        </w:rPr>
        <w:t>controls</w:t>
      </w:r>
      <w:r>
        <w:rPr>
          <w:spacing w:val="-4"/>
          <w:sz w:val="24"/>
        </w:rPr>
        <w:t> </w:t>
      </w:r>
      <w:r>
        <w:rPr>
          <w:sz w:val="24"/>
        </w:rPr>
        <w:t>operated</w:t>
      </w:r>
      <w:r>
        <w:rPr>
          <w:spacing w:val="-2"/>
          <w:sz w:val="24"/>
        </w:rPr>
        <w:t> </w:t>
      </w:r>
      <w:r>
        <w:rPr>
          <w:sz w:val="24"/>
        </w:rPr>
        <w:t>by</w:t>
      </w:r>
      <w:r>
        <w:rPr>
          <w:spacing w:val="-4"/>
          <w:sz w:val="24"/>
        </w:rPr>
        <w:t> </w:t>
      </w:r>
      <w:r>
        <w:rPr>
          <w:sz w:val="24"/>
        </w:rPr>
        <w:t>the</w:t>
      </w:r>
      <w:r>
        <w:rPr>
          <w:spacing w:val="-7"/>
          <w:sz w:val="24"/>
        </w:rPr>
        <w:t> </w:t>
      </w:r>
      <w:r>
        <w:rPr>
          <w:sz w:val="24"/>
        </w:rPr>
        <w:t>NDA</w:t>
      </w:r>
      <w:r>
        <w:rPr>
          <w:spacing w:val="-2"/>
          <w:sz w:val="24"/>
        </w:rPr>
        <w:t> </w:t>
      </w:r>
      <w:r>
        <w:rPr>
          <w:sz w:val="24"/>
        </w:rPr>
        <w:t>in</w:t>
      </w:r>
      <w:r>
        <w:rPr>
          <w:spacing w:val="-5"/>
          <w:sz w:val="24"/>
        </w:rPr>
        <w:t> </w:t>
      </w:r>
      <w:r>
        <w:rPr>
          <w:sz w:val="24"/>
        </w:rPr>
        <w:t>relation</w:t>
      </w:r>
      <w:r>
        <w:rPr>
          <w:spacing w:val="-2"/>
          <w:sz w:val="24"/>
        </w:rPr>
        <w:t> </w:t>
      </w:r>
      <w:r>
        <w:rPr>
          <w:sz w:val="24"/>
        </w:rPr>
        <w:t>to</w:t>
      </w:r>
      <w:r>
        <w:rPr>
          <w:spacing w:val="-3"/>
          <w:sz w:val="24"/>
        </w:rPr>
        <w:t> </w:t>
      </w:r>
      <w:r>
        <w:rPr>
          <w:sz w:val="24"/>
        </w:rPr>
        <w:t>payroll</w:t>
      </w:r>
      <w:r>
        <w:rPr>
          <w:spacing w:val="-3"/>
          <w:sz w:val="24"/>
        </w:rPr>
        <w:t> </w:t>
      </w:r>
      <w:r>
        <w:rPr>
          <w:sz w:val="24"/>
        </w:rPr>
        <w:t>were covered</w:t>
      </w:r>
      <w:r>
        <w:rPr>
          <w:spacing w:val="-2"/>
          <w:sz w:val="24"/>
        </w:rPr>
        <w:t> </w:t>
      </w:r>
      <w:r>
        <w:rPr>
          <w:sz w:val="24"/>
        </w:rPr>
        <w:t>in</w:t>
      </w:r>
      <w:r>
        <w:rPr>
          <w:spacing w:val="-2"/>
          <w:sz w:val="24"/>
        </w:rPr>
        <w:t> </w:t>
      </w:r>
      <w:r>
        <w:rPr>
          <w:sz w:val="24"/>
        </w:rPr>
        <w:t>the</w:t>
      </w:r>
      <w:r>
        <w:rPr>
          <w:spacing w:val="-2"/>
          <w:sz w:val="24"/>
        </w:rPr>
        <w:t> </w:t>
      </w:r>
      <w:r>
        <w:rPr>
          <w:sz w:val="24"/>
        </w:rPr>
        <w:t>two</w:t>
      </w:r>
      <w:r>
        <w:rPr>
          <w:spacing w:val="-2"/>
          <w:sz w:val="24"/>
        </w:rPr>
        <w:t> </w:t>
      </w:r>
      <w:r>
        <w:rPr>
          <w:sz w:val="24"/>
        </w:rPr>
        <w:t>audits</w:t>
      </w:r>
      <w:r>
        <w:rPr>
          <w:spacing w:val="-4"/>
          <w:sz w:val="24"/>
        </w:rPr>
        <w:t> </w:t>
      </w:r>
      <w:r>
        <w:rPr>
          <w:sz w:val="24"/>
        </w:rPr>
        <w:t>conducted</w:t>
      </w:r>
      <w:r>
        <w:rPr>
          <w:spacing w:val="-2"/>
          <w:sz w:val="24"/>
        </w:rPr>
        <w:t> </w:t>
      </w:r>
      <w:r>
        <w:rPr>
          <w:sz w:val="24"/>
        </w:rPr>
        <w:t>in</w:t>
      </w:r>
      <w:r>
        <w:rPr>
          <w:spacing w:val="-2"/>
          <w:sz w:val="24"/>
        </w:rPr>
        <w:t> </w:t>
      </w:r>
      <w:r>
        <w:rPr>
          <w:sz w:val="24"/>
        </w:rPr>
        <w:t>quarter</w:t>
      </w:r>
      <w:r>
        <w:rPr>
          <w:spacing w:val="-2"/>
          <w:sz w:val="24"/>
        </w:rPr>
        <w:t> </w:t>
      </w:r>
      <w:r>
        <w:rPr>
          <w:sz w:val="24"/>
        </w:rPr>
        <w:t>one</w:t>
      </w:r>
      <w:r>
        <w:rPr>
          <w:spacing w:val="-2"/>
          <w:sz w:val="24"/>
        </w:rPr>
        <w:t> </w:t>
      </w:r>
      <w:r>
        <w:rPr>
          <w:sz w:val="24"/>
        </w:rPr>
        <w:t>of</w:t>
      </w:r>
      <w:r>
        <w:rPr>
          <w:spacing w:val="-2"/>
          <w:sz w:val="24"/>
        </w:rPr>
        <w:t> </w:t>
      </w:r>
      <w:r>
        <w:rPr>
          <w:sz w:val="24"/>
        </w:rPr>
        <w:t>2018</w:t>
      </w:r>
      <w:r>
        <w:rPr>
          <w:spacing w:val="-2"/>
          <w:sz w:val="24"/>
        </w:rPr>
        <w:t> </w:t>
      </w:r>
      <w:r>
        <w:rPr>
          <w:sz w:val="24"/>
        </w:rPr>
        <w:t>including</w:t>
      </w:r>
      <w:r>
        <w:rPr>
          <w:spacing w:val="-1"/>
          <w:sz w:val="24"/>
        </w:rPr>
        <w:t> </w:t>
      </w:r>
      <w:r>
        <w:rPr>
          <w:sz w:val="24"/>
        </w:rPr>
        <w:t>the</w:t>
      </w:r>
      <w:r>
        <w:rPr>
          <w:spacing w:val="-2"/>
          <w:sz w:val="24"/>
        </w:rPr>
        <w:t> </w:t>
      </w:r>
      <w:r>
        <w:rPr>
          <w:sz w:val="24"/>
        </w:rPr>
        <w:t>Review of</w:t>
      </w:r>
      <w:r>
        <w:rPr>
          <w:spacing w:val="-7"/>
          <w:sz w:val="24"/>
        </w:rPr>
        <w:t> </w:t>
      </w:r>
      <w:r>
        <w:rPr>
          <w:sz w:val="24"/>
        </w:rPr>
        <w:t>Internal</w:t>
      </w:r>
      <w:r>
        <w:rPr>
          <w:spacing w:val="-9"/>
          <w:sz w:val="24"/>
        </w:rPr>
        <w:t> </w:t>
      </w:r>
      <w:r>
        <w:rPr>
          <w:sz w:val="24"/>
        </w:rPr>
        <w:t>Controls</w:t>
      </w:r>
      <w:r>
        <w:rPr>
          <w:spacing w:val="-8"/>
          <w:sz w:val="24"/>
        </w:rPr>
        <w:t> </w:t>
      </w:r>
      <w:r>
        <w:rPr>
          <w:sz w:val="24"/>
        </w:rPr>
        <w:t>and</w:t>
      </w:r>
      <w:r>
        <w:rPr>
          <w:spacing w:val="-8"/>
          <w:sz w:val="24"/>
        </w:rPr>
        <w:t> </w:t>
      </w:r>
      <w:r>
        <w:rPr>
          <w:sz w:val="24"/>
        </w:rPr>
        <w:t>the</w:t>
      </w:r>
      <w:r>
        <w:rPr>
          <w:spacing w:val="-7"/>
          <w:sz w:val="24"/>
        </w:rPr>
        <w:t> </w:t>
      </w:r>
      <w:r>
        <w:rPr>
          <w:sz w:val="24"/>
        </w:rPr>
        <w:t>Review</w:t>
      </w:r>
      <w:r>
        <w:rPr>
          <w:spacing w:val="-7"/>
          <w:sz w:val="24"/>
        </w:rPr>
        <w:t> </w:t>
      </w:r>
      <w:r>
        <w:rPr>
          <w:sz w:val="24"/>
        </w:rPr>
        <w:t>of</w:t>
      </w:r>
      <w:r>
        <w:rPr>
          <w:spacing w:val="-7"/>
          <w:sz w:val="24"/>
        </w:rPr>
        <w:t> </w:t>
      </w:r>
      <w:r>
        <w:rPr>
          <w:sz w:val="24"/>
        </w:rPr>
        <w:t>the</w:t>
      </w:r>
      <w:r>
        <w:rPr>
          <w:spacing w:val="-10"/>
          <w:sz w:val="24"/>
        </w:rPr>
        <w:t> </w:t>
      </w:r>
      <w:r>
        <w:rPr>
          <w:sz w:val="24"/>
        </w:rPr>
        <w:t>procedures</w:t>
      </w:r>
      <w:r>
        <w:rPr>
          <w:spacing w:val="-8"/>
          <w:sz w:val="24"/>
        </w:rPr>
        <w:t> </w:t>
      </w:r>
      <w:r>
        <w:rPr>
          <w:sz w:val="24"/>
        </w:rPr>
        <w:t>to</w:t>
      </w:r>
      <w:r>
        <w:rPr>
          <w:spacing w:val="-8"/>
          <w:sz w:val="24"/>
        </w:rPr>
        <w:t> </w:t>
      </w:r>
      <w:r>
        <w:rPr>
          <w:sz w:val="24"/>
        </w:rPr>
        <w:t>produce</w:t>
      </w:r>
      <w:r>
        <w:rPr>
          <w:spacing w:val="-9"/>
          <w:sz w:val="24"/>
        </w:rPr>
        <w:t> </w:t>
      </w:r>
      <w:r>
        <w:rPr>
          <w:sz w:val="24"/>
        </w:rPr>
        <w:t>annual</w:t>
      </w:r>
      <w:r>
        <w:rPr>
          <w:spacing w:val="-11"/>
          <w:sz w:val="24"/>
        </w:rPr>
        <w:t> </w:t>
      </w:r>
      <w:r>
        <w:rPr>
          <w:sz w:val="24"/>
        </w:rPr>
        <w:t>financial </w:t>
      </w:r>
      <w:r>
        <w:rPr>
          <w:spacing w:val="-2"/>
          <w:sz w:val="24"/>
        </w:rPr>
        <w:t>statements.</w:t>
      </w:r>
    </w:p>
    <w:p>
      <w:pPr>
        <w:pStyle w:val="BodyText"/>
        <w:spacing w:before="53"/>
        <w:rPr>
          <w:sz w:val="24"/>
        </w:rPr>
      </w:pPr>
    </w:p>
    <w:p>
      <w:pPr>
        <w:spacing w:before="1"/>
        <w:ind w:left="1702" w:right="997" w:firstLine="0"/>
        <w:jc w:val="both"/>
        <w:rPr>
          <w:sz w:val="24"/>
        </w:rPr>
      </w:pPr>
      <w:r>
        <w:rPr>
          <w:sz w:val="24"/>
        </w:rPr>
        <w:t>The Accounting Officer of the National Shared Services Office (Vote 18) is responsible for the operation of controls within the Shared Services Centres.</w:t>
      </w:r>
    </w:p>
    <w:p>
      <w:pPr>
        <w:pStyle w:val="BodyText"/>
        <w:spacing w:before="53"/>
        <w:rPr>
          <w:sz w:val="24"/>
        </w:rPr>
      </w:pPr>
    </w:p>
    <w:p>
      <w:pPr>
        <w:spacing w:before="0"/>
        <w:ind w:left="1702" w:right="992" w:firstLine="0"/>
        <w:jc w:val="both"/>
        <w:rPr>
          <w:sz w:val="24"/>
        </w:rPr>
      </w:pPr>
      <w:r>
        <w:rPr>
          <w:sz w:val="24"/>
        </w:rPr>
        <w:t>The Accounting Officer for Shared Services has confirmed that an audit process has been put in place to provide independent assurance on the operation of controls within shared services. The audits are being conducted by a firm of accountants in accordance with the International Standard on Assurance Engagements (ISAE 3402) which is designed to report to user departments and their auditors on the controls within shared services.</w:t>
      </w:r>
    </w:p>
    <w:p>
      <w:pPr>
        <w:pStyle w:val="BodyText"/>
        <w:spacing w:before="56"/>
        <w:rPr>
          <w:sz w:val="24"/>
        </w:rPr>
      </w:pPr>
    </w:p>
    <w:p>
      <w:pPr>
        <w:spacing w:before="0"/>
        <w:ind w:left="1702" w:right="988" w:firstLine="0"/>
        <w:jc w:val="both"/>
        <w:rPr>
          <w:sz w:val="24"/>
        </w:rPr>
      </w:pPr>
      <w:r>
        <w:rPr>
          <w:sz w:val="24"/>
        </w:rPr>
        <w:t>The audits encompass (i) a readiness assessment to identify risks and related controls and provide a gap analysis, followed by (ii) a report on the design and existence of controls, and (iii) an annual report on whether controls operated </w:t>
      </w:r>
      <w:r>
        <w:rPr>
          <w:spacing w:val="-2"/>
          <w:sz w:val="24"/>
        </w:rPr>
        <w:t>effectively.</w:t>
      </w:r>
    </w:p>
    <w:p>
      <w:pPr>
        <w:pStyle w:val="BodyText"/>
        <w:spacing w:before="53"/>
        <w:rPr>
          <w:sz w:val="24"/>
        </w:rPr>
      </w:pPr>
    </w:p>
    <w:p>
      <w:pPr>
        <w:spacing w:before="1"/>
        <w:ind w:left="1702" w:right="993" w:firstLine="0"/>
        <w:jc w:val="both"/>
        <w:rPr>
          <w:sz w:val="24"/>
        </w:rPr>
      </w:pPr>
      <w:r>
        <w:rPr>
          <w:sz w:val="24"/>
        </w:rPr>
        <w:t>The Accounting Officer for shared services has provided the NDA with a letter outlining progress in implementing the audit assurance process and the results of the audits on the design, existence and operation of controls are expected to be reported to the NDA as set out in that letter.</w:t>
      </w:r>
    </w:p>
    <w:p>
      <w:pPr>
        <w:pStyle w:val="BodyText"/>
        <w:spacing w:before="53"/>
        <w:rPr>
          <w:sz w:val="24"/>
        </w:rPr>
      </w:pPr>
    </w:p>
    <w:p>
      <w:pPr>
        <w:spacing w:before="0"/>
        <w:ind w:left="1702" w:right="991" w:firstLine="0"/>
        <w:jc w:val="both"/>
        <w:rPr>
          <w:sz w:val="24"/>
        </w:rPr>
      </w:pPr>
      <w:r>
        <w:rPr>
          <w:sz w:val="24"/>
        </w:rPr>
        <w:t>The NDA takes assurance from the system of control within shared services as reported by the Accounting Officer for Shared Services.</w:t>
      </w:r>
    </w:p>
    <w:p>
      <w:pPr>
        <w:spacing w:after="0"/>
        <w:jc w:val="both"/>
        <w:rPr>
          <w:sz w:val="24"/>
        </w:rPr>
        <w:sectPr>
          <w:pgSz w:w="11910" w:h="16850"/>
          <w:pgMar w:header="0" w:footer="811" w:top="1880" w:bottom="1000" w:left="283" w:right="992"/>
        </w:sectPr>
      </w:pPr>
    </w:p>
    <w:p>
      <w:pPr>
        <w:spacing w:before="78"/>
        <w:ind w:left="1702" w:right="0" w:firstLine="0"/>
        <w:jc w:val="left"/>
        <w:rPr>
          <w:b/>
          <w:sz w:val="24"/>
        </w:rPr>
      </w:pPr>
      <w:r>
        <w:rPr>
          <w:b/>
          <w:sz w:val="24"/>
        </w:rPr>
        <w:t>Fraud</w:t>
      </w:r>
      <w:r>
        <w:rPr>
          <w:b/>
          <w:spacing w:val="-3"/>
          <w:sz w:val="24"/>
        </w:rPr>
        <w:t> </w:t>
      </w:r>
      <w:r>
        <w:rPr>
          <w:b/>
          <w:sz w:val="24"/>
        </w:rPr>
        <w:t>and</w:t>
      </w:r>
      <w:r>
        <w:rPr>
          <w:b/>
          <w:spacing w:val="-2"/>
          <w:sz w:val="24"/>
        </w:rPr>
        <w:t> Irregularities</w:t>
      </w:r>
    </w:p>
    <w:p>
      <w:pPr>
        <w:pStyle w:val="BodyText"/>
        <w:spacing w:before="53"/>
        <w:rPr>
          <w:b/>
          <w:sz w:val="24"/>
        </w:rPr>
      </w:pPr>
    </w:p>
    <w:p>
      <w:pPr>
        <w:spacing w:before="0"/>
        <w:ind w:left="1702" w:right="0" w:firstLine="0"/>
        <w:jc w:val="left"/>
        <w:rPr>
          <w:sz w:val="24"/>
        </w:rPr>
      </w:pPr>
      <w:r>
        <w:rPr>
          <w:sz w:val="24"/>
        </w:rPr>
        <w:t>There</w:t>
      </w:r>
      <w:r>
        <w:rPr>
          <w:spacing w:val="-1"/>
          <w:sz w:val="24"/>
        </w:rPr>
        <w:t> </w:t>
      </w:r>
      <w:r>
        <w:rPr>
          <w:sz w:val="24"/>
        </w:rPr>
        <w:t>are</w:t>
      </w:r>
      <w:r>
        <w:rPr>
          <w:spacing w:val="-1"/>
          <w:sz w:val="24"/>
        </w:rPr>
        <w:t> </w:t>
      </w:r>
      <w:r>
        <w:rPr>
          <w:sz w:val="24"/>
        </w:rPr>
        <w:t>no matters</w:t>
      </w:r>
      <w:r>
        <w:rPr>
          <w:spacing w:val="-2"/>
          <w:sz w:val="24"/>
        </w:rPr>
        <w:t> </w:t>
      </w:r>
      <w:r>
        <w:rPr>
          <w:sz w:val="24"/>
        </w:rPr>
        <w:t>of fraud to</w:t>
      </w:r>
      <w:r>
        <w:rPr>
          <w:spacing w:val="-2"/>
          <w:sz w:val="24"/>
        </w:rPr>
        <w:t> </w:t>
      </w:r>
      <w:r>
        <w:rPr>
          <w:sz w:val="24"/>
        </w:rPr>
        <w:t>report</w:t>
      </w:r>
      <w:r>
        <w:rPr>
          <w:spacing w:val="-1"/>
          <w:sz w:val="24"/>
        </w:rPr>
        <w:t> </w:t>
      </w:r>
      <w:r>
        <w:rPr>
          <w:sz w:val="24"/>
        </w:rPr>
        <w:t>for </w:t>
      </w:r>
      <w:r>
        <w:rPr>
          <w:spacing w:val="-2"/>
          <w:sz w:val="24"/>
        </w:rPr>
        <w:t>2017.</w:t>
      </w:r>
    </w:p>
    <w:p>
      <w:pPr>
        <w:pStyle w:val="BodyText"/>
        <w:rPr>
          <w:sz w:val="24"/>
        </w:rPr>
      </w:pPr>
    </w:p>
    <w:p>
      <w:pPr>
        <w:spacing w:before="0"/>
        <w:ind w:left="1702" w:right="989" w:firstLine="0"/>
        <w:jc w:val="both"/>
        <w:rPr>
          <w:sz w:val="24"/>
        </w:rPr>
      </w:pPr>
      <w:r>
        <w:rPr>
          <w:sz w:val="24"/>
        </w:rPr>
        <w:t>The NDA has a Protected Disclosure Policy and procedures for notification of protected disclosures and any alleged fraudulent incidents or irregularities. The policy establishes the structures and processes for receiving and dealing with disclosures, and to make reports annually on any disclosures.</w:t>
      </w:r>
    </w:p>
    <w:p>
      <w:pPr>
        <w:spacing w:line="550" w:lineRule="atLeast" w:before="8"/>
        <w:ind w:left="1702" w:right="3080" w:firstLine="0"/>
        <w:jc w:val="left"/>
        <w:rPr>
          <w:sz w:val="24"/>
        </w:rPr>
      </w:pPr>
      <w:r>
        <w:rPr>
          <w:sz w:val="24"/>
        </w:rPr>
        <w:t>The</w:t>
      </w:r>
      <w:r>
        <w:rPr>
          <w:spacing w:val="-3"/>
          <w:sz w:val="24"/>
        </w:rPr>
        <w:t> </w:t>
      </w:r>
      <w:r>
        <w:rPr>
          <w:sz w:val="24"/>
        </w:rPr>
        <w:t>parties</w:t>
      </w:r>
      <w:r>
        <w:rPr>
          <w:spacing w:val="-5"/>
          <w:sz w:val="24"/>
        </w:rPr>
        <w:t> </w:t>
      </w:r>
      <w:r>
        <w:rPr>
          <w:sz w:val="24"/>
        </w:rPr>
        <w:t>which</w:t>
      </w:r>
      <w:r>
        <w:rPr>
          <w:spacing w:val="-3"/>
          <w:sz w:val="24"/>
        </w:rPr>
        <w:t> </w:t>
      </w:r>
      <w:r>
        <w:rPr>
          <w:sz w:val="24"/>
        </w:rPr>
        <w:t>are</w:t>
      </w:r>
      <w:r>
        <w:rPr>
          <w:spacing w:val="-3"/>
          <w:sz w:val="24"/>
        </w:rPr>
        <w:t> </w:t>
      </w:r>
      <w:r>
        <w:rPr>
          <w:sz w:val="24"/>
        </w:rPr>
        <w:t>to</w:t>
      </w:r>
      <w:r>
        <w:rPr>
          <w:spacing w:val="-5"/>
          <w:sz w:val="24"/>
        </w:rPr>
        <w:t> </w:t>
      </w:r>
      <w:r>
        <w:rPr>
          <w:sz w:val="24"/>
        </w:rPr>
        <w:t>be</w:t>
      </w:r>
      <w:r>
        <w:rPr>
          <w:spacing w:val="-3"/>
          <w:sz w:val="24"/>
        </w:rPr>
        <w:t> </w:t>
      </w:r>
      <w:r>
        <w:rPr>
          <w:sz w:val="24"/>
        </w:rPr>
        <w:t>notified</w:t>
      </w:r>
      <w:r>
        <w:rPr>
          <w:spacing w:val="-3"/>
          <w:sz w:val="24"/>
        </w:rPr>
        <w:t> </w:t>
      </w:r>
      <w:r>
        <w:rPr>
          <w:sz w:val="24"/>
        </w:rPr>
        <w:t>of</w:t>
      </w:r>
      <w:r>
        <w:rPr>
          <w:spacing w:val="-3"/>
          <w:sz w:val="24"/>
        </w:rPr>
        <w:t> </w:t>
      </w:r>
      <w:r>
        <w:rPr>
          <w:sz w:val="24"/>
        </w:rPr>
        <w:t>such</w:t>
      </w:r>
      <w:r>
        <w:rPr>
          <w:spacing w:val="-3"/>
          <w:sz w:val="24"/>
        </w:rPr>
        <w:t> </w:t>
      </w:r>
      <w:r>
        <w:rPr>
          <w:sz w:val="24"/>
        </w:rPr>
        <w:t>incidents</w:t>
      </w:r>
      <w:r>
        <w:rPr>
          <w:spacing w:val="-5"/>
          <w:sz w:val="24"/>
        </w:rPr>
        <w:t> </w:t>
      </w:r>
      <w:r>
        <w:rPr>
          <w:sz w:val="24"/>
        </w:rPr>
        <w:t>are: The Audit Committee</w:t>
      </w:r>
    </w:p>
    <w:p>
      <w:pPr>
        <w:spacing w:before="7"/>
        <w:ind w:left="1702" w:right="0" w:firstLine="0"/>
        <w:jc w:val="left"/>
        <w:rPr>
          <w:sz w:val="24"/>
        </w:rPr>
      </w:pPr>
      <w:r>
        <w:rPr>
          <w:sz w:val="24"/>
        </w:rPr>
        <w:t>The</w:t>
      </w:r>
      <w:r>
        <w:rPr>
          <w:spacing w:val="-2"/>
          <w:sz w:val="24"/>
        </w:rPr>
        <w:t> </w:t>
      </w:r>
      <w:r>
        <w:rPr>
          <w:sz w:val="24"/>
        </w:rPr>
        <w:t>Authority</w:t>
      </w:r>
      <w:r>
        <w:rPr>
          <w:spacing w:val="-1"/>
          <w:sz w:val="24"/>
        </w:rPr>
        <w:t> </w:t>
      </w:r>
      <w:r>
        <w:rPr>
          <w:spacing w:val="-2"/>
          <w:sz w:val="24"/>
        </w:rPr>
        <w:t>members</w:t>
      </w:r>
    </w:p>
    <w:p>
      <w:pPr>
        <w:spacing w:before="0"/>
        <w:ind w:left="1702" w:right="0" w:firstLine="0"/>
        <w:jc w:val="left"/>
        <w:rPr>
          <w:sz w:val="24"/>
        </w:rPr>
      </w:pPr>
      <w:r>
        <w:rPr>
          <w:sz w:val="24"/>
        </w:rPr>
        <w:t>The</w:t>
      </w:r>
      <w:r>
        <w:rPr>
          <w:spacing w:val="-1"/>
          <w:sz w:val="24"/>
        </w:rPr>
        <w:t> </w:t>
      </w:r>
      <w:r>
        <w:rPr>
          <w:sz w:val="24"/>
        </w:rPr>
        <w:t>Head of the</w:t>
      </w:r>
      <w:r>
        <w:rPr>
          <w:spacing w:val="-1"/>
          <w:sz w:val="24"/>
        </w:rPr>
        <w:t> </w:t>
      </w:r>
      <w:r>
        <w:rPr>
          <w:sz w:val="24"/>
        </w:rPr>
        <w:t>Internal</w:t>
      </w:r>
      <w:r>
        <w:rPr>
          <w:spacing w:val="-2"/>
          <w:sz w:val="24"/>
        </w:rPr>
        <w:t> </w:t>
      </w:r>
      <w:r>
        <w:rPr>
          <w:sz w:val="24"/>
        </w:rPr>
        <w:t>Audit </w:t>
      </w:r>
      <w:r>
        <w:rPr>
          <w:spacing w:val="-2"/>
          <w:sz w:val="24"/>
        </w:rPr>
        <w:t>Service</w:t>
      </w:r>
    </w:p>
    <w:p>
      <w:pPr>
        <w:spacing w:before="0"/>
        <w:ind w:left="1702" w:right="2567" w:firstLine="0"/>
        <w:jc w:val="left"/>
        <w:rPr>
          <w:sz w:val="24"/>
        </w:rPr>
      </w:pPr>
      <w:r>
        <w:rPr>
          <w:sz w:val="24"/>
        </w:rPr>
        <w:t>The</w:t>
      </w:r>
      <w:r>
        <w:rPr>
          <w:spacing w:val="-4"/>
          <w:sz w:val="24"/>
        </w:rPr>
        <w:t> </w:t>
      </w:r>
      <w:r>
        <w:rPr>
          <w:sz w:val="24"/>
        </w:rPr>
        <w:t>Secretary</w:t>
      </w:r>
      <w:r>
        <w:rPr>
          <w:spacing w:val="-6"/>
          <w:sz w:val="24"/>
        </w:rPr>
        <w:t> </w:t>
      </w:r>
      <w:r>
        <w:rPr>
          <w:sz w:val="24"/>
        </w:rPr>
        <w:t>General</w:t>
      </w:r>
      <w:r>
        <w:rPr>
          <w:spacing w:val="-4"/>
          <w:sz w:val="24"/>
        </w:rPr>
        <w:t> </w:t>
      </w:r>
      <w:r>
        <w:rPr>
          <w:sz w:val="24"/>
        </w:rPr>
        <w:t>of</w:t>
      </w:r>
      <w:r>
        <w:rPr>
          <w:spacing w:val="-4"/>
          <w:sz w:val="24"/>
        </w:rPr>
        <w:t> </w:t>
      </w:r>
      <w:r>
        <w:rPr>
          <w:sz w:val="24"/>
        </w:rPr>
        <w:t>the</w:t>
      </w:r>
      <w:r>
        <w:rPr>
          <w:spacing w:val="-4"/>
          <w:sz w:val="24"/>
        </w:rPr>
        <w:t> </w:t>
      </w:r>
      <w:r>
        <w:rPr>
          <w:sz w:val="24"/>
        </w:rPr>
        <w:t>Department</w:t>
      </w:r>
      <w:r>
        <w:rPr>
          <w:spacing w:val="-4"/>
          <w:sz w:val="24"/>
        </w:rPr>
        <w:t> </w:t>
      </w:r>
      <w:r>
        <w:rPr>
          <w:sz w:val="24"/>
        </w:rPr>
        <w:t>of</w:t>
      </w:r>
      <w:r>
        <w:rPr>
          <w:spacing w:val="-4"/>
          <w:sz w:val="24"/>
        </w:rPr>
        <w:t> </w:t>
      </w:r>
      <w:r>
        <w:rPr>
          <w:sz w:val="24"/>
        </w:rPr>
        <w:t>Justice</w:t>
      </w:r>
      <w:r>
        <w:rPr>
          <w:spacing w:val="-4"/>
          <w:sz w:val="24"/>
        </w:rPr>
        <w:t> </w:t>
      </w:r>
      <w:r>
        <w:rPr>
          <w:sz w:val="24"/>
        </w:rPr>
        <w:t>and</w:t>
      </w:r>
      <w:r>
        <w:rPr>
          <w:spacing w:val="-3"/>
          <w:sz w:val="24"/>
        </w:rPr>
        <w:t> </w:t>
      </w:r>
      <w:r>
        <w:rPr>
          <w:sz w:val="24"/>
        </w:rPr>
        <w:t>Equality The Minister (as appropriate)</w:t>
      </w:r>
    </w:p>
    <w:p>
      <w:pPr>
        <w:spacing w:before="0"/>
        <w:ind w:left="1702" w:right="5017" w:firstLine="0"/>
        <w:jc w:val="left"/>
        <w:rPr>
          <w:sz w:val="24"/>
        </w:rPr>
      </w:pPr>
      <w:r>
        <w:rPr>
          <w:sz w:val="24"/>
        </w:rPr>
        <w:t>The</w:t>
      </w:r>
      <w:r>
        <w:rPr>
          <w:spacing w:val="-9"/>
          <w:sz w:val="24"/>
        </w:rPr>
        <w:t> </w:t>
      </w:r>
      <w:r>
        <w:rPr>
          <w:sz w:val="24"/>
        </w:rPr>
        <w:t>Comptroller</w:t>
      </w:r>
      <w:r>
        <w:rPr>
          <w:spacing w:val="-8"/>
          <w:sz w:val="24"/>
        </w:rPr>
        <w:t> </w:t>
      </w:r>
      <w:r>
        <w:rPr>
          <w:sz w:val="24"/>
        </w:rPr>
        <w:t>and</w:t>
      </w:r>
      <w:r>
        <w:rPr>
          <w:spacing w:val="-9"/>
          <w:sz w:val="24"/>
        </w:rPr>
        <w:t> </w:t>
      </w:r>
      <w:r>
        <w:rPr>
          <w:sz w:val="24"/>
        </w:rPr>
        <w:t>Auditor</w:t>
      </w:r>
      <w:r>
        <w:rPr>
          <w:spacing w:val="-9"/>
          <w:sz w:val="24"/>
        </w:rPr>
        <w:t> </w:t>
      </w:r>
      <w:r>
        <w:rPr>
          <w:sz w:val="24"/>
        </w:rPr>
        <w:t>General An</w:t>
      </w:r>
      <w:r>
        <w:rPr>
          <w:spacing w:val="-2"/>
          <w:sz w:val="24"/>
        </w:rPr>
        <w:t> </w:t>
      </w:r>
      <w:r>
        <w:rPr>
          <w:sz w:val="24"/>
        </w:rPr>
        <w:t>Garda Siochana</w:t>
      </w:r>
      <w:r>
        <w:rPr>
          <w:spacing w:val="-1"/>
          <w:sz w:val="24"/>
        </w:rPr>
        <w:t> </w:t>
      </w:r>
      <w:r>
        <w:rPr>
          <w:sz w:val="24"/>
        </w:rPr>
        <w:t>where</w:t>
      </w:r>
      <w:r>
        <w:rPr>
          <w:spacing w:val="-1"/>
          <w:sz w:val="24"/>
        </w:rPr>
        <w:t> </w:t>
      </w:r>
      <w:r>
        <w:rPr>
          <w:spacing w:val="-2"/>
          <w:sz w:val="24"/>
        </w:rPr>
        <w:t>appropriate</w:t>
      </w:r>
    </w:p>
    <w:p>
      <w:pPr>
        <w:pStyle w:val="BodyText"/>
        <w:rPr>
          <w:sz w:val="24"/>
        </w:rPr>
      </w:pPr>
    </w:p>
    <w:p>
      <w:pPr>
        <w:spacing w:before="0"/>
        <w:ind w:left="1702" w:right="991" w:firstLine="0"/>
        <w:jc w:val="both"/>
        <w:rPr>
          <w:sz w:val="24"/>
        </w:rPr>
      </w:pPr>
      <w:r>
        <w:rPr>
          <w:sz w:val="24"/>
        </w:rPr>
        <w:t>There were no Protected Disclosures reported in 2017. The NDA maintains a register for Protected Disclosures and all alleged fraudulent incidents. The NDA has procedures in place to ensure their investigation. In accordance with section 22 of the Protected Disclosures</w:t>
      </w:r>
      <w:r>
        <w:rPr>
          <w:spacing w:val="-1"/>
          <w:sz w:val="24"/>
        </w:rPr>
        <w:t> </w:t>
      </w:r>
      <w:r>
        <w:rPr>
          <w:sz w:val="24"/>
        </w:rPr>
        <w:t>Act 2014, the NDA is</w:t>
      </w:r>
      <w:r>
        <w:rPr>
          <w:spacing w:val="-1"/>
          <w:sz w:val="24"/>
        </w:rPr>
        <w:t> </w:t>
      </w:r>
      <w:r>
        <w:rPr>
          <w:sz w:val="24"/>
        </w:rPr>
        <w:t>committed to</w:t>
      </w:r>
      <w:r>
        <w:rPr>
          <w:spacing w:val="-1"/>
          <w:sz w:val="24"/>
        </w:rPr>
        <w:t> </w:t>
      </w:r>
      <w:r>
        <w:rPr>
          <w:sz w:val="24"/>
        </w:rPr>
        <w:t>publishing a report on protected disclosures no later than 30 June each year.</w:t>
      </w:r>
    </w:p>
    <w:p>
      <w:pPr>
        <w:pStyle w:val="BodyText"/>
        <w:rPr>
          <w:sz w:val="24"/>
        </w:rPr>
      </w:pPr>
    </w:p>
    <w:p>
      <w:pPr>
        <w:pStyle w:val="BodyText"/>
        <w:spacing w:before="1"/>
        <w:rPr>
          <w:sz w:val="24"/>
        </w:rPr>
      </w:pPr>
    </w:p>
    <w:p>
      <w:pPr>
        <w:spacing w:before="0"/>
        <w:ind w:left="1702" w:right="0" w:firstLine="0"/>
        <w:jc w:val="both"/>
        <w:rPr>
          <w:b/>
          <w:sz w:val="24"/>
        </w:rPr>
      </w:pPr>
      <w:r>
        <w:rPr>
          <w:b/>
          <w:sz w:val="24"/>
        </w:rPr>
        <w:t>Tax </w:t>
      </w:r>
      <w:r>
        <w:rPr>
          <w:b/>
          <w:spacing w:val="-2"/>
          <w:sz w:val="24"/>
        </w:rPr>
        <w:t>Compliance</w:t>
      </w:r>
    </w:p>
    <w:p>
      <w:pPr>
        <w:pStyle w:val="BodyText"/>
        <w:rPr>
          <w:b/>
          <w:sz w:val="24"/>
        </w:rPr>
      </w:pPr>
    </w:p>
    <w:p>
      <w:pPr>
        <w:spacing w:line="278" w:lineRule="exact" w:before="0"/>
        <w:ind w:left="1702" w:right="0" w:firstLine="0"/>
        <w:jc w:val="both"/>
        <w:rPr>
          <w:sz w:val="24"/>
        </w:rPr>
      </w:pPr>
      <w:r>
        <w:rPr>
          <w:sz w:val="24"/>
        </w:rPr>
        <w:t>All</w:t>
      </w:r>
      <w:r>
        <w:rPr>
          <w:spacing w:val="-4"/>
          <w:sz w:val="24"/>
        </w:rPr>
        <w:t> </w:t>
      </w:r>
      <w:r>
        <w:rPr>
          <w:sz w:val="24"/>
        </w:rPr>
        <w:t>NDA</w:t>
      </w:r>
      <w:r>
        <w:rPr>
          <w:spacing w:val="-1"/>
          <w:sz w:val="24"/>
        </w:rPr>
        <w:t> </w:t>
      </w:r>
      <w:r>
        <w:rPr>
          <w:sz w:val="24"/>
        </w:rPr>
        <w:t>payments</w:t>
      </w:r>
      <w:r>
        <w:rPr>
          <w:spacing w:val="-4"/>
          <w:sz w:val="24"/>
        </w:rPr>
        <w:t> </w:t>
      </w:r>
      <w:r>
        <w:rPr>
          <w:sz w:val="24"/>
        </w:rPr>
        <w:t>are</w:t>
      </w:r>
      <w:r>
        <w:rPr>
          <w:spacing w:val="1"/>
          <w:sz w:val="24"/>
        </w:rPr>
        <w:t> </w:t>
      </w:r>
      <w:r>
        <w:rPr>
          <w:sz w:val="24"/>
        </w:rPr>
        <w:t>processed</w:t>
      </w:r>
      <w:r>
        <w:rPr>
          <w:spacing w:val="-2"/>
          <w:sz w:val="24"/>
        </w:rPr>
        <w:t> </w:t>
      </w:r>
      <w:r>
        <w:rPr>
          <w:sz w:val="24"/>
        </w:rPr>
        <w:t>through</w:t>
      </w:r>
      <w:r>
        <w:rPr>
          <w:spacing w:val="-1"/>
          <w:sz w:val="24"/>
        </w:rPr>
        <w:t> </w:t>
      </w:r>
      <w:r>
        <w:rPr>
          <w:sz w:val="24"/>
        </w:rPr>
        <w:t>shared</w:t>
      </w:r>
      <w:r>
        <w:rPr>
          <w:spacing w:val="-5"/>
          <w:sz w:val="24"/>
        </w:rPr>
        <w:t> </w:t>
      </w:r>
      <w:r>
        <w:rPr>
          <w:sz w:val="24"/>
        </w:rPr>
        <w:t>financial</w:t>
      </w:r>
      <w:r>
        <w:rPr>
          <w:spacing w:val="-1"/>
          <w:sz w:val="24"/>
        </w:rPr>
        <w:t> </w:t>
      </w:r>
      <w:r>
        <w:rPr>
          <w:sz w:val="24"/>
        </w:rPr>
        <w:t>services</w:t>
      </w:r>
      <w:r>
        <w:rPr>
          <w:spacing w:val="-2"/>
          <w:sz w:val="24"/>
        </w:rPr>
        <w:t> including:</w:t>
      </w:r>
    </w:p>
    <w:p>
      <w:pPr>
        <w:pStyle w:val="ListParagraph"/>
        <w:numPr>
          <w:ilvl w:val="0"/>
          <w:numId w:val="13"/>
        </w:numPr>
        <w:tabs>
          <w:tab w:pos="2422" w:val="left" w:leader="none"/>
        </w:tabs>
        <w:spacing w:line="240" w:lineRule="auto" w:before="0" w:after="0"/>
        <w:ind w:left="2422" w:right="991" w:hanging="360"/>
        <w:jc w:val="both"/>
        <w:rPr>
          <w:sz w:val="24"/>
        </w:rPr>
      </w:pPr>
      <w:r>
        <w:rPr>
          <w:sz w:val="24"/>
        </w:rPr>
        <w:t>Payment of invoices through the Financial Shared Services under the Department of Justice and Equality based in Killarney, Co. Kerry.</w:t>
      </w:r>
    </w:p>
    <w:p>
      <w:pPr>
        <w:pStyle w:val="ListParagraph"/>
        <w:numPr>
          <w:ilvl w:val="0"/>
          <w:numId w:val="13"/>
        </w:numPr>
        <w:tabs>
          <w:tab w:pos="2422" w:val="left" w:leader="none"/>
        </w:tabs>
        <w:spacing w:line="240" w:lineRule="auto" w:before="1" w:after="0"/>
        <w:ind w:left="2422" w:right="991" w:hanging="360"/>
        <w:jc w:val="both"/>
        <w:rPr>
          <w:sz w:val="24"/>
        </w:rPr>
      </w:pPr>
      <w:r>
        <w:rPr>
          <w:sz w:val="24"/>
        </w:rPr>
        <w:t>Payment of salaries, pensions, pension lump sums and travel and subsistence through the Payroll Shared Services Centre under the Department of Public Expenditure and Reform.</w:t>
      </w:r>
    </w:p>
    <w:p>
      <w:pPr>
        <w:pStyle w:val="BodyText"/>
        <w:rPr>
          <w:sz w:val="24"/>
        </w:rPr>
      </w:pPr>
    </w:p>
    <w:p>
      <w:pPr>
        <w:spacing w:before="1"/>
        <w:ind w:left="1702" w:right="986" w:firstLine="0"/>
        <w:jc w:val="both"/>
        <w:rPr>
          <w:sz w:val="24"/>
        </w:rPr>
      </w:pPr>
      <w:r>
        <w:rPr>
          <w:sz w:val="24"/>
        </w:rPr>
        <w:t>Expenditure in</w:t>
      </w:r>
      <w:r>
        <w:rPr>
          <w:spacing w:val="-3"/>
          <w:sz w:val="24"/>
        </w:rPr>
        <w:t> </w:t>
      </w:r>
      <w:r>
        <w:rPr>
          <w:sz w:val="24"/>
        </w:rPr>
        <w:t>relation</w:t>
      </w:r>
      <w:r>
        <w:rPr>
          <w:spacing w:val="-1"/>
          <w:sz w:val="24"/>
        </w:rPr>
        <w:t> </w:t>
      </w:r>
      <w:r>
        <w:rPr>
          <w:sz w:val="24"/>
        </w:rPr>
        <w:t>to</w:t>
      </w:r>
      <w:r>
        <w:rPr>
          <w:spacing w:val="-1"/>
          <w:sz w:val="24"/>
        </w:rPr>
        <w:t> </w:t>
      </w:r>
      <w:r>
        <w:rPr>
          <w:sz w:val="24"/>
        </w:rPr>
        <w:t>tax</w:t>
      </w:r>
      <w:r>
        <w:rPr>
          <w:spacing w:val="-1"/>
          <w:sz w:val="24"/>
        </w:rPr>
        <w:t> </w:t>
      </w:r>
      <w:r>
        <w:rPr>
          <w:sz w:val="24"/>
        </w:rPr>
        <w:t>is</w:t>
      </w:r>
      <w:r>
        <w:rPr>
          <w:spacing w:val="-2"/>
          <w:sz w:val="24"/>
        </w:rPr>
        <w:t> </w:t>
      </w:r>
      <w:r>
        <w:rPr>
          <w:sz w:val="24"/>
        </w:rPr>
        <w:t>made under the</w:t>
      </w:r>
      <w:r>
        <w:rPr>
          <w:spacing w:val="-3"/>
          <w:sz w:val="24"/>
        </w:rPr>
        <w:t> </w:t>
      </w:r>
      <w:r>
        <w:rPr>
          <w:sz w:val="24"/>
        </w:rPr>
        <w:t>VAT</w:t>
      </w:r>
      <w:r>
        <w:rPr>
          <w:spacing w:val="-2"/>
          <w:sz w:val="24"/>
        </w:rPr>
        <w:t> </w:t>
      </w:r>
      <w:r>
        <w:rPr>
          <w:sz w:val="24"/>
        </w:rPr>
        <w:t>and Employer tax</w:t>
      </w:r>
      <w:r>
        <w:rPr>
          <w:spacing w:val="-3"/>
          <w:sz w:val="24"/>
        </w:rPr>
        <w:t> </w:t>
      </w:r>
      <w:r>
        <w:rPr>
          <w:sz w:val="24"/>
        </w:rPr>
        <w:t>numbers of the Department of Justice and Equality. The</w:t>
      </w:r>
      <w:r>
        <w:rPr>
          <w:spacing w:val="-1"/>
          <w:sz w:val="24"/>
        </w:rPr>
        <w:t> </w:t>
      </w:r>
      <w:r>
        <w:rPr>
          <w:sz w:val="24"/>
        </w:rPr>
        <w:t>NDA complies with</w:t>
      </w:r>
      <w:r>
        <w:rPr>
          <w:spacing w:val="-1"/>
          <w:sz w:val="24"/>
        </w:rPr>
        <w:t> </w:t>
      </w:r>
      <w:r>
        <w:rPr>
          <w:sz w:val="24"/>
        </w:rPr>
        <w:t>requirements to apply Professional Services Withholding Tax (PSWT).</w:t>
      </w:r>
    </w:p>
    <w:p>
      <w:pPr>
        <w:spacing w:before="276"/>
        <w:ind w:left="1702" w:right="0" w:firstLine="0"/>
        <w:jc w:val="left"/>
        <w:rPr>
          <w:b/>
          <w:sz w:val="24"/>
        </w:rPr>
      </w:pPr>
      <w:r>
        <w:rPr>
          <w:b/>
          <w:spacing w:val="-2"/>
          <w:sz w:val="24"/>
        </w:rPr>
        <w:t>Accountability</w:t>
      </w:r>
    </w:p>
    <w:p>
      <w:pPr>
        <w:pStyle w:val="BodyText"/>
        <w:rPr>
          <w:b/>
          <w:sz w:val="24"/>
        </w:rPr>
      </w:pPr>
    </w:p>
    <w:p>
      <w:pPr>
        <w:spacing w:before="0"/>
        <w:ind w:left="1702" w:right="991" w:firstLine="0"/>
        <w:jc w:val="both"/>
        <w:rPr>
          <w:sz w:val="24"/>
        </w:rPr>
      </w:pPr>
      <w:r>
        <w:rPr>
          <w:sz w:val="24"/>
        </w:rPr>
        <w:t>The</w:t>
      </w:r>
      <w:r>
        <w:rPr>
          <w:spacing w:val="-17"/>
          <w:sz w:val="24"/>
        </w:rPr>
        <w:t> </w:t>
      </w:r>
      <w:r>
        <w:rPr>
          <w:sz w:val="24"/>
        </w:rPr>
        <w:t>Authority</w:t>
      </w:r>
      <w:r>
        <w:rPr>
          <w:spacing w:val="-16"/>
          <w:sz w:val="24"/>
        </w:rPr>
        <w:t> </w:t>
      </w:r>
      <w:r>
        <w:rPr>
          <w:sz w:val="24"/>
        </w:rPr>
        <w:t>prepares</w:t>
      </w:r>
      <w:r>
        <w:rPr>
          <w:spacing w:val="-16"/>
          <w:sz w:val="24"/>
        </w:rPr>
        <w:t> </w:t>
      </w:r>
      <w:r>
        <w:rPr>
          <w:sz w:val="24"/>
        </w:rPr>
        <w:t>a</w:t>
      </w:r>
      <w:r>
        <w:rPr>
          <w:spacing w:val="-17"/>
          <w:sz w:val="24"/>
        </w:rPr>
        <w:t> </w:t>
      </w:r>
      <w:r>
        <w:rPr>
          <w:sz w:val="24"/>
        </w:rPr>
        <w:t>Strategic</w:t>
      </w:r>
      <w:r>
        <w:rPr>
          <w:spacing w:val="-14"/>
          <w:sz w:val="24"/>
        </w:rPr>
        <w:t> </w:t>
      </w:r>
      <w:r>
        <w:rPr>
          <w:sz w:val="24"/>
        </w:rPr>
        <w:t>Plan</w:t>
      </w:r>
      <w:r>
        <w:rPr>
          <w:spacing w:val="-17"/>
          <w:sz w:val="24"/>
        </w:rPr>
        <w:t> </w:t>
      </w:r>
      <w:r>
        <w:rPr>
          <w:sz w:val="24"/>
        </w:rPr>
        <w:t>every</w:t>
      </w:r>
      <w:r>
        <w:rPr>
          <w:spacing w:val="-17"/>
          <w:sz w:val="24"/>
        </w:rPr>
        <w:t> </w:t>
      </w:r>
      <w:r>
        <w:rPr>
          <w:sz w:val="24"/>
        </w:rPr>
        <w:t>3</w:t>
      </w:r>
      <w:r>
        <w:rPr>
          <w:spacing w:val="-16"/>
          <w:sz w:val="24"/>
        </w:rPr>
        <w:t> </w:t>
      </w:r>
      <w:r>
        <w:rPr>
          <w:sz w:val="24"/>
        </w:rPr>
        <w:t>years</w:t>
      </w:r>
      <w:r>
        <w:rPr>
          <w:spacing w:val="-16"/>
          <w:sz w:val="24"/>
        </w:rPr>
        <w:t> </w:t>
      </w:r>
      <w:r>
        <w:rPr>
          <w:sz w:val="24"/>
        </w:rPr>
        <w:t>under</w:t>
      </w:r>
      <w:r>
        <w:rPr>
          <w:spacing w:val="-16"/>
          <w:sz w:val="24"/>
        </w:rPr>
        <w:t> </w:t>
      </w:r>
      <w:r>
        <w:rPr>
          <w:sz w:val="24"/>
        </w:rPr>
        <w:t>the</w:t>
      </w:r>
      <w:r>
        <w:rPr>
          <w:spacing w:val="-17"/>
          <w:sz w:val="24"/>
        </w:rPr>
        <w:t> </w:t>
      </w:r>
      <w:r>
        <w:rPr>
          <w:sz w:val="24"/>
        </w:rPr>
        <w:t>National</w:t>
      </w:r>
      <w:r>
        <w:rPr>
          <w:spacing w:val="-15"/>
          <w:sz w:val="24"/>
        </w:rPr>
        <w:t> </w:t>
      </w:r>
      <w:r>
        <w:rPr>
          <w:sz w:val="24"/>
        </w:rPr>
        <w:t>Disability Authority Act, which is submitted to the Minister for Justice and Equality for approval.</w:t>
      </w:r>
      <w:r>
        <w:rPr>
          <w:spacing w:val="39"/>
          <w:sz w:val="24"/>
        </w:rPr>
        <w:t> </w:t>
      </w:r>
      <w:r>
        <w:rPr>
          <w:sz w:val="24"/>
        </w:rPr>
        <w:t>The</w:t>
      </w:r>
      <w:r>
        <w:rPr>
          <w:spacing w:val="-14"/>
          <w:sz w:val="24"/>
        </w:rPr>
        <w:t> </w:t>
      </w:r>
      <w:r>
        <w:rPr>
          <w:sz w:val="24"/>
        </w:rPr>
        <w:t>current</w:t>
      </w:r>
      <w:r>
        <w:rPr>
          <w:spacing w:val="-14"/>
          <w:sz w:val="24"/>
        </w:rPr>
        <w:t> </w:t>
      </w:r>
      <w:r>
        <w:rPr>
          <w:sz w:val="24"/>
        </w:rPr>
        <w:t>plan</w:t>
      </w:r>
      <w:r>
        <w:rPr>
          <w:spacing w:val="-13"/>
          <w:sz w:val="24"/>
        </w:rPr>
        <w:t> </w:t>
      </w:r>
      <w:r>
        <w:rPr>
          <w:sz w:val="24"/>
        </w:rPr>
        <w:t>for</w:t>
      </w:r>
      <w:r>
        <w:rPr>
          <w:spacing w:val="-13"/>
          <w:sz w:val="24"/>
        </w:rPr>
        <w:t> </w:t>
      </w:r>
      <w:r>
        <w:rPr>
          <w:sz w:val="24"/>
        </w:rPr>
        <w:t>2016</w:t>
      </w:r>
      <w:r>
        <w:rPr>
          <w:spacing w:val="-14"/>
          <w:sz w:val="24"/>
        </w:rPr>
        <w:t> </w:t>
      </w:r>
      <w:r>
        <w:rPr>
          <w:sz w:val="24"/>
        </w:rPr>
        <w:t>to</w:t>
      </w:r>
      <w:r>
        <w:rPr>
          <w:spacing w:val="-15"/>
          <w:sz w:val="24"/>
        </w:rPr>
        <w:t> </w:t>
      </w:r>
      <w:r>
        <w:rPr>
          <w:sz w:val="24"/>
        </w:rPr>
        <w:t>2018,</w:t>
      </w:r>
      <w:r>
        <w:rPr>
          <w:spacing w:val="-14"/>
          <w:sz w:val="24"/>
        </w:rPr>
        <w:t> </w:t>
      </w:r>
      <w:r>
        <w:rPr>
          <w:sz w:val="24"/>
        </w:rPr>
        <w:t>was</w:t>
      </w:r>
      <w:r>
        <w:rPr>
          <w:spacing w:val="-13"/>
          <w:sz w:val="24"/>
        </w:rPr>
        <w:t> </w:t>
      </w:r>
      <w:r>
        <w:rPr>
          <w:sz w:val="24"/>
        </w:rPr>
        <w:t>approved</w:t>
      </w:r>
      <w:r>
        <w:rPr>
          <w:spacing w:val="-14"/>
          <w:sz w:val="24"/>
        </w:rPr>
        <w:t> </w:t>
      </w:r>
      <w:r>
        <w:rPr>
          <w:sz w:val="24"/>
        </w:rPr>
        <w:t>by</w:t>
      </w:r>
      <w:r>
        <w:rPr>
          <w:spacing w:val="-13"/>
          <w:sz w:val="24"/>
        </w:rPr>
        <w:t> </w:t>
      </w:r>
      <w:r>
        <w:rPr>
          <w:sz w:val="24"/>
        </w:rPr>
        <w:t>the</w:t>
      </w:r>
      <w:r>
        <w:rPr>
          <w:spacing w:val="-14"/>
          <w:sz w:val="24"/>
        </w:rPr>
        <w:t> </w:t>
      </w:r>
      <w:r>
        <w:rPr>
          <w:sz w:val="24"/>
        </w:rPr>
        <w:t>Minister</w:t>
      </w:r>
      <w:r>
        <w:rPr>
          <w:spacing w:val="-13"/>
          <w:sz w:val="24"/>
        </w:rPr>
        <w:t> </w:t>
      </w:r>
      <w:r>
        <w:rPr>
          <w:sz w:val="24"/>
        </w:rPr>
        <w:t>in</w:t>
      </w:r>
      <w:r>
        <w:rPr>
          <w:spacing w:val="-14"/>
          <w:sz w:val="24"/>
        </w:rPr>
        <w:t> </w:t>
      </w:r>
      <w:r>
        <w:rPr>
          <w:sz w:val="24"/>
        </w:rPr>
        <w:t>June 2015,</w:t>
      </w:r>
      <w:r>
        <w:rPr>
          <w:spacing w:val="4"/>
          <w:sz w:val="24"/>
        </w:rPr>
        <w:t> </w:t>
      </w:r>
      <w:r>
        <w:rPr>
          <w:sz w:val="24"/>
        </w:rPr>
        <w:t>and</w:t>
      </w:r>
      <w:r>
        <w:rPr>
          <w:spacing w:val="4"/>
          <w:sz w:val="24"/>
        </w:rPr>
        <w:t> </w:t>
      </w:r>
      <w:r>
        <w:rPr>
          <w:sz w:val="24"/>
        </w:rPr>
        <w:t>work</w:t>
      </w:r>
      <w:r>
        <w:rPr>
          <w:spacing w:val="4"/>
          <w:sz w:val="24"/>
        </w:rPr>
        <w:t> </w:t>
      </w:r>
      <w:r>
        <w:rPr>
          <w:sz w:val="24"/>
        </w:rPr>
        <w:t>is</w:t>
      </w:r>
      <w:r>
        <w:rPr>
          <w:spacing w:val="3"/>
          <w:sz w:val="24"/>
        </w:rPr>
        <w:t> </w:t>
      </w:r>
      <w:r>
        <w:rPr>
          <w:sz w:val="24"/>
        </w:rPr>
        <w:t>underway</w:t>
      </w:r>
      <w:r>
        <w:rPr>
          <w:spacing w:val="4"/>
          <w:sz w:val="24"/>
        </w:rPr>
        <w:t> </w:t>
      </w:r>
      <w:r>
        <w:rPr>
          <w:sz w:val="24"/>
        </w:rPr>
        <w:t>to</w:t>
      </w:r>
      <w:r>
        <w:rPr>
          <w:spacing w:val="2"/>
          <w:sz w:val="24"/>
        </w:rPr>
        <w:t> </w:t>
      </w:r>
      <w:r>
        <w:rPr>
          <w:sz w:val="24"/>
        </w:rPr>
        <w:t>develop</w:t>
      </w:r>
      <w:r>
        <w:rPr>
          <w:spacing w:val="4"/>
          <w:sz w:val="24"/>
        </w:rPr>
        <w:t> </w:t>
      </w:r>
      <w:r>
        <w:rPr>
          <w:sz w:val="24"/>
        </w:rPr>
        <w:t>the</w:t>
      </w:r>
      <w:r>
        <w:rPr>
          <w:spacing w:val="3"/>
          <w:sz w:val="24"/>
        </w:rPr>
        <w:t> </w:t>
      </w:r>
      <w:r>
        <w:rPr>
          <w:sz w:val="24"/>
        </w:rPr>
        <w:t>next</w:t>
      </w:r>
      <w:r>
        <w:rPr>
          <w:spacing w:val="5"/>
          <w:sz w:val="24"/>
        </w:rPr>
        <w:t> </w:t>
      </w:r>
      <w:r>
        <w:rPr>
          <w:sz w:val="24"/>
        </w:rPr>
        <w:t>strategic</w:t>
      </w:r>
      <w:r>
        <w:rPr>
          <w:spacing w:val="4"/>
          <w:sz w:val="24"/>
        </w:rPr>
        <w:t> </w:t>
      </w:r>
      <w:r>
        <w:rPr>
          <w:sz w:val="24"/>
        </w:rPr>
        <w:t>plan</w:t>
      </w:r>
      <w:r>
        <w:rPr>
          <w:spacing w:val="4"/>
          <w:sz w:val="24"/>
        </w:rPr>
        <w:t> </w:t>
      </w:r>
      <w:r>
        <w:rPr>
          <w:sz w:val="24"/>
        </w:rPr>
        <w:t>for</w:t>
      </w:r>
      <w:r>
        <w:rPr>
          <w:spacing w:val="4"/>
          <w:sz w:val="24"/>
        </w:rPr>
        <w:t> </w:t>
      </w:r>
      <w:r>
        <w:rPr>
          <w:sz w:val="24"/>
        </w:rPr>
        <w:t>submission</w:t>
      </w:r>
      <w:r>
        <w:rPr>
          <w:spacing w:val="6"/>
          <w:sz w:val="24"/>
        </w:rPr>
        <w:t> </w:t>
      </w:r>
      <w:r>
        <w:rPr>
          <w:spacing w:val="-5"/>
          <w:sz w:val="24"/>
        </w:rPr>
        <w:t>to</w:t>
      </w:r>
    </w:p>
    <w:p>
      <w:pPr>
        <w:spacing w:after="0"/>
        <w:jc w:val="both"/>
        <w:rPr>
          <w:sz w:val="24"/>
        </w:rPr>
        <w:sectPr>
          <w:pgSz w:w="11910" w:h="16850"/>
          <w:pgMar w:header="0" w:footer="811" w:top="1880" w:bottom="1000" w:left="283" w:right="992"/>
        </w:sectPr>
      </w:pPr>
    </w:p>
    <w:p>
      <w:pPr>
        <w:spacing w:before="78"/>
        <w:ind w:left="1702" w:right="990" w:firstLine="0"/>
        <w:jc w:val="both"/>
        <w:rPr>
          <w:sz w:val="24"/>
        </w:rPr>
      </w:pPr>
      <w:r>
        <w:rPr>
          <w:sz w:val="24"/>
        </w:rPr>
        <w:t>the Minister by 12 June 2018. The annual work plans are aligned to the strategic priorities and senior management report at regular intervals to the Authority on progress in its implementation.</w:t>
      </w:r>
    </w:p>
    <w:p>
      <w:pPr>
        <w:pStyle w:val="BodyText"/>
        <w:rPr>
          <w:sz w:val="24"/>
        </w:rPr>
      </w:pPr>
    </w:p>
    <w:p>
      <w:pPr>
        <w:spacing w:before="0"/>
        <w:ind w:left="1702" w:right="992" w:firstLine="0"/>
        <w:jc w:val="both"/>
        <w:rPr>
          <w:sz w:val="24"/>
        </w:rPr>
      </w:pPr>
      <w:r>
        <w:rPr>
          <w:sz w:val="24"/>
        </w:rPr>
        <w:t>The system of internal control which by its nature is dynamic, is continually developed, maintained and monitored in response to the emerging requirements of the organisation.</w:t>
      </w:r>
      <w:r>
        <w:rPr>
          <w:spacing w:val="40"/>
          <w:sz w:val="24"/>
        </w:rPr>
        <w:t> </w:t>
      </w:r>
      <w:r>
        <w:rPr>
          <w:sz w:val="24"/>
        </w:rPr>
        <w:t>Key elements, processes and procedures include:</w:t>
      </w:r>
    </w:p>
    <w:p>
      <w:pPr>
        <w:pStyle w:val="ListParagraph"/>
        <w:numPr>
          <w:ilvl w:val="0"/>
          <w:numId w:val="14"/>
        </w:numPr>
        <w:tabs>
          <w:tab w:pos="2062" w:val="left" w:leader="none"/>
        </w:tabs>
        <w:spacing w:line="240" w:lineRule="auto" w:before="277" w:after="0"/>
        <w:ind w:left="2062" w:right="993" w:hanging="360"/>
        <w:jc w:val="both"/>
        <w:rPr>
          <w:sz w:val="24"/>
        </w:rPr>
      </w:pPr>
      <w:r>
        <w:rPr>
          <w:sz w:val="24"/>
        </w:rPr>
        <w:t>Clear</w:t>
      </w:r>
      <w:r>
        <w:rPr>
          <w:spacing w:val="-10"/>
          <w:sz w:val="24"/>
        </w:rPr>
        <w:t> </w:t>
      </w:r>
      <w:r>
        <w:rPr>
          <w:sz w:val="24"/>
        </w:rPr>
        <w:t>separation</w:t>
      </w:r>
      <w:r>
        <w:rPr>
          <w:spacing w:val="-12"/>
          <w:sz w:val="24"/>
        </w:rPr>
        <w:t> </w:t>
      </w:r>
      <w:r>
        <w:rPr>
          <w:sz w:val="24"/>
        </w:rPr>
        <w:t>of</w:t>
      </w:r>
      <w:r>
        <w:rPr>
          <w:spacing w:val="-12"/>
          <w:sz w:val="24"/>
        </w:rPr>
        <w:t> </w:t>
      </w:r>
      <w:r>
        <w:rPr>
          <w:sz w:val="24"/>
        </w:rPr>
        <w:t>roles</w:t>
      </w:r>
      <w:r>
        <w:rPr>
          <w:spacing w:val="-13"/>
          <w:sz w:val="24"/>
        </w:rPr>
        <w:t> </w:t>
      </w:r>
      <w:r>
        <w:rPr>
          <w:sz w:val="24"/>
        </w:rPr>
        <w:t>of</w:t>
      </w:r>
      <w:r>
        <w:rPr>
          <w:spacing w:val="-12"/>
          <w:sz w:val="24"/>
        </w:rPr>
        <w:t> </w:t>
      </w:r>
      <w:r>
        <w:rPr>
          <w:sz w:val="24"/>
        </w:rPr>
        <w:t>the</w:t>
      </w:r>
      <w:r>
        <w:rPr>
          <w:spacing w:val="-12"/>
          <w:sz w:val="24"/>
        </w:rPr>
        <w:t> </w:t>
      </w:r>
      <w:r>
        <w:rPr>
          <w:sz w:val="24"/>
        </w:rPr>
        <w:t>Chairperson</w:t>
      </w:r>
      <w:r>
        <w:rPr>
          <w:spacing w:val="-12"/>
          <w:sz w:val="24"/>
        </w:rPr>
        <w:t> </w:t>
      </w:r>
      <w:r>
        <w:rPr>
          <w:sz w:val="24"/>
        </w:rPr>
        <w:t>and</w:t>
      </w:r>
      <w:r>
        <w:rPr>
          <w:spacing w:val="-11"/>
          <w:sz w:val="24"/>
        </w:rPr>
        <w:t> </w:t>
      </w:r>
      <w:r>
        <w:rPr>
          <w:sz w:val="24"/>
        </w:rPr>
        <w:t>the</w:t>
      </w:r>
      <w:r>
        <w:rPr>
          <w:spacing w:val="-12"/>
          <w:sz w:val="24"/>
        </w:rPr>
        <w:t> </w:t>
      </w:r>
      <w:r>
        <w:rPr>
          <w:sz w:val="24"/>
        </w:rPr>
        <w:t>Director</w:t>
      </w:r>
      <w:r>
        <w:rPr>
          <w:spacing w:val="-11"/>
          <w:sz w:val="24"/>
        </w:rPr>
        <w:t> </w:t>
      </w:r>
      <w:r>
        <w:rPr>
          <w:sz w:val="24"/>
        </w:rPr>
        <w:t>as</w:t>
      </w:r>
      <w:r>
        <w:rPr>
          <w:spacing w:val="-12"/>
          <w:sz w:val="24"/>
        </w:rPr>
        <w:t> </w:t>
      </w:r>
      <w:r>
        <w:rPr>
          <w:sz w:val="24"/>
        </w:rPr>
        <w:t>set</w:t>
      </w:r>
      <w:r>
        <w:rPr>
          <w:spacing w:val="-12"/>
          <w:sz w:val="24"/>
        </w:rPr>
        <w:t> </w:t>
      </w:r>
      <w:r>
        <w:rPr>
          <w:sz w:val="24"/>
        </w:rPr>
        <w:t>out</w:t>
      </w:r>
      <w:r>
        <w:rPr>
          <w:spacing w:val="-13"/>
          <w:sz w:val="24"/>
        </w:rPr>
        <w:t> </w:t>
      </w:r>
      <w:r>
        <w:rPr>
          <w:sz w:val="24"/>
        </w:rPr>
        <w:t>in</w:t>
      </w:r>
      <w:r>
        <w:rPr>
          <w:spacing w:val="-9"/>
          <w:sz w:val="24"/>
        </w:rPr>
        <w:t> </w:t>
      </w:r>
      <w:r>
        <w:rPr>
          <w:sz w:val="24"/>
        </w:rPr>
        <w:t>the NDA governance manual;</w:t>
      </w:r>
    </w:p>
    <w:p>
      <w:pPr>
        <w:pStyle w:val="ListParagraph"/>
        <w:numPr>
          <w:ilvl w:val="0"/>
          <w:numId w:val="14"/>
        </w:numPr>
        <w:tabs>
          <w:tab w:pos="2062" w:val="left" w:leader="none"/>
        </w:tabs>
        <w:spacing w:line="240" w:lineRule="auto" w:before="28" w:after="0"/>
        <w:ind w:left="2062" w:right="990" w:hanging="360"/>
        <w:jc w:val="both"/>
        <w:rPr>
          <w:sz w:val="24"/>
        </w:rPr>
      </w:pPr>
      <w:r>
        <w:rPr>
          <w:sz w:val="24"/>
        </w:rPr>
        <w:t>Procedures for key business processes have been documented, financial responsibilities have been assigned at management level with corresponding </w:t>
      </w:r>
      <w:r>
        <w:rPr>
          <w:spacing w:val="-2"/>
          <w:sz w:val="24"/>
        </w:rPr>
        <w:t>accountability</w:t>
      </w:r>
    </w:p>
    <w:p>
      <w:pPr>
        <w:pStyle w:val="ListParagraph"/>
        <w:numPr>
          <w:ilvl w:val="0"/>
          <w:numId w:val="14"/>
        </w:numPr>
        <w:tabs>
          <w:tab w:pos="2062" w:val="left" w:leader="none"/>
        </w:tabs>
        <w:spacing w:line="240" w:lineRule="auto" w:before="28" w:after="0"/>
        <w:ind w:left="2062" w:right="990" w:hanging="360"/>
        <w:jc w:val="both"/>
        <w:rPr>
          <w:sz w:val="24"/>
        </w:rPr>
      </w:pPr>
      <w:r>
        <w:rPr>
          <w:sz w:val="24"/>
        </w:rPr>
        <w:t>There is a regular management reporting process and a framework of administrative procedures which includes segregation of duties, a system of delegation and accountability and a system for the authorisation of </w:t>
      </w:r>
      <w:r>
        <w:rPr>
          <w:spacing w:val="-2"/>
          <w:sz w:val="24"/>
        </w:rPr>
        <w:t>expenditure.</w:t>
      </w:r>
    </w:p>
    <w:p>
      <w:pPr>
        <w:pStyle w:val="ListParagraph"/>
        <w:numPr>
          <w:ilvl w:val="0"/>
          <w:numId w:val="14"/>
        </w:numPr>
        <w:tabs>
          <w:tab w:pos="2062" w:val="left" w:leader="none"/>
        </w:tabs>
        <w:spacing w:line="240" w:lineRule="auto" w:before="28" w:after="0"/>
        <w:ind w:left="2062" w:right="991" w:hanging="360"/>
        <w:jc w:val="both"/>
        <w:rPr>
          <w:sz w:val="24"/>
        </w:rPr>
      </w:pPr>
      <w:r>
        <w:rPr>
          <w:sz w:val="24"/>
        </w:rPr>
        <w:t>The organisation has policies and procedures designed to strengthen compliance with all pay and travel requirements as per the Department of Finance and the Department of Public Expenditure and Reform circulars.</w:t>
      </w:r>
    </w:p>
    <w:p>
      <w:pPr>
        <w:pStyle w:val="ListParagraph"/>
        <w:numPr>
          <w:ilvl w:val="0"/>
          <w:numId w:val="14"/>
        </w:numPr>
        <w:tabs>
          <w:tab w:pos="2062" w:val="left" w:leader="none"/>
        </w:tabs>
        <w:spacing w:line="240" w:lineRule="auto" w:before="25" w:after="0"/>
        <w:ind w:left="2062" w:right="989" w:hanging="360"/>
        <w:jc w:val="both"/>
        <w:rPr>
          <w:sz w:val="24"/>
        </w:rPr>
      </w:pPr>
      <w:r>
        <w:rPr>
          <w:sz w:val="24"/>
        </w:rPr>
        <w:t>The organisation has a performance delivery agreement in place with the Department</w:t>
      </w:r>
      <w:r>
        <w:rPr>
          <w:spacing w:val="-3"/>
          <w:sz w:val="24"/>
        </w:rPr>
        <w:t> </w:t>
      </w:r>
      <w:r>
        <w:rPr>
          <w:sz w:val="24"/>
        </w:rPr>
        <w:t>of</w:t>
      </w:r>
      <w:r>
        <w:rPr>
          <w:spacing w:val="-3"/>
          <w:sz w:val="24"/>
        </w:rPr>
        <w:t> </w:t>
      </w:r>
      <w:r>
        <w:rPr>
          <w:sz w:val="24"/>
        </w:rPr>
        <w:t>Justice</w:t>
      </w:r>
      <w:r>
        <w:rPr>
          <w:spacing w:val="-3"/>
          <w:sz w:val="24"/>
        </w:rPr>
        <w:t> </w:t>
      </w:r>
      <w:r>
        <w:rPr>
          <w:sz w:val="24"/>
        </w:rPr>
        <w:t>and</w:t>
      </w:r>
      <w:r>
        <w:rPr>
          <w:spacing w:val="-3"/>
          <w:sz w:val="24"/>
        </w:rPr>
        <w:t> </w:t>
      </w:r>
      <w:r>
        <w:rPr>
          <w:sz w:val="24"/>
        </w:rPr>
        <w:t>Equality,</w:t>
      </w:r>
      <w:r>
        <w:rPr>
          <w:spacing w:val="-3"/>
          <w:sz w:val="24"/>
        </w:rPr>
        <w:t> </w:t>
      </w:r>
      <w:r>
        <w:rPr>
          <w:sz w:val="24"/>
        </w:rPr>
        <w:t>and</w:t>
      </w:r>
      <w:r>
        <w:rPr>
          <w:spacing w:val="-2"/>
          <w:sz w:val="24"/>
        </w:rPr>
        <w:t> </w:t>
      </w:r>
      <w:r>
        <w:rPr>
          <w:sz w:val="24"/>
        </w:rPr>
        <w:t>has</w:t>
      </w:r>
      <w:r>
        <w:rPr>
          <w:spacing w:val="-3"/>
          <w:sz w:val="24"/>
        </w:rPr>
        <w:t> </w:t>
      </w:r>
      <w:r>
        <w:rPr>
          <w:sz w:val="24"/>
        </w:rPr>
        <w:t>regular</w:t>
      </w:r>
      <w:r>
        <w:rPr>
          <w:spacing w:val="-3"/>
          <w:sz w:val="24"/>
        </w:rPr>
        <w:t> </w:t>
      </w:r>
      <w:r>
        <w:rPr>
          <w:sz w:val="24"/>
        </w:rPr>
        <w:t>governance</w:t>
      </w:r>
      <w:r>
        <w:rPr>
          <w:spacing w:val="-2"/>
          <w:sz w:val="24"/>
        </w:rPr>
        <w:t> </w:t>
      </w:r>
      <w:r>
        <w:rPr>
          <w:sz w:val="24"/>
        </w:rPr>
        <w:t>meetings</w:t>
      </w:r>
      <w:r>
        <w:rPr>
          <w:spacing w:val="-4"/>
          <w:sz w:val="24"/>
        </w:rPr>
        <w:t> </w:t>
      </w:r>
      <w:r>
        <w:rPr>
          <w:sz w:val="24"/>
        </w:rPr>
        <w:t>with the Department in relation to its delivery.</w:t>
      </w:r>
    </w:p>
    <w:p>
      <w:pPr>
        <w:pStyle w:val="ListParagraph"/>
        <w:numPr>
          <w:ilvl w:val="0"/>
          <w:numId w:val="14"/>
        </w:numPr>
        <w:tabs>
          <w:tab w:pos="2062" w:val="left" w:leader="none"/>
        </w:tabs>
        <w:spacing w:line="240" w:lineRule="auto" w:before="28" w:after="0"/>
        <w:ind w:left="2062" w:right="990" w:hanging="360"/>
        <w:jc w:val="both"/>
        <w:rPr>
          <w:sz w:val="24"/>
        </w:rPr>
      </w:pPr>
      <w:r>
        <w:rPr>
          <w:sz w:val="24"/>
        </w:rPr>
        <w:t>The</w:t>
      </w:r>
      <w:r>
        <w:rPr>
          <w:spacing w:val="-3"/>
          <w:sz w:val="24"/>
        </w:rPr>
        <w:t> </w:t>
      </w:r>
      <w:r>
        <w:rPr>
          <w:sz w:val="24"/>
        </w:rPr>
        <w:t>committees</w:t>
      </w:r>
      <w:r>
        <w:rPr>
          <w:spacing w:val="-3"/>
          <w:sz w:val="24"/>
        </w:rPr>
        <w:t> </w:t>
      </w:r>
      <w:r>
        <w:rPr>
          <w:sz w:val="24"/>
        </w:rPr>
        <w:t>of</w:t>
      </w:r>
      <w:r>
        <w:rPr>
          <w:spacing w:val="-3"/>
          <w:sz w:val="24"/>
        </w:rPr>
        <w:t> </w:t>
      </w:r>
      <w:r>
        <w:rPr>
          <w:sz w:val="24"/>
        </w:rPr>
        <w:t>the</w:t>
      </w:r>
      <w:r>
        <w:rPr>
          <w:spacing w:val="-1"/>
          <w:sz w:val="24"/>
        </w:rPr>
        <w:t> </w:t>
      </w:r>
      <w:r>
        <w:rPr>
          <w:sz w:val="24"/>
        </w:rPr>
        <w:t>Authority</w:t>
      </w:r>
      <w:r>
        <w:rPr>
          <w:spacing w:val="-3"/>
          <w:sz w:val="24"/>
        </w:rPr>
        <w:t> </w:t>
      </w:r>
      <w:r>
        <w:rPr>
          <w:sz w:val="24"/>
        </w:rPr>
        <w:t>i.e.</w:t>
      </w:r>
      <w:r>
        <w:rPr>
          <w:spacing w:val="-3"/>
          <w:sz w:val="24"/>
        </w:rPr>
        <w:t> </w:t>
      </w:r>
      <w:r>
        <w:rPr>
          <w:sz w:val="24"/>
        </w:rPr>
        <w:t>the</w:t>
      </w:r>
      <w:r>
        <w:rPr>
          <w:spacing w:val="-3"/>
          <w:sz w:val="24"/>
        </w:rPr>
        <w:t> </w:t>
      </w:r>
      <w:r>
        <w:rPr>
          <w:sz w:val="24"/>
        </w:rPr>
        <w:t>Audit,</w:t>
      </w:r>
      <w:r>
        <w:rPr>
          <w:spacing w:val="-1"/>
          <w:sz w:val="24"/>
        </w:rPr>
        <w:t> </w:t>
      </w:r>
      <w:r>
        <w:rPr>
          <w:sz w:val="24"/>
        </w:rPr>
        <w:t>Finance</w:t>
      </w:r>
      <w:r>
        <w:rPr>
          <w:spacing w:val="-2"/>
          <w:sz w:val="24"/>
        </w:rPr>
        <w:t> </w:t>
      </w:r>
      <w:r>
        <w:rPr>
          <w:sz w:val="24"/>
        </w:rPr>
        <w:t>and</w:t>
      </w:r>
      <w:r>
        <w:rPr>
          <w:spacing w:val="-2"/>
          <w:sz w:val="24"/>
        </w:rPr>
        <w:t> </w:t>
      </w:r>
      <w:r>
        <w:rPr>
          <w:sz w:val="24"/>
        </w:rPr>
        <w:t>Risk</w:t>
      </w:r>
      <w:r>
        <w:rPr>
          <w:spacing w:val="-3"/>
          <w:sz w:val="24"/>
        </w:rPr>
        <w:t> </w:t>
      </w:r>
      <w:r>
        <w:rPr>
          <w:sz w:val="24"/>
        </w:rPr>
        <w:t>Committees all</w:t>
      </w:r>
      <w:r>
        <w:rPr>
          <w:spacing w:val="-8"/>
          <w:sz w:val="24"/>
        </w:rPr>
        <w:t> </w:t>
      </w:r>
      <w:r>
        <w:rPr>
          <w:sz w:val="24"/>
        </w:rPr>
        <w:t>have</w:t>
      </w:r>
      <w:r>
        <w:rPr>
          <w:spacing w:val="-8"/>
          <w:sz w:val="24"/>
        </w:rPr>
        <w:t> </w:t>
      </w:r>
      <w:r>
        <w:rPr>
          <w:sz w:val="24"/>
        </w:rPr>
        <w:t>their</w:t>
      </w:r>
      <w:r>
        <w:rPr>
          <w:spacing w:val="-9"/>
          <w:sz w:val="24"/>
        </w:rPr>
        <w:t> </w:t>
      </w:r>
      <w:r>
        <w:rPr>
          <w:sz w:val="24"/>
        </w:rPr>
        <w:t>terms</w:t>
      </w:r>
      <w:r>
        <w:rPr>
          <w:spacing w:val="-9"/>
          <w:sz w:val="24"/>
        </w:rPr>
        <w:t> </w:t>
      </w:r>
      <w:r>
        <w:rPr>
          <w:sz w:val="24"/>
        </w:rPr>
        <w:t>of</w:t>
      </w:r>
      <w:r>
        <w:rPr>
          <w:spacing w:val="-11"/>
          <w:sz w:val="24"/>
        </w:rPr>
        <w:t> </w:t>
      </w:r>
      <w:r>
        <w:rPr>
          <w:sz w:val="24"/>
        </w:rPr>
        <w:t>reference</w:t>
      </w:r>
      <w:r>
        <w:rPr>
          <w:spacing w:val="-8"/>
          <w:sz w:val="24"/>
        </w:rPr>
        <w:t> </w:t>
      </w:r>
      <w:r>
        <w:rPr>
          <w:sz w:val="24"/>
        </w:rPr>
        <w:t>which</w:t>
      </w:r>
      <w:r>
        <w:rPr>
          <w:spacing w:val="-7"/>
          <w:sz w:val="24"/>
        </w:rPr>
        <w:t> </w:t>
      </w:r>
      <w:r>
        <w:rPr>
          <w:sz w:val="24"/>
        </w:rPr>
        <w:t>are</w:t>
      </w:r>
      <w:r>
        <w:rPr>
          <w:spacing w:val="-8"/>
          <w:sz w:val="24"/>
        </w:rPr>
        <w:t> </w:t>
      </w:r>
      <w:r>
        <w:rPr>
          <w:sz w:val="24"/>
        </w:rPr>
        <w:t>subject</w:t>
      </w:r>
      <w:r>
        <w:rPr>
          <w:spacing w:val="-11"/>
          <w:sz w:val="24"/>
        </w:rPr>
        <w:t> </w:t>
      </w:r>
      <w:r>
        <w:rPr>
          <w:sz w:val="24"/>
        </w:rPr>
        <w:t>to</w:t>
      </w:r>
      <w:r>
        <w:rPr>
          <w:spacing w:val="-9"/>
          <w:sz w:val="24"/>
        </w:rPr>
        <w:t> </w:t>
      </w:r>
      <w:r>
        <w:rPr>
          <w:sz w:val="24"/>
        </w:rPr>
        <w:t>review</w:t>
      </w:r>
      <w:r>
        <w:rPr>
          <w:spacing w:val="-10"/>
          <w:sz w:val="24"/>
        </w:rPr>
        <w:t> </w:t>
      </w:r>
      <w:r>
        <w:rPr>
          <w:sz w:val="24"/>
        </w:rPr>
        <w:t>by</w:t>
      </w:r>
      <w:r>
        <w:rPr>
          <w:spacing w:val="-10"/>
          <w:sz w:val="24"/>
        </w:rPr>
        <w:t> </w:t>
      </w:r>
      <w:r>
        <w:rPr>
          <w:sz w:val="24"/>
        </w:rPr>
        <w:t>the</w:t>
      </w:r>
      <w:r>
        <w:rPr>
          <w:spacing w:val="-8"/>
          <w:sz w:val="24"/>
        </w:rPr>
        <w:t> </w:t>
      </w:r>
      <w:r>
        <w:rPr>
          <w:sz w:val="24"/>
        </w:rPr>
        <w:t>Authority. The Authority and its Finance and Audit Committees reviewed their performance in 2017.</w:t>
      </w:r>
    </w:p>
    <w:p>
      <w:pPr>
        <w:pStyle w:val="ListParagraph"/>
        <w:numPr>
          <w:ilvl w:val="0"/>
          <w:numId w:val="14"/>
        </w:numPr>
        <w:tabs>
          <w:tab w:pos="2062" w:val="left" w:leader="none"/>
        </w:tabs>
        <w:spacing w:line="240" w:lineRule="auto" w:before="27" w:after="0"/>
        <w:ind w:left="2062" w:right="989" w:hanging="360"/>
        <w:jc w:val="both"/>
        <w:rPr>
          <w:sz w:val="24"/>
        </w:rPr>
      </w:pPr>
      <w:r>
        <w:rPr>
          <w:sz w:val="24"/>
        </w:rPr>
        <w:t>The Audit Committee considered whether the separate Risk Committee would</w:t>
      </w:r>
      <w:r>
        <w:rPr>
          <w:spacing w:val="-8"/>
          <w:sz w:val="24"/>
        </w:rPr>
        <w:t> </w:t>
      </w:r>
      <w:r>
        <w:rPr>
          <w:sz w:val="24"/>
        </w:rPr>
        <w:t>continue</w:t>
      </w:r>
      <w:r>
        <w:rPr>
          <w:spacing w:val="-8"/>
          <w:sz w:val="24"/>
        </w:rPr>
        <w:t> </w:t>
      </w:r>
      <w:r>
        <w:rPr>
          <w:sz w:val="24"/>
        </w:rPr>
        <w:t>and</w:t>
      </w:r>
      <w:r>
        <w:rPr>
          <w:spacing w:val="-9"/>
          <w:sz w:val="24"/>
        </w:rPr>
        <w:t> </w:t>
      </w:r>
      <w:r>
        <w:rPr>
          <w:sz w:val="24"/>
        </w:rPr>
        <w:t>it</w:t>
      </w:r>
      <w:r>
        <w:rPr>
          <w:spacing w:val="-8"/>
          <w:sz w:val="24"/>
        </w:rPr>
        <w:t> </w:t>
      </w:r>
      <w:r>
        <w:rPr>
          <w:sz w:val="24"/>
        </w:rPr>
        <w:t>was</w:t>
      </w:r>
      <w:r>
        <w:rPr>
          <w:spacing w:val="-9"/>
          <w:sz w:val="24"/>
        </w:rPr>
        <w:t> </w:t>
      </w:r>
      <w:r>
        <w:rPr>
          <w:sz w:val="24"/>
        </w:rPr>
        <w:t>considered</w:t>
      </w:r>
      <w:r>
        <w:rPr>
          <w:spacing w:val="-7"/>
          <w:sz w:val="24"/>
        </w:rPr>
        <w:t> </w:t>
      </w:r>
      <w:r>
        <w:rPr>
          <w:sz w:val="24"/>
        </w:rPr>
        <w:t>that</w:t>
      </w:r>
      <w:r>
        <w:rPr>
          <w:spacing w:val="-8"/>
          <w:sz w:val="24"/>
        </w:rPr>
        <w:t> </w:t>
      </w:r>
      <w:r>
        <w:rPr>
          <w:sz w:val="24"/>
        </w:rPr>
        <w:t>this</w:t>
      </w:r>
      <w:r>
        <w:rPr>
          <w:spacing w:val="-9"/>
          <w:sz w:val="24"/>
        </w:rPr>
        <w:t> </w:t>
      </w:r>
      <w:r>
        <w:rPr>
          <w:sz w:val="24"/>
        </w:rPr>
        <w:t>added</w:t>
      </w:r>
      <w:r>
        <w:rPr>
          <w:spacing w:val="-7"/>
          <w:sz w:val="24"/>
        </w:rPr>
        <w:t> </w:t>
      </w:r>
      <w:r>
        <w:rPr>
          <w:sz w:val="24"/>
        </w:rPr>
        <w:t>value</w:t>
      </w:r>
      <w:r>
        <w:rPr>
          <w:spacing w:val="-10"/>
          <w:sz w:val="24"/>
        </w:rPr>
        <w:t> </w:t>
      </w:r>
      <w:r>
        <w:rPr>
          <w:sz w:val="24"/>
        </w:rPr>
        <w:t>to</w:t>
      </w:r>
      <w:r>
        <w:rPr>
          <w:spacing w:val="-9"/>
          <w:sz w:val="24"/>
        </w:rPr>
        <w:t> </w:t>
      </w:r>
      <w:r>
        <w:rPr>
          <w:sz w:val="24"/>
        </w:rPr>
        <w:t>the</w:t>
      </w:r>
      <w:r>
        <w:rPr>
          <w:spacing w:val="-8"/>
          <w:sz w:val="24"/>
        </w:rPr>
        <w:t> </w:t>
      </w:r>
      <w:r>
        <w:rPr>
          <w:sz w:val="24"/>
        </w:rPr>
        <w:t>work</w:t>
      </w:r>
      <w:r>
        <w:rPr>
          <w:spacing w:val="-10"/>
          <w:sz w:val="24"/>
        </w:rPr>
        <w:t> </w:t>
      </w:r>
      <w:r>
        <w:rPr>
          <w:sz w:val="24"/>
        </w:rPr>
        <w:t>of</w:t>
      </w:r>
      <w:r>
        <w:rPr>
          <w:spacing w:val="-10"/>
          <w:sz w:val="24"/>
        </w:rPr>
        <w:t> </w:t>
      </w:r>
      <w:r>
        <w:rPr>
          <w:sz w:val="24"/>
        </w:rPr>
        <w:t>the Audit Committee which oversees risk management. The Authority approved this approach.</w:t>
      </w:r>
    </w:p>
    <w:p>
      <w:pPr>
        <w:pStyle w:val="ListParagraph"/>
        <w:numPr>
          <w:ilvl w:val="0"/>
          <w:numId w:val="14"/>
        </w:numPr>
        <w:tabs>
          <w:tab w:pos="2062" w:val="left" w:leader="none"/>
        </w:tabs>
        <w:spacing w:line="240" w:lineRule="auto" w:before="29" w:after="0"/>
        <w:ind w:left="2062" w:right="987" w:hanging="360"/>
        <w:jc w:val="both"/>
        <w:rPr>
          <w:sz w:val="24"/>
        </w:rPr>
      </w:pPr>
      <w:r>
        <w:rPr>
          <w:sz w:val="24"/>
        </w:rPr>
        <w:t>There are systems aimed at ensuring the security of the information and communication</w:t>
      </w:r>
      <w:r>
        <w:rPr>
          <w:spacing w:val="-11"/>
          <w:sz w:val="24"/>
        </w:rPr>
        <w:t> </w:t>
      </w:r>
      <w:r>
        <w:rPr>
          <w:sz w:val="24"/>
        </w:rPr>
        <w:t>technology</w:t>
      </w:r>
      <w:r>
        <w:rPr>
          <w:spacing w:val="-10"/>
          <w:sz w:val="24"/>
        </w:rPr>
        <w:t> </w:t>
      </w:r>
      <w:r>
        <w:rPr>
          <w:sz w:val="24"/>
        </w:rPr>
        <w:t>systems.</w:t>
      </w:r>
      <w:r>
        <w:rPr>
          <w:spacing w:val="40"/>
          <w:sz w:val="24"/>
        </w:rPr>
        <w:t> </w:t>
      </w:r>
      <w:r>
        <w:rPr>
          <w:sz w:val="24"/>
        </w:rPr>
        <w:t>The</w:t>
      </w:r>
      <w:r>
        <w:rPr>
          <w:spacing w:val="-11"/>
          <w:sz w:val="24"/>
        </w:rPr>
        <w:t> </w:t>
      </w:r>
      <w:r>
        <w:rPr>
          <w:sz w:val="24"/>
        </w:rPr>
        <w:t>NDA</w:t>
      </w:r>
      <w:r>
        <w:rPr>
          <w:spacing w:val="-11"/>
          <w:sz w:val="24"/>
        </w:rPr>
        <w:t> </w:t>
      </w:r>
      <w:r>
        <w:rPr>
          <w:sz w:val="24"/>
        </w:rPr>
        <w:t>has</w:t>
      </w:r>
      <w:r>
        <w:rPr>
          <w:spacing w:val="-12"/>
          <w:sz w:val="24"/>
        </w:rPr>
        <w:t> </w:t>
      </w:r>
      <w:r>
        <w:rPr>
          <w:sz w:val="24"/>
        </w:rPr>
        <w:t>a</w:t>
      </w:r>
      <w:r>
        <w:rPr>
          <w:spacing w:val="-10"/>
          <w:sz w:val="24"/>
        </w:rPr>
        <w:t> </w:t>
      </w:r>
      <w:r>
        <w:rPr>
          <w:sz w:val="24"/>
        </w:rPr>
        <w:t>Service</w:t>
      </w:r>
      <w:r>
        <w:rPr>
          <w:spacing w:val="-11"/>
          <w:sz w:val="24"/>
        </w:rPr>
        <w:t> </w:t>
      </w:r>
      <w:r>
        <w:rPr>
          <w:sz w:val="24"/>
        </w:rPr>
        <w:t>Level</w:t>
      </w:r>
      <w:r>
        <w:rPr>
          <w:spacing w:val="-13"/>
          <w:sz w:val="24"/>
        </w:rPr>
        <w:t> </w:t>
      </w:r>
      <w:r>
        <w:rPr>
          <w:sz w:val="24"/>
        </w:rPr>
        <w:t>Agreement in place with regard to the shared ICT support service it avails of under the Department of Justice and Equality.</w:t>
      </w:r>
    </w:p>
    <w:p>
      <w:pPr>
        <w:pStyle w:val="ListParagraph"/>
        <w:numPr>
          <w:ilvl w:val="0"/>
          <w:numId w:val="14"/>
        </w:numPr>
        <w:tabs>
          <w:tab w:pos="2061" w:val="left" w:leader="none"/>
        </w:tabs>
        <w:spacing w:line="240" w:lineRule="auto" w:before="27" w:after="0"/>
        <w:ind w:left="2061" w:right="0" w:hanging="359"/>
        <w:jc w:val="both"/>
        <w:rPr>
          <w:sz w:val="24"/>
        </w:rPr>
      </w:pPr>
      <w:r>
        <w:rPr>
          <w:sz w:val="24"/>
        </w:rPr>
        <w:t>There</w:t>
      </w:r>
      <w:r>
        <w:rPr>
          <w:spacing w:val="-2"/>
          <w:sz w:val="24"/>
        </w:rPr>
        <w:t> </w:t>
      </w:r>
      <w:r>
        <w:rPr>
          <w:sz w:val="24"/>
        </w:rPr>
        <w:t>are</w:t>
      </w:r>
      <w:r>
        <w:rPr>
          <w:spacing w:val="-1"/>
          <w:sz w:val="24"/>
        </w:rPr>
        <w:t> </w:t>
      </w:r>
      <w:r>
        <w:rPr>
          <w:sz w:val="24"/>
        </w:rPr>
        <w:t>systems</w:t>
      </w:r>
      <w:r>
        <w:rPr>
          <w:spacing w:val="-3"/>
          <w:sz w:val="24"/>
        </w:rPr>
        <w:t> </w:t>
      </w:r>
      <w:r>
        <w:rPr>
          <w:sz w:val="24"/>
        </w:rPr>
        <w:t>in</w:t>
      </w:r>
      <w:r>
        <w:rPr>
          <w:spacing w:val="-1"/>
          <w:sz w:val="24"/>
        </w:rPr>
        <w:t> </w:t>
      </w:r>
      <w:r>
        <w:rPr>
          <w:sz w:val="24"/>
        </w:rPr>
        <w:t>place</w:t>
      </w:r>
      <w:r>
        <w:rPr>
          <w:spacing w:val="-1"/>
          <w:sz w:val="24"/>
        </w:rPr>
        <w:t> </w:t>
      </w:r>
      <w:r>
        <w:rPr>
          <w:sz w:val="24"/>
        </w:rPr>
        <w:t>to</w:t>
      </w:r>
      <w:r>
        <w:rPr>
          <w:spacing w:val="-3"/>
          <w:sz w:val="24"/>
        </w:rPr>
        <w:t> </w:t>
      </w:r>
      <w:r>
        <w:rPr>
          <w:sz w:val="24"/>
        </w:rPr>
        <w:t>safeguard</w:t>
      </w:r>
      <w:r>
        <w:rPr>
          <w:spacing w:val="-3"/>
          <w:sz w:val="24"/>
        </w:rPr>
        <w:t> </w:t>
      </w:r>
      <w:r>
        <w:rPr>
          <w:sz w:val="24"/>
        </w:rPr>
        <w:t>and account</w:t>
      </w:r>
      <w:r>
        <w:rPr>
          <w:spacing w:val="-1"/>
          <w:sz w:val="24"/>
        </w:rPr>
        <w:t> </w:t>
      </w:r>
      <w:r>
        <w:rPr>
          <w:sz w:val="24"/>
        </w:rPr>
        <w:t>for</w:t>
      </w:r>
      <w:r>
        <w:rPr>
          <w:spacing w:val="-1"/>
          <w:sz w:val="24"/>
        </w:rPr>
        <w:t> </w:t>
      </w:r>
      <w:r>
        <w:rPr>
          <w:spacing w:val="-2"/>
          <w:sz w:val="24"/>
        </w:rPr>
        <w:t>assets.</w:t>
      </w:r>
    </w:p>
    <w:p>
      <w:pPr>
        <w:pStyle w:val="ListParagraph"/>
        <w:numPr>
          <w:ilvl w:val="0"/>
          <w:numId w:val="14"/>
        </w:numPr>
        <w:tabs>
          <w:tab w:pos="2062" w:val="left" w:leader="none"/>
        </w:tabs>
        <w:spacing w:line="240" w:lineRule="auto" w:before="25" w:after="0"/>
        <w:ind w:left="2062" w:right="990" w:hanging="360"/>
        <w:jc w:val="both"/>
        <w:rPr>
          <w:sz w:val="24"/>
        </w:rPr>
      </w:pPr>
      <w:r>
        <w:rPr>
          <w:sz w:val="24"/>
        </w:rPr>
        <w:t>The Executive of the NDA works continuously to improve control systems and to report to the Audit and Finance Committees on same.</w:t>
      </w:r>
    </w:p>
    <w:p>
      <w:pPr>
        <w:pStyle w:val="ListParagraph"/>
        <w:numPr>
          <w:ilvl w:val="0"/>
          <w:numId w:val="14"/>
        </w:numPr>
        <w:tabs>
          <w:tab w:pos="2062" w:val="left" w:leader="none"/>
        </w:tabs>
        <w:spacing w:line="240" w:lineRule="auto" w:before="28" w:after="0"/>
        <w:ind w:left="2062" w:right="991" w:hanging="360"/>
        <w:jc w:val="both"/>
        <w:rPr>
          <w:sz w:val="24"/>
        </w:rPr>
      </w:pPr>
      <w:r>
        <w:rPr>
          <w:sz w:val="24"/>
        </w:rPr>
        <w:t>The Annual Report is produced incorporating the financial statements and is published by the NDA once it has been laid before the Oireachtas.</w:t>
      </w:r>
    </w:p>
    <w:p>
      <w:pPr>
        <w:pStyle w:val="BodyText"/>
        <w:spacing w:before="53"/>
        <w:rPr>
          <w:sz w:val="24"/>
        </w:rPr>
      </w:pPr>
    </w:p>
    <w:p>
      <w:pPr>
        <w:spacing w:before="0"/>
        <w:ind w:left="1702" w:right="989" w:firstLine="0"/>
        <w:jc w:val="both"/>
        <w:rPr>
          <w:sz w:val="24"/>
        </w:rPr>
      </w:pPr>
      <w:r>
        <w:rPr>
          <w:sz w:val="24"/>
        </w:rPr>
        <w:t>The</w:t>
      </w:r>
      <w:r>
        <w:rPr>
          <w:spacing w:val="-5"/>
          <w:sz w:val="24"/>
        </w:rPr>
        <w:t> </w:t>
      </w:r>
      <w:r>
        <w:rPr>
          <w:sz w:val="24"/>
        </w:rPr>
        <w:t>NDA’s</w:t>
      </w:r>
      <w:r>
        <w:rPr>
          <w:spacing w:val="-7"/>
          <w:sz w:val="24"/>
        </w:rPr>
        <w:t> </w:t>
      </w:r>
      <w:r>
        <w:rPr>
          <w:sz w:val="24"/>
        </w:rPr>
        <w:t>Corporate</w:t>
      </w:r>
      <w:r>
        <w:rPr>
          <w:spacing w:val="-8"/>
          <w:sz w:val="24"/>
        </w:rPr>
        <w:t> </w:t>
      </w:r>
      <w:r>
        <w:rPr>
          <w:sz w:val="24"/>
        </w:rPr>
        <w:t>Governance</w:t>
      </w:r>
      <w:r>
        <w:rPr>
          <w:spacing w:val="-5"/>
          <w:sz w:val="24"/>
        </w:rPr>
        <w:t> </w:t>
      </w:r>
      <w:r>
        <w:rPr>
          <w:sz w:val="24"/>
        </w:rPr>
        <w:t>manual</w:t>
      </w:r>
      <w:r>
        <w:rPr>
          <w:spacing w:val="-5"/>
          <w:sz w:val="24"/>
        </w:rPr>
        <w:t> </w:t>
      </w:r>
      <w:r>
        <w:rPr>
          <w:sz w:val="24"/>
        </w:rPr>
        <w:t>has</w:t>
      </w:r>
      <w:r>
        <w:rPr>
          <w:spacing w:val="-8"/>
          <w:sz w:val="24"/>
        </w:rPr>
        <w:t> </w:t>
      </w:r>
      <w:r>
        <w:rPr>
          <w:sz w:val="24"/>
        </w:rPr>
        <w:t>undergone</w:t>
      </w:r>
      <w:r>
        <w:rPr>
          <w:spacing w:val="-5"/>
          <w:sz w:val="24"/>
        </w:rPr>
        <w:t> </w:t>
      </w:r>
      <w:r>
        <w:rPr>
          <w:sz w:val="24"/>
        </w:rPr>
        <w:t>review</w:t>
      </w:r>
      <w:r>
        <w:rPr>
          <w:spacing w:val="-5"/>
          <w:sz w:val="24"/>
        </w:rPr>
        <w:t> </w:t>
      </w:r>
      <w:r>
        <w:rPr>
          <w:sz w:val="24"/>
        </w:rPr>
        <w:t>in</w:t>
      </w:r>
      <w:r>
        <w:rPr>
          <w:spacing w:val="-5"/>
          <w:sz w:val="24"/>
        </w:rPr>
        <w:t> </w:t>
      </w:r>
      <w:r>
        <w:rPr>
          <w:sz w:val="24"/>
        </w:rPr>
        <w:t>line</w:t>
      </w:r>
      <w:r>
        <w:rPr>
          <w:spacing w:val="-7"/>
          <w:sz w:val="24"/>
        </w:rPr>
        <w:t> </w:t>
      </w:r>
      <w:r>
        <w:rPr>
          <w:sz w:val="24"/>
        </w:rPr>
        <w:t>with</w:t>
      </w:r>
      <w:r>
        <w:rPr>
          <w:spacing w:val="-6"/>
          <w:sz w:val="24"/>
        </w:rPr>
        <w:t> </w:t>
      </w:r>
      <w:r>
        <w:rPr>
          <w:sz w:val="24"/>
        </w:rPr>
        <w:t>the Code</w:t>
      </w:r>
      <w:r>
        <w:rPr>
          <w:spacing w:val="-5"/>
          <w:sz w:val="24"/>
        </w:rPr>
        <w:t> </w:t>
      </w:r>
      <w:r>
        <w:rPr>
          <w:sz w:val="24"/>
        </w:rPr>
        <w:t>of</w:t>
      </w:r>
      <w:r>
        <w:rPr>
          <w:spacing w:val="-4"/>
          <w:sz w:val="24"/>
        </w:rPr>
        <w:t> </w:t>
      </w:r>
      <w:r>
        <w:rPr>
          <w:sz w:val="24"/>
        </w:rPr>
        <w:t>Practice</w:t>
      </w:r>
      <w:r>
        <w:rPr>
          <w:spacing w:val="-2"/>
          <w:sz w:val="24"/>
        </w:rPr>
        <w:t> </w:t>
      </w:r>
      <w:r>
        <w:rPr>
          <w:sz w:val="24"/>
        </w:rPr>
        <w:t>for</w:t>
      </w:r>
      <w:r>
        <w:rPr>
          <w:spacing w:val="-3"/>
          <w:sz w:val="24"/>
        </w:rPr>
        <w:t> </w:t>
      </w:r>
      <w:r>
        <w:rPr>
          <w:sz w:val="24"/>
        </w:rPr>
        <w:t>Governance</w:t>
      </w:r>
      <w:r>
        <w:rPr>
          <w:spacing w:val="-3"/>
          <w:sz w:val="24"/>
        </w:rPr>
        <w:t> </w:t>
      </w:r>
      <w:r>
        <w:rPr>
          <w:sz w:val="24"/>
        </w:rPr>
        <w:t>of</w:t>
      </w:r>
      <w:r>
        <w:rPr>
          <w:spacing w:val="-3"/>
          <w:sz w:val="24"/>
        </w:rPr>
        <w:t> </w:t>
      </w:r>
      <w:r>
        <w:rPr>
          <w:sz w:val="24"/>
        </w:rPr>
        <w:t>State</w:t>
      </w:r>
      <w:r>
        <w:rPr>
          <w:spacing w:val="-3"/>
          <w:sz w:val="24"/>
        </w:rPr>
        <w:t> </w:t>
      </w:r>
      <w:r>
        <w:rPr>
          <w:sz w:val="24"/>
        </w:rPr>
        <w:t>Bodies</w:t>
      </w:r>
      <w:r>
        <w:rPr>
          <w:spacing w:val="-4"/>
          <w:sz w:val="24"/>
        </w:rPr>
        <w:t> </w:t>
      </w:r>
      <w:r>
        <w:rPr>
          <w:sz w:val="24"/>
        </w:rPr>
        <w:t>(2016).</w:t>
      </w:r>
      <w:r>
        <w:rPr>
          <w:spacing w:val="-2"/>
          <w:sz w:val="24"/>
        </w:rPr>
        <w:t> </w:t>
      </w:r>
      <w:r>
        <w:rPr>
          <w:sz w:val="24"/>
        </w:rPr>
        <w:t>The</w:t>
      </w:r>
      <w:r>
        <w:rPr>
          <w:spacing w:val="-3"/>
          <w:sz w:val="24"/>
        </w:rPr>
        <w:t> </w:t>
      </w:r>
      <w:r>
        <w:rPr>
          <w:sz w:val="24"/>
        </w:rPr>
        <w:t>manual</w:t>
      </w:r>
      <w:r>
        <w:rPr>
          <w:spacing w:val="-2"/>
          <w:sz w:val="24"/>
        </w:rPr>
        <w:t> </w:t>
      </w:r>
      <w:r>
        <w:rPr>
          <w:sz w:val="24"/>
        </w:rPr>
        <w:t>sets</w:t>
      </w:r>
      <w:r>
        <w:rPr>
          <w:spacing w:val="-3"/>
          <w:sz w:val="24"/>
        </w:rPr>
        <w:t> </w:t>
      </w:r>
      <w:r>
        <w:rPr>
          <w:sz w:val="24"/>
        </w:rPr>
        <w:t>out</w:t>
      </w:r>
      <w:r>
        <w:rPr>
          <w:spacing w:val="-3"/>
          <w:sz w:val="24"/>
        </w:rPr>
        <w:t> </w:t>
      </w:r>
      <w:r>
        <w:rPr>
          <w:spacing w:val="-5"/>
          <w:sz w:val="24"/>
        </w:rPr>
        <w:t>the</w:t>
      </w:r>
    </w:p>
    <w:p>
      <w:pPr>
        <w:spacing w:after="0"/>
        <w:jc w:val="both"/>
        <w:rPr>
          <w:sz w:val="24"/>
        </w:rPr>
        <w:sectPr>
          <w:pgSz w:w="11910" w:h="16850"/>
          <w:pgMar w:header="0" w:footer="811" w:top="1880" w:bottom="1000" w:left="283" w:right="992"/>
        </w:sectPr>
      </w:pPr>
    </w:p>
    <w:p>
      <w:pPr>
        <w:spacing w:before="78"/>
        <w:ind w:left="1702" w:right="992" w:firstLine="0"/>
        <w:jc w:val="both"/>
        <w:rPr>
          <w:sz w:val="24"/>
        </w:rPr>
      </w:pPr>
      <w:r>
        <w:rPr>
          <w:sz w:val="24"/>
        </w:rPr>
        <w:t>role of members of the Authority and of the Executive and procedures for delegated authority, decisions, interests of members and other matters.</w:t>
      </w:r>
    </w:p>
    <w:p>
      <w:pPr>
        <w:pStyle w:val="BodyText"/>
        <w:spacing w:before="53"/>
        <w:rPr>
          <w:sz w:val="24"/>
        </w:rPr>
      </w:pPr>
    </w:p>
    <w:p>
      <w:pPr>
        <w:spacing w:before="0"/>
        <w:ind w:left="1702" w:right="987" w:firstLine="0"/>
        <w:jc w:val="both"/>
        <w:rPr>
          <w:sz w:val="24"/>
        </w:rPr>
      </w:pPr>
      <w:r>
        <w:rPr>
          <w:sz w:val="24"/>
        </w:rPr>
        <w:t>The NDA has a Data Protection Officer, a Freedom of Information Officer and a Risk Officer. In line with the General Data Protection Regulation, the NDA is identifying all relevant databases to ensure compliance with the Regulation and is updating policies and procedures on data protection, retention and reporting.</w:t>
      </w:r>
    </w:p>
    <w:p>
      <w:pPr>
        <w:pStyle w:val="BodyText"/>
        <w:spacing w:before="29"/>
        <w:rPr>
          <w:sz w:val="24"/>
        </w:rPr>
      </w:pPr>
    </w:p>
    <w:p>
      <w:pPr>
        <w:spacing w:before="0"/>
        <w:ind w:left="1702" w:right="0" w:firstLine="0"/>
        <w:jc w:val="both"/>
        <w:rPr>
          <w:b/>
          <w:sz w:val="24"/>
        </w:rPr>
      </w:pPr>
      <w:r>
        <w:rPr>
          <w:b/>
          <w:sz w:val="24"/>
        </w:rPr>
        <w:t>Ongoing</w:t>
      </w:r>
      <w:r>
        <w:rPr>
          <w:b/>
          <w:spacing w:val="-4"/>
          <w:sz w:val="24"/>
        </w:rPr>
        <w:t> </w:t>
      </w:r>
      <w:r>
        <w:rPr>
          <w:b/>
          <w:sz w:val="24"/>
        </w:rPr>
        <w:t>Monitoring</w:t>
      </w:r>
      <w:r>
        <w:rPr>
          <w:b/>
          <w:spacing w:val="-3"/>
          <w:sz w:val="24"/>
        </w:rPr>
        <w:t> </w:t>
      </w:r>
      <w:r>
        <w:rPr>
          <w:b/>
          <w:sz w:val="24"/>
        </w:rPr>
        <w:t>and</w:t>
      </w:r>
      <w:r>
        <w:rPr>
          <w:b/>
          <w:spacing w:val="-3"/>
          <w:sz w:val="24"/>
        </w:rPr>
        <w:t> </w:t>
      </w:r>
      <w:r>
        <w:rPr>
          <w:b/>
          <w:spacing w:val="-2"/>
          <w:sz w:val="24"/>
        </w:rPr>
        <w:t>Review</w:t>
      </w:r>
    </w:p>
    <w:p>
      <w:pPr>
        <w:spacing w:before="277"/>
        <w:ind w:left="1702" w:right="988" w:firstLine="0"/>
        <w:jc w:val="both"/>
        <w:rPr>
          <w:sz w:val="24"/>
        </w:rPr>
      </w:pPr>
      <w:r>
        <w:rPr>
          <w:sz w:val="24"/>
        </w:rPr>
        <w:t>Formal procedures have been established for monitoring control processes, and control deficiencies are communicated to those responsible for taking corrective action</w:t>
      </w:r>
      <w:r>
        <w:rPr>
          <w:spacing w:val="-5"/>
          <w:sz w:val="24"/>
        </w:rPr>
        <w:t> </w:t>
      </w:r>
      <w:r>
        <w:rPr>
          <w:sz w:val="24"/>
        </w:rPr>
        <w:t>in</w:t>
      </w:r>
      <w:r>
        <w:rPr>
          <w:spacing w:val="-8"/>
          <w:sz w:val="24"/>
        </w:rPr>
        <w:t> </w:t>
      </w:r>
      <w:r>
        <w:rPr>
          <w:sz w:val="24"/>
        </w:rPr>
        <w:t>the</w:t>
      </w:r>
      <w:r>
        <w:rPr>
          <w:spacing w:val="-6"/>
          <w:sz w:val="24"/>
        </w:rPr>
        <w:t> </w:t>
      </w:r>
      <w:r>
        <w:rPr>
          <w:sz w:val="24"/>
        </w:rPr>
        <w:t>relevant</w:t>
      </w:r>
      <w:r>
        <w:rPr>
          <w:spacing w:val="-8"/>
          <w:sz w:val="24"/>
        </w:rPr>
        <w:t> </w:t>
      </w:r>
      <w:r>
        <w:rPr>
          <w:sz w:val="24"/>
        </w:rPr>
        <w:t>areas,</w:t>
      </w:r>
      <w:r>
        <w:rPr>
          <w:spacing w:val="-6"/>
          <w:sz w:val="24"/>
        </w:rPr>
        <w:t> </w:t>
      </w:r>
      <w:r>
        <w:rPr>
          <w:sz w:val="24"/>
        </w:rPr>
        <w:t>with</w:t>
      </w:r>
      <w:r>
        <w:rPr>
          <w:spacing w:val="-6"/>
          <w:sz w:val="24"/>
        </w:rPr>
        <w:t> </w:t>
      </w:r>
      <w:r>
        <w:rPr>
          <w:sz w:val="24"/>
        </w:rPr>
        <w:t>provisions</w:t>
      </w:r>
      <w:r>
        <w:rPr>
          <w:spacing w:val="-7"/>
          <w:sz w:val="24"/>
        </w:rPr>
        <w:t> </w:t>
      </w:r>
      <w:r>
        <w:rPr>
          <w:sz w:val="24"/>
        </w:rPr>
        <w:t>to</w:t>
      </w:r>
      <w:r>
        <w:rPr>
          <w:spacing w:val="-7"/>
          <w:sz w:val="24"/>
        </w:rPr>
        <w:t> </w:t>
      </w:r>
      <w:r>
        <w:rPr>
          <w:sz w:val="24"/>
        </w:rPr>
        <w:t>inform</w:t>
      </w:r>
      <w:r>
        <w:rPr>
          <w:spacing w:val="-6"/>
          <w:sz w:val="24"/>
        </w:rPr>
        <w:t> </w:t>
      </w:r>
      <w:r>
        <w:rPr>
          <w:sz w:val="24"/>
        </w:rPr>
        <w:t>management,</w:t>
      </w:r>
      <w:r>
        <w:rPr>
          <w:spacing w:val="-5"/>
          <w:sz w:val="24"/>
        </w:rPr>
        <w:t> </w:t>
      </w:r>
      <w:r>
        <w:rPr>
          <w:sz w:val="24"/>
        </w:rPr>
        <w:t>the</w:t>
      </w:r>
      <w:r>
        <w:rPr>
          <w:spacing w:val="-8"/>
          <w:sz w:val="24"/>
        </w:rPr>
        <w:t> </w:t>
      </w:r>
      <w:r>
        <w:rPr>
          <w:sz w:val="24"/>
        </w:rPr>
        <w:t>Authority and its committees, where relevant, in a timely way.</w:t>
      </w:r>
    </w:p>
    <w:p>
      <w:pPr>
        <w:pStyle w:val="BodyText"/>
        <w:rPr>
          <w:sz w:val="24"/>
        </w:rPr>
      </w:pPr>
    </w:p>
    <w:p>
      <w:pPr>
        <w:spacing w:before="0"/>
        <w:ind w:left="1769" w:right="0" w:firstLine="0"/>
        <w:jc w:val="both"/>
        <w:rPr>
          <w:sz w:val="24"/>
        </w:rPr>
      </w:pPr>
      <w:r>
        <w:rPr>
          <w:sz w:val="24"/>
        </w:rPr>
        <w:t>I</w:t>
      </w:r>
      <w:r>
        <w:rPr>
          <w:spacing w:val="-2"/>
          <w:sz w:val="24"/>
        </w:rPr>
        <w:t> </w:t>
      </w:r>
      <w:r>
        <w:rPr>
          <w:sz w:val="24"/>
        </w:rPr>
        <w:t>confirm</w:t>
      </w:r>
      <w:r>
        <w:rPr>
          <w:spacing w:val="-2"/>
          <w:sz w:val="24"/>
        </w:rPr>
        <w:t> </w:t>
      </w:r>
      <w:r>
        <w:rPr>
          <w:sz w:val="24"/>
        </w:rPr>
        <w:t>that</w:t>
      </w:r>
      <w:r>
        <w:rPr>
          <w:spacing w:val="-1"/>
          <w:sz w:val="24"/>
        </w:rPr>
        <w:t> </w:t>
      </w:r>
      <w:r>
        <w:rPr>
          <w:sz w:val="24"/>
        </w:rPr>
        <w:t>the</w:t>
      </w:r>
      <w:r>
        <w:rPr>
          <w:spacing w:val="-2"/>
          <w:sz w:val="24"/>
        </w:rPr>
        <w:t> </w:t>
      </w:r>
      <w:r>
        <w:rPr>
          <w:sz w:val="24"/>
        </w:rPr>
        <w:t>following</w:t>
      </w:r>
      <w:r>
        <w:rPr>
          <w:spacing w:val="-2"/>
          <w:sz w:val="24"/>
        </w:rPr>
        <w:t> </w:t>
      </w:r>
      <w:r>
        <w:rPr>
          <w:sz w:val="24"/>
        </w:rPr>
        <w:t>ongoing</w:t>
      </w:r>
      <w:r>
        <w:rPr>
          <w:spacing w:val="-1"/>
          <w:sz w:val="24"/>
        </w:rPr>
        <w:t> </w:t>
      </w:r>
      <w:r>
        <w:rPr>
          <w:sz w:val="24"/>
        </w:rPr>
        <w:t>monitoring</w:t>
      </w:r>
      <w:r>
        <w:rPr>
          <w:spacing w:val="-2"/>
          <w:sz w:val="24"/>
        </w:rPr>
        <w:t> </w:t>
      </w:r>
      <w:r>
        <w:rPr>
          <w:sz w:val="24"/>
        </w:rPr>
        <w:t>systems</w:t>
      </w:r>
      <w:r>
        <w:rPr>
          <w:spacing w:val="-3"/>
          <w:sz w:val="24"/>
        </w:rPr>
        <w:t> </w:t>
      </w:r>
      <w:r>
        <w:rPr>
          <w:sz w:val="24"/>
        </w:rPr>
        <w:t>are</w:t>
      </w:r>
      <w:r>
        <w:rPr>
          <w:spacing w:val="-2"/>
          <w:sz w:val="24"/>
        </w:rPr>
        <w:t> </w:t>
      </w:r>
      <w:r>
        <w:rPr>
          <w:sz w:val="24"/>
        </w:rPr>
        <w:t>in</w:t>
      </w:r>
      <w:r>
        <w:rPr>
          <w:spacing w:val="-1"/>
          <w:sz w:val="24"/>
        </w:rPr>
        <w:t> </w:t>
      </w:r>
      <w:r>
        <w:rPr>
          <w:spacing w:val="-2"/>
          <w:sz w:val="24"/>
        </w:rPr>
        <w:t>place:</w:t>
      </w:r>
    </w:p>
    <w:p>
      <w:pPr>
        <w:pStyle w:val="ListParagraph"/>
        <w:numPr>
          <w:ilvl w:val="0"/>
          <w:numId w:val="14"/>
        </w:numPr>
        <w:tabs>
          <w:tab w:pos="2062" w:val="left" w:leader="none"/>
        </w:tabs>
        <w:spacing w:line="240" w:lineRule="auto" w:before="1" w:after="0"/>
        <w:ind w:left="2062" w:right="992" w:hanging="360"/>
        <w:jc w:val="both"/>
        <w:rPr>
          <w:sz w:val="24"/>
        </w:rPr>
      </w:pPr>
      <w:r>
        <w:rPr>
          <w:sz w:val="24"/>
        </w:rPr>
        <w:t>Key risks and related controls have been identified and processes have been put in place to monitor the operation of those key controls and report any identified</w:t>
      </w:r>
      <w:r>
        <w:rPr>
          <w:spacing w:val="-15"/>
          <w:sz w:val="24"/>
        </w:rPr>
        <w:t> </w:t>
      </w:r>
      <w:r>
        <w:rPr>
          <w:sz w:val="24"/>
        </w:rPr>
        <w:t>deficiencies,</w:t>
      </w:r>
      <w:r>
        <w:rPr>
          <w:spacing w:val="-16"/>
          <w:sz w:val="24"/>
        </w:rPr>
        <w:t> </w:t>
      </w:r>
      <w:r>
        <w:rPr>
          <w:sz w:val="24"/>
        </w:rPr>
        <w:t>whereby</w:t>
      </w:r>
      <w:r>
        <w:rPr>
          <w:spacing w:val="-15"/>
          <w:sz w:val="24"/>
        </w:rPr>
        <w:t> </w:t>
      </w:r>
      <w:r>
        <w:rPr>
          <w:sz w:val="24"/>
        </w:rPr>
        <w:t>the</w:t>
      </w:r>
      <w:r>
        <w:rPr>
          <w:spacing w:val="-16"/>
          <w:sz w:val="24"/>
        </w:rPr>
        <w:t> </w:t>
      </w:r>
      <w:r>
        <w:rPr>
          <w:sz w:val="24"/>
        </w:rPr>
        <w:t>Risk</w:t>
      </w:r>
      <w:r>
        <w:rPr>
          <w:spacing w:val="-16"/>
          <w:sz w:val="24"/>
        </w:rPr>
        <w:t> </w:t>
      </w:r>
      <w:r>
        <w:rPr>
          <w:sz w:val="24"/>
        </w:rPr>
        <w:t>Management</w:t>
      </w:r>
      <w:r>
        <w:rPr>
          <w:spacing w:val="-16"/>
          <w:sz w:val="24"/>
        </w:rPr>
        <w:t> </w:t>
      </w:r>
      <w:r>
        <w:rPr>
          <w:sz w:val="24"/>
        </w:rPr>
        <w:t>Committee</w:t>
      </w:r>
      <w:r>
        <w:rPr>
          <w:spacing w:val="-16"/>
          <w:sz w:val="24"/>
        </w:rPr>
        <w:t> </w:t>
      </w:r>
      <w:r>
        <w:rPr>
          <w:sz w:val="24"/>
        </w:rPr>
        <w:t>meet</w:t>
      </w:r>
      <w:r>
        <w:rPr>
          <w:spacing w:val="-16"/>
          <w:sz w:val="24"/>
        </w:rPr>
        <w:t> </w:t>
      </w:r>
      <w:r>
        <w:rPr>
          <w:sz w:val="24"/>
        </w:rPr>
        <w:t>at</w:t>
      </w:r>
      <w:r>
        <w:rPr>
          <w:spacing w:val="-16"/>
          <w:sz w:val="24"/>
        </w:rPr>
        <w:t> </w:t>
      </w:r>
      <w:r>
        <w:rPr>
          <w:sz w:val="24"/>
        </w:rPr>
        <w:t>least twice yearly and the Audit Committee meets quarterly.</w:t>
      </w:r>
    </w:p>
    <w:p>
      <w:pPr>
        <w:pStyle w:val="ListParagraph"/>
        <w:numPr>
          <w:ilvl w:val="0"/>
          <w:numId w:val="14"/>
        </w:numPr>
        <w:tabs>
          <w:tab w:pos="2062" w:val="left" w:leader="none"/>
        </w:tabs>
        <w:spacing w:line="240" w:lineRule="auto" w:before="28" w:after="0"/>
        <w:ind w:left="2062" w:right="994" w:hanging="360"/>
        <w:jc w:val="both"/>
        <w:rPr>
          <w:sz w:val="24"/>
        </w:rPr>
      </w:pPr>
      <w:r>
        <w:rPr>
          <w:sz w:val="24"/>
        </w:rPr>
        <w:t>The Director reports to the Authority every 2 months on organisation, governance and project matters, bringing any items to the Authority that require approval.</w:t>
      </w:r>
    </w:p>
    <w:p>
      <w:pPr>
        <w:pStyle w:val="ListParagraph"/>
        <w:numPr>
          <w:ilvl w:val="0"/>
          <w:numId w:val="14"/>
        </w:numPr>
        <w:tabs>
          <w:tab w:pos="2061" w:val="left" w:leader="none"/>
        </w:tabs>
        <w:spacing w:line="240" w:lineRule="auto" w:before="28" w:after="0"/>
        <w:ind w:left="2061" w:right="0" w:hanging="359"/>
        <w:jc w:val="both"/>
        <w:rPr>
          <w:sz w:val="24"/>
        </w:rPr>
      </w:pPr>
      <w:r>
        <w:rPr>
          <w:sz w:val="24"/>
        </w:rPr>
        <w:t>Risk</w:t>
      </w:r>
      <w:r>
        <w:rPr>
          <w:spacing w:val="-3"/>
          <w:sz w:val="24"/>
        </w:rPr>
        <w:t> </w:t>
      </w:r>
      <w:r>
        <w:rPr>
          <w:sz w:val="24"/>
        </w:rPr>
        <w:t>management</w:t>
      </w:r>
      <w:r>
        <w:rPr>
          <w:spacing w:val="-1"/>
          <w:sz w:val="24"/>
        </w:rPr>
        <w:t> </w:t>
      </w:r>
      <w:r>
        <w:rPr>
          <w:sz w:val="24"/>
        </w:rPr>
        <w:t>is</w:t>
      </w:r>
      <w:r>
        <w:rPr>
          <w:spacing w:val="-3"/>
          <w:sz w:val="24"/>
        </w:rPr>
        <w:t> </w:t>
      </w:r>
      <w:r>
        <w:rPr>
          <w:sz w:val="24"/>
        </w:rPr>
        <w:t>a</w:t>
      </w:r>
      <w:r>
        <w:rPr>
          <w:spacing w:val="1"/>
          <w:sz w:val="24"/>
        </w:rPr>
        <w:t> </w:t>
      </w:r>
      <w:r>
        <w:rPr>
          <w:sz w:val="24"/>
        </w:rPr>
        <w:t>standing</w:t>
      </w:r>
      <w:r>
        <w:rPr>
          <w:spacing w:val="-1"/>
          <w:sz w:val="24"/>
        </w:rPr>
        <w:t> </w:t>
      </w:r>
      <w:r>
        <w:rPr>
          <w:sz w:val="24"/>
        </w:rPr>
        <w:t>item</w:t>
      </w:r>
      <w:r>
        <w:rPr>
          <w:spacing w:val="-1"/>
          <w:sz w:val="24"/>
        </w:rPr>
        <w:t> </w:t>
      </w:r>
      <w:r>
        <w:rPr>
          <w:sz w:val="24"/>
        </w:rPr>
        <w:t>on</w:t>
      </w:r>
      <w:r>
        <w:rPr>
          <w:spacing w:val="-1"/>
          <w:sz w:val="24"/>
        </w:rPr>
        <w:t> </w:t>
      </w:r>
      <w:r>
        <w:rPr>
          <w:sz w:val="24"/>
        </w:rPr>
        <w:t>the Authority </w:t>
      </w:r>
      <w:r>
        <w:rPr>
          <w:spacing w:val="-2"/>
          <w:sz w:val="24"/>
        </w:rPr>
        <w:t>agenda.</w:t>
      </w:r>
    </w:p>
    <w:p>
      <w:pPr>
        <w:pStyle w:val="ListParagraph"/>
        <w:numPr>
          <w:ilvl w:val="0"/>
          <w:numId w:val="14"/>
        </w:numPr>
        <w:tabs>
          <w:tab w:pos="2062" w:val="left" w:leader="none"/>
        </w:tabs>
        <w:spacing w:line="240" w:lineRule="auto" w:before="25" w:after="0"/>
        <w:ind w:left="2062" w:right="989" w:hanging="360"/>
        <w:jc w:val="both"/>
        <w:rPr>
          <w:sz w:val="24"/>
        </w:rPr>
      </w:pPr>
      <w:r>
        <w:rPr>
          <w:sz w:val="24"/>
        </w:rPr>
        <w:t>Reporting</w:t>
      </w:r>
      <w:r>
        <w:rPr>
          <w:spacing w:val="-17"/>
          <w:sz w:val="24"/>
        </w:rPr>
        <w:t> </w:t>
      </w:r>
      <w:r>
        <w:rPr>
          <w:sz w:val="24"/>
        </w:rPr>
        <w:t>arrangements</w:t>
      </w:r>
      <w:r>
        <w:rPr>
          <w:spacing w:val="-17"/>
          <w:sz w:val="24"/>
        </w:rPr>
        <w:t> </w:t>
      </w:r>
      <w:r>
        <w:rPr>
          <w:sz w:val="24"/>
        </w:rPr>
        <w:t>have</w:t>
      </w:r>
      <w:r>
        <w:rPr>
          <w:spacing w:val="-16"/>
          <w:sz w:val="24"/>
        </w:rPr>
        <w:t> </w:t>
      </w:r>
      <w:r>
        <w:rPr>
          <w:sz w:val="24"/>
        </w:rPr>
        <w:t>been</w:t>
      </w:r>
      <w:r>
        <w:rPr>
          <w:spacing w:val="-14"/>
          <w:sz w:val="24"/>
        </w:rPr>
        <w:t> </w:t>
      </w:r>
      <w:r>
        <w:rPr>
          <w:sz w:val="24"/>
        </w:rPr>
        <w:t>established</w:t>
      </w:r>
      <w:r>
        <w:rPr>
          <w:spacing w:val="-16"/>
          <w:sz w:val="24"/>
        </w:rPr>
        <w:t> </w:t>
      </w:r>
      <w:r>
        <w:rPr>
          <w:sz w:val="24"/>
        </w:rPr>
        <w:t>at</w:t>
      </w:r>
      <w:r>
        <w:rPr>
          <w:spacing w:val="-17"/>
          <w:sz w:val="24"/>
        </w:rPr>
        <w:t> </w:t>
      </w:r>
      <w:r>
        <w:rPr>
          <w:sz w:val="24"/>
        </w:rPr>
        <w:t>all</w:t>
      </w:r>
      <w:r>
        <w:rPr>
          <w:spacing w:val="-16"/>
          <w:sz w:val="24"/>
        </w:rPr>
        <w:t> </w:t>
      </w:r>
      <w:r>
        <w:rPr>
          <w:sz w:val="24"/>
        </w:rPr>
        <w:t>levels</w:t>
      </w:r>
      <w:r>
        <w:rPr>
          <w:spacing w:val="-17"/>
          <w:sz w:val="24"/>
        </w:rPr>
        <w:t> </w:t>
      </w:r>
      <w:r>
        <w:rPr>
          <w:sz w:val="24"/>
        </w:rPr>
        <w:t>where</w:t>
      </w:r>
      <w:r>
        <w:rPr>
          <w:spacing w:val="-15"/>
          <w:sz w:val="24"/>
        </w:rPr>
        <w:t> </w:t>
      </w:r>
      <w:r>
        <w:rPr>
          <w:sz w:val="24"/>
        </w:rPr>
        <w:t>responsibility for financial management has been assigned.</w:t>
      </w:r>
      <w:r>
        <w:rPr>
          <w:spacing w:val="40"/>
          <w:sz w:val="24"/>
        </w:rPr>
        <w:t> </w:t>
      </w:r>
      <w:r>
        <w:rPr>
          <w:sz w:val="24"/>
        </w:rPr>
        <w:t>The Finance Officer reports to the Corporate Services Manager and produces monthly accounts for review by senior management, the Finance Committee and the Authority.</w:t>
      </w:r>
      <w:r>
        <w:rPr>
          <w:spacing w:val="40"/>
          <w:sz w:val="24"/>
        </w:rPr>
        <w:t> </w:t>
      </w:r>
      <w:r>
        <w:rPr>
          <w:sz w:val="24"/>
        </w:rPr>
        <w:t>The Finance Committee considers the financial analysis produced by the senior management</w:t>
      </w:r>
      <w:r>
        <w:rPr>
          <w:spacing w:val="-17"/>
          <w:sz w:val="24"/>
        </w:rPr>
        <w:t> </w:t>
      </w:r>
      <w:r>
        <w:rPr>
          <w:sz w:val="24"/>
        </w:rPr>
        <w:t>group</w:t>
      </w:r>
      <w:r>
        <w:rPr>
          <w:spacing w:val="-17"/>
          <w:sz w:val="24"/>
        </w:rPr>
        <w:t> </w:t>
      </w:r>
      <w:r>
        <w:rPr>
          <w:sz w:val="24"/>
        </w:rPr>
        <w:t>and</w:t>
      </w:r>
      <w:r>
        <w:rPr>
          <w:spacing w:val="-16"/>
          <w:sz w:val="24"/>
        </w:rPr>
        <w:t> </w:t>
      </w:r>
      <w:r>
        <w:rPr>
          <w:sz w:val="24"/>
        </w:rPr>
        <w:t>reports</w:t>
      </w:r>
      <w:r>
        <w:rPr>
          <w:spacing w:val="-17"/>
          <w:sz w:val="24"/>
        </w:rPr>
        <w:t> </w:t>
      </w:r>
      <w:r>
        <w:rPr>
          <w:sz w:val="24"/>
        </w:rPr>
        <w:t>to</w:t>
      </w:r>
      <w:r>
        <w:rPr>
          <w:spacing w:val="-17"/>
          <w:sz w:val="24"/>
        </w:rPr>
        <w:t> </w:t>
      </w:r>
      <w:r>
        <w:rPr>
          <w:sz w:val="24"/>
        </w:rPr>
        <w:t>the</w:t>
      </w:r>
      <w:r>
        <w:rPr>
          <w:spacing w:val="-17"/>
          <w:sz w:val="24"/>
        </w:rPr>
        <w:t> </w:t>
      </w:r>
      <w:r>
        <w:rPr>
          <w:sz w:val="24"/>
        </w:rPr>
        <w:t>Authority</w:t>
      </w:r>
      <w:r>
        <w:rPr>
          <w:spacing w:val="-16"/>
          <w:sz w:val="24"/>
        </w:rPr>
        <w:t> </w:t>
      </w:r>
      <w:r>
        <w:rPr>
          <w:sz w:val="24"/>
        </w:rPr>
        <w:t>on</w:t>
      </w:r>
      <w:r>
        <w:rPr>
          <w:spacing w:val="-17"/>
          <w:sz w:val="24"/>
        </w:rPr>
        <w:t> </w:t>
      </w:r>
      <w:r>
        <w:rPr>
          <w:sz w:val="24"/>
        </w:rPr>
        <w:t>performance.</w:t>
      </w:r>
      <w:r>
        <w:rPr>
          <w:spacing w:val="25"/>
          <w:sz w:val="24"/>
        </w:rPr>
        <w:t> </w:t>
      </w:r>
      <w:r>
        <w:rPr>
          <w:sz w:val="24"/>
        </w:rPr>
        <w:t>The</w:t>
      </w:r>
      <w:r>
        <w:rPr>
          <w:spacing w:val="-17"/>
          <w:sz w:val="24"/>
        </w:rPr>
        <w:t> </w:t>
      </w:r>
      <w:r>
        <w:rPr>
          <w:sz w:val="24"/>
        </w:rPr>
        <w:t>Finance Committee meets 4 – 6 times per year to review expenditure performance and budget management.</w:t>
      </w:r>
    </w:p>
    <w:p>
      <w:pPr>
        <w:pStyle w:val="ListParagraph"/>
        <w:numPr>
          <w:ilvl w:val="0"/>
          <w:numId w:val="14"/>
        </w:numPr>
        <w:tabs>
          <w:tab w:pos="2062" w:val="left" w:leader="none"/>
        </w:tabs>
        <w:spacing w:line="240" w:lineRule="auto" w:before="28" w:after="0"/>
        <w:ind w:left="2062" w:right="988" w:hanging="360"/>
        <w:jc w:val="both"/>
        <w:rPr>
          <w:sz w:val="24"/>
        </w:rPr>
      </w:pPr>
      <w:r>
        <w:rPr>
          <w:sz w:val="24"/>
        </w:rPr>
        <w:t>There are regular reviews by senior management of periodic and annual performance on budget and project implementation.</w:t>
      </w:r>
      <w:r>
        <w:rPr>
          <w:spacing w:val="40"/>
          <w:sz w:val="24"/>
        </w:rPr>
        <w:t> </w:t>
      </w:r>
      <w:r>
        <w:rPr>
          <w:sz w:val="24"/>
        </w:rPr>
        <w:t>This includes review of monthly management accounts and administration of a project management system, which supports performance measurement against work plan commitments and budgets/forecasts.</w:t>
      </w:r>
    </w:p>
    <w:p>
      <w:pPr>
        <w:pStyle w:val="ListParagraph"/>
        <w:numPr>
          <w:ilvl w:val="0"/>
          <w:numId w:val="14"/>
        </w:numPr>
        <w:tabs>
          <w:tab w:pos="2062" w:val="left" w:leader="none"/>
        </w:tabs>
        <w:spacing w:line="240" w:lineRule="auto" w:before="28" w:after="0"/>
        <w:ind w:left="2062" w:right="988" w:hanging="360"/>
        <w:jc w:val="both"/>
        <w:rPr>
          <w:sz w:val="24"/>
        </w:rPr>
      </w:pPr>
      <w:r>
        <w:rPr>
          <w:sz w:val="24"/>
        </w:rPr>
        <w:t>Effectiveness</w:t>
      </w:r>
      <w:r>
        <w:rPr>
          <w:spacing w:val="-2"/>
          <w:sz w:val="24"/>
        </w:rPr>
        <w:t> </w:t>
      </w:r>
      <w:r>
        <w:rPr>
          <w:sz w:val="24"/>
        </w:rPr>
        <w:t>of</w:t>
      </w:r>
      <w:r>
        <w:rPr>
          <w:spacing w:val="-1"/>
          <w:sz w:val="24"/>
        </w:rPr>
        <w:t> </w:t>
      </w:r>
      <w:r>
        <w:rPr>
          <w:sz w:val="24"/>
        </w:rPr>
        <w:t>controls are</w:t>
      </w:r>
      <w:r>
        <w:rPr>
          <w:spacing w:val="-1"/>
          <w:sz w:val="24"/>
        </w:rPr>
        <w:t> </w:t>
      </w:r>
      <w:r>
        <w:rPr>
          <w:sz w:val="24"/>
        </w:rPr>
        <w:t>subject</w:t>
      </w:r>
      <w:r>
        <w:rPr>
          <w:spacing w:val="-2"/>
          <w:sz w:val="24"/>
        </w:rPr>
        <w:t> </w:t>
      </w:r>
      <w:r>
        <w:rPr>
          <w:sz w:val="24"/>
        </w:rPr>
        <w:t>of</w:t>
      </w:r>
      <w:r>
        <w:rPr>
          <w:spacing w:val="-1"/>
          <w:sz w:val="24"/>
        </w:rPr>
        <w:t> </w:t>
      </w:r>
      <w:r>
        <w:rPr>
          <w:sz w:val="24"/>
        </w:rPr>
        <w:t>independent</w:t>
      </w:r>
      <w:r>
        <w:rPr>
          <w:spacing w:val="-2"/>
          <w:sz w:val="24"/>
        </w:rPr>
        <w:t> </w:t>
      </w:r>
      <w:r>
        <w:rPr>
          <w:sz w:val="24"/>
        </w:rPr>
        <w:t>audits</w:t>
      </w:r>
      <w:r>
        <w:rPr>
          <w:spacing w:val="-3"/>
          <w:sz w:val="24"/>
        </w:rPr>
        <w:t> </w:t>
      </w:r>
      <w:r>
        <w:rPr>
          <w:sz w:val="24"/>
        </w:rPr>
        <w:t>which</w:t>
      </w:r>
      <w:r>
        <w:rPr>
          <w:spacing w:val="-1"/>
          <w:sz w:val="24"/>
        </w:rPr>
        <w:t> </w:t>
      </w:r>
      <w:r>
        <w:rPr>
          <w:sz w:val="24"/>
        </w:rPr>
        <w:t>are</w:t>
      </w:r>
      <w:r>
        <w:rPr>
          <w:spacing w:val="-1"/>
          <w:sz w:val="24"/>
        </w:rPr>
        <w:t> </w:t>
      </w:r>
      <w:r>
        <w:rPr>
          <w:sz w:val="24"/>
        </w:rPr>
        <w:t>directed by audit programme determined by the Audit Committee.</w:t>
      </w:r>
      <w:r>
        <w:rPr>
          <w:spacing w:val="40"/>
          <w:sz w:val="24"/>
        </w:rPr>
        <w:t> </w:t>
      </w:r>
      <w:r>
        <w:rPr>
          <w:sz w:val="24"/>
        </w:rPr>
        <w:t>For 2017 this has included a review of how the NDA financial statements are prepared in addition</w:t>
      </w:r>
      <w:r>
        <w:rPr>
          <w:spacing w:val="-5"/>
          <w:sz w:val="24"/>
        </w:rPr>
        <w:t> </w:t>
      </w:r>
      <w:r>
        <w:rPr>
          <w:sz w:val="24"/>
        </w:rPr>
        <w:t>to</w:t>
      </w:r>
      <w:r>
        <w:rPr>
          <w:spacing w:val="-7"/>
          <w:sz w:val="24"/>
        </w:rPr>
        <w:t> </w:t>
      </w:r>
      <w:r>
        <w:rPr>
          <w:sz w:val="24"/>
        </w:rPr>
        <w:t>a</w:t>
      </w:r>
      <w:r>
        <w:rPr>
          <w:spacing w:val="-5"/>
          <w:sz w:val="24"/>
        </w:rPr>
        <w:t> </w:t>
      </w:r>
      <w:r>
        <w:rPr>
          <w:sz w:val="24"/>
        </w:rPr>
        <w:t>review</w:t>
      </w:r>
      <w:r>
        <w:rPr>
          <w:spacing w:val="-5"/>
          <w:sz w:val="24"/>
        </w:rPr>
        <w:t> </w:t>
      </w:r>
      <w:r>
        <w:rPr>
          <w:sz w:val="24"/>
        </w:rPr>
        <w:t>of</w:t>
      </w:r>
      <w:r>
        <w:rPr>
          <w:spacing w:val="-6"/>
          <w:sz w:val="24"/>
        </w:rPr>
        <w:t> </w:t>
      </w:r>
      <w:r>
        <w:rPr>
          <w:sz w:val="24"/>
        </w:rPr>
        <w:t>internal</w:t>
      </w:r>
      <w:r>
        <w:rPr>
          <w:spacing w:val="-5"/>
          <w:sz w:val="24"/>
        </w:rPr>
        <w:t> </w:t>
      </w:r>
      <w:r>
        <w:rPr>
          <w:sz w:val="24"/>
        </w:rPr>
        <w:t>controls.</w:t>
      </w:r>
      <w:r>
        <w:rPr>
          <w:spacing w:val="-5"/>
          <w:sz w:val="24"/>
        </w:rPr>
        <w:t> </w:t>
      </w:r>
      <w:r>
        <w:rPr>
          <w:sz w:val="24"/>
        </w:rPr>
        <w:t>The</w:t>
      </w:r>
      <w:r>
        <w:rPr>
          <w:spacing w:val="-5"/>
          <w:sz w:val="24"/>
        </w:rPr>
        <w:t> </w:t>
      </w:r>
      <w:r>
        <w:rPr>
          <w:sz w:val="24"/>
        </w:rPr>
        <w:t>reports</w:t>
      </w:r>
      <w:r>
        <w:rPr>
          <w:spacing w:val="-7"/>
          <w:sz w:val="24"/>
        </w:rPr>
        <w:t> </w:t>
      </w:r>
      <w:r>
        <w:rPr>
          <w:sz w:val="24"/>
        </w:rPr>
        <w:t>of</w:t>
      </w:r>
      <w:r>
        <w:rPr>
          <w:spacing w:val="-6"/>
          <w:sz w:val="24"/>
        </w:rPr>
        <w:t> </w:t>
      </w:r>
      <w:r>
        <w:rPr>
          <w:sz w:val="24"/>
        </w:rPr>
        <w:t>audits</w:t>
      </w:r>
      <w:r>
        <w:rPr>
          <w:spacing w:val="-7"/>
          <w:sz w:val="24"/>
        </w:rPr>
        <w:t> </w:t>
      </w:r>
      <w:r>
        <w:rPr>
          <w:sz w:val="24"/>
        </w:rPr>
        <w:t>are</w:t>
      </w:r>
      <w:r>
        <w:rPr>
          <w:spacing w:val="-5"/>
          <w:sz w:val="24"/>
        </w:rPr>
        <w:t> </w:t>
      </w:r>
      <w:r>
        <w:rPr>
          <w:sz w:val="24"/>
        </w:rPr>
        <w:t>considered by the audit committee and presented to the Authority.</w:t>
      </w:r>
    </w:p>
    <w:p>
      <w:pPr>
        <w:pStyle w:val="ListParagraph"/>
        <w:spacing w:after="0" w:line="240" w:lineRule="auto"/>
        <w:jc w:val="both"/>
        <w:rPr>
          <w:sz w:val="24"/>
        </w:rPr>
        <w:sectPr>
          <w:pgSz w:w="11910" w:h="16850"/>
          <w:pgMar w:header="0" w:footer="811" w:top="1880" w:bottom="1000" w:left="283" w:right="992"/>
        </w:sectPr>
      </w:pPr>
    </w:p>
    <w:p>
      <w:pPr>
        <w:pStyle w:val="ListParagraph"/>
        <w:numPr>
          <w:ilvl w:val="0"/>
          <w:numId w:val="14"/>
        </w:numPr>
        <w:tabs>
          <w:tab w:pos="2062" w:val="left" w:leader="none"/>
        </w:tabs>
        <w:spacing w:line="240" w:lineRule="auto" w:before="79" w:after="0"/>
        <w:ind w:left="2062" w:right="989" w:hanging="360"/>
        <w:jc w:val="both"/>
        <w:rPr>
          <w:sz w:val="24"/>
        </w:rPr>
      </w:pPr>
      <w:r>
        <w:rPr>
          <w:sz w:val="24"/>
        </w:rPr>
        <w:t>The Authority has considered the reports of audits conducted in 2017/2018 including</w:t>
      </w:r>
      <w:r>
        <w:rPr>
          <w:spacing w:val="-2"/>
          <w:sz w:val="24"/>
        </w:rPr>
        <w:t> </w:t>
      </w:r>
      <w:r>
        <w:rPr>
          <w:sz w:val="24"/>
        </w:rPr>
        <w:t>the</w:t>
      </w:r>
      <w:r>
        <w:rPr>
          <w:spacing w:val="-5"/>
          <w:sz w:val="24"/>
        </w:rPr>
        <w:t> </w:t>
      </w:r>
      <w:r>
        <w:rPr>
          <w:sz w:val="24"/>
        </w:rPr>
        <w:t>review</w:t>
      </w:r>
      <w:r>
        <w:rPr>
          <w:spacing w:val="-3"/>
          <w:sz w:val="24"/>
        </w:rPr>
        <w:t> </w:t>
      </w:r>
      <w:r>
        <w:rPr>
          <w:sz w:val="24"/>
        </w:rPr>
        <w:t>of</w:t>
      </w:r>
      <w:r>
        <w:rPr>
          <w:spacing w:val="-6"/>
          <w:sz w:val="24"/>
        </w:rPr>
        <w:t> </w:t>
      </w:r>
      <w:r>
        <w:rPr>
          <w:sz w:val="24"/>
        </w:rPr>
        <w:t>internal</w:t>
      </w:r>
      <w:r>
        <w:rPr>
          <w:spacing w:val="-3"/>
          <w:sz w:val="24"/>
        </w:rPr>
        <w:t> </w:t>
      </w:r>
      <w:r>
        <w:rPr>
          <w:sz w:val="24"/>
        </w:rPr>
        <w:t>financial</w:t>
      </w:r>
      <w:r>
        <w:rPr>
          <w:spacing w:val="-3"/>
          <w:sz w:val="24"/>
        </w:rPr>
        <w:t> </w:t>
      </w:r>
      <w:r>
        <w:rPr>
          <w:sz w:val="24"/>
        </w:rPr>
        <w:t>controls</w:t>
      </w:r>
      <w:r>
        <w:rPr>
          <w:spacing w:val="-5"/>
          <w:sz w:val="24"/>
        </w:rPr>
        <w:t> </w:t>
      </w:r>
      <w:r>
        <w:rPr>
          <w:sz w:val="24"/>
        </w:rPr>
        <w:t>and</w:t>
      </w:r>
      <w:r>
        <w:rPr>
          <w:spacing w:val="-3"/>
          <w:sz w:val="24"/>
        </w:rPr>
        <w:t> </w:t>
      </w:r>
      <w:r>
        <w:rPr>
          <w:sz w:val="24"/>
        </w:rPr>
        <w:t>review</w:t>
      </w:r>
      <w:r>
        <w:rPr>
          <w:spacing w:val="-5"/>
          <w:sz w:val="24"/>
        </w:rPr>
        <w:t> </w:t>
      </w:r>
      <w:r>
        <w:rPr>
          <w:sz w:val="24"/>
        </w:rPr>
        <w:t>of</w:t>
      </w:r>
      <w:r>
        <w:rPr>
          <w:spacing w:val="-3"/>
          <w:sz w:val="24"/>
        </w:rPr>
        <w:t> </w:t>
      </w:r>
      <w:r>
        <w:rPr>
          <w:sz w:val="24"/>
        </w:rPr>
        <w:t>preparation</w:t>
      </w:r>
      <w:r>
        <w:rPr>
          <w:spacing w:val="-6"/>
          <w:sz w:val="24"/>
        </w:rPr>
        <w:t> </w:t>
      </w:r>
      <w:r>
        <w:rPr>
          <w:sz w:val="24"/>
        </w:rPr>
        <w:t>of accounts and is satisfied that there are effective controls in place.</w:t>
      </w:r>
    </w:p>
    <w:p>
      <w:pPr>
        <w:pStyle w:val="BodyText"/>
        <w:spacing w:before="26"/>
        <w:rPr>
          <w:sz w:val="24"/>
        </w:rPr>
      </w:pPr>
    </w:p>
    <w:p>
      <w:pPr>
        <w:spacing w:before="1"/>
        <w:ind w:left="1702" w:right="0" w:firstLine="0"/>
        <w:jc w:val="left"/>
        <w:rPr>
          <w:b/>
          <w:sz w:val="24"/>
        </w:rPr>
      </w:pPr>
      <w:r>
        <w:rPr>
          <w:b/>
          <w:spacing w:val="-2"/>
          <w:sz w:val="24"/>
        </w:rPr>
        <w:t>Procurement</w:t>
      </w:r>
    </w:p>
    <w:p>
      <w:pPr>
        <w:spacing w:before="278"/>
        <w:ind w:left="1702" w:right="987" w:firstLine="0"/>
        <w:jc w:val="both"/>
        <w:rPr>
          <w:sz w:val="24"/>
        </w:rPr>
      </w:pPr>
      <w:r>
        <w:rPr>
          <w:sz w:val="24"/>
        </w:rPr>
        <w:t>I</w:t>
      </w:r>
      <w:r>
        <w:rPr>
          <w:spacing w:val="-16"/>
          <w:sz w:val="24"/>
        </w:rPr>
        <w:t> </w:t>
      </w:r>
      <w:r>
        <w:rPr>
          <w:sz w:val="24"/>
        </w:rPr>
        <w:t>confirm</w:t>
      </w:r>
      <w:r>
        <w:rPr>
          <w:spacing w:val="-17"/>
          <w:sz w:val="24"/>
        </w:rPr>
        <w:t> </w:t>
      </w:r>
      <w:r>
        <w:rPr>
          <w:sz w:val="24"/>
        </w:rPr>
        <w:t>that</w:t>
      </w:r>
      <w:r>
        <w:rPr>
          <w:spacing w:val="-16"/>
          <w:sz w:val="24"/>
        </w:rPr>
        <w:t> </w:t>
      </w:r>
      <w:r>
        <w:rPr>
          <w:sz w:val="24"/>
        </w:rPr>
        <w:t>the</w:t>
      </w:r>
      <w:r>
        <w:rPr>
          <w:spacing w:val="-17"/>
          <w:sz w:val="24"/>
        </w:rPr>
        <w:t> </w:t>
      </w:r>
      <w:r>
        <w:rPr>
          <w:sz w:val="24"/>
        </w:rPr>
        <w:t>NDA</w:t>
      </w:r>
      <w:r>
        <w:rPr>
          <w:spacing w:val="-15"/>
          <w:sz w:val="24"/>
        </w:rPr>
        <w:t> </w:t>
      </w:r>
      <w:r>
        <w:rPr>
          <w:sz w:val="24"/>
        </w:rPr>
        <w:t>has</w:t>
      </w:r>
      <w:r>
        <w:rPr>
          <w:spacing w:val="-17"/>
          <w:sz w:val="24"/>
        </w:rPr>
        <w:t> </w:t>
      </w:r>
      <w:r>
        <w:rPr>
          <w:sz w:val="24"/>
        </w:rPr>
        <w:t>procedures</w:t>
      </w:r>
      <w:r>
        <w:rPr>
          <w:spacing w:val="-16"/>
          <w:sz w:val="24"/>
        </w:rPr>
        <w:t> </w:t>
      </w:r>
      <w:r>
        <w:rPr>
          <w:sz w:val="24"/>
        </w:rPr>
        <w:t>in</w:t>
      </w:r>
      <w:r>
        <w:rPr>
          <w:spacing w:val="-16"/>
          <w:sz w:val="24"/>
        </w:rPr>
        <w:t> </w:t>
      </w:r>
      <w:r>
        <w:rPr>
          <w:sz w:val="24"/>
        </w:rPr>
        <w:t>place</w:t>
      </w:r>
      <w:r>
        <w:rPr>
          <w:spacing w:val="-16"/>
          <w:sz w:val="24"/>
        </w:rPr>
        <w:t> </w:t>
      </w:r>
      <w:r>
        <w:rPr>
          <w:sz w:val="24"/>
        </w:rPr>
        <w:t>to</w:t>
      </w:r>
      <w:r>
        <w:rPr>
          <w:spacing w:val="-17"/>
          <w:sz w:val="24"/>
        </w:rPr>
        <w:t> </w:t>
      </w:r>
      <w:r>
        <w:rPr>
          <w:sz w:val="24"/>
        </w:rPr>
        <w:t>ensure</w:t>
      </w:r>
      <w:r>
        <w:rPr>
          <w:spacing w:val="-15"/>
          <w:sz w:val="24"/>
        </w:rPr>
        <w:t> </w:t>
      </w:r>
      <w:r>
        <w:rPr>
          <w:sz w:val="24"/>
        </w:rPr>
        <w:t>compliance</w:t>
      </w:r>
      <w:r>
        <w:rPr>
          <w:spacing w:val="-16"/>
          <w:sz w:val="24"/>
        </w:rPr>
        <w:t> </w:t>
      </w:r>
      <w:r>
        <w:rPr>
          <w:sz w:val="24"/>
        </w:rPr>
        <w:t>with</w:t>
      </w:r>
      <w:r>
        <w:rPr>
          <w:spacing w:val="-17"/>
          <w:sz w:val="24"/>
        </w:rPr>
        <w:t> </w:t>
      </w:r>
      <w:r>
        <w:rPr>
          <w:sz w:val="24"/>
        </w:rPr>
        <w:t>current procurement rules and guidelines and that during 2017 the NDA complied with those</w:t>
      </w:r>
      <w:r>
        <w:rPr>
          <w:spacing w:val="-8"/>
          <w:sz w:val="24"/>
        </w:rPr>
        <w:t> </w:t>
      </w:r>
      <w:r>
        <w:rPr>
          <w:sz w:val="24"/>
        </w:rPr>
        <w:t>procedures</w:t>
      </w:r>
      <w:r>
        <w:rPr>
          <w:spacing w:val="-9"/>
          <w:sz w:val="24"/>
        </w:rPr>
        <w:t> </w:t>
      </w:r>
      <w:r>
        <w:rPr>
          <w:sz w:val="24"/>
        </w:rPr>
        <w:t>with</w:t>
      </w:r>
      <w:r>
        <w:rPr>
          <w:spacing w:val="-8"/>
          <w:sz w:val="24"/>
        </w:rPr>
        <w:t> </w:t>
      </w:r>
      <w:r>
        <w:rPr>
          <w:sz w:val="24"/>
        </w:rPr>
        <w:t>the</w:t>
      </w:r>
      <w:r>
        <w:rPr>
          <w:spacing w:val="-8"/>
          <w:sz w:val="24"/>
        </w:rPr>
        <w:t> </w:t>
      </w:r>
      <w:r>
        <w:rPr>
          <w:sz w:val="24"/>
        </w:rPr>
        <w:t>exception</w:t>
      </w:r>
      <w:r>
        <w:rPr>
          <w:spacing w:val="-8"/>
          <w:sz w:val="24"/>
        </w:rPr>
        <w:t> </w:t>
      </w:r>
      <w:r>
        <w:rPr>
          <w:sz w:val="24"/>
        </w:rPr>
        <w:t>of</w:t>
      </w:r>
      <w:r>
        <w:rPr>
          <w:spacing w:val="-11"/>
          <w:sz w:val="24"/>
        </w:rPr>
        <w:t> </w:t>
      </w:r>
      <w:r>
        <w:rPr>
          <w:sz w:val="24"/>
        </w:rPr>
        <w:t>a</w:t>
      </w:r>
      <w:r>
        <w:rPr>
          <w:spacing w:val="-9"/>
          <w:sz w:val="24"/>
        </w:rPr>
        <w:t> </w:t>
      </w:r>
      <w:r>
        <w:rPr>
          <w:sz w:val="24"/>
        </w:rPr>
        <w:t>longstanding</w:t>
      </w:r>
      <w:r>
        <w:rPr>
          <w:spacing w:val="-7"/>
          <w:sz w:val="24"/>
        </w:rPr>
        <w:t> </w:t>
      </w:r>
      <w:r>
        <w:rPr>
          <w:sz w:val="24"/>
        </w:rPr>
        <w:t>cleaning</w:t>
      </w:r>
      <w:r>
        <w:rPr>
          <w:spacing w:val="-9"/>
          <w:sz w:val="24"/>
        </w:rPr>
        <w:t> </w:t>
      </w:r>
      <w:r>
        <w:rPr>
          <w:sz w:val="24"/>
        </w:rPr>
        <w:t>contract,</w:t>
      </w:r>
      <w:r>
        <w:rPr>
          <w:spacing w:val="40"/>
          <w:sz w:val="24"/>
        </w:rPr>
        <w:t> </w:t>
      </w:r>
      <w:r>
        <w:rPr>
          <w:sz w:val="24"/>
        </w:rPr>
        <w:t>which</w:t>
      </w:r>
      <w:r>
        <w:rPr>
          <w:spacing w:val="-8"/>
          <w:sz w:val="24"/>
        </w:rPr>
        <w:t> </w:t>
      </w:r>
      <w:r>
        <w:rPr>
          <w:sz w:val="24"/>
        </w:rPr>
        <w:t>is now subject of a tender competition.</w:t>
      </w:r>
    </w:p>
    <w:p>
      <w:pPr>
        <w:pStyle w:val="BodyText"/>
        <w:spacing w:before="1"/>
        <w:rPr>
          <w:sz w:val="24"/>
        </w:rPr>
      </w:pPr>
    </w:p>
    <w:p>
      <w:pPr>
        <w:spacing w:line="240" w:lineRule="auto" w:before="0"/>
        <w:ind w:left="1702" w:right="991" w:firstLine="0"/>
        <w:jc w:val="both"/>
        <w:rPr>
          <w:sz w:val="24"/>
        </w:rPr>
      </w:pPr>
      <w:r>
        <w:rPr>
          <w:sz w:val="24"/>
        </w:rPr>
        <w:t>The NDA has a documented procurement policy in place and systems for evaluating and awarding contracts, and reporting on procurement outcomes to the Authority.</w:t>
      </w:r>
    </w:p>
    <w:p>
      <w:pPr>
        <w:spacing w:before="276"/>
        <w:ind w:left="1702" w:right="0" w:firstLine="0"/>
        <w:jc w:val="both"/>
        <w:rPr>
          <w:b/>
          <w:sz w:val="24"/>
        </w:rPr>
      </w:pPr>
      <w:r>
        <w:rPr>
          <w:b/>
          <w:sz w:val="24"/>
        </w:rPr>
        <w:t>Review</w:t>
      </w:r>
      <w:r>
        <w:rPr>
          <w:b/>
          <w:spacing w:val="-2"/>
          <w:sz w:val="24"/>
        </w:rPr>
        <w:t> </w:t>
      </w:r>
      <w:r>
        <w:rPr>
          <w:b/>
          <w:sz w:val="24"/>
        </w:rPr>
        <w:t>of</w:t>
      </w:r>
      <w:r>
        <w:rPr>
          <w:b/>
          <w:spacing w:val="-1"/>
          <w:sz w:val="24"/>
        </w:rPr>
        <w:t> </w:t>
      </w:r>
      <w:r>
        <w:rPr>
          <w:b/>
          <w:spacing w:val="-2"/>
          <w:sz w:val="24"/>
        </w:rPr>
        <w:t>Effectiveness</w:t>
      </w:r>
    </w:p>
    <w:p>
      <w:pPr>
        <w:pStyle w:val="BodyText"/>
        <w:rPr>
          <w:b/>
          <w:sz w:val="24"/>
        </w:rPr>
      </w:pPr>
    </w:p>
    <w:p>
      <w:pPr>
        <w:spacing w:before="0"/>
        <w:ind w:left="1702" w:right="989" w:firstLine="0"/>
        <w:jc w:val="both"/>
        <w:rPr>
          <w:sz w:val="24"/>
        </w:rPr>
      </w:pPr>
      <w:r>
        <w:rPr>
          <w:sz w:val="24"/>
        </w:rPr>
        <w:t>I confirm that the NDA has procedures to monitor the effectiveness of its risk management and control procedures. The NDA’s monitoring and review of the effectiveness</w:t>
      </w:r>
      <w:r>
        <w:rPr>
          <w:spacing w:val="-6"/>
          <w:sz w:val="24"/>
        </w:rPr>
        <w:t> </w:t>
      </w:r>
      <w:r>
        <w:rPr>
          <w:sz w:val="24"/>
        </w:rPr>
        <w:t>of</w:t>
      </w:r>
      <w:r>
        <w:rPr>
          <w:spacing w:val="-5"/>
          <w:sz w:val="24"/>
        </w:rPr>
        <w:t> </w:t>
      </w:r>
      <w:r>
        <w:rPr>
          <w:sz w:val="24"/>
        </w:rPr>
        <w:t>the</w:t>
      </w:r>
      <w:r>
        <w:rPr>
          <w:spacing w:val="-5"/>
          <w:sz w:val="24"/>
        </w:rPr>
        <w:t> </w:t>
      </w:r>
      <w:r>
        <w:rPr>
          <w:sz w:val="24"/>
        </w:rPr>
        <w:t>system</w:t>
      </w:r>
      <w:r>
        <w:rPr>
          <w:spacing w:val="-5"/>
          <w:sz w:val="24"/>
        </w:rPr>
        <w:t> </w:t>
      </w:r>
      <w:r>
        <w:rPr>
          <w:sz w:val="24"/>
        </w:rPr>
        <w:t>of</w:t>
      </w:r>
      <w:r>
        <w:rPr>
          <w:spacing w:val="-5"/>
          <w:sz w:val="24"/>
        </w:rPr>
        <w:t> </w:t>
      </w:r>
      <w:r>
        <w:rPr>
          <w:sz w:val="24"/>
        </w:rPr>
        <w:t>internal</w:t>
      </w:r>
      <w:r>
        <w:rPr>
          <w:spacing w:val="-4"/>
          <w:sz w:val="24"/>
        </w:rPr>
        <w:t> </w:t>
      </w:r>
      <w:r>
        <w:rPr>
          <w:sz w:val="24"/>
        </w:rPr>
        <w:t>financial</w:t>
      </w:r>
      <w:r>
        <w:rPr>
          <w:spacing w:val="-6"/>
          <w:sz w:val="24"/>
        </w:rPr>
        <w:t> </w:t>
      </w:r>
      <w:r>
        <w:rPr>
          <w:sz w:val="24"/>
        </w:rPr>
        <w:t>control</w:t>
      </w:r>
      <w:r>
        <w:rPr>
          <w:spacing w:val="-4"/>
          <w:sz w:val="24"/>
        </w:rPr>
        <w:t> </w:t>
      </w:r>
      <w:r>
        <w:rPr>
          <w:sz w:val="24"/>
        </w:rPr>
        <w:t>is</w:t>
      </w:r>
      <w:r>
        <w:rPr>
          <w:spacing w:val="-5"/>
          <w:sz w:val="24"/>
        </w:rPr>
        <w:t> </w:t>
      </w:r>
      <w:r>
        <w:rPr>
          <w:sz w:val="24"/>
        </w:rPr>
        <w:t>informed</w:t>
      </w:r>
      <w:r>
        <w:rPr>
          <w:spacing w:val="-4"/>
          <w:sz w:val="24"/>
        </w:rPr>
        <w:t> </w:t>
      </w:r>
      <w:r>
        <w:rPr>
          <w:sz w:val="24"/>
        </w:rPr>
        <w:t>by</w:t>
      </w:r>
      <w:r>
        <w:rPr>
          <w:spacing w:val="-4"/>
          <w:sz w:val="24"/>
        </w:rPr>
        <w:t> </w:t>
      </w:r>
      <w:r>
        <w:rPr>
          <w:sz w:val="24"/>
        </w:rPr>
        <w:t>the</w:t>
      </w:r>
      <w:r>
        <w:rPr>
          <w:spacing w:val="-5"/>
          <w:sz w:val="24"/>
        </w:rPr>
        <w:t> </w:t>
      </w:r>
      <w:r>
        <w:rPr>
          <w:sz w:val="24"/>
        </w:rPr>
        <w:t>work</w:t>
      </w:r>
      <w:r>
        <w:rPr>
          <w:spacing w:val="-4"/>
          <w:sz w:val="24"/>
        </w:rPr>
        <w:t> </w:t>
      </w:r>
      <w:r>
        <w:rPr>
          <w:sz w:val="24"/>
        </w:rPr>
        <w:t>of the internal and external auditors, the Audit Committee which oversees their work and the senior management within the NDA with responsibility for the development and maintenance of the internal financial control framework.</w:t>
      </w:r>
    </w:p>
    <w:p>
      <w:pPr>
        <w:pStyle w:val="BodyText"/>
        <w:spacing w:before="1"/>
        <w:rPr>
          <w:sz w:val="24"/>
        </w:rPr>
      </w:pPr>
    </w:p>
    <w:p>
      <w:pPr>
        <w:spacing w:before="0"/>
        <w:ind w:left="1702" w:right="987" w:firstLine="0"/>
        <w:jc w:val="both"/>
        <w:rPr>
          <w:sz w:val="24"/>
        </w:rPr>
      </w:pPr>
      <w:r>
        <w:rPr>
          <w:sz w:val="24"/>
        </w:rPr>
        <w:t>An independent review of internal controls was conducted by the Internal Audit Unit in February 2018, and a review of the preparation of financial statements conducted</w:t>
      </w:r>
      <w:r>
        <w:rPr>
          <w:spacing w:val="-10"/>
          <w:sz w:val="24"/>
        </w:rPr>
        <w:t> </w:t>
      </w:r>
      <w:r>
        <w:rPr>
          <w:sz w:val="24"/>
        </w:rPr>
        <w:t>by</w:t>
      </w:r>
      <w:r>
        <w:rPr>
          <w:spacing w:val="-10"/>
          <w:sz w:val="24"/>
        </w:rPr>
        <w:t> </w:t>
      </w:r>
      <w:r>
        <w:rPr>
          <w:sz w:val="24"/>
        </w:rPr>
        <w:t>the</w:t>
      </w:r>
      <w:r>
        <w:rPr>
          <w:spacing w:val="-11"/>
          <w:sz w:val="24"/>
        </w:rPr>
        <w:t> </w:t>
      </w:r>
      <w:r>
        <w:rPr>
          <w:sz w:val="24"/>
        </w:rPr>
        <w:t>Internal</w:t>
      </w:r>
      <w:r>
        <w:rPr>
          <w:spacing w:val="-10"/>
          <w:sz w:val="24"/>
        </w:rPr>
        <w:t> </w:t>
      </w:r>
      <w:r>
        <w:rPr>
          <w:sz w:val="24"/>
        </w:rPr>
        <w:t>Audit</w:t>
      </w:r>
      <w:r>
        <w:rPr>
          <w:spacing w:val="-11"/>
          <w:sz w:val="24"/>
        </w:rPr>
        <w:t> </w:t>
      </w:r>
      <w:r>
        <w:rPr>
          <w:sz w:val="24"/>
        </w:rPr>
        <w:t>Unit</w:t>
      </w:r>
      <w:r>
        <w:rPr>
          <w:spacing w:val="-11"/>
          <w:sz w:val="24"/>
        </w:rPr>
        <w:t> </w:t>
      </w:r>
      <w:r>
        <w:rPr>
          <w:sz w:val="24"/>
        </w:rPr>
        <w:t>completed</w:t>
      </w:r>
      <w:r>
        <w:rPr>
          <w:spacing w:val="-10"/>
          <w:sz w:val="24"/>
        </w:rPr>
        <w:t> </w:t>
      </w:r>
      <w:r>
        <w:rPr>
          <w:sz w:val="24"/>
        </w:rPr>
        <w:t>in</w:t>
      </w:r>
      <w:r>
        <w:rPr>
          <w:spacing w:val="-10"/>
          <w:sz w:val="24"/>
        </w:rPr>
        <w:t> </w:t>
      </w:r>
      <w:r>
        <w:rPr>
          <w:sz w:val="24"/>
        </w:rPr>
        <w:t>February</w:t>
      </w:r>
      <w:r>
        <w:rPr>
          <w:spacing w:val="-10"/>
          <w:sz w:val="24"/>
        </w:rPr>
        <w:t> </w:t>
      </w:r>
      <w:r>
        <w:rPr>
          <w:sz w:val="24"/>
        </w:rPr>
        <w:t>2018.</w:t>
      </w:r>
      <w:r>
        <w:rPr>
          <w:spacing w:val="-9"/>
          <w:sz w:val="24"/>
        </w:rPr>
        <w:t> </w:t>
      </w:r>
      <w:r>
        <w:rPr>
          <w:sz w:val="24"/>
        </w:rPr>
        <w:t>It</w:t>
      </w:r>
      <w:r>
        <w:rPr>
          <w:spacing w:val="-11"/>
          <w:sz w:val="24"/>
        </w:rPr>
        <w:t> </w:t>
      </w:r>
      <w:r>
        <w:rPr>
          <w:sz w:val="24"/>
        </w:rPr>
        <w:t>is</w:t>
      </w:r>
      <w:r>
        <w:rPr>
          <w:spacing w:val="-11"/>
          <w:sz w:val="24"/>
        </w:rPr>
        <w:t> </w:t>
      </w:r>
      <w:r>
        <w:rPr>
          <w:sz w:val="24"/>
        </w:rPr>
        <w:t>considered that Internal Audit provides an objective evaluation and opinion on the effectiveness of the NDA’s framework of governance, risk management and control.</w:t>
      </w:r>
      <w:r>
        <w:rPr>
          <w:spacing w:val="40"/>
          <w:sz w:val="24"/>
        </w:rPr>
        <w:t> </w:t>
      </w:r>
      <w:r>
        <w:rPr>
          <w:sz w:val="24"/>
        </w:rPr>
        <w:t>The</w:t>
      </w:r>
      <w:r>
        <w:rPr>
          <w:spacing w:val="-7"/>
          <w:sz w:val="24"/>
        </w:rPr>
        <w:t> </w:t>
      </w:r>
      <w:r>
        <w:rPr>
          <w:sz w:val="24"/>
        </w:rPr>
        <w:t>overall</w:t>
      </w:r>
      <w:r>
        <w:rPr>
          <w:spacing w:val="-7"/>
          <w:sz w:val="24"/>
        </w:rPr>
        <w:t> </w:t>
      </w:r>
      <w:r>
        <w:rPr>
          <w:sz w:val="24"/>
        </w:rPr>
        <w:t>conclusion</w:t>
      </w:r>
      <w:r>
        <w:rPr>
          <w:spacing w:val="-7"/>
          <w:sz w:val="24"/>
        </w:rPr>
        <w:t> </w:t>
      </w:r>
      <w:r>
        <w:rPr>
          <w:sz w:val="24"/>
        </w:rPr>
        <w:t>from</w:t>
      </w:r>
      <w:r>
        <w:rPr>
          <w:spacing w:val="-7"/>
          <w:sz w:val="24"/>
        </w:rPr>
        <w:t> </w:t>
      </w:r>
      <w:r>
        <w:rPr>
          <w:sz w:val="24"/>
        </w:rPr>
        <w:t>each</w:t>
      </w:r>
      <w:r>
        <w:rPr>
          <w:spacing w:val="-6"/>
          <w:sz w:val="24"/>
        </w:rPr>
        <w:t> </w:t>
      </w:r>
      <w:r>
        <w:rPr>
          <w:sz w:val="24"/>
        </w:rPr>
        <w:t>is</w:t>
      </w:r>
      <w:r>
        <w:rPr>
          <w:spacing w:val="-8"/>
          <w:sz w:val="24"/>
        </w:rPr>
        <w:t> </w:t>
      </w:r>
      <w:r>
        <w:rPr>
          <w:sz w:val="24"/>
        </w:rPr>
        <w:t>that</w:t>
      </w:r>
      <w:r>
        <w:rPr>
          <w:spacing w:val="-5"/>
          <w:sz w:val="24"/>
        </w:rPr>
        <w:t> </w:t>
      </w:r>
      <w:r>
        <w:rPr>
          <w:sz w:val="24"/>
        </w:rPr>
        <w:t>effective</w:t>
      </w:r>
      <w:r>
        <w:rPr>
          <w:spacing w:val="-7"/>
          <w:sz w:val="24"/>
        </w:rPr>
        <w:t> </w:t>
      </w:r>
      <w:r>
        <w:rPr>
          <w:sz w:val="24"/>
        </w:rPr>
        <w:t>internal</w:t>
      </w:r>
      <w:r>
        <w:rPr>
          <w:spacing w:val="-7"/>
          <w:sz w:val="24"/>
        </w:rPr>
        <w:t> </w:t>
      </w:r>
      <w:r>
        <w:rPr>
          <w:sz w:val="24"/>
        </w:rPr>
        <w:t>controls</w:t>
      </w:r>
      <w:r>
        <w:rPr>
          <w:spacing w:val="-8"/>
          <w:sz w:val="24"/>
        </w:rPr>
        <w:t> </w:t>
      </w:r>
      <w:r>
        <w:rPr>
          <w:sz w:val="24"/>
        </w:rPr>
        <w:t>are</w:t>
      </w:r>
      <w:r>
        <w:rPr>
          <w:spacing w:val="-7"/>
          <w:sz w:val="24"/>
        </w:rPr>
        <w:t> </w:t>
      </w:r>
      <w:r>
        <w:rPr>
          <w:sz w:val="24"/>
        </w:rPr>
        <w:t>in </w:t>
      </w:r>
      <w:r>
        <w:rPr>
          <w:spacing w:val="-2"/>
          <w:sz w:val="24"/>
        </w:rPr>
        <w:t>place.</w:t>
      </w:r>
    </w:p>
    <w:p>
      <w:pPr>
        <w:pStyle w:val="BodyText"/>
        <w:spacing w:before="1"/>
        <w:rPr>
          <w:sz w:val="24"/>
        </w:rPr>
      </w:pPr>
    </w:p>
    <w:p>
      <w:pPr>
        <w:spacing w:before="1"/>
        <w:ind w:left="1702" w:right="992" w:firstLine="0"/>
        <w:jc w:val="both"/>
        <w:rPr>
          <w:sz w:val="24"/>
        </w:rPr>
      </w:pPr>
      <w:r>
        <w:rPr>
          <w:sz w:val="24"/>
        </w:rPr>
        <w:t>The reports of these audits were considered by the Audit Committee and were presented to the Authority for discussion and adoption at its March meeting.</w:t>
      </w:r>
    </w:p>
    <w:p>
      <w:pPr>
        <w:pStyle w:val="BodyText"/>
        <w:rPr>
          <w:sz w:val="24"/>
        </w:rPr>
      </w:pPr>
    </w:p>
    <w:p>
      <w:pPr>
        <w:spacing w:before="0"/>
        <w:ind w:left="1702" w:right="986" w:firstLine="0"/>
        <w:jc w:val="both"/>
        <w:rPr>
          <w:sz w:val="24"/>
        </w:rPr>
      </w:pPr>
      <w:r>
        <w:rPr>
          <w:sz w:val="24"/>
        </w:rPr>
        <w:t>The Audit Committee considered the implementation of management letter recommendations</w:t>
      </w:r>
      <w:r>
        <w:rPr>
          <w:spacing w:val="-9"/>
          <w:sz w:val="24"/>
        </w:rPr>
        <w:t> </w:t>
      </w:r>
      <w:r>
        <w:rPr>
          <w:sz w:val="24"/>
        </w:rPr>
        <w:t>and</w:t>
      </w:r>
      <w:r>
        <w:rPr>
          <w:spacing w:val="-8"/>
          <w:sz w:val="24"/>
        </w:rPr>
        <w:t> </w:t>
      </w:r>
      <w:r>
        <w:rPr>
          <w:sz w:val="24"/>
        </w:rPr>
        <w:t>previous</w:t>
      </w:r>
      <w:r>
        <w:rPr>
          <w:spacing w:val="-9"/>
          <w:sz w:val="24"/>
        </w:rPr>
        <w:t> </w:t>
      </w:r>
      <w:r>
        <w:rPr>
          <w:sz w:val="24"/>
        </w:rPr>
        <w:t>audit</w:t>
      </w:r>
      <w:r>
        <w:rPr>
          <w:spacing w:val="-8"/>
          <w:sz w:val="24"/>
        </w:rPr>
        <w:t> </w:t>
      </w:r>
      <w:r>
        <w:rPr>
          <w:sz w:val="24"/>
        </w:rPr>
        <w:t>findings</w:t>
      </w:r>
      <w:r>
        <w:rPr>
          <w:spacing w:val="-11"/>
          <w:sz w:val="24"/>
        </w:rPr>
        <w:t> </w:t>
      </w:r>
      <w:r>
        <w:rPr>
          <w:sz w:val="24"/>
        </w:rPr>
        <w:t>and</w:t>
      </w:r>
      <w:r>
        <w:rPr>
          <w:spacing w:val="-9"/>
          <w:sz w:val="24"/>
        </w:rPr>
        <w:t> </w:t>
      </w:r>
      <w:r>
        <w:rPr>
          <w:sz w:val="24"/>
        </w:rPr>
        <w:t>provided</w:t>
      </w:r>
      <w:r>
        <w:rPr>
          <w:spacing w:val="-7"/>
          <w:sz w:val="24"/>
        </w:rPr>
        <w:t> </w:t>
      </w:r>
      <w:r>
        <w:rPr>
          <w:sz w:val="24"/>
        </w:rPr>
        <w:t>assurances</w:t>
      </w:r>
      <w:r>
        <w:rPr>
          <w:spacing w:val="-11"/>
          <w:sz w:val="24"/>
        </w:rPr>
        <w:t> </w:t>
      </w:r>
      <w:r>
        <w:rPr>
          <w:sz w:val="24"/>
        </w:rPr>
        <w:t>on</w:t>
      </w:r>
      <w:r>
        <w:rPr>
          <w:spacing w:val="-8"/>
          <w:sz w:val="24"/>
        </w:rPr>
        <w:t> </w:t>
      </w:r>
      <w:r>
        <w:rPr>
          <w:sz w:val="24"/>
        </w:rPr>
        <w:t>these</w:t>
      </w:r>
      <w:r>
        <w:rPr>
          <w:spacing w:val="-8"/>
          <w:sz w:val="24"/>
        </w:rPr>
        <w:t> </w:t>
      </w:r>
      <w:r>
        <w:rPr>
          <w:sz w:val="24"/>
        </w:rPr>
        <w:t>in their annual report to the Authority in November 2017 in relation to same. The Audit</w:t>
      </w:r>
      <w:r>
        <w:rPr>
          <w:spacing w:val="-4"/>
          <w:sz w:val="24"/>
        </w:rPr>
        <w:t> </w:t>
      </w:r>
      <w:r>
        <w:rPr>
          <w:sz w:val="24"/>
        </w:rPr>
        <w:t>Committee</w:t>
      </w:r>
      <w:r>
        <w:rPr>
          <w:spacing w:val="-4"/>
          <w:sz w:val="24"/>
        </w:rPr>
        <w:t> </w:t>
      </w:r>
      <w:r>
        <w:rPr>
          <w:sz w:val="24"/>
        </w:rPr>
        <w:t>also</w:t>
      </w:r>
      <w:r>
        <w:rPr>
          <w:spacing w:val="-4"/>
          <w:sz w:val="24"/>
        </w:rPr>
        <w:t> </w:t>
      </w:r>
      <w:r>
        <w:rPr>
          <w:sz w:val="24"/>
        </w:rPr>
        <w:t>considered</w:t>
      </w:r>
      <w:r>
        <w:rPr>
          <w:spacing w:val="-4"/>
          <w:sz w:val="24"/>
        </w:rPr>
        <w:t> </w:t>
      </w:r>
      <w:r>
        <w:rPr>
          <w:sz w:val="24"/>
        </w:rPr>
        <w:t>the</w:t>
      </w:r>
      <w:r>
        <w:rPr>
          <w:spacing w:val="-4"/>
          <w:sz w:val="24"/>
        </w:rPr>
        <w:t> </w:t>
      </w:r>
      <w:r>
        <w:rPr>
          <w:sz w:val="24"/>
        </w:rPr>
        <w:t>above</w:t>
      </w:r>
      <w:r>
        <w:rPr>
          <w:spacing w:val="-6"/>
          <w:sz w:val="24"/>
        </w:rPr>
        <w:t> </w:t>
      </w:r>
      <w:r>
        <w:rPr>
          <w:sz w:val="24"/>
        </w:rPr>
        <w:t>audit</w:t>
      </w:r>
      <w:r>
        <w:rPr>
          <w:spacing w:val="-4"/>
          <w:sz w:val="24"/>
        </w:rPr>
        <w:t> </w:t>
      </w:r>
      <w:r>
        <w:rPr>
          <w:sz w:val="24"/>
        </w:rPr>
        <w:t>reports</w:t>
      </w:r>
      <w:r>
        <w:rPr>
          <w:spacing w:val="-5"/>
          <w:sz w:val="24"/>
        </w:rPr>
        <w:t> </w:t>
      </w:r>
      <w:r>
        <w:rPr>
          <w:sz w:val="24"/>
        </w:rPr>
        <w:t>of</w:t>
      </w:r>
      <w:r>
        <w:rPr>
          <w:spacing w:val="-4"/>
          <w:sz w:val="24"/>
        </w:rPr>
        <w:t> </w:t>
      </w:r>
      <w:r>
        <w:rPr>
          <w:sz w:val="24"/>
        </w:rPr>
        <w:t>audits</w:t>
      </w:r>
      <w:r>
        <w:rPr>
          <w:spacing w:val="-5"/>
          <w:sz w:val="24"/>
        </w:rPr>
        <w:t> </w:t>
      </w:r>
      <w:r>
        <w:rPr>
          <w:sz w:val="24"/>
        </w:rPr>
        <w:t>completed</w:t>
      </w:r>
      <w:r>
        <w:rPr>
          <w:spacing w:val="-4"/>
          <w:sz w:val="24"/>
        </w:rPr>
        <w:t> </w:t>
      </w:r>
      <w:r>
        <w:rPr>
          <w:sz w:val="24"/>
        </w:rPr>
        <w:t>by Internal Audit Service in 2018 and the management responses to </w:t>
      </w:r>
      <w:r>
        <w:rPr>
          <w:spacing w:val="-2"/>
          <w:sz w:val="24"/>
        </w:rPr>
        <w:t>recommendations.</w:t>
      </w:r>
    </w:p>
    <w:p>
      <w:pPr>
        <w:pStyle w:val="BodyText"/>
        <w:rPr>
          <w:sz w:val="24"/>
        </w:rPr>
      </w:pPr>
    </w:p>
    <w:p>
      <w:pPr>
        <w:spacing w:before="0"/>
        <w:ind w:left="1702" w:right="992" w:firstLine="0"/>
        <w:jc w:val="both"/>
        <w:rPr>
          <w:sz w:val="24"/>
        </w:rPr>
      </w:pPr>
      <w:r>
        <w:rPr>
          <w:sz w:val="24"/>
        </w:rPr>
        <w:t>The</w:t>
      </w:r>
      <w:r>
        <w:rPr>
          <w:spacing w:val="-15"/>
          <w:sz w:val="24"/>
        </w:rPr>
        <w:t> </w:t>
      </w:r>
      <w:r>
        <w:rPr>
          <w:sz w:val="24"/>
        </w:rPr>
        <w:t>Authority</w:t>
      </w:r>
      <w:r>
        <w:rPr>
          <w:spacing w:val="-15"/>
          <w:sz w:val="24"/>
        </w:rPr>
        <w:t> </w:t>
      </w:r>
      <w:r>
        <w:rPr>
          <w:sz w:val="24"/>
        </w:rPr>
        <w:t>is</w:t>
      </w:r>
      <w:r>
        <w:rPr>
          <w:spacing w:val="-16"/>
          <w:sz w:val="24"/>
        </w:rPr>
        <w:t> </w:t>
      </w:r>
      <w:r>
        <w:rPr>
          <w:sz w:val="24"/>
        </w:rPr>
        <w:t>satisfied</w:t>
      </w:r>
      <w:r>
        <w:rPr>
          <w:spacing w:val="-14"/>
          <w:sz w:val="24"/>
        </w:rPr>
        <w:t> </w:t>
      </w:r>
      <w:r>
        <w:rPr>
          <w:sz w:val="24"/>
        </w:rPr>
        <w:t>that</w:t>
      </w:r>
      <w:r>
        <w:rPr>
          <w:spacing w:val="-16"/>
          <w:sz w:val="24"/>
        </w:rPr>
        <w:t> </w:t>
      </w:r>
      <w:r>
        <w:rPr>
          <w:sz w:val="24"/>
        </w:rPr>
        <w:t>there</w:t>
      </w:r>
      <w:r>
        <w:rPr>
          <w:spacing w:val="-14"/>
          <w:sz w:val="24"/>
        </w:rPr>
        <w:t> </w:t>
      </w:r>
      <w:r>
        <w:rPr>
          <w:sz w:val="24"/>
        </w:rPr>
        <w:t>is</w:t>
      </w:r>
      <w:r>
        <w:rPr>
          <w:spacing w:val="-16"/>
          <w:sz w:val="24"/>
        </w:rPr>
        <w:t> </w:t>
      </w:r>
      <w:r>
        <w:rPr>
          <w:sz w:val="24"/>
        </w:rPr>
        <w:t>no</w:t>
      </w:r>
      <w:r>
        <w:rPr>
          <w:spacing w:val="-15"/>
          <w:sz w:val="24"/>
        </w:rPr>
        <w:t> </w:t>
      </w:r>
      <w:r>
        <w:rPr>
          <w:sz w:val="24"/>
        </w:rPr>
        <w:t>evidence</w:t>
      </w:r>
      <w:r>
        <w:rPr>
          <w:spacing w:val="-17"/>
          <w:sz w:val="24"/>
        </w:rPr>
        <w:t> </w:t>
      </w:r>
      <w:r>
        <w:rPr>
          <w:sz w:val="24"/>
        </w:rPr>
        <w:t>of</w:t>
      </w:r>
      <w:r>
        <w:rPr>
          <w:spacing w:val="-15"/>
          <w:sz w:val="24"/>
        </w:rPr>
        <w:t> </w:t>
      </w:r>
      <w:r>
        <w:rPr>
          <w:sz w:val="24"/>
        </w:rPr>
        <w:t>any</w:t>
      </w:r>
      <w:r>
        <w:rPr>
          <w:spacing w:val="-14"/>
          <w:sz w:val="24"/>
        </w:rPr>
        <w:t> </w:t>
      </w:r>
      <w:r>
        <w:rPr>
          <w:sz w:val="24"/>
        </w:rPr>
        <w:t>significant</w:t>
      </w:r>
      <w:r>
        <w:rPr>
          <w:spacing w:val="-15"/>
          <w:sz w:val="24"/>
        </w:rPr>
        <w:t> </w:t>
      </w:r>
      <w:r>
        <w:rPr>
          <w:sz w:val="24"/>
        </w:rPr>
        <w:t>controls</w:t>
      </w:r>
      <w:r>
        <w:rPr>
          <w:spacing w:val="-16"/>
          <w:sz w:val="24"/>
        </w:rPr>
        <w:t> </w:t>
      </w:r>
      <w:r>
        <w:rPr>
          <w:sz w:val="24"/>
        </w:rPr>
        <w:t>issues and that they give reasonable assurances of effective controls.</w:t>
      </w:r>
    </w:p>
    <w:p>
      <w:pPr>
        <w:spacing w:after="0"/>
        <w:jc w:val="both"/>
        <w:rPr>
          <w:sz w:val="24"/>
        </w:rPr>
        <w:sectPr>
          <w:pgSz w:w="11910" w:h="16850"/>
          <w:pgMar w:header="0" w:footer="811" w:top="1880" w:bottom="1000" w:left="283" w:right="992"/>
        </w:sectPr>
      </w:pPr>
    </w:p>
    <w:p>
      <w:pPr>
        <w:spacing w:before="78"/>
        <w:ind w:left="1702" w:right="989" w:firstLine="0"/>
        <w:jc w:val="both"/>
        <w:rPr>
          <w:sz w:val="24"/>
        </w:rPr>
      </w:pPr>
      <w:r>
        <w:rPr>
          <w:sz w:val="24"/>
        </w:rPr>
        <w:t>This statement of internal control has been adopted by the Authority further to discussion and consideration of all assurances provided.</w:t>
      </w:r>
    </w:p>
    <w:p>
      <w:pPr>
        <w:pStyle w:val="BodyText"/>
        <w:rPr>
          <w:sz w:val="24"/>
        </w:rPr>
      </w:pPr>
    </w:p>
    <w:p>
      <w:pPr>
        <w:spacing w:before="0"/>
        <w:ind w:left="1702" w:right="0" w:firstLine="0"/>
        <w:jc w:val="both"/>
        <w:rPr>
          <w:b/>
          <w:sz w:val="24"/>
        </w:rPr>
      </w:pPr>
      <w:r>
        <w:rPr>
          <w:b/>
          <w:sz w:val="24"/>
        </w:rPr>
        <w:t>Internal</w:t>
      </w:r>
      <w:r>
        <w:rPr>
          <w:b/>
          <w:spacing w:val="-6"/>
          <w:sz w:val="24"/>
        </w:rPr>
        <w:t> </w:t>
      </w:r>
      <w:r>
        <w:rPr>
          <w:b/>
          <w:sz w:val="24"/>
        </w:rPr>
        <w:t>Control</w:t>
      </w:r>
      <w:r>
        <w:rPr>
          <w:b/>
          <w:spacing w:val="-4"/>
          <w:sz w:val="24"/>
        </w:rPr>
        <w:t> </w:t>
      </w:r>
      <w:r>
        <w:rPr>
          <w:b/>
          <w:spacing w:val="-2"/>
          <w:sz w:val="24"/>
        </w:rPr>
        <w:t>Issues</w:t>
      </w:r>
    </w:p>
    <w:p>
      <w:pPr>
        <w:pStyle w:val="BodyText"/>
        <w:rPr>
          <w:b/>
          <w:sz w:val="24"/>
        </w:rPr>
      </w:pPr>
    </w:p>
    <w:p>
      <w:pPr>
        <w:spacing w:before="0"/>
        <w:ind w:left="1702" w:right="988" w:firstLine="0"/>
        <w:jc w:val="both"/>
        <w:rPr>
          <w:sz w:val="24"/>
        </w:rPr>
      </w:pPr>
      <w:r>
        <w:rPr>
          <w:sz w:val="24"/>
        </w:rPr>
        <w:t>There</w:t>
      </w:r>
      <w:r>
        <w:rPr>
          <w:spacing w:val="-8"/>
          <w:sz w:val="24"/>
        </w:rPr>
        <w:t> </w:t>
      </w:r>
      <w:r>
        <w:rPr>
          <w:sz w:val="24"/>
        </w:rPr>
        <w:t>were</w:t>
      </w:r>
      <w:r>
        <w:rPr>
          <w:spacing w:val="-10"/>
          <w:sz w:val="24"/>
        </w:rPr>
        <w:t> </w:t>
      </w:r>
      <w:r>
        <w:rPr>
          <w:sz w:val="24"/>
        </w:rPr>
        <w:t>no</w:t>
      </w:r>
      <w:r>
        <w:rPr>
          <w:spacing w:val="-8"/>
          <w:sz w:val="24"/>
        </w:rPr>
        <w:t> </w:t>
      </w:r>
      <w:r>
        <w:rPr>
          <w:sz w:val="24"/>
        </w:rPr>
        <w:t>weaknesses</w:t>
      </w:r>
      <w:r>
        <w:rPr>
          <w:spacing w:val="-8"/>
          <w:sz w:val="24"/>
        </w:rPr>
        <w:t> </w:t>
      </w:r>
      <w:r>
        <w:rPr>
          <w:sz w:val="24"/>
        </w:rPr>
        <w:t>in</w:t>
      </w:r>
      <w:r>
        <w:rPr>
          <w:spacing w:val="-8"/>
          <w:sz w:val="24"/>
        </w:rPr>
        <w:t> </w:t>
      </w:r>
      <w:r>
        <w:rPr>
          <w:sz w:val="24"/>
        </w:rPr>
        <w:t>internal</w:t>
      </w:r>
      <w:r>
        <w:rPr>
          <w:spacing w:val="-10"/>
          <w:sz w:val="24"/>
        </w:rPr>
        <w:t> </w:t>
      </w:r>
      <w:r>
        <w:rPr>
          <w:sz w:val="24"/>
        </w:rPr>
        <w:t>control</w:t>
      </w:r>
      <w:r>
        <w:rPr>
          <w:spacing w:val="-8"/>
          <w:sz w:val="24"/>
        </w:rPr>
        <w:t> </w:t>
      </w:r>
      <w:r>
        <w:rPr>
          <w:sz w:val="24"/>
        </w:rPr>
        <w:t>identified</w:t>
      </w:r>
      <w:r>
        <w:rPr>
          <w:spacing w:val="-8"/>
          <w:sz w:val="24"/>
        </w:rPr>
        <w:t> </w:t>
      </w:r>
      <w:r>
        <w:rPr>
          <w:sz w:val="24"/>
        </w:rPr>
        <w:t>in</w:t>
      </w:r>
      <w:r>
        <w:rPr>
          <w:spacing w:val="-8"/>
          <w:sz w:val="24"/>
        </w:rPr>
        <w:t> </w:t>
      </w:r>
      <w:r>
        <w:rPr>
          <w:sz w:val="24"/>
        </w:rPr>
        <w:t>relation</w:t>
      </w:r>
      <w:r>
        <w:rPr>
          <w:spacing w:val="-8"/>
          <w:sz w:val="24"/>
        </w:rPr>
        <w:t> </w:t>
      </w:r>
      <w:r>
        <w:rPr>
          <w:sz w:val="24"/>
        </w:rPr>
        <w:t>to</w:t>
      </w:r>
      <w:r>
        <w:rPr>
          <w:spacing w:val="-9"/>
          <w:sz w:val="24"/>
        </w:rPr>
        <w:t> </w:t>
      </w:r>
      <w:r>
        <w:rPr>
          <w:sz w:val="24"/>
        </w:rPr>
        <w:t>2017,</w:t>
      </w:r>
      <w:r>
        <w:rPr>
          <w:spacing w:val="-8"/>
          <w:sz w:val="24"/>
        </w:rPr>
        <w:t> </w:t>
      </w:r>
      <w:r>
        <w:rPr>
          <w:sz w:val="24"/>
        </w:rPr>
        <w:t>other than</w:t>
      </w:r>
      <w:r>
        <w:rPr>
          <w:spacing w:val="-13"/>
          <w:sz w:val="24"/>
        </w:rPr>
        <w:t> </w:t>
      </w:r>
      <w:r>
        <w:rPr>
          <w:sz w:val="24"/>
        </w:rPr>
        <w:t>one</w:t>
      </w:r>
      <w:r>
        <w:rPr>
          <w:spacing w:val="-13"/>
          <w:sz w:val="24"/>
        </w:rPr>
        <w:t> </w:t>
      </w:r>
      <w:r>
        <w:rPr>
          <w:sz w:val="24"/>
        </w:rPr>
        <w:t>instance,</w:t>
      </w:r>
      <w:r>
        <w:rPr>
          <w:spacing w:val="-14"/>
          <w:sz w:val="24"/>
        </w:rPr>
        <w:t> </w:t>
      </w:r>
      <w:r>
        <w:rPr>
          <w:sz w:val="24"/>
        </w:rPr>
        <w:t>where</w:t>
      </w:r>
      <w:r>
        <w:rPr>
          <w:spacing w:val="-15"/>
          <w:sz w:val="24"/>
        </w:rPr>
        <w:t> </w:t>
      </w:r>
      <w:r>
        <w:rPr>
          <w:sz w:val="24"/>
        </w:rPr>
        <w:t>a</w:t>
      </w:r>
      <w:r>
        <w:rPr>
          <w:spacing w:val="-14"/>
          <w:sz w:val="24"/>
        </w:rPr>
        <w:t> </w:t>
      </w:r>
      <w:r>
        <w:rPr>
          <w:sz w:val="24"/>
        </w:rPr>
        <w:t>contract</w:t>
      </w:r>
      <w:r>
        <w:rPr>
          <w:spacing w:val="-15"/>
          <w:sz w:val="24"/>
        </w:rPr>
        <w:t> </w:t>
      </w:r>
      <w:r>
        <w:rPr>
          <w:sz w:val="24"/>
        </w:rPr>
        <w:t>for</w:t>
      </w:r>
      <w:r>
        <w:rPr>
          <w:spacing w:val="-14"/>
          <w:sz w:val="24"/>
        </w:rPr>
        <w:t> </w:t>
      </w:r>
      <w:r>
        <w:rPr>
          <w:sz w:val="24"/>
        </w:rPr>
        <w:t>cleaning</w:t>
      </w:r>
      <w:r>
        <w:rPr>
          <w:spacing w:val="-12"/>
          <w:sz w:val="24"/>
        </w:rPr>
        <w:t> </w:t>
      </w:r>
      <w:r>
        <w:rPr>
          <w:sz w:val="24"/>
        </w:rPr>
        <w:t>services</w:t>
      </w:r>
      <w:r>
        <w:rPr>
          <w:spacing w:val="-13"/>
          <w:sz w:val="24"/>
        </w:rPr>
        <w:t> </w:t>
      </w:r>
      <w:r>
        <w:rPr>
          <w:sz w:val="24"/>
        </w:rPr>
        <w:t>(expenditure</w:t>
      </w:r>
      <w:r>
        <w:rPr>
          <w:spacing w:val="-14"/>
          <w:sz w:val="24"/>
        </w:rPr>
        <w:t> </w:t>
      </w:r>
      <w:r>
        <w:rPr>
          <w:sz w:val="24"/>
        </w:rPr>
        <w:t>of</w:t>
      </w:r>
      <w:r>
        <w:rPr>
          <w:spacing w:val="-15"/>
          <w:sz w:val="24"/>
        </w:rPr>
        <w:t> </w:t>
      </w:r>
      <w:r>
        <w:rPr>
          <w:sz w:val="24"/>
        </w:rPr>
        <w:t>€38,163) had not progressed during the reporting period, and the tender competition was delayed</w:t>
      </w:r>
      <w:r>
        <w:rPr>
          <w:spacing w:val="-17"/>
          <w:sz w:val="24"/>
        </w:rPr>
        <w:t> </w:t>
      </w:r>
      <w:r>
        <w:rPr>
          <w:sz w:val="24"/>
        </w:rPr>
        <w:t>until</w:t>
      </w:r>
      <w:r>
        <w:rPr>
          <w:spacing w:val="-17"/>
          <w:sz w:val="24"/>
        </w:rPr>
        <w:t> </w:t>
      </w:r>
      <w:r>
        <w:rPr>
          <w:sz w:val="24"/>
        </w:rPr>
        <w:t>April</w:t>
      </w:r>
      <w:r>
        <w:rPr>
          <w:spacing w:val="-16"/>
          <w:sz w:val="24"/>
        </w:rPr>
        <w:t> </w:t>
      </w:r>
      <w:r>
        <w:rPr>
          <w:sz w:val="24"/>
        </w:rPr>
        <w:t>2018.</w:t>
      </w:r>
      <w:r>
        <w:rPr>
          <w:spacing w:val="-17"/>
          <w:sz w:val="24"/>
        </w:rPr>
        <w:t> </w:t>
      </w:r>
      <w:r>
        <w:rPr>
          <w:sz w:val="24"/>
        </w:rPr>
        <w:t>The</w:t>
      </w:r>
      <w:r>
        <w:rPr>
          <w:spacing w:val="-17"/>
          <w:sz w:val="24"/>
        </w:rPr>
        <w:t> </w:t>
      </w:r>
      <w:r>
        <w:rPr>
          <w:sz w:val="24"/>
        </w:rPr>
        <w:t>NDA</w:t>
      </w:r>
      <w:r>
        <w:rPr>
          <w:spacing w:val="-16"/>
          <w:sz w:val="24"/>
        </w:rPr>
        <w:t> </w:t>
      </w:r>
      <w:r>
        <w:rPr>
          <w:sz w:val="24"/>
        </w:rPr>
        <w:t>has</w:t>
      </w:r>
      <w:r>
        <w:rPr>
          <w:spacing w:val="-17"/>
          <w:sz w:val="24"/>
        </w:rPr>
        <w:t> </w:t>
      </w:r>
      <w:r>
        <w:rPr>
          <w:sz w:val="24"/>
        </w:rPr>
        <w:t>continued</w:t>
      </w:r>
      <w:r>
        <w:rPr>
          <w:spacing w:val="-14"/>
          <w:sz w:val="24"/>
        </w:rPr>
        <w:t> </w:t>
      </w:r>
      <w:r>
        <w:rPr>
          <w:sz w:val="24"/>
        </w:rPr>
        <w:t>to</w:t>
      </w:r>
      <w:r>
        <w:rPr>
          <w:spacing w:val="-17"/>
          <w:sz w:val="24"/>
        </w:rPr>
        <w:t> </w:t>
      </w:r>
      <w:r>
        <w:rPr>
          <w:sz w:val="24"/>
        </w:rPr>
        <w:t>enhance</w:t>
      </w:r>
      <w:r>
        <w:rPr>
          <w:spacing w:val="-15"/>
          <w:sz w:val="24"/>
        </w:rPr>
        <w:t> </w:t>
      </w:r>
      <w:r>
        <w:rPr>
          <w:sz w:val="24"/>
        </w:rPr>
        <w:t>control</w:t>
      </w:r>
      <w:r>
        <w:rPr>
          <w:spacing w:val="-16"/>
          <w:sz w:val="24"/>
        </w:rPr>
        <w:t> </w:t>
      </w:r>
      <w:r>
        <w:rPr>
          <w:sz w:val="24"/>
        </w:rPr>
        <w:t>systems</w:t>
      </w:r>
      <w:r>
        <w:rPr>
          <w:spacing w:val="-17"/>
          <w:sz w:val="24"/>
        </w:rPr>
        <w:t> </w:t>
      </w:r>
      <w:r>
        <w:rPr>
          <w:sz w:val="24"/>
        </w:rPr>
        <w:t>over the course of the year.</w:t>
      </w:r>
    </w:p>
    <w:p>
      <w:pPr>
        <w:pStyle w:val="BodyText"/>
        <w:spacing w:before="49"/>
        <w:rPr>
          <w:sz w:val="20"/>
        </w:rPr>
      </w:pPr>
      <w:r>
        <w:rPr>
          <w:sz w:val="20"/>
        </w:rPr>
        <w:drawing>
          <wp:anchor distT="0" distB="0" distL="0" distR="0" allowOverlap="1" layoutInCell="1" locked="0" behindDoc="1" simplePos="0" relativeHeight="487593984">
            <wp:simplePos x="0" y="0"/>
            <wp:positionH relativeFrom="page">
              <wp:posOffset>1260475</wp:posOffset>
            </wp:positionH>
            <wp:positionV relativeFrom="paragraph">
              <wp:posOffset>193800</wp:posOffset>
            </wp:positionV>
            <wp:extent cx="1424962" cy="530066"/>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7" cstate="print"/>
                    <a:stretch>
                      <a:fillRect/>
                    </a:stretch>
                  </pic:blipFill>
                  <pic:spPr>
                    <a:xfrm>
                      <a:off x="0" y="0"/>
                      <a:ext cx="1424962" cy="53006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94496">
                <wp:simplePos x="0" y="0"/>
                <wp:positionH relativeFrom="page">
                  <wp:posOffset>1260652</wp:posOffset>
                </wp:positionH>
                <wp:positionV relativeFrom="paragraph">
                  <wp:posOffset>879625</wp:posOffset>
                </wp:positionV>
                <wp:extent cx="168084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680845" cy="1270"/>
                        </a:xfrm>
                        <a:custGeom>
                          <a:avLst/>
                          <a:gdLst/>
                          <a:ahLst/>
                          <a:cxnLst/>
                          <a:rect l="l" t="t" r="r" b="b"/>
                          <a:pathLst>
                            <a:path w="1680845" h="0">
                              <a:moveTo>
                                <a:pt x="0" y="0"/>
                              </a:moveTo>
                              <a:lnTo>
                                <a:pt x="168051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9.264pt;margin-top:69.261864pt;width:132.35pt;height:.1pt;mso-position-horizontal-relative:page;mso-position-vertical-relative:paragraph;z-index:-15721984;mso-wrap-distance-left:0;mso-wrap-distance-right:0" id="docshape9" coordorigin="1985,1385" coordsize="2647,0" path="m1985,1385l4632,1385e" filled="false" stroked="true" strokeweight=".768pt" strokecolor="#000000">
                <v:path arrowok="t"/>
                <v:stroke dashstyle="solid"/>
                <w10:wrap type="topAndBottom"/>
              </v:shape>
            </w:pict>
          </mc:Fallback>
        </mc:AlternateContent>
      </w:r>
    </w:p>
    <w:p>
      <w:pPr>
        <w:pStyle w:val="BodyText"/>
        <w:rPr>
          <w:sz w:val="19"/>
        </w:rPr>
      </w:pPr>
    </w:p>
    <w:p>
      <w:pPr>
        <w:spacing w:line="278" w:lineRule="auto" w:before="8"/>
        <w:ind w:left="1702" w:right="6542" w:firstLine="0"/>
        <w:jc w:val="left"/>
        <w:rPr>
          <w:sz w:val="24"/>
        </w:rPr>
      </w:pPr>
      <w:r>
        <w:rPr>
          <w:sz w:val="24"/>
        </w:rPr>
        <w:t>Helen</w:t>
      </w:r>
      <w:r>
        <w:rPr>
          <w:spacing w:val="-17"/>
          <w:sz w:val="24"/>
        </w:rPr>
        <w:t> </w:t>
      </w:r>
      <w:r>
        <w:rPr>
          <w:sz w:val="24"/>
        </w:rPr>
        <w:t>Guinan, </w:t>
      </w:r>
      <w:r>
        <w:rPr>
          <w:spacing w:val="-2"/>
          <w:sz w:val="24"/>
        </w:rPr>
        <w:t>Chairperson</w:t>
      </w:r>
    </w:p>
    <w:p>
      <w:pPr>
        <w:spacing w:line="273" w:lineRule="exact" w:before="0"/>
        <w:ind w:left="1702" w:right="0" w:firstLine="0"/>
        <w:jc w:val="left"/>
        <w:rPr>
          <w:sz w:val="24"/>
        </w:rPr>
      </w:pPr>
      <w:r>
        <w:rPr>
          <w:sz w:val="24"/>
        </w:rPr>
        <w:t>Date:</w:t>
      </w:r>
      <w:r>
        <w:rPr>
          <w:spacing w:val="-8"/>
          <w:sz w:val="24"/>
        </w:rPr>
        <w:t> </w:t>
      </w:r>
      <w:r>
        <w:rPr>
          <w:sz w:val="24"/>
        </w:rPr>
        <w:t>29</w:t>
      </w:r>
      <w:r>
        <w:rPr>
          <w:sz w:val="24"/>
          <w:vertAlign w:val="superscript"/>
        </w:rPr>
        <w:t>th</w:t>
      </w:r>
      <w:r>
        <w:rPr>
          <w:spacing w:val="-8"/>
          <w:sz w:val="24"/>
          <w:vertAlign w:val="baseline"/>
        </w:rPr>
        <w:t> </w:t>
      </w:r>
      <w:r>
        <w:rPr>
          <w:sz w:val="24"/>
          <w:vertAlign w:val="baseline"/>
        </w:rPr>
        <w:t>May</w:t>
      </w:r>
      <w:r>
        <w:rPr>
          <w:spacing w:val="-8"/>
          <w:sz w:val="24"/>
          <w:vertAlign w:val="baseline"/>
        </w:rPr>
        <w:t> </w:t>
      </w:r>
      <w:r>
        <w:rPr>
          <w:spacing w:val="-4"/>
          <w:sz w:val="24"/>
          <w:vertAlign w:val="baseline"/>
        </w:rPr>
        <w:t>2018</w:t>
      </w:r>
    </w:p>
    <w:p>
      <w:pPr>
        <w:spacing w:after="0" w:line="273" w:lineRule="exact"/>
        <w:jc w:val="left"/>
        <w:rPr>
          <w:sz w:val="24"/>
        </w:rPr>
        <w:sectPr>
          <w:pgSz w:w="11910" w:h="16850"/>
          <w:pgMar w:header="0" w:footer="811" w:top="1880" w:bottom="1000" w:left="283" w:right="992"/>
        </w:sectPr>
      </w:pPr>
    </w:p>
    <w:p>
      <w:pPr>
        <w:pStyle w:val="Heading3"/>
        <w:spacing w:line="242" w:lineRule="auto" w:before="69"/>
        <w:ind w:left="1560" w:right="988"/>
      </w:pPr>
      <w:r>
        <w:rPr>
          <w:color w:val="BE2195"/>
        </w:rPr>
        <w:t>Comptroller</w:t>
      </w:r>
      <w:r>
        <w:rPr>
          <w:color w:val="BE2195"/>
          <w:spacing w:val="-1"/>
        </w:rPr>
        <w:t> </w:t>
      </w:r>
      <w:r>
        <w:rPr>
          <w:color w:val="BE2195"/>
        </w:rPr>
        <w:t>and</w:t>
      </w:r>
      <w:r>
        <w:rPr>
          <w:color w:val="BE2195"/>
          <w:spacing w:val="-1"/>
        </w:rPr>
        <w:t> </w:t>
      </w:r>
      <w:r>
        <w:rPr>
          <w:color w:val="BE2195"/>
        </w:rPr>
        <w:t>Auditor General</w:t>
      </w:r>
      <w:r>
        <w:rPr>
          <w:color w:val="BE2195"/>
          <w:spacing w:val="-1"/>
        </w:rPr>
        <w:t> </w:t>
      </w:r>
      <w:r>
        <w:rPr>
          <w:color w:val="BE2195"/>
        </w:rPr>
        <w:t>Report for presentation</w:t>
      </w:r>
      <w:r>
        <w:rPr>
          <w:color w:val="BE2195"/>
          <w:spacing w:val="-7"/>
        </w:rPr>
        <w:t> </w:t>
      </w:r>
      <w:r>
        <w:rPr>
          <w:color w:val="BE2195"/>
        </w:rPr>
        <w:t>to</w:t>
      </w:r>
      <w:r>
        <w:rPr>
          <w:color w:val="BE2195"/>
          <w:spacing w:val="-6"/>
        </w:rPr>
        <w:t> </w:t>
      </w:r>
      <w:r>
        <w:rPr>
          <w:color w:val="BE2195"/>
        </w:rPr>
        <w:t>the</w:t>
      </w:r>
      <w:r>
        <w:rPr>
          <w:color w:val="BE2195"/>
          <w:spacing w:val="-7"/>
        </w:rPr>
        <w:t> </w:t>
      </w:r>
      <w:r>
        <w:rPr>
          <w:color w:val="BE2195"/>
        </w:rPr>
        <w:t>Houses</w:t>
      </w:r>
      <w:r>
        <w:rPr>
          <w:color w:val="BE2195"/>
          <w:spacing w:val="-7"/>
        </w:rPr>
        <w:t> </w:t>
      </w:r>
      <w:r>
        <w:rPr>
          <w:color w:val="BE2195"/>
        </w:rPr>
        <w:t>of</w:t>
      </w:r>
      <w:r>
        <w:rPr>
          <w:color w:val="BE2195"/>
          <w:spacing w:val="-5"/>
        </w:rPr>
        <w:t> </w:t>
      </w:r>
      <w:r>
        <w:rPr>
          <w:color w:val="BE2195"/>
        </w:rPr>
        <w:t>the</w:t>
      </w:r>
      <w:r>
        <w:rPr>
          <w:color w:val="BE2195"/>
          <w:spacing w:val="-5"/>
        </w:rPr>
        <w:t> </w:t>
      </w:r>
      <w:r>
        <w:rPr>
          <w:color w:val="BE2195"/>
        </w:rPr>
        <w:t>Oireachtas</w:t>
      </w:r>
    </w:p>
    <w:p>
      <w:pPr>
        <w:spacing w:before="115"/>
        <w:ind w:left="1560" w:right="0" w:firstLine="0"/>
        <w:jc w:val="left"/>
        <w:rPr>
          <w:rFonts w:ascii="Rockwell"/>
          <w:b/>
          <w:sz w:val="32"/>
        </w:rPr>
      </w:pPr>
      <w:r>
        <w:rPr>
          <w:rFonts w:ascii="Rockwell"/>
          <w:b/>
          <w:color w:val="BE2195"/>
          <w:sz w:val="32"/>
        </w:rPr>
        <w:t>National</w:t>
      </w:r>
      <w:r>
        <w:rPr>
          <w:rFonts w:ascii="Rockwell"/>
          <w:b/>
          <w:color w:val="BE2195"/>
          <w:spacing w:val="-15"/>
          <w:sz w:val="32"/>
        </w:rPr>
        <w:t> </w:t>
      </w:r>
      <w:r>
        <w:rPr>
          <w:rFonts w:ascii="Rockwell"/>
          <w:b/>
          <w:color w:val="BE2195"/>
          <w:sz w:val="32"/>
        </w:rPr>
        <w:t>Disability</w:t>
      </w:r>
      <w:r>
        <w:rPr>
          <w:rFonts w:ascii="Rockwell"/>
          <w:b/>
          <w:color w:val="BE2195"/>
          <w:spacing w:val="-17"/>
          <w:sz w:val="32"/>
        </w:rPr>
        <w:t> </w:t>
      </w:r>
      <w:r>
        <w:rPr>
          <w:rFonts w:ascii="Rockwell"/>
          <w:b/>
          <w:color w:val="BE2195"/>
          <w:spacing w:val="-2"/>
          <w:sz w:val="32"/>
        </w:rPr>
        <w:t>Authority</w:t>
      </w:r>
    </w:p>
    <w:p>
      <w:pPr>
        <w:spacing w:before="109"/>
        <w:ind w:left="1560" w:right="0" w:firstLine="0"/>
        <w:jc w:val="left"/>
        <w:rPr>
          <w:b/>
          <w:sz w:val="23"/>
        </w:rPr>
      </w:pPr>
      <w:r>
        <w:rPr>
          <w:b/>
          <w:sz w:val="23"/>
        </w:rPr>
        <w:t>Opinion on</w:t>
      </w:r>
      <w:r>
        <w:rPr>
          <w:b/>
          <w:spacing w:val="-2"/>
          <w:sz w:val="23"/>
        </w:rPr>
        <w:t> </w:t>
      </w:r>
      <w:r>
        <w:rPr>
          <w:b/>
          <w:sz w:val="23"/>
        </w:rPr>
        <w:t>financial</w:t>
      </w:r>
      <w:r>
        <w:rPr>
          <w:b/>
          <w:spacing w:val="-2"/>
          <w:sz w:val="23"/>
        </w:rPr>
        <w:t> statements</w:t>
      </w:r>
    </w:p>
    <w:p>
      <w:pPr>
        <w:spacing w:before="120"/>
        <w:ind w:left="1560" w:right="988" w:firstLine="0"/>
        <w:jc w:val="left"/>
        <w:rPr>
          <w:sz w:val="23"/>
        </w:rPr>
      </w:pPr>
      <w:r>
        <w:rPr>
          <w:sz w:val="23"/>
        </w:rPr>
        <w:t>I</w:t>
      </w:r>
      <w:r>
        <w:rPr>
          <w:spacing w:val="-2"/>
          <w:sz w:val="23"/>
        </w:rPr>
        <w:t> </w:t>
      </w:r>
      <w:r>
        <w:rPr>
          <w:sz w:val="23"/>
        </w:rPr>
        <w:t>have</w:t>
      </w:r>
      <w:r>
        <w:rPr>
          <w:spacing w:val="-2"/>
          <w:sz w:val="23"/>
        </w:rPr>
        <w:t> </w:t>
      </w:r>
      <w:r>
        <w:rPr>
          <w:sz w:val="23"/>
        </w:rPr>
        <w:t>audited</w:t>
      </w:r>
      <w:r>
        <w:rPr>
          <w:spacing w:val="-2"/>
          <w:sz w:val="23"/>
        </w:rPr>
        <w:t> </w:t>
      </w:r>
      <w:r>
        <w:rPr>
          <w:sz w:val="23"/>
        </w:rPr>
        <w:t>the</w:t>
      </w:r>
      <w:r>
        <w:rPr>
          <w:spacing w:val="-4"/>
          <w:sz w:val="23"/>
        </w:rPr>
        <w:t> </w:t>
      </w:r>
      <w:r>
        <w:rPr>
          <w:sz w:val="23"/>
        </w:rPr>
        <w:t>financial</w:t>
      </w:r>
      <w:r>
        <w:rPr>
          <w:spacing w:val="-2"/>
          <w:sz w:val="23"/>
        </w:rPr>
        <w:t> </w:t>
      </w:r>
      <w:r>
        <w:rPr>
          <w:sz w:val="23"/>
        </w:rPr>
        <w:t>statements</w:t>
      </w:r>
      <w:r>
        <w:rPr>
          <w:spacing w:val="-4"/>
          <w:sz w:val="23"/>
        </w:rPr>
        <w:t> </w:t>
      </w:r>
      <w:r>
        <w:rPr>
          <w:sz w:val="23"/>
        </w:rPr>
        <w:t>of</w:t>
      </w:r>
      <w:r>
        <w:rPr>
          <w:spacing w:val="-2"/>
          <w:sz w:val="23"/>
        </w:rPr>
        <w:t> </w:t>
      </w:r>
      <w:r>
        <w:rPr>
          <w:sz w:val="23"/>
        </w:rPr>
        <w:t>the</w:t>
      </w:r>
      <w:r>
        <w:rPr>
          <w:spacing w:val="-4"/>
          <w:sz w:val="23"/>
        </w:rPr>
        <w:t> </w:t>
      </w:r>
      <w:r>
        <w:rPr>
          <w:sz w:val="23"/>
        </w:rPr>
        <w:t>National</w:t>
      </w:r>
      <w:r>
        <w:rPr>
          <w:spacing w:val="-2"/>
          <w:sz w:val="23"/>
        </w:rPr>
        <w:t> </w:t>
      </w:r>
      <w:r>
        <w:rPr>
          <w:sz w:val="23"/>
        </w:rPr>
        <w:t>Disability</w:t>
      </w:r>
      <w:r>
        <w:rPr>
          <w:spacing w:val="-2"/>
          <w:sz w:val="23"/>
        </w:rPr>
        <w:t> </w:t>
      </w:r>
      <w:r>
        <w:rPr>
          <w:sz w:val="23"/>
        </w:rPr>
        <w:t>Authority</w:t>
      </w:r>
      <w:r>
        <w:rPr>
          <w:spacing w:val="-2"/>
          <w:sz w:val="23"/>
        </w:rPr>
        <w:t> </w:t>
      </w:r>
      <w:r>
        <w:rPr>
          <w:sz w:val="23"/>
        </w:rPr>
        <w:t>for</w:t>
      </w:r>
      <w:r>
        <w:rPr>
          <w:spacing w:val="-2"/>
          <w:sz w:val="23"/>
        </w:rPr>
        <w:t> </w:t>
      </w:r>
      <w:r>
        <w:rPr>
          <w:sz w:val="23"/>
        </w:rPr>
        <w:t>the</w:t>
      </w:r>
      <w:r>
        <w:rPr>
          <w:spacing w:val="-2"/>
          <w:sz w:val="23"/>
        </w:rPr>
        <w:t> </w:t>
      </w:r>
      <w:r>
        <w:rPr>
          <w:sz w:val="23"/>
        </w:rPr>
        <w:t>year ending 31 December 2017 as required under the provisions of Section 17 of National Disability Authority Act 1999. The financial statements comprise</w:t>
      </w:r>
    </w:p>
    <w:p>
      <w:pPr>
        <w:pStyle w:val="ListParagraph"/>
        <w:numPr>
          <w:ilvl w:val="1"/>
          <w:numId w:val="14"/>
        </w:numPr>
        <w:tabs>
          <w:tab w:pos="2422" w:val="left" w:leader="none"/>
        </w:tabs>
        <w:spacing w:line="240" w:lineRule="auto" w:before="119" w:after="0"/>
        <w:ind w:left="2422" w:right="0" w:hanging="360"/>
        <w:jc w:val="left"/>
        <w:rPr>
          <w:sz w:val="23"/>
        </w:rPr>
      </w:pPr>
      <w:r>
        <w:rPr>
          <w:sz w:val="23"/>
        </w:rPr>
        <w:t>The</w:t>
      </w:r>
      <w:r>
        <w:rPr>
          <w:spacing w:val="-2"/>
          <w:sz w:val="23"/>
        </w:rPr>
        <w:t> </w:t>
      </w:r>
      <w:r>
        <w:rPr>
          <w:sz w:val="23"/>
        </w:rPr>
        <w:t>statement</w:t>
      </w:r>
      <w:r>
        <w:rPr>
          <w:spacing w:val="-2"/>
          <w:sz w:val="23"/>
        </w:rPr>
        <w:t> </w:t>
      </w:r>
      <w:r>
        <w:rPr>
          <w:sz w:val="23"/>
        </w:rPr>
        <w:t>of</w:t>
      </w:r>
      <w:r>
        <w:rPr>
          <w:spacing w:val="-2"/>
          <w:sz w:val="23"/>
        </w:rPr>
        <w:t> </w:t>
      </w:r>
      <w:r>
        <w:rPr>
          <w:sz w:val="23"/>
        </w:rPr>
        <w:t>income</w:t>
      </w:r>
      <w:r>
        <w:rPr>
          <w:spacing w:val="-4"/>
          <w:sz w:val="23"/>
        </w:rPr>
        <w:t> </w:t>
      </w:r>
      <w:r>
        <w:rPr>
          <w:sz w:val="23"/>
        </w:rPr>
        <w:t>and</w:t>
      </w:r>
      <w:r>
        <w:rPr>
          <w:spacing w:val="-1"/>
          <w:sz w:val="23"/>
        </w:rPr>
        <w:t> </w:t>
      </w:r>
      <w:r>
        <w:rPr>
          <w:sz w:val="23"/>
        </w:rPr>
        <w:t>expenditure</w:t>
      </w:r>
      <w:r>
        <w:rPr>
          <w:spacing w:val="-2"/>
          <w:sz w:val="23"/>
        </w:rPr>
        <w:t> </w:t>
      </w:r>
      <w:r>
        <w:rPr>
          <w:sz w:val="23"/>
        </w:rPr>
        <w:t>and</w:t>
      </w:r>
      <w:r>
        <w:rPr>
          <w:spacing w:val="-4"/>
          <w:sz w:val="23"/>
        </w:rPr>
        <w:t> </w:t>
      </w:r>
      <w:r>
        <w:rPr>
          <w:sz w:val="23"/>
        </w:rPr>
        <w:t>retained</w:t>
      </w:r>
      <w:r>
        <w:rPr>
          <w:spacing w:val="-2"/>
          <w:sz w:val="23"/>
        </w:rPr>
        <w:t> </w:t>
      </w:r>
      <w:r>
        <w:rPr>
          <w:sz w:val="23"/>
        </w:rPr>
        <w:t>revenue</w:t>
      </w:r>
      <w:r>
        <w:rPr>
          <w:spacing w:val="-3"/>
          <w:sz w:val="23"/>
        </w:rPr>
        <w:t> </w:t>
      </w:r>
      <w:r>
        <w:rPr>
          <w:spacing w:val="-2"/>
          <w:sz w:val="23"/>
        </w:rPr>
        <w:t>reserves</w:t>
      </w:r>
    </w:p>
    <w:p>
      <w:pPr>
        <w:pStyle w:val="ListParagraph"/>
        <w:numPr>
          <w:ilvl w:val="1"/>
          <w:numId w:val="14"/>
        </w:numPr>
        <w:tabs>
          <w:tab w:pos="2422" w:val="left" w:leader="none"/>
        </w:tabs>
        <w:spacing w:line="284" w:lineRule="exact" w:before="1" w:after="0"/>
        <w:ind w:left="2422" w:right="0" w:hanging="360"/>
        <w:jc w:val="left"/>
        <w:rPr>
          <w:sz w:val="23"/>
        </w:rPr>
      </w:pPr>
      <w:r>
        <w:rPr>
          <w:sz w:val="23"/>
        </w:rPr>
        <w:t>The</w:t>
      </w:r>
      <w:r>
        <w:rPr>
          <w:spacing w:val="-5"/>
          <w:sz w:val="23"/>
        </w:rPr>
        <w:t> </w:t>
      </w:r>
      <w:r>
        <w:rPr>
          <w:sz w:val="23"/>
        </w:rPr>
        <w:t>statement</w:t>
      </w:r>
      <w:r>
        <w:rPr>
          <w:spacing w:val="-2"/>
          <w:sz w:val="23"/>
        </w:rPr>
        <w:t> </w:t>
      </w:r>
      <w:r>
        <w:rPr>
          <w:sz w:val="23"/>
        </w:rPr>
        <w:t>of</w:t>
      </w:r>
      <w:r>
        <w:rPr>
          <w:spacing w:val="-2"/>
          <w:sz w:val="23"/>
        </w:rPr>
        <w:t> </w:t>
      </w:r>
      <w:r>
        <w:rPr>
          <w:sz w:val="23"/>
        </w:rPr>
        <w:t>comprehensive</w:t>
      </w:r>
      <w:r>
        <w:rPr>
          <w:spacing w:val="-2"/>
          <w:sz w:val="23"/>
        </w:rPr>
        <w:t> income</w:t>
      </w:r>
    </w:p>
    <w:p>
      <w:pPr>
        <w:pStyle w:val="ListParagraph"/>
        <w:numPr>
          <w:ilvl w:val="1"/>
          <w:numId w:val="14"/>
        </w:numPr>
        <w:tabs>
          <w:tab w:pos="2422" w:val="left" w:leader="none"/>
        </w:tabs>
        <w:spacing w:line="284" w:lineRule="exact" w:before="0" w:after="0"/>
        <w:ind w:left="2422" w:right="0" w:hanging="360"/>
        <w:jc w:val="left"/>
        <w:rPr>
          <w:sz w:val="23"/>
        </w:rPr>
      </w:pPr>
      <w:r>
        <w:rPr>
          <w:sz w:val="23"/>
        </w:rPr>
        <w:t>The</w:t>
      </w:r>
      <w:r>
        <w:rPr>
          <w:spacing w:val="-4"/>
          <w:sz w:val="23"/>
        </w:rPr>
        <w:t> </w:t>
      </w:r>
      <w:r>
        <w:rPr>
          <w:sz w:val="23"/>
        </w:rPr>
        <w:t>statement</w:t>
      </w:r>
      <w:r>
        <w:rPr>
          <w:spacing w:val="-3"/>
          <w:sz w:val="23"/>
        </w:rPr>
        <w:t> </w:t>
      </w:r>
      <w:r>
        <w:rPr>
          <w:sz w:val="23"/>
        </w:rPr>
        <w:t>of</w:t>
      </w:r>
      <w:r>
        <w:rPr>
          <w:spacing w:val="-3"/>
          <w:sz w:val="23"/>
        </w:rPr>
        <w:t> </w:t>
      </w:r>
      <w:r>
        <w:rPr>
          <w:sz w:val="23"/>
        </w:rPr>
        <w:t>financial</w:t>
      </w:r>
      <w:r>
        <w:rPr>
          <w:spacing w:val="-5"/>
          <w:sz w:val="23"/>
        </w:rPr>
        <w:t> </w:t>
      </w:r>
      <w:r>
        <w:rPr>
          <w:spacing w:val="-2"/>
          <w:sz w:val="23"/>
        </w:rPr>
        <w:t>position</w:t>
      </w:r>
    </w:p>
    <w:p>
      <w:pPr>
        <w:pStyle w:val="ListParagraph"/>
        <w:numPr>
          <w:ilvl w:val="1"/>
          <w:numId w:val="14"/>
        </w:numPr>
        <w:tabs>
          <w:tab w:pos="2422" w:val="left" w:leader="none"/>
        </w:tabs>
        <w:spacing w:line="284" w:lineRule="exact" w:before="1" w:after="0"/>
        <w:ind w:left="2422" w:right="0" w:hanging="360"/>
        <w:jc w:val="left"/>
        <w:rPr>
          <w:sz w:val="23"/>
        </w:rPr>
      </w:pPr>
      <w:r>
        <w:rPr>
          <w:sz w:val="23"/>
        </w:rPr>
        <w:t>The</w:t>
      </w:r>
      <w:r>
        <w:rPr>
          <w:spacing w:val="-4"/>
          <w:sz w:val="23"/>
        </w:rPr>
        <w:t> </w:t>
      </w:r>
      <w:r>
        <w:rPr>
          <w:sz w:val="23"/>
        </w:rPr>
        <w:t>statement</w:t>
      </w:r>
      <w:r>
        <w:rPr>
          <w:spacing w:val="-2"/>
          <w:sz w:val="23"/>
        </w:rPr>
        <w:t> </w:t>
      </w:r>
      <w:r>
        <w:rPr>
          <w:sz w:val="23"/>
        </w:rPr>
        <w:t>of</w:t>
      </w:r>
      <w:r>
        <w:rPr>
          <w:spacing w:val="-2"/>
          <w:sz w:val="23"/>
        </w:rPr>
        <w:t> </w:t>
      </w:r>
      <w:r>
        <w:rPr>
          <w:sz w:val="23"/>
        </w:rPr>
        <w:t>cash</w:t>
      </w:r>
      <w:r>
        <w:rPr>
          <w:spacing w:val="-2"/>
          <w:sz w:val="23"/>
        </w:rPr>
        <w:t> </w:t>
      </w:r>
      <w:r>
        <w:rPr>
          <w:sz w:val="23"/>
        </w:rPr>
        <w:t>flows</w:t>
      </w:r>
      <w:r>
        <w:rPr>
          <w:spacing w:val="-1"/>
          <w:sz w:val="23"/>
        </w:rPr>
        <w:t> </w:t>
      </w:r>
      <w:r>
        <w:rPr>
          <w:spacing w:val="-5"/>
          <w:sz w:val="23"/>
        </w:rPr>
        <w:t>and</w:t>
      </w:r>
    </w:p>
    <w:p>
      <w:pPr>
        <w:pStyle w:val="ListParagraph"/>
        <w:numPr>
          <w:ilvl w:val="1"/>
          <w:numId w:val="14"/>
        </w:numPr>
        <w:tabs>
          <w:tab w:pos="2422" w:val="left" w:leader="none"/>
        </w:tabs>
        <w:spacing w:line="242" w:lineRule="auto" w:before="0" w:after="0"/>
        <w:ind w:left="2062" w:right="1425" w:firstLine="0"/>
        <w:jc w:val="left"/>
        <w:rPr>
          <w:sz w:val="23"/>
        </w:rPr>
      </w:pPr>
      <w:r>
        <w:rPr>
          <w:sz w:val="23"/>
        </w:rPr>
        <w:t>The related notes, including a summary of significant accounting policies In</w:t>
      </w:r>
      <w:r>
        <w:rPr>
          <w:spacing w:val="-2"/>
          <w:sz w:val="23"/>
        </w:rPr>
        <w:t> </w:t>
      </w:r>
      <w:r>
        <w:rPr>
          <w:sz w:val="23"/>
        </w:rPr>
        <w:t>my</w:t>
      </w:r>
      <w:r>
        <w:rPr>
          <w:spacing w:val="-2"/>
          <w:sz w:val="23"/>
        </w:rPr>
        <w:t> </w:t>
      </w:r>
      <w:r>
        <w:rPr>
          <w:sz w:val="23"/>
        </w:rPr>
        <w:t>opinion,</w:t>
      </w:r>
      <w:r>
        <w:rPr>
          <w:spacing w:val="-4"/>
          <w:sz w:val="23"/>
        </w:rPr>
        <w:t> </w:t>
      </w:r>
      <w:r>
        <w:rPr>
          <w:sz w:val="23"/>
        </w:rPr>
        <w:t>the</w:t>
      </w:r>
      <w:r>
        <w:rPr>
          <w:spacing w:val="-2"/>
          <w:sz w:val="23"/>
        </w:rPr>
        <w:t> </w:t>
      </w:r>
      <w:r>
        <w:rPr>
          <w:sz w:val="23"/>
        </w:rPr>
        <w:t>financial</w:t>
      </w:r>
      <w:r>
        <w:rPr>
          <w:spacing w:val="-2"/>
          <w:sz w:val="23"/>
        </w:rPr>
        <w:t> </w:t>
      </w:r>
      <w:r>
        <w:rPr>
          <w:sz w:val="23"/>
        </w:rPr>
        <w:t>statements</w:t>
      </w:r>
      <w:r>
        <w:rPr>
          <w:spacing w:val="-4"/>
          <w:sz w:val="23"/>
        </w:rPr>
        <w:t> </w:t>
      </w:r>
      <w:r>
        <w:rPr>
          <w:sz w:val="23"/>
        </w:rPr>
        <w:t>give</w:t>
      </w:r>
      <w:r>
        <w:rPr>
          <w:spacing w:val="-2"/>
          <w:sz w:val="23"/>
        </w:rPr>
        <w:t> </w:t>
      </w:r>
      <w:r>
        <w:rPr>
          <w:sz w:val="23"/>
        </w:rPr>
        <w:t>a</w:t>
      </w:r>
      <w:r>
        <w:rPr>
          <w:spacing w:val="-4"/>
          <w:sz w:val="23"/>
        </w:rPr>
        <w:t> </w:t>
      </w:r>
      <w:r>
        <w:rPr>
          <w:sz w:val="23"/>
        </w:rPr>
        <w:t>true</w:t>
      </w:r>
      <w:r>
        <w:rPr>
          <w:spacing w:val="-4"/>
          <w:sz w:val="23"/>
        </w:rPr>
        <w:t> </w:t>
      </w:r>
      <w:r>
        <w:rPr>
          <w:sz w:val="23"/>
        </w:rPr>
        <w:t>and</w:t>
      </w:r>
      <w:r>
        <w:rPr>
          <w:spacing w:val="-2"/>
          <w:sz w:val="23"/>
        </w:rPr>
        <w:t> </w:t>
      </w:r>
      <w:r>
        <w:rPr>
          <w:sz w:val="23"/>
        </w:rPr>
        <w:t>fair</w:t>
      </w:r>
      <w:r>
        <w:rPr>
          <w:spacing w:val="-2"/>
          <w:sz w:val="23"/>
        </w:rPr>
        <w:t> </w:t>
      </w:r>
      <w:r>
        <w:rPr>
          <w:sz w:val="23"/>
        </w:rPr>
        <w:t>view</w:t>
      </w:r>
      <w:r>
        <w:rPr>
          <w:spacing w:val="-4"/>
          <w:sz w:val="23"/>
        </w:rPr>
        <w:t> </w:t>
      </w:r>
      <w:r>
        <w:rPr>
          <w:sz w:val="23"/>
        </w:rPr>
        <w:t>of</w:t>
      </w:r>
      <w:r>
        <w:rPr>
          <w:spacing w:val="-2"/>
          <w:sz w:val="23"/>
        </w:rPr>
        <w:t> </w:t>
      </w:r>
      <w:r>
        <w:rPr>
          <w:sz w:val="23"/>
        </w:rPr>
        <w:t>the</w:t>
      </w:r>
      <w:r>
        <w:rPr>
          <w:spacing w:val="-4"/>
          <w:sz w:val="23"/>
        </w:rPr>
        <w:t> </w:t>
      </w:r>
      <w:r>
        <w:rPr>
          <w:sz w:val="23"/>
        </w:rPr>
        <w:t>assets,</w:t>
      </w:r>
    </w:p>
    <w:p>
      <w:pPr>
        <w:spacing w:line="240" w:lineRule="auto" w:before="0"/>
        <w:ind w:left="2062" w:right="1099" w:firstLine="0"/>
        <w:jc w:val="left"/>
        <w:rPr>
          <w:sz w:val="23"/>
        </w:rPr>
      </w:pPr>
      <w:r>
        <w:rPr>
          <w:sz w:val="23"/>
        </w:rPr>
        <w:t>liabilities</w:t>
      </w:r>
      <w:r>
        <w:rPr>
          <w:spacing w:val="-3"/>
          <w:sz w:val="23"/>
        </w:rPr>
        <w:t> </w:t>
      </w:r>
      <w:r>
        <w:rPr>
          <w:sz w:val="23"/>
        </w:rPr>
        <w:t>and</w:t>
      </w:r>
      <w:r>
        <w:rPr>
          <w:spacing w:val="-4"/>
          <w:sz w:val="23"/>
        </w:rPr>
        <w:t> </w:t>
      </w:r>
      <w:r>
        <w:rPr>
          <w:sz w:val="23"/>
        </w:rPr>
        <w:t>financial</w:t>
      </w:r>
      <w:r>
        <w:rPr>
          <w:spacing w:val="-3"/>
          <w:sz w:val="23"/>
        </w:rPr>
        <w:t> </w:t>
      </w:r>
      <w:r>
        <w:rPr>
          <w:sz w:val="23"/>
        </w:rPr>
        <w:t>position</w:t>
      </w:r>
      <w:r>
        <w:rPr>
          <w:spacing w:val="-3"/>
          <w:sz w:val="23"/>
        </w:rPr>
        <w:t> </w:t>
      </w:r>
      <w:r>
        <w:rPr>
          <w:sz w:val="23"/>
        </w:rPr>
        <w:t>of</w:t>
      </w:r>
      <w:r>
        <w:rPr>
          <w:spacing w:val="-3"/>
          <w:sz w:val="23"/>
        </w:rPr>
        <w:t> </w:t>
      </w:r>
      <w:r>
        <w:rPr>
          <w:sz w:val="23"/>
        </w:rPr>
        <w:t>National</w:t>
      </w:r>
      <w:r>
        <w:rPr>
          <w:spacing w:val="-3"/>
          <w:sz w:val="23"/>
        </w:rPr>
        <w:t> </w:t>
      </w:r>
      <w:r>
        <w:rPr>
          <w:sz w:val="23"/>
        </w:rPr>
        <w:t>Disability</w:t>
      </w:r>
      <w:r>
        <w:rPr>
          <w:spacing w:val="-6"/>
          <w:sz w:val="23"/>
        </w:rPr>
        <w:t> </w:t>
      </w:r>
      <w:r>
        <w:rPr>
          <w:sz w:val="23"/>
        </w:rPr>
        <w:t>Authority</w:t>
      </w:r>
      <w:r>
        <w:rPr>
          <w:spacing w:val="-3"/>
          <w:sz w:val="23"/>
        </w:rPr>
        <w:t> </w:t>
      </w:r>
      <w:r>
        <w:rPr>
          <w:sz w:val="23"/>
        </w:rPr>
        <w:t>at</w:t>
      </w:r>
      <w:r>
        <w:rPr>
          <w:spacing w:val="-3"/>
          <w:sz w:val="23"/>
        </w:rPr>
        <w:t> </w:t>
      </w:r>
      <w:r>
        <w:rPr>
          <w:sz w:val="23"/>
        </w:rPr>
        <w:t>31</w:t>
      </w:r>
      <w:r>
        <w:rPr>
          <w:spacing w:val="-5"/>
          <w:sz w:val="23"/>
        </w:rPr>
        <w:t> </w:t>
      </w:r>
      <w:r>
        <w:rPr>
          <w:sz w:val="23"/>
        </w:rPr>
        <w:t>December 2017 and of its income and expenditure for 2017 in accordance with Financial Reporting Standard (FRS) 102 – The Financial Reporting Standard applicable in the UK and the Republic of Ireland.</w:t>
      </w:r>
    </w:p>
    <w:p>
      <w:pPr>
        <w:pStyle w:val="BodyText"/>
        <w:spacing w:before="156"/>
        <w:rPr>
          <w:sz w:val="23"/>
        </w:rPr>
      </w:pPr>
    </w:p>
    <w:p>
      <w:pPr>
        <w:spacing w:before="0"/>
        <w:ind w:left="1560" w:right="0" w:firstLine="0"/>
        <w:jc w:val="left"/>
        <w:rPr>
          <w:b/>
          <w:sz w:val="23"/>
        </w:rPr>
      </w:pPr>
      <w:r>
        <w:rPr>
          <w:b/>
          <w:sz w:val="23"/>
        </w:rPr>
        <w:t>Basis of </w:t>
      </w:r>
      <w:r>
        <w:rPr>
          <w:b/>
          <w:spacing w:val="-2"/>
          <w:sz w:val="23"/>
        </w:rPr>
        <w:t>opinion</w:t>
      </w:r>
    </w:p>
    <w:p>
      <w:pPr>
        <w:spacing w:line="240" w:lineRule="auto" w:before="119"/>
        <w:ind w:left="1560" w:right="988" w:firstLine="0"/>
        <w:jc w:val="left"/>
        <w:rPr>
          <w:sz w:val="23"/>
        </w:rPr>
      </w:pPr>
      <w:r>
        <w:rPr>
          <w:sz w:val="23"/>
        </w:rPr>
        <w:t>I conducted my audit of the financial statements in accordance with the International Standards on Auditing (ISAs) as promulgated by the International Organisation of Supreme</w:t>
      </w:r>
      <w:r>
        <w:rPr>
          <w:spacing w:val="-3"/>
          <w:sz w:val="23"/>
        </w:rPr>
        <w:t> </w:t>
      </w:r>
      <w:r>
        <w:rPr>
          <w:sz w:val="23"/>
        </w:rPr>
        <w:t>Audit</w:t>
      </w:r>
      <w:r>
        <w:rPr>
          <w:spacing w:val="-6"/>
          <w:sz w:val="23"/>
        </w:rPr>
        <w:t> </w:t>
      </w:r>
      <w:r>
        <w:rPr>
          <w:sz w:val="23"/>
        </w:rPr>
        <w:t>Institutions.</w:t>
      </w:r>
      <w:r>
        <w:rPr>
          <w:spacing w:val="-3"/>
          <w:sz w:val="23"/>
        </w:rPr>
        <w:t> </w:t>
      </w:r>
      <w:r>
        <w:rPr>
          <w:sz w:val="23"/>
        </w:rPr>
        <w:t>My</w:t>
      </w:r>
      <w:r>
        <w:rPr>
          <w:spacing w:val="-2"/>
          <w:sz w:val="23"/>
        </w:rPr>
        <w:t> </w:t>
      </w:r>
      <w:r>
        <w:rPr>
          <w:sz w:val="23"/>
        </w:rPr>
        <w:t>responsibilities</w:t>
      </w:r>
      <w:r>
        <w:rPr>
          <w:spacing w:val="-3"/>
          <w:sz w:val="23"/>
        </w:rPr>
        <w:t> </w:t>
      </w:r>
      <w:r>
        <w:rPr>
          <w:sz w:val="23"/>
        </w:rPr>
        <w:t>under</w:t>
      </w:r>
      <w:r>
        <w:rPr>
          <w:spacing w:val="-3"/>
          <w:sz w:val="23"/>
        </w:rPr>
        <w:t> </w:t>
      </w:r>
      <w:r>
        <w:rPr>
          <w:sz w:val="23"/>
        </w:rPr>
        <w:t>those</w:t>
      </w:r>
      <w:r>
        <w:rPr>
          <w:spacing w:val="-3"/>
          <w:sz w:val="23"/>
        </w:rPr>
        <w:t> </w:t>
      </w:r>
      <w:r>
        <w:rPr>
          <w:sz w:val="23"/>
        </w:rPr>
        <w:t>standards</w:t>
      </w:r>
      <w:r>
        <w:rPr>
          <w:spacing w:val="-5"/>
          <w:sz w:val="23"/>
        </w:rPr>
        <w:t> </w:t>
      </w:r>
      <w:r>
        <w:rPr>
          <w:sz w:val="23"/>
        </w:rPr>
        <w:t>are</w:t>
      </w:r>
      <w:r>
        <w:rPr>
          <w:spacing w:val="-3"/>
          <w:sz w:val="23"/>
        </w:rPr>
        <w:t> </w:t>
      </w:r>
      <w:r>
        <w:rPr>
          <w:sz w:val="23"/>
        </w:rPr>
        <w:t>described</w:t>
      </w:r>
      <w:r>
        <w:rPr>
          <w:spacing w:val="-3"/>
          <w:sz w:val="23"/>
        </w:rPr>
        <w:t> </w:t>
      </w:r>
      <w:r>
        <w:rPr>
          <w:sz w:val="23"/>
        </w:rPr>
        <w:t>in the appendix to this report. I am independent of the Authority and have fulfilled my other ethical responsibilities in accordance with the standards.</w:t>
      </w:r>
    </w:p>
    <w:p>
      <w:pPr>
        <w:spacing w:before="121"/>
        <w:ind w:left="1560" w:right="1099" w:firstLine="0"/>
        <w:jc w:val="left"/>
        <w:rPr>
          <w:sz w:val="23"/>
        </w:rPr>
      </w:pPr>
      <w:r>
        <w:rPr>
          <w:sz w:val="23"/>
        </w:rPr>
        <w:t>I</w:t>
      </w:r>
      <w:r>
        <w:rPr>
          <w:spacing w:val="-2"/>
          <w:sz w:val="23"/>
        </w:rPr>
        <w:t> </w:t>
      </w:r>
      <w:r>
        <w:rPr>
          <w:sz w:val="23"/>
        </w:rPr>
        <w:t>believe</w:t>
      </w:r>
      <w:r>
        <w:rPr>
          <w:spacing w:val="-2"/>
          <w:sz w:val="23"/>
        </w:rPr>
        <w:t> </w:t>
      </w:r>
      <w:r>
        <w:rPr>
          <w:sz w:val="23"/>
        </w:rPr>
        <w:t>that</w:t>
      </w:r>
      <w:r>
        <w:rPr>
          <w:spacing w:val="-4"/>
          <w:sz w:val="23"/>
        </w:rPr>
        <w:t> </w:t>
      </w:r>
      <w:r>
        <w:rPr>
          <w:sz w:val="23"/>
        </w:rPr>
        <w:t>the</w:t>
      </w:r>
      <w:r>
        <w:rPr>
          <w:spacing w:val="-4"/>
          <w:sz w:val="23"/>
        </w:rPr>
        <w:t> </w:t>
      </w:r>
      <w:r>
        <w:rPr>
          <w:sz w:val="23"/>
        </w:rPr>
        <w:t>audit</w:t>
      </w:r>
      <w:r>
        <w:rPr>
          <w:spacing w:val="-2"/>
          <w:sz w:val="23"/>
        </w:rPr>
        <w:t> </w:t>
      </w:r>
      <w:r>
        <w:rPr>
          <w:sz w:val="23"/>
        </w:rPr>
        <w:t>evidence</w:t>
      </w:r>
      <w:r>
        <w:rPr>
          <w:spacing w:val="-2"/>
          <w:sz w:val="23"/>
        </w:rPr>
        <w:t> </w:t>
      </w:r>
      <w:r>
        <w:rPr>
          <w:sz w:val="23"/>
        </w:rPr>
        <w:t>I</w:t>
      </w:r>
      <w:r>
        <w:rPr>
          <w:spacing w:val="-2"/>
          <w:sz w:val="23"/>
        </w:rPr>
        <w:t> </w:t>
      </w:r>
      <w:r>
        <w:rPr>
          <w:sz w:val="23"/>
        </w:rPr>
        <w:t>have</w:t>
      </w:r>
      <w:r>
        <w:rPr>
          <w:spacing w:val="-2"/>
          <w:sz w:val="23"/>
        </w:rPr>
        <w:t> </w:t>
      </w:r>
      <w:r>
        <w:rPr>
          <w:sz w:val="23"/>
        </w:rPr>
        <w:t>obtained</w:t>
      </w:r>
      <w:r>
        <w:rPr>
          <w:spacing w:val="-2"/>
          <w:sz w:val="23"/>
        </w:rPr>
        <w:t> </w:t>
      </w:r>
      <w:r>
        <w:rPr>
          <w:sz w:val="23"/>
        </w:rPr>
        <w:t>is</w:t>
      </w:r>
      <w:r>
        <w:rPr>
          <w:spacing w:val="-4"/>
          <w:sz w:val="23"/>
        </w:rPr>
        <w:t> </w:t>
      </w:r>
      <w:r>
        <w:rPr>
          <w:sz w:val="23"/>
        </w:rPr>
        <w:t>sufficient</w:t>
      </w:r>
      <w:r>
        <w:rPr>
          <w:spacing w:val="-2"/>
          <w:sz w:val="23"/>
        </w:rPr>
        <w:t> </w:t>
      </w:r>
      <w:r>
        <w:rPr>
          <w:sz w:val="23"/>
        </w:rPr>
        <w:t>and</w:t>
      </w:r>
      <w:r>
        <w:rPr>
          <w:spacing w:val="-3"/>
          <w:sz w:val="23"/>
        </w:rPr>
        <w:t> </w:t>
      </w:r>
      <w:r>
        <w:rPr>
          <w:sz w:val="23"/>
        </w:rPr>
        <w:t>appropriate</w:t>
      </w:r>
      <w:r>
        <w:rPr>
          <w:spacing w:val="-4"/>
          <w:sz w:val="23"/>
        </w:rPr>
        <w:t> </w:t>
      </w:r>
      <w:r>
        <w:rPr>
          <w:sz w:val="23"/>
        </w:rPr>
        <w:t>to provide a basis for my opinion.</w:t>
      </w:r>
    </w:p>
    <w:p>
      <w:pPr>
        <w:pStyle w:val="BodyText"/>
        <w:spacing w:before="240"/>
        <w:rPr>
          <w:sz w:val="23"/>
        </w:rPr>
      </w:pPr>
    </w:p>
    <w:p>
      <w:pPr>
        <w:spacing w:before="0"/>
        <w:ind w:left="1560" w:right="988" w:firstLine="0"/>
        <w:jc w:val="left"/>
        <w:rPr>
          <w:b/>
          <w:sz w:val="23"/>
        </w:rPr>
      </w:pPr>
      <w:r>
        <w:rPr>
          <w:b/>
          <w:sz w:val="23"/>
        </w:rPr>
        <w:t>Report</w:t>
      </w:r>
      <w:r>
        <w:rPr>
          <w:b/>
          <w:spacing w:val="-3"/>
          <w:sz w:val="23"/>
        </w:rPr>
        <w:t> </w:t>
      </w:r>
      <w:r>
        <w:rPr>
          <w:b/>
          <w:sz w:val="23"/>
        </w:rPr>
        <w:t>on</w:t>
      </w:r>
      <w:r>
        <w:rPr>
          <w:b/>
          <w:spacing w:val="-5"/>
          <w:sz w:val="23"/>
        </w:rPr>
        <w:t> </w:t>
      </w:r>
      <w:r>
        <w:rPr>
          <w:b/>
          <w:sz w:val="23"/>
        </w:rPr>
        <w:t>information</w:t>
      </w:r>
      <w:r>
        <w:rPr>
          <w:b/>
          <w:spacing w:val="-5"/>
          <w:sz w:val="23"/>
        </w:rPr>
        <w:t> </w:t>
      </w:r>
      <w:r>
        <w:rPr>
          <w:b/>
          <w:sz w:val="23"/>
        </w:rPr>
        <w:t>other</w:t>
      </w:r>
      <w:r>
        <w:rPr>
          <w:b/>
          <w:spacing w:val="-3"/>
          <w:sz w:val="23"/>
        </w:rPr>
        <w:t> </w:t>
      </w:r>
      <w:r>
        <w:rPr>
          <w:b/>
          <w:sz w:val="23"/>
        </w:rPr>
        <w:t>than</w:t>
      </w:r>
      <w:r>
        <w:rPr>
          <w:b/>
          <w:spacing w:val="-3"/>
          <w:sz w:val="23"/>
        </w:rPr>
        <w:t> </w:t>
      </w:r>
      <w:r>
        <w:rPr>
          <w:b/>
          <w:sz w:val="23"/>
        </w:rPr>
        <w:t>the</w:t>
      </w:r>
      <w:r>
        <w:rPr>
          <w:b/>
          <w:spacing w:val="-5"/>
          <w:sz w:val="23"/>
        </w:rPr>
        <w:t> </w:t>
      </w:r>
      <w:r>
        <w:rPr>
          <w:b/>
          <w:sz w:val="23"/>
        </w:rPr>
        <w:t>financial statements,</w:t>
      </w:r>
      <w:r>
        <w:rPr>
          <w:b/>
          <w:spacing w:val="-3"/>
          <w:sz w:val="23"/>
        </w:rPr>
        <w:t> </w:t>
      </w:r>
      <w:r>
        <w:rPr>
          <w:b/>
          <w:sz w:val="23"/>
        </w:rPr>
        <w:t>and</w:t>
      </w:r>
      <w:r>
        <w:rPr>
          <w:b/>
          <w:spacing w:val="-3"/>
          <w:sz w:val="23"/>
        </w:rPr>
        <w:t> </w:t>
      </w:r>
      <w:r>
        <w:rPr>
          <w:b/>
          <w:sz w:val="23"/>
        </w:rPr>
        <w:t>on</w:t>
      </w:r>
      <w:r>
        <w:rPr>
          <w:b/>
          <w:spacing w:val="-5"/>
          <w:sz w:val="23"/>
        </w:rPr>
        <w:t> </w:t>
      </w:r>
      <w:r>
        <w:rPr>
          <w:b/>
          <w:sz w:val="23"/>
        </w:rPr>
        <w:t>other </w:t>
      </w:r>
      <w:r>
        <w:rPr>
          <w:b/>
          <w:spacing w:val="-2"/>
          <w:sz w:val="23"/>
        </w:rPr>
        <w:t>matters</w:t>
      </w:r>
    </w:p>
    <w:p>
      <w:pPr>
        <w:spacing w:line="240" w:lineRule="auto" w:before="119"/>
        <w:ind w:left="1560" w:right="988" w:firstLine="0"/>
        <w:jc w:val="left"/>
        <w:rPr>
          <w:sz w:val="23"/>
        </w:rPr>
      </w:pPr>
      <w:r>
        <w:rPr>
          <w:sz w:val="23"/>
        </w:rPr>
        <w:t>The Authority has presented certain other information together with the financial statements.</w:t>
      </w:r>
      <w:r>
        <w:rPr>
          <w:spacing w:val="-3"/>
          <w:sz w:val="23"/>
        </w:rPr>
        <w:t> </w:t>
      </w:r>
      <w:r>
        <w:rPr>
          <w:sz w:val="23"/>
        </w:rPr>
        <w:t>This</w:t>
      </w:r>
      <w:r>
        <w:rPr>
          <w:spacing w:val="-3"/>
          <w:sz w:val="23"/>
        </w:rPr>
        <w:t> </w:t>
      </w:r>
      <w:r>
        <w:rPr>
          <w:sz w:val="23"/>
        </w:rPr>
        <w:t>comprises</w:t>
      </w:r>
      <w:r>
        <w:rPr>
          <w:spacing w:val="-3"/>
          <w:sz w:val="23"/>
        </w:rPr>
        <w:t> </w:t>
      </w:r>
      <w:r>
        <w:rPr>
          <w:sz w:val="23"/>
        </w:rPr>
        <w:t>the</w:t>
      </w:r>
      <w:r>
        <w:rPr>
          <w:spacing w:val="-3"/>
          <w:sz w:val="23"/>
        </w:rPr>
        <w:t> </w:t>
      </w:r>
      <w:r>
        <w:rPr>
          <w:sz w:val="23"/>
        </w:rPr>
        <w:t>annual</w:t>
      </w:r>
      <w:r>
        <w:rPr>
          <w:spacing w:val="-3"/>
          <w:sz w:val="23"/>
        </w:rPr>
        <w:t> </w:t>
      </w:r>
      <w:r>
        <w:rPr>
          <w:sz w:val="23"/>
        </w:rPr>
        <w:t>report</w:t>
      </w:r>
      <w:r>
        <w:rPr>
          <w:spacing w:val="-5"/>
          <w:sz w:val="23"/>
        </w:rPr>
        <w:t> </w:t>
      </w:r>
      <w:r>
        <w:rPr>
          <w:sz w:val="23"/>
        </w:rPr>
        <w:t>including</w:t>
      </w:r>
      <w:r>
        <w:rPr>
          <w:spacing w:val="-3"/>
          <w:sz w:val="23"/>
        </w:rPr>
        <w:t> </w:t>
      </w:r>
      <w:r>
        <w:rPr>
          <w:sz w:val="23"/>
        </w:rPr>
        <w:t>the</w:t>
      </w:r>
      <w:r>
        <w:rPr>
          <w:spacing w:val="-3"/>
          <w:sz w:val="23"/>
        </w:rPr>
        <w:t> </w:t>
      </w:r>
      <w:r>
        <w:rPr>
          <w:sz w:val="23"/>
        </w:rPr>
        <w:t>governance</w:t>
      </w:r>
      <w:r>
        <w:rPr>
          <w:spacing w:val="-3"/>
          <w:sz w:val="23"/>
        </w:rPr>
        <w:t> </w:t>
      </w:r>
      <w:r>
        <w:rPr>
          <w:sz w:val="23"/>
        </w:rPr>
        <w:t>statement</w:t>
      </w:r>
      <w:r>
        <w:rPr>
          <w:spacing w:val="-3"/>
          <w:sz w:val="23"/>
        </w:rPr>
        <w:t> </w:t>
      </w:r>
      <w:r>
        <w:rPr>
          <w:sz w:val="23"/>
        </w:rPr>
        <w:t>and Authority</w:t>
      </w:r>
      <w:r>
        <w:rPr>
          <w:spacing w:val="-1"/>
          <w:sz w:val="23"/>
        </w:rPr>
        <w:t> </w:t>
      </w:r>
      <w:r>
        <w:rPr>
          <w:sz w:val="23"/>
        </w:rPr>
        <w:t>members’</w:t>
      </w:r>
      <w:r>
        <w:rPr>
          <w:spacing w:val="-2"/>
          <w:sz w:val="23"/>
        </w:rPr>
        <w:t> </w:t>
      </w:r>
      <w:r>
        <w:rPr>
          <w:sz w:val="23"/>
        </w:rPr>
        <w:t>report</w:t>
      </w:r>
      <w:r>
        <w:rPr>
          <w:spacing w:val="-2"/>
          <w:sz w:val="23"/>
        </w:rPr>
        <w:t> </w:t>
      </w:r>
      <w:r>
        <w:rPr>
          <w:sz w:val="23"/>
        </w:rPr>
        <w:t>and</w:t>
      </w:r>
      <w:r>
        <w:rPr>
          <w:spacing w:val="-2"/>
          <w:sz w:val="23"/>
        </w:rPr>
        <w:t> </w:t>
      </w:r>
      <w:r>
        <w:rPr>
          <w:sz w:val="23"/>
        </w:rPr>
        <w:t>the</w:t>
      </w:r>
      <w:r>
        <w:rPr>
          <w:spacing w:val="-4"/>
          <w:sz w:val="23"/>
        </w:rPr>
        <w:t> </w:t>
      </w:r>
      <w:r>
        <w:rPr>
          <w:sz w:val="23"/>
        </w:rPr>
        <w:t>statement</w:t>
      </w:r>
      <w:r>
        <w:rPr>
          <w:spacing w:val="-2"/>
          <w:sz w:val="23"/>
        </w:rPr>
        <w:t> </w:t>
      </w:r>
      <w:r>
        <w:rPr>
          <w:sz w:val="23"/>
        </w:rPr>
        <w:t>on</w:t>
      </w:r>
      <w:r>
        <w:rPr>
          <w:spacing w:val="-4"/>
          <w:sz w:val="23"/>
        </w:rPr>
        <w:t> </w:t>
      </w:r>
      <w:r>
        <w:rPr>
          <w:sz w:val="23"/>
        </w:rPr>
        <w:t>internal</w:t>
      </w:r>
      <w:r>
        <w:rPr>
          <w:spacing w:val="-1"/>
          <w:sz w:val="23"/>
        </w:rPr>
        <w:t> </w:t>
      </w:r>
      <w:r>
        <w:rPr>
          <w:sz w:val="23"/>
        </w:rPr>
        <w:t>control.</w:t>
      </w:r>
      <w:r>
        <w:rPr>
          <w:spacing w:val="-4"/>
          <w:sz w:val="23"/>
        </w:rPr>
        <w:t> </w:t>
      </w:r>
      <w:r>
        <w:rPr>
          <w:sz w:val="23"/>
        </w:rPr>
        <w:t>My</w:t>
      </w:r>
      <w:r>
        <w:rPr>
          <w:spacing w:val="-2"/>
          <w:sz w:val="23"/>
        </w:rPr>
        <w:t> </w:t>
      </w:r>
      <w:r>
        <w:rPr>
          <w:sz w:val="23"/>
        </w:rPr>
        <w:t>responsibilities to report in relation to such information, and on certain other matters upon which I report by exception, are described in the appendix to this report.</w:t>
      </w:r>
    </w:p>
    <w:p>
      <w:pPr>
        <w:spacing w:before="121"/>
        <w:ind w:left="1560" w:right="0" w:firstLine="0"/>
        <w:jc w:val="left"/>
        <w:rPr>
          <w:sz w:val="23"/>
        </w:rPr>
      </w:pPr>
      <w:r>
        <w:rPr>
          <w:sz w:val="23"/>
        </w:rPr>
        <w:t>I</w:t>
      </w:r>
      <w:r>
        <w:rPr>
          <w:spacing w:val="-2"/>
          <w:sz w:val="23"/>
        </w:rPr>
        <w:t> </w:t>
      </w:r>
      <w:r>
        <w:rPr>
          <w:sz w:val="23"/>
        </w:rPr>
        <w:t>have</w:t>
      </w:r>
      <w:r>
        <w:rPr>
          <w:spacing w:val="-1"/>
          <w:sz w:val="23"/>
        </w:rPr>
        <w:t> </w:t>
      </w:r>
      <w:r>
        <w:rPr>
          <w:sz w:val="23"/>
        </w:rPr>
        <w:t>nothing</w:t>
      </w:r>
      <w:r>
        <w:rPr>
          <w:spacing w:val="-2"/>
          <w:sz w:val="23"/>
        </w:rPr>
        <w:t> </w:t>
      </w:r>
      <w:r>
        <w:rPr>
          <w:sz w:val="23"/>
        </w:rPr>
        <w:t>to</w:t>
      </w:r>
      <w:r>
        <w:rPr>
          <w:spacing w:val="-3"/>
          <w:sz w:val="23"/>
        </w:rPr>
        <w:t> </w:t>
      </w:r>
      <w:r>
        <w:rPr>
          <w:sz w:val="23"/>
        </w:rPr>
        <w:t>report</w:t>
      </w:r>
      <w:r>
        <w:rPr>
          <w:spacing w:val="-2"/>
          <w:sz w:val="23"/>
        </w:rPr>
        <w:t> </w:t>
      </w:r>
      <w:r>
        <w:rPr>
          <w:sz w:val="23"/>
        </w:rPr>
        <w:t>in</w:t>
      </w:r>
      <w:r>
        <w:rPr>
          <w:spacing w:val="-1"/>
          <w:sz w:val="23"/>
        </w:rPr>
        <w:t> </w:t>
      </w:r>
      <w:r>
        <w:rPr>
          <w:sz w:val="23"/>
        </w:rPr>
        <w:t>that</w:t>
      </w:r>
      <w:r>
        <w:rPr>
          <w:spacing w:val="-1"/>
          <w:sz w:val="23"/>
        </w:rPr>
        <w:t> </w:t>
      </w:r>
      <w:r>
        <w:rPr>
          <w:spacing w:val="-2"/>
          <w:sz w:val="23"/>
        </w:rPr>
        <w:t>regard.</w:t>
      </w:r>
    </w:p>
    <w:p>
      <w:pPr>
        <w:pStyle w:val="BodyText"/>
        <w:spacing w:before="2"/>
        <w:rPr>
          <w:sz w:val="10"/>
        </w:rPr>
      </w:pPr>
      <w:r>
        <w:rPr>
          <w:sz w:val="10"/>
        </w:rPr>
        <mc:AlternateContent>
          <mc:Choice Requires="wps">
            <w:drawing>
              <wp:anchor distT="0" distB="0" distL="0" distR="0" allowOverlap="1" layoutInCell="1" locked="0" behindDoc="1" simplePos="0" relativeHeight="487595008">
                <wp:simplePos x="0" y="0"/>
                <wp:positionH relativeFrom="page">
                  <wp:posOffset>1292795</wp:posOffset>
                </wp:positionH>
                <wp:positionV relativeFrom="paragraph">
                  <wp:posOffset>90614</wp:posOffset>
                </wp:positionV>
                <wp:extent cx="1648460" cy="38417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648460" cy="384175"/>
                          <a:chExt cx="1648460" cy="384175"/>
                        </a:xfrm>
                      </wpg:grpSpPr>
                      <pic:pic>
                        <pic:nvPicPr>
                          <pic:cNvPr id="17" name="Image 17"/>
                          <pic:cNvPicPr/>
                        </pic:nvPicPr>
                        <pic:blipFill>
                          <a:blip r:embed="rId12" cstate="print"/>
                          <a:stretch>
                            <a:fillRect/>
                          </a:stretch>
                        </pic:blipFill>
                        <pic:spPr>
                          <a:xfrm>
                            <a:off x="0" y="0"/>
                            <a:ext cx="1648348" cy="313033"/>
                          </a:xfrm>
                          <a:prstGeom prst="rect">
                            <a:avLst/>
                          </a:prstGeom>
                        </pic:spPr>
                      </pic:pic>
                      <wps:wsp>
                        <wps:cNvPr id="18" name="Graphic 18"/>
                        <wps:cNvSpPr/>
                        <wps:spPr>
                          <a:xfrm>
                            <a:off x="135954" y="200003"/>
                            <a:ext cx="695325" cy="171450"/>
                          </a:xfrm>
                          <a:custGeom>
                            <a:avLst/>
                            <a:gdLst/>
                            <a:ahLst/>
                            <a:cxnLst/>
                            <a:rect l="l" t="t" r="r" b="b"/>
                            <a:pathLst>
                              <a:path w="695325" h="171450">
                                <a:moveTo>
                                  <a:pt x="695325" y="0"/>
                                </a:moveTo>
                                <a:lnTo>
                                  <a:pt x="0" y="0"/>
                                </a:lnTo>
                                <a:lnTo>
                                  <a:pt x="0" y="171449"/>
                                </a:lnTo>
                                <a:lnTo>
                                  <a:pt x="695325" y="171449"/>
                                </a:lnTo>
                                <a:lnTo>
                                  <a:pt x="695325"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135954" y="200003"/>
                            <a:ext cx="695325" cy="171450"/>
                          </a:xfrm>
                          <a:custGeom>
                            <a:avLst/>
                            <a:gdLst/>
                            <a:ahLst/>
                            <a:cxnLst/>
                            <a:rect l="l" t="t" r="r" b="b"/>
                            <a:pathLst>
                              <a:path w="695325" h="171450">
                                <a:moveTo>
                                  <a:pt x="0" y="171449"/>
                                </a:moveTo>
                                <a:lnTo>
                                  <a:pt x="695325" y="171449"/>
                                </a:lnTo>
                                <a:lnTo>
                                  <a:pt x="695325" y="0"/>
                                </a:lnTo>
                                <a:lnTo>
                                  <a:pt x="0" y="0"/>
                                </a:lnTo>
                                <a:lnTo>
                                  <a:pt x="0" y="171449"/>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794922pt;margin-top:7.134996pt;width:129.8pt;height:30.25pt;mso-position-horizontal-relative:page;mso-position-vertical-relative:paragraph;z-index:-15721472;mso-wrap-distance-left:0;mso-wrap-distance-right:0" id="docshapegroup10" coordorigin="2036,143" coordsize="2596,605">
                <v:shape style="position:absolute;left:2035;top:142;width:2596;height:493" type="#_x0000_t75" id="docshape11" stroked="false">
                  <v:imagedata r:id="rId12" o:title=""/>
                </v:shape>
                <v:rect style="position:absolute;left:2250;top:457;width:1095;height:270" id="docshape12" filled="true" fillcolor="#ffffff" stroked="false">
                  <v:fill type="solid"/>
                </v:rect>
                <v:rect style="position:absolute;left:2250;top:457;width:1095;height:270" id="docshape13" filled="false" stroked="true" strokeweight="2pt" strokecolor="#ffffff">
                  <v:stroke dashstyle="solid"/>
                </v:rect>
                <w10:wrap type="topAndBottom"/>
              </v:group>
            </w:pict>
          </mc:Fallback>
        </mc:AlternateContent>
      </w:r>
    </w:p>
    <w:p>
      <w:pPr>
        <w:spacing w:before="107"/>
        <w:ind w:left="1560" w:right="0" w:firstLine="0"/>
        <w:jc w:val="left"/>
        <w:rPr>
          <w:b/>
          <w:sz w:val="23"/>
        </w:rPr>
      </w:pPr>
      <w:r>
        <w:rPr>
          <w:b/>
          <w:sz w:val="23"/>
        </w:rPr>
        <w:t>John </w:t>
      </w:r>
      <w:r>
        <w:rPr>
          <w:b/>
          <w:spacing w:val="-2"/>
          <w:sz w:val="23"/>
        </w:rPr>
        <w:t>Crean</w:t>
      </w:r>
    </w:p>
    <w:p>
      <w:pPr>
        <w:spacing w:before="119"/>
        <w:ind w:left="1560" w:right="0" w:firstLine="0"/>
        <w:jc w:val="left"/>
        <w:rPr>
          <w:b/>
          <w:sz w:val="23"/>
        </w:rPr>
      </w:pPr>
      <w:r>
        <w:rPr>
          <w:b/>
          <w:sz w:val="23"/>
        </w:rPr>
        <w:t>For</w:t>
      </w:r>
      <w:r>
        <w:rPr>
          <w:b/>
          <w:spacing w:val="-3"/>
          <w:sz w:val="23"/>
        </w:rPr>
        <w:t> </w:t>
      </w:r>
      <w:r>
        <w:rPr>
          <w:b/>
          <w:sz w:val="23"/>
        </w:rPr>
        <w:t>and</w:t>
      </w:r>
      <w:r>
        <w:rPr>
          <w:b/>
          <w:spacing w:val="-2"/>
          <w:sz w:val="23"/>
        </w:rPr>
        <w:t> </w:t>
      </w:r>
      <w:r>
        <w:rPr>
          <w:b/>
          <w:sz w:val="23"/>
        </w:rPr>
        <w:t>on</w:t>
      </w:r>
      <w:r>
        <w:rPr>
          <w:b/>
          <w:spacing w:val="-4"/>
          <w:sz w:val="23"/>
        </w:rPr>
        <w:t> </w:t>
      </w:r>
      <w:r>
        <w:rPr>
          <w:b/>
          <w:sz w:val="23"/>
        </w:rPr>
        <w:t>behalf</w:t>
      </w:r>
      <w:r>
        <w:rPr>
          <w:b/>
          <w:spacing w:val="-5"/>
          <w:sz w:val="23"/>
        </w:rPr>
        <w:t> </w:t>
      </w:r>
      <w:r>
        <w:rPr>
          <w:b/>
          <w:sz w:val="23"/>
        </w:rPr>
        <w:t>of</w:t>
      </w:r>
      <w:r>
        <w:rPr>
          <w:b/>
          <w:spacing w:val="-2"/>
          <w:sz w:val="23"/>
        </w:rPr>
        <w:t> </w:t>
      </w:r>
      <w:r>
        <w:rPr>
          <w:b/>
          <w:sz w:val="23"/>
        </w:rPr>
        <w:t>the</w:t>
      </w:r>
      <w:r>
        <w:rPr>
          <w:b/>
          <w:spacing w:val="-2"/>
          <w:sz w:val="23"/>
        </w:rPr>
        <w:t> </w:t>
      </w:r>
      <w:r>
        <w:rPr>
          <w:b/>
          <w:sz w:val="23"/>
        </w:rPr>
        <w:t>Comptroller</w:t>
      </w:r>
      <w:r>
        <w:rPr>
          <w:b/>
          <w:spacing w:val="-5"/>
          <w:sz w:val="23"/>
        </w:rPr>
        <w:t> </w:t>
      </w:r>
      <w:r>
        <w:rPr>
          <w:b/>
          <w:sz w:val="23"/>
        </w:rPr>
        <w:t>and</w:t>
      </w:r>
      <w:r>
        <w:rPr>
          <w:b/>
          <w:spacing w:val="-4"/>
          <w:sz w:val="23"/>
        </w:rPr>
        <w:t> </w:t>
      </w:r>
      <w:r>
        <w:rPr>
          <w:b/>
          <w:sz w:val="23"/>
        </w:rPr>
        <w:t>Auditor</w:t>
      </w:r>
      <w:r>
        <w:rPr>
          <w:b/>
          <w:spacing w:val="-2"/>
          <w:sz w:val="23"/>
        </w:rPr>
        <w:t> </w:t>
      </w:r>
      <w:r>
        <w:rPr>
          <w:b/>
          <w:sz w:val="23"/>
        </w:rPr>
        <w:t>General,</w:t>
      </w:r>
      <w:r>
        <w:rPr>
          <w:b/>
          <w:spacing w:val="-1"/>
          <w:sz w:val="23"/>
        </w:rPr>
        <w:t> </w:t>
      </w:r>
      <w:r>
        <w:rPr>
          <w:b/>
          <w:sz w:val="23"/>
        </w:rPr>
        <w:t>01</w:t>
      </w:r>
      <w:r>
        <w:rPr>
          <w:b/>
          <w:spacing w:val="-2"/>
          <w:sz w:val="23"/>
        </w:rPr>
        <w:t> </w:t>
      </w:r>
      <w:r>
        <w:rPr>
          <w:b/>
          <w:sz w:val="23"/>
        </w:rPr>
        <w:t>June</w:t>
      </w:r>
      <w:r>
        <w:rPr>
          <w:b/>
          <w:spacing w:val="-4"/>
          <w:sz w:val="23"/>
        </w:rPr>
        <w:t> 2018</w:t>
      </w:r>
    </w:p>
    <w:p>
      <w:pPr>
        <w:spacing w:after="0"/>
        <w:jc w:val="left"/>
        <w:rPr>
          <w:b/>
          <w:sz w:val="23"/>
        </w:rPr>
        <w:sectPr>
          <w:pgSz w:w="11910" w:h="16850"/>
          <w:pgMar w:header="0" w:footer="811" w:top="1900" w:bottom="1000" w:left="283" w:right="992"/>
        </w:sectPr>
      </w:pPr>
    </w:p>
    <w:p>
      <w:pPr>
        <w:pStyle w:val="BodyText"/>
        <w:spacing w:before="197"/>
        <w:rPr>
          <w:b/>
          <w:sz w:val="20"/>
        </w:rPr>
      </w:pPr>
    </w:p>
    <w:p>
      <w:pPr>
        <w:pStyle w:val="BodyText"/>
        <w:spacing w:after="0"/>
        <w:rPr>
          <w:b/>
          <w:sz w:val="20"/>
        </w:rPr>
        <w:sectPr>
          <w:footerReference w:type="default" r:id="rId13"/>
          <w:pgSz w:w="11910" w:h="16850"/>
          <w:pgMar w:header="0" w:footer="0" w:top="1940" w:bottom="280" w:left="283" w:right="992"/>
        </w:sectPr>
      </w:pPr>
    </w:p>
    <w:p>
      <w:pPr>
        <w:spacing w:before="100"/>
        <w:ind w:left="1702" w:right="0" w:firstLine="0"/>
        <w:jc w:val="both"/>
        <w:rPr>
          <w:b/>
          <w:sz w:val="24"/>
        </w:rPr>
      </w:pPr>
      <w:r>
        <w:rPr>
          <w:b/>
          <w:sz w:val="24"/>
        </w:rPr>
        <w:t>Appendix</w:t>
      </w:r>
      <w:r>
        <w:rPr>
          <w:b/>
          <w:spacing w:val="-3"/>
          <w:sz w:val="24"/>
        </w:rPr>
        <w:t> </w:t>
      </w:r>
      <w:r>
        <w:rPr>
          <w:b/>
          <w:sz w:val="24"/>
        </w:rPr>
        <w:t>to</w:t>
      </w:r>
      <w:r>
        <w:rPr>
          <w:b/>
          <w:spacing w:val="-2"/>
          <w:sz w:val="24"/>
        </w:rPr>
        <w:t> </w:t>
      </w:r>
      <w:r>
        <w:rPr>
          <w:b/>
          <w:sz w:val="24"/>
        </w:rPr>
        <w:t>the</w:t>
      </w:r>
      <w:r>
        <w:rPr>
          <w:b/>
          <w:spacing w:val="-1"/>
          <w:sz w:val="24"/>
        </w:rPr>
        <w:t> </w:t>
      </w:r>
      <w:r>
        <w:rPr>
          <w:b/>
          <w:spacing w:val="-2"/>
          <w:sz w:val="24"/>
        </w:rPr>
        <w:t>report</w:t>
      </w:r>
    </w:p>
    <w:p>
      <w:pPr>
        <w:spacing w:before="235"/>
        <w:ind w:left="1702" w:right="0" w:firstLine="0"/>
        <w:jc w:val="both"/>
        <w:rPr>
          <w:b/>
          <w:sz w:val="22"/>
        </w:rPr>
      </w:pPr>
      <w:r>
        <w:rPr>
          <w:b/>
          <w:sz w:val="22"/>
        </w:rPr>
        <w:t>Responsibilities of Authority </w:t>
      </w:r>
      <w:r>
        <w:rPr>
          <w:b/>
          <w:spacing w:val="-2"/>
          <w:sz w:val="22"/>
        </w:rPr>
        <w:t>members</w:t>
      </w:r>
    </w:p>
    <w:p>
      <w:pPr>
        <w:spacing w:before="1"/>
        <w:ind w:left="1702" w:right="1" w:firstLine="0"/>
        <w:jc w:val="both"/>
        <w:rPr>
          <w:sz w:val="22"/>
        </w:rPr>
      </w:pPr>
      <w:r>
        <w:rPr>
          <w:sz w:val="22"/>
        </w:rPr>
        <w:t>The governance statement </w:t>
      </w:r>
      <w:r>
        <w:rPr>
          <w:sz w:val="22"/>
        </w:rPr>
        <w:t>and Authority</w:t>
      </w:r>
      <w:r>
        <w:rPr>
          <w:spacing w:val="-2"/>
          <w:sz w:val="22"/>
        </w:rPr>
        <w:t> </w:t>
      </w:r>
      <w:r>
        <w:rPr>
          <w:sz w:val="22"/>
        </w:rPr>
        <w:t>members’ report sets</w:t>
      </w:r>
      <w:r>
        <w:rPr>
          <w:spacing w:val="-3"/>
          <w:sz w:val="22"/>
        </w:rPr>
        <w:t> </w:t>
      </w:r>
      <w:r>
        <w:rPr>
          <w:sz w:val="22"/>
        </w:rPr>
        <w:t>out the Authority</w:t>
      </w:r>
      <w:r>
        <w:rPr>
          <w:spacing w:val="-16"/>
          <w:sz w:val="22"/>
        </w:rPr>
        <w:t> </w:t>
      </w:r>
      <w:r>
        <w:rPr>
          <w:sz w:val="22"/>
        </w:rPr>
        <w:t>members’</w:t>
      </w:r>
      <w:r>
        <w:rPr>
          <w:spacing w:val="-15"/>
          <w:sz w:val="22"/>
        </w:rPr>
        <w:t> </w:t>
      </w:r>
      <w:r>
        <w:rPr>
          <w:sz w:val="22"/>
        </w:rPr>
        <w:t>responsibilities.</w:t>
      </w:r>
      <w:r>
        <w:rPr>
          <w:spacing w:val="-15"/>
          <w:sz w:val="22"/>
        </w:rPr>
        <w:t> </w:t>
      </w:r>
      <w:r>
        <w:rPr>
          <w:sz w:val="22"/>
        </w:rPr>
        <w:t>The Authority members are responsible for:</w:t>
      </w:r>
    </w:p>
    <w:p>
      <w:pPr>
        <w:pStyle w:val="ListParagraph"/>
        <w:numPr>
          <w:ilvl w:val="0"/>
          <w:numId w:val="15"/>
        </w:numPr>
        <w:tabs>
          <w:tab w:pos="1833" w:val="left" w:leader="none"/>
        </w:tabs>
        <w:spacing w:line="240" w:lineRule="auto" w:before="0" w:after="0"/>
        <w:ind w:left="1702" w:right="1" w:firstLine="0"/>
        <w:jc w:val="both"/>
        <w:rPr>
          <w:sz w:val="22"/>
        </w:rPr>
      </w:pPr>
      <w:r>
        <w:rPr>
          <w:sz w:val="22"/>
        </w:rPr>
        <w:t>The</w:t>
      </w:r>
      <w:r>
        <w:rPr>
          <w:spacing w:val="-11"/>
          <w:sz w:val="22"/>
        </w:rPr>
        <w:t> </w:t>
      </w:r>
      <w:r>
        <w:rPr>
          <w:sz w:val="22"/>
        </w:rPr>
        <w:t>preparation</w:t>
      </w:r>
      <w:r>
        <w:rPr>
          <w:spacing w:val="-11"/>
          <w:sz w:val="22"/>
        </w:rPr>
        <w:t> </w:t>
      </w:r>
      <w:r>
        <w:rPr>
          <w:sz w:val="22"/>
        </w:rPr>
        <w:t>of</w:t>
      </w:r>
      <w:r>
        <w:rPr>
          <w:spacing w:val="-10"/>
          <w:sz w:val="22"/>
        </w:rPr>
        <w:t> </w:t>
      </w:r>
      <w:r>
        <w:rPr>
          <w:sz w:val="22"/>
        </w:rPr>
        <w:t>financial</w:t>
      </w:r>
      <w:r>
        <w:rPr>
          <w:spacing w:val="-10"/>
          <w:sz w:val="22"/>
        </w:rPr>
        <w:t> </w:t>
      </w:r>
      <w:r>
        <w:rPr>
          <w:sz w:val="22"/>
        </w:rPr>
        <w:t>statements in</w:t>
      </w:r>
      <w:r>
        <w:rPr>
          <w:spacing w:val="-3"/>
          <w:sz w:val="22"/>
        </w:rPr>
        <w:t> </w:t>
      </w:r>
      <w:r>
        <w:rPr>
          <w:sz w:val="22"/>
        </w:rPr>
        <w:t>the</w:t>
      </w:r>
      <w:r>
        <w:rPr>
          <w:spacing w:val="-3"/>
          <w:sz w:val="22"/>
        </w:rPr>
        <w:t> </w:t>
      </w:r>
      <w:r>
        <w:rPr>
          <w:sz w:val="22"/>
        </w:rPr>
        <w:t>form</w:t>
      </w:r>
      <w:r>
        <w:rPr>
          <w:spacing w:val="-5"/>
          <w:sz w:val="22"/>
        </w:rPr>
        <w:t> </w:t>
      </w:r>
      <w:r>
        <w:rPr>
          <w:sz w:val="22"/>
        </w:rPr>
        <w:t>prescribed</w:t>
      </w:r>
      <w:r>
        <w:rPr>
          <w:spacing w:val="-3"/>
          <w:sz w:val="22"/>
        </w:rPr>
        <w:t> </w:t>
      </w:r>
      <w:r>
        <w:rPr>
          <w:sz w:val="22"/>
        </w:rPr>
        <w:t>under</w:t>
      </w:r>
      <w:r>
        <w:rPr>
          <w:spacing w:val="-4"/>
          <w:sz w:val="22"/>
        </w:rPr>
        <w:t> </w:t>
      </w:r>
      <w:r>
        <w:rPr>
          <w:sz w:val="22"/>
        </w:rPr>
        <w:t>Section</w:t>
      </w:r>
      <w:r>
        <w:rPr>
          <w:spacing w:val="-3"/>
          <w:sz w:val="22"/>
        </w:rPr>
        <w:t> </w:t>
      </w:r>
      <w:r>
        <w:rPr>
          <w:sz w:val="22"/>
        </w:rPr>
        <w:t>17 of the National Disability Authority Act </w:t>
      </w:r>
      <w:r>
        <w:rPr>
          <w:spacing w:val="-4"/>
          <w:sz w:val="22"/>
        </w:rPr>
        <w:t>1999</w:t>
      </w:r>
    </w:p>
    <w:p>
      <w:pPr>
        <w:pStyle w:val="ListParagraph"/>
        <w:numPr>
          <w:ilvl w:val="0"/>
          <w:numId w:val="15"/>
        </w:numPr>
        <w:tabs>
          <w:tab w:pos="1869" w:val="left" w:leader="none"/>
        </w:tabs>
        <w:spacing w:line="240" w:lineRule="auto" w:before="0" w:after="0"/>
        <w:ind w:left="1702" w:right="0" w:firstLine="0"/>
        <w:jc w:val="both"/>
        <w:rPr>
          <w:sz w:val="22"/>
        </w:rPr>
      </w:pPr>
      <w:r>
        <w:rPr>
          <w:sz w:val="22"/>
        </w:rPr>
        <w:t>Ensuring that the financial statements give a true and fair view in accordance with FRS102</w:t>
      </w:r>
    </w:p>
    <w:p>
      <w:pPr>
        <w:pStyle w:val="ListParagraph"/>
        <w:numPr>
          <w:ilvl w:val="0"/>
          <w:numId w:val="15"/>
        </w:numPr>
        <w:tabs>
          <w:tab w:pos="1835" w:val="left" w:leader="none"/>
        </w:tabs>
        <w:spacing w:line="240" w:lineRule="auto" w:before="0" w:after="0"/>
        <w:ind w:left="1835" w:right="0" w:hanging="133"/>
        <w:jc w:val="both"/>
        <w:rPr>
          <w:sz w:val="22"/>
        </w:rPr>
      </w:pPr>
      <w:r>
        <w:rPr>
          <w:sz w:val="22"/>
        </w:rPr>
        <w:t>Ensuring</w:t>
      </w:r>
      <w:r>
        <w:rPr>
          <w:spacing w:val="-6"/>
          <w:sz w:val="22"/>
        </w:rPr>
        <w:t> </w:t>
      </w:r>
      <w:r>
        <w:rPr>
          <w:sz w:val="22"/>
        </w:rPr>
        <w:t>the</w:t>
      </w:r>
      <w:r>
        <w:rPr>
          <w:spacing w:val="-5"/>
          <w:sz w:val="22"/>
        </w:rPr>
        <w:t> </w:t>
      </w:r>
      <w:r>
        <w:rPr>
          <w:sz w:val="22"/>
        </w:rPr>
        <w:t>regularity</w:t>
      </w:r>
      <w:r>
        <w:rPr>
          <w:spacing w:val="-3"/>
          <w:sz w:val="22"/>
        </w:rPr>
        <w:t> </w:t>
      </w:r>
      <w:r>
        <w:rPr>
          <w:sz w:val="22"/>
        </w:rPr>
        <w:t>of</w:t>
      </w:r>
      <w:r>
        <w:rPr>
          <w:spacing w:val="-6"/>
          <w:sz w:val="22"/>
        </w:rPr>
        <w:t> </w:t>
      </w:r>
      <w:r>
        <w:rPr>
          <w:spacing w:val="-2"/>
          <w:sz w:val="22"/>
        </w:rPr>
        <w:t>transactions</w:t>
      </w:r>
    </w:p>
    <w:p>
      <w:pPr>
        <w:pStyle w:val="ListParagraph"/>
        <w:numPr>
          <w:ilvl w:val="0"/>
          <w:numId w:val="15"/>
        </w:numPr>
        <w:tabs>
          <w:tab w:pos="1835" w:val="left" w:leader="none"/>
        </w:tabs>
        <w:spacing w:line="240" w:lineRule="auto" w:before="1" w:after="0"/>
        <w:ind w:left="1702" w:right="1" w:firstLine="0"/>
        <w:jc w:val="both"/>
        <w:rPr>
          <w:sz w:val="22"/>
        </w:rPr>
      </w:pPr>
      <w:r>
        <w:rPr>
          <w:sz w:val="22"/>
        </w:rPr>
        <w:t>Assessing</w:t>
      </w:r>
      <w:r>
        <w:rPr>
          <w:spacing w:val="-6"/>
          <w:sz w:val="22"/>
        </w:rPr>
        <w:t> </w:t>
      </w:r>
      <w:r>
        <w:rPr>
          <w:sz w:val="22"/>
        </w:rPr>
        <w:t>whether</w:t>
      </w:r>
      <w:r>
        <w:rPr>
          <w:spacing w:val="-8"/>
          <w:sz w:val="22"/>
        </w:rPr>
        <w:t> </w:t>
      </w:r>
      <w:r>
        <w:rPr>
          <w:sz w:val="22"/>
        </w:rPr>
        <w:t>the</w:t>
      </w:r>
      <w:r>
        <w:rPr>
          <w:spacing w:val="-6"/>
          <w:sz w:val="22"/>
        </w:rPr>
        <w:t> </w:t>
      </w:r>
      <w:r>
        <w:rPr>
          <w:sz w:val="22"/>
        </w:rPr>
        <w:t>use</w:t>
      </w:r>
      <w:r>
        <w:rPr>
          <w:spacing w:val="-6"/>
          <w:sz w:val="22"/>
        </w:rPr>
        <w:t> </w:t>
      </w:r>
      <w:r>
        <w:rPr>
          <w:sz w:val="22"/>
        </w:rPr>
        <w:t>of</w:t>
      </w:r>
      <w:r>
        <w:rPr>
          <w:spacing w:val="-7"/>
          <w:sz w:val="22"/>
        </w:rPr>
        <w:t> </w:t>
      </w:r>
      <w:r>
        <w:rPr>
          <w:sz w:val="22"/>
        </w:rPr>
        <w:t>the</w:t>
      </w:r>
      <w:r>
        <w:rPr>
          <w:spacing w:val="-8"/>
          <w:sz w:val="22"/>
        </w:rPr>
        <w:t> </w:t>
      </w:r>
      <w:r>
        <w:rPr>
          <w:sz w:val="22"/>
        </w:rPr>
        <w:t>going concern basis of accounting </w:t>
      </w:r>
      <w:r>
        <w:rPr>
          <w:sz w:val="22"/>
        </w:rPr>
        <w:t>is appropriate, and</w:t>
      </w:r>
    </w:p>
    <w:p>
      <w:pPr>
        <w:spacing w:line="240" w:lineRule="auto" w:before="0"/>
        <w:ind w:left="1702" w:right="1" w:firstLine="0"/>
        <w:jc w:val="both"/>
        <w:rPr>
          <w:sz w:val="22"/>
        </w:rPr>
      </w:pPr>
      <w:r>
        <w:rPr>
          <w:sz w:val="22"/>
        </w:rPr>
        <w:t>-Such</w:t>
      </w:r>
      <w:r>
        <w:rPr>
          <w:spacing w:val="-7"/>
          <w:sz w:val="22"/>
        </w:rPr>
        <w:t> </w:t>
      </w:r>
      <w:r>
        <w:rPr>
          <w:sz w:val="22"/>
        </w:rPr>
        <w:t>internal</w:t>
      </w:r>
      <w:r>
        <w:rPr>
          <w:spacing w:val="-7"/>
          <w:sz w:val="22"/>
        </w:rPr>
        <w:t> </w:t>
      </w:r>
      <w:r>
        <w:rPr>
          <w:sz w:val="22"/>
        </w:rPr>
        <w:t>control</w:t>
      </w:r>
      <w:r>
        <w:rPr>
          <w:spacing w:val="-6"/>
          <w:sz w:val="22"/>
        </w:rPr>
        <w:t> </w:t>
      </w:r>
      <w:r>
        <w:rPr>
          <w:sz w:val="22"/>
        </w:rPr>
        <w:t>as</w:t>
      </w:r>
      <w:r>
        <w:rPr>
          <w:spacing w:val="-7"/>
          <w:sz w:val="22"/>
        </w:rPr>
        <w:t> </w:t>
      </w:r>
      <w:r>
        <w:rPr>
          <w:sz w:val="22"/>
        </w:rPr>
        <w:t>they</w:t>
      </w:r>
      <w:r>
        <w:rPr>
          <w:spacing w:val="-5"/>
          <w:sz w:val="22"/>
        </w:rPr>
        <w:t> </w:t>
      </w:r>
      <w:r>
        <w:rPr>
          <w:sz w:val="22"/>
        </w:rPr>
        <w:t>determine is</w:t>
      </w:r>
      <w:r>
        <w:rPr>
          <w:spacing w:val="-11"/>
          <w:sz w:val="22"/>
        </w:rPr>
        <w:t> </w:t>
      </w:r>
      <w:r>
        <w:rPr>
          <w:sz w:val="22"/>
        </w:rPr>
        <w:t>necessary</w:t>
      </w:r>
      <w:r>
        <w:rPr>
          <w:spacing w:val="-11"/>
          <w:sz w:val="22"/>
        </w:rPr>
        <w:t> </w:t>
      </w:r>
      <w:r>
        <w:rPr>
          <w:sz w:val="22"/>
        </w:rPr>
        <w:t>to</w:t>
      </w:r>
      <w:r>
        <w:rPr>
          <w:spacing w:val="-9"/>
          <w:sz w:val="22"/>
        </w:rPr>
        <w:t> </w:t>
      </w:r>
      <w:r>
        <w:rPr>
          <w:sz w:val="22"/>
        </w:rPr>
        <w:t>enable</w:t>
      </w:r>
      <w:r>
        <w:rPr>
          <w:spacing w:val="-10"/>
          <w:sz w:val="22"/>
        </w:rPr>
        <w:t> </w:t>
      </w:r>
      <w:r>
        <w:rPr>
          <w:sz w:val="22"/>
        </w:rPr>
        <w:t>the</w:t>
      </w:r>
      <w:r>
        <w:rPr>
          <w:spacing w:val="-10"/>
          <w:sz w:val="22"/>
        </w:rPr>
        <w:t> </w:t>
      </w:r>
      <w:r>
        <w:rPr>
          <w:sz w:val="22"/>
        </w:rPr>
        <w:t>preparation</w:t>
      </w:r>
      <w:r>
        <w:rPr>
          <w:spacing w:val="-10"/>
          <w:sz w:val="22"/>
        </w:rPr>
        <w:t> </w:t>
      </w:r>
      <w:r>
        <w:rPr>
          <w:sz w:val="22"/>
        </w:rPr>
        <w:t>of financial statements that are free from material misstatement, whether due to fraud or error.</w:t>
      </w:r>
    </w:p>
    <w:p>
      <w:pPr>
        <w:spacing w:before="254"/>
        <w:ind w:left="1702" w:right="2" w:firstLine="0"/>
        <w:jc w:val="both"/>
        <w:rPr>
          <w:b/>
          <w:sz w:val="22"/>
        </w:rPr>
      </w:pPr>
      <w:r>
        <w:rPr>
          <w:b/>
          <w:sz w:val="22"/>
        </w:rPr>
        <w:t>Responsibilities</w:t>
      </w:r>
      <w:r>
        <w:rPr>
          <w:b/>
          <w:spacing w:val="-6"/>
          <w:sz w:val="22"/>
        </w:rPr>
        <w:t> </w:t>
      </w:r>
      <w:r>
        <w:rPr>
          <w:b/>
          <w:sz w:val="22"/>
        </w:rPr>
        <w:t>of</w:t>
      </w:r>
      <w:r>
        <w:rPr>
          <w:b/>
          <w:spacing w:val="-4"/>
          <w:sz w:val="22"/>
        </w:rPr>
        <w:t> </w:t>
      </w:r>
      <w:r>
        <w:rPr>
          <w:b/>
          <w:sz w:val="22"/>
        </w:rPr>
        <w:t>the</w:t>
      </w:r>
      <w:r>
        <w:rPr>
          <w:b/>
          <w:spacing w:val="-8"/>
          <w:sz w:val="22"/>
        </w:rPr>
        <w:t> </w:t>
      </w:r>
      <w:r>
        <w:rPr>
          <w:b/>
          <w:sz w:val="22"/>
        </w:rPr>
        <w:t>Comptroller and Auditor General</w:t>
      </w:r>
    </w:p>
    <w:p>
      <w:pPr>
        <w:spacing w:before="1"/>
        <w:ind w:left="1702" w:right="0" w:firstLine="0"/>
        <w:jc w:val="both"/>
        <w:rPr>
          <w:sz w:val="22"/>
        </w:rPr>
      </w:pPr>
      <w:r>
        <w:rPr>
          <w:sz w:val="22"/>
        </w:rPr>
        <w:t>I am required under Section 17 of </w:t>
      </w:r>
      <w:r>
        <w:rPr>
          <w:sz w:val="22"/>
        </w:rPr>
        <w:t>the National Disability Authority Act 1999 to audit the financial statements of the Authority and to report thereon to the Houses of the Oireachtas.</w:t>
      </w:r>
    </w:p>
    <w:p>
      <w:pPr>
        <w:spacing w:before="0"/>
        <w:ind w:left="1702" w:right="1" w:firstLine="0"/>
        <w:jc w:val="both"/>
        <w:rPr>
          <w:sz w:val="22"/>
        </w:rPr>
      </w:pPr>
      <w:r>
        <w:rPr>
          <w:sz w:val="22"/>
        </w:rPr>
        <w:t>My objective in carrying out the audit is to obtain reasonable assurance about whether the financial statements as </w:t>
      </w:r>
      <w:r>
        <w:rPr>
          <w:sz w:val="22"/>
        </w:rPr>
        <w:t>a whole are free from material misstatement due to fraud or error. Reasonable assurance is a high level of assurance,</w:t>
      </w:r>
      <w:r>
        <w:rPr>
          <w:spacing w:val="-4"/>
          <w:sz w:val="22"/>
        </w:rPr>
        <w:t> </w:t>
      </w:r>
      <w:r>
        <w:rPr>
          <w:sz w:val="22"/>
        </w:rPr>
        <w:t>but</w:t>
      </w:r>
      <w:r>
        <w:rPr>
          <w:spacing w:val="-2"/>
          <w:sz w:val="22"/>
        </w:rPr>
        <w:t> </w:t>
      </w:r>
      <w:r>
        <w:rPr>
          <w:sz w:val="22"/>
        </w:rPr>
        <w:t>is</w:t>
      </w:r>
      <w:r>
        <w:rPr>
          <w:spacing w:val="-4"/>
          <w:sz w:val="22"/>
        </w:rPr>
        <w:t> </w:t>
      </w:r>
      <w:r>
        <w:rPr>
          <w:sz w:val="22"/>
        </w:rPr>
        <w:t>not</w:t>
      </w:r>
      <w:r>
        <w:rPr>
          <w:spacing w:val="-2"/>
          <w:sz w:val="22"/>
        </w:rPr>
        <w:t> </w:t>
      </w:r>
      <w:r>
        <w:rPr>
          <w:sz w:val="22"/>
        </w:rPr>
        <w:t>a</w:t>
      </w:r>
      <w:r>
        <w:rPr>
          <w:spacing w:val="-4"/>
          <w:sz w:val="22"/>
        </w:rPr>
        <w:t> </w:t>
      </w:r>
      <w:r>
        <w:rPr>
          <w:sz w:val="22"/>
        </w:rPr>
        <w:t>guarantee</w:t>
      </w:r>
      <w:r>
        <w:rPr>
          <w:spacing w:val="-3"/>
          <w:sz w:val="22"/>
        </w:rPr>
        <w:t> </w:t>
      </w:r>
      <w:r>
        <w:rPr>
          <w:sz w:val="22"/>
        </w:rPr>
        <w:t>that</w:t>
      </w:r>
      <w:r>
        <w:rPr>
          <w:spacing w:val="-2"/>
          <w:sz w:val="22"/>
        </w:rPr>
        <w:t> </w:t>
      </w:r>
      <w:r>
        <w:rPr>
          <w:sz w:val="22"/>
        </w:rPr>
        <w:t>an audit conducted in accordance with the ISAs will always detect a material misstatement when it exists. Misstatements can arise from fraud or error and are considered material if, individually or in the aggregate, they could reasonably be expected to influence</w:t>
      </w:r>
      <w:r>
        <w:rPr>
          <w:spacing w:val="73"/>
          <w:w w:val="150"/>
          <w:sz w:val="22"/>
        </w:rPr>
        <w:t> </w:t>
      </w:r>
      <w:r>
        <w:rPr>
          <w:sz w:val="22"/>
        </w:rPr>
        <w:t>the</w:t>
      </w:r>
      <w:r>
        <w:rPr>
          <w:spacing w:val="74"/>
          <w:w w:val="150"/>
          <w:sz w:val="22"/>
        </w:rPr>
        <w:t> </w:t>
      </w:r>
      <w:r>
        <w:rPr>
          <w:sz w:val="22"/>
        </w:rPr>
        <w:t>economic</w:t>
      </w:r>
      <w:r>
        <w:rPr>
          <w:spacing w:val="73"/>
          <w:w w:val="150"/>
          <w:sz w:val="22"/>
        </w:rPr>
        <w:t> </w:t>
      </w:r>
      <w:r>
        <w:rPr>
          <w:sz w:val="22"/>
        </w:rPr>
        <w:t>decisions</w:t>
      </w:r>
      <w:r>
        <w:rPr>
          <w:spacing w:val="74"/>
          <w:w w:val="150"/>
          <w:sz w:val="22"/>
        </w:rPr>
        <w:t> </w:t>
      </w:r>
      <w:r>
        <w:rPr>
          <w:spacing w:val="-5"/>
          <w:sz w:val="22"/>
        </w:rPr>
        <w:t>of</w:t>
      </w:r>
    </w:p>
    <w:p>
      <w:pPr>
        <w:spacing w:before="104"/>
        <w:ind w:left="665" w:right="987" w:firstLine="0"/>
        <w:jc w:val="both"/>
        <w:rPr>
          <w:sz w:val="22"/>
        </w:rPr>
      </w:pPr>
      <w:r>
        <w:rPr/>
        <w:br w:type="column"/>
      </w:r>
      <w:r>
        <w:rPr>
          <w:sz w:val="22"/>
        </w:rPr>
        <w:t>users</w:t>
      </w:r>
      <w:r>
        <w:rPr>
          <w:spacing w:val="-16"/>
          <w:sz w:val="22"/>
        </w:rPr>
        <w:t> </w:t>
      </w:r>
      <w:r>
        <w:rPr>
          <w:sz w:val="22"/>
        </w:rPr>
        <w:t>taken</w:t>
      </w:r>
      <w:r>
        <w:rPr>
          <w:spacing w:val="-15"/>
          <w:sz w:val="22"/>
        </w:rPr>
        <w:t> </w:t>
      </w:r>
      <w:r>
        <w:rPr>
          <w:sz w:val="22"/>
        </w:rPr>
        <w:t>on</w:t>
      </w:r>
      <w:r>
        <w:rPr>
          <w:spacing w:val="-15"/>
          <w:sz w:val="22"/>
        </w:rPr>
        <w:t> </w:t>
      </w:r>
      <w:r>
        <w:rPr>
          <w:sz w:val="22"/>
        </w:rPr>
        <w:t>the</w:t>
      </w:r>
      <w:r>
        <w:rPr>
          <w:spacing w:val="-16"/>
          <w:sz w:val="22"/>
        </w:rPr>
        <w:t> </w:t>
      </w:r>
      <w:r>
        <w:rPr>
          <w:sz w:val="22"/>
        </w:rPr>
        <w:t>basis</w:t>
      </w:r>
      <w:r>
        <w:rPr>
          <w:spacing w:val="-15"/>
          <w:sz w:val="22"/>
        </w:rPr>
        <w:t> </w:t>
      </w:r>
      <w:r>
        <w:rPr>
          <w:sz w:val="22"/>
        </w:rPr>
        <w:t>of</w:t>
      </w:r>
      <w:r>
        <w:rPr>
          <w:spacing w:val="-15"/>
          <w:sz w:val="22"/>
        </w:rPr>
        <w:t> </w:t>
      </w:r>
      <w:r>
        <w:rPr>
          <w:sz w:val="22"/>
        </w:rPr>
        <w:t>these</w:t>
      </w:r>
      <w:r>
        <w:rPr>
          <w:spacing w:val="-14"/>
          <w:sz w:val="22"/>
        </w:rPr>
        <w:t> </w:t>
      </w:r>
      <w:r>
        <w:rPr>
          <w:sz w:val="22"/>
        </w:rPr>
        <w:t>financial </w:t>
      </w:r>
      <w:r>
        <w:rPr>
          <w:spacing w:val="-2"/>
          <w:sz w:val="22"/>
        </w:rPr>
        <w:t>statements.</w:t>
      </w:r>
    </w:p>
    <w:p>
      <w:pPr>
        <w:pStyle w:val="BodyText"/>
        <w:rPr>
          <w:sz w:val="22"/>
        </w:rPr>
      </w:pPr>
    </w:p>
    <w:p>
      <w:pPr>
        <w:spacing w:before="1"/>
        <w:ind w:left="665" w:right="985" w:firstLine="0"/>
        <w:jc w:val="both"/>
        <w:rPr>
          <w:sz w:val="22"/>
        </w:rPr>
      </w:pPr>
      <w:r>
        <w:rPr>
          <w:sz w:val="22"/>
        </w:rPr>
        <w:t>As part of an audit in accordance with the ISAs, I exercise professional judgement and maintain professional scepticism</w:t>
      </w:r>
      <w:r>
        <w:rPr>
          <w:spacing w:val="-15"/>
          <w:sz w:val="22"/>
        </w:rPr>
        <w:t> </w:t>
      </w:r>
      <w:r>
        <w:rPr>
          <w:sz w:val="22"/>
        </w:rPr>
        <w:t>throughout</w:t>
      </w:r>
      <w:r>
        <w:rPr>
          <w:spacing w:val="-15"/>
          <w:sz w:val="22"/>
        </w:rPr>
        <w:t> </w:t>
      </w:r>
      <w:r>
        <w:rPr>
          <w:sz w:val="22"/>
        </w:rPr>
        <w:t>the</w:t>
      </w:r>
      <w:r>
        <w:rPr>
          <w:spacing w:val="-16"/>
          <w:sz w:val="22"/>
        </w:rPr>
        <w:t> </w:t>
      </w:r>
      <w:r>
        <w:rPr>
          <w:sz w:val="22"/>
        </w:rPr>
        <w:t>audit.</w:t>
      </w:r>
      <w:r>
        <w:rPr>
          <w:spacing w:val="-14"/>
          <w:sz w:val="22"/>
        </w:rPr>
        <w:t> </w:t>
      </w:r>
      <w:r>
        <w:rPr>
          <w:sz w:val="22"/>
        </w:rPr>
        <w:t>In</w:t>
      </w:r>
      <w:r>
        <w:rPr>
          <w:spacing w:val="-15"/>
          <w:sz w:val="22"/>
        </w:rPr>
        <w:t> </w:t>
      </w:r>
      <w:r>
        <w:rPr>
          <w:sz w:val="22"/>
        </w:rPr>
        <w:t>doing </w:t>
      </w:r>
      <w:r>
        <w:rPr>
          <w:spacing w:val="-4"/>
          <w:sz w:val="22"/>
        </w:rPr>
        <w:t>so,</w:t>
      </w:r>
    </w:p>
    <w:p>
      <w:pPr>
        <w:pStyle w:val="ListParagraph"/>
        <w:numPr>
          <w:ilvl w:val="0"/>
          <w:numId w:val="16"/>
        </w:numPr>
        <w:tabs>
          <w:tab w:pos="787" w:val="left" w:leader="none"/>
        </w:tabs>
        <w:spacing w:line="240" w:lineRule="auto" w:before="0" w:after="0"/>
        <w:ind w:left="665" w:right="986" w:firstLine="0"/>
        <w:jc w:val="both"/>
        <w:rPr>
          <w:sz w:val="22"/>
        </w:rPr>
      </w:pPr>
      <w:r>
        <w:rPr>
          <w:sz w:val="22"/>
        </w:rPr>
        <w:t>I</w:t>
      </w:r>
      <w:r>
        <w:rPr>
          <w:spacing w:val="-16"/>
          <w:sz w:val="22"/>
        </w:rPr>
        <w:t> </w:t>
      </w:r>
      <w:r>
        <w:rPr>
          <w:sz w:val="22"/>
        </w:rPr>
        <w:t>identify</w:t>
      </w:r>
      <w:r>
        <w:rPr>
          <w:spacing w:val="-15"/>
          <w:sz w:val="22"/>
        </w:rPr>
        <w:t> </w:t>
      </w:r>
      <w:r>
        <w:rPr>
          <w:sz w:val="22"/>
        </w:rPr>
        <w:t>and</w:t>
      </w:r>
      <w:r>
        <w:rPr>
          <w:spacing w:val="-15"/>
          <w:sz w:val="22"/>
        </w:rPr>
        <w:t> </w:t>
      </w:r>
      <w:r>
        <w:rPr>
          <w:sz w:val="22"/>
        </w:rPr>
        <w:t>assess</w:t>
      </w:r>
      <w:r>
        <w:rPr>
          <w:spacing w:val="-16"/>
          <w:sz w:val="22"/>
        </w:rPr>
        <w:t> </w:t>
      </w:r>
      <w:r>
        <w:rPr>
          <w:sz w:val="22"/>
        </w:rPr>
        <w:t>the</w:t>
      </w:r>
      <w:r>
        <w:rPr>
          <w:spacing w:val="-15"/>
          <w:sz w:val="22"/>
        </w:rPr>
        <w:t> </w:t>
      </w:r>
      <w:r>
        <w:rPr>
          <w:sz w:val="22"/>
        </w:rPr>
        <w:t>risks</w:t>
      </w:r>
      <w:r>
        <w:rPr>
          <w:spacing w:val="-15"/>
          <w:sz w:val="22"/>
        </w:rPr>
        <w:t> </w:t>
      </w:r>
      <w:r>
        <w:rPr>
          <w:sz w:val="22"/>
        </w:rPr>
        <w:t>of</w:t>
      </w:r>
      <w:r>
        <w:rPr>
          <w:spacing w:val="-15"/>
          <w:sz w:val="22"/>
        </w:rPr>
        <w:t> </w:t>
      </w:r>
      <w:r>
        <w:rPr>
          <w:sz w:val="22"/>
        </w:rPr>
        <w:t>material misstatement of the financial statements whether due to fraud or error; design and perform audit </w:t>
      </w:r>
      <w:r>
        <w:rPr>
          <w:sz w:val="22"/>
        </w:rPr>
        <w:t>procedures responsive to those risks; and obtain audit evidence that is sufficient and appropriate to provide a basis for my opinion. The risk of not detecting a material misstatement resulting from fraud is higher than for one resulting from error, as fraud may involve collusion, forgery, intentional omissions, misrepresentations, or the override of internal control.</w:t>
      </w:r>
    </w:p>
    <w:p>
      <w:pPr>
        <w:pStyle w:val="ListParagraph"/>
        <w:numPr>
          <w:ilvl w:val="0"/>
          <w:numId w:val="16"/>
        </w:numPr>
        <w:tabs>
          <w:tab w:pos="842" w:val="left" w:leader="none"/>
        </w:tabs>
        <w:spacing w:line="240" w:lineRule="auto" w:before="0" w:after="0"/>
        <w:ind w:left="665" w:right="988" w:firstLine="0"/>
        <w:jc w:val="both"/>
        <w:rPr>
          <w:sz w:val="22"/>
        </w:rPr>
      </w:pPr>
      <w:r>
        <w:rPr>
          <w:sz w:val="22"/>
        </w:rPr>
        <w:t>I obtain an understanding of internal control</w:t>
      </w:r>
      <w:r>
        <w:rPr>
          <w:spacing w:val="-1"/>
          <w:sz w:val="22"/>
        </w:rPr>
        <w:t> </w:t>
      </w:r>
      <w:r>
        <w:rPr>
          <w:sz w:val="22"/>
        </w:rPr>
        <w:t>relevant</w:t>
      </w:r>
      <w:r>
        <w:rPr>
          <w:spacing w:val="-3"/>
          <w:sz w:val="22"/>
        </w:rPr>
        <w:t> </w:t>
      </w:r>
      <w:r>
        <w:rPr>
          <w:sz w:val="22"/>
        </w:rPr>
        <w:t>to</w:t>
      </w:r>
      <w:r>
        <w:rPr>
          <w:spacing w:val="-3"/>
          <w:sz w:val="22"/>
        </w:rPr>
        <w:t> </w:t>
      </w:r>
      <w:r>
        <w:rPr>
          <w:sz w:val="22"/>
        </w:rPr>
        <w:t>the</w:t>
      </w:r>
      <w:r>
        <w:rPr>
          <w:spacing w:val="-3"/>
          <w:sz w:val="22"/>
        </w:rPr>
        <w:t> </w:t>
      </w:r>
      <w:r>
        <w:rPr>
          <w:sz w:val="22"/>
        </w:rPr>
        <w:t>audit in</w:t>
      </w:r>
      <w:r>
        <w:rPr>
          <w:spacing w:val="-1"/>
          <w:sz w:val="22"/>
        </w:rPr>
        <w:t> </w:t>
      </w:r>
      <w:r>
        <w:rPr>
          <w:sz w:val="22"/>
        </w:rPr>
        <w:t>order</w:t>
      </w:r>
      <w:r>
        <w:rPr>
          <w:spacing w:val="-4"/>
          <w:sz w:val="22"/>
        </w:rPr>
        <w:t> </w:t>
      </w:r>
      <w:r>
        <w:rPr>
          <w:sz w:val="22"/>
        </w:rPr>
        <w:t>to design audit procedures that are appropriate in the circumstances, but not for the purpose of expressing an opinion on the effectiveness of the internal controls.</w:t>
      </w:r>
    </w:p>
    <w:p>
      <w:pPr>
        <w:pStyle w:val="ListParagraph"/>
        <w:numPr>
          <w:ilvl w:val="0"/>
          <w:numId w:val="16"/>
        </w:numPr>
        <w:tabs>
          <w:tab w:pos="911" w:val="left" w:leader="none"/>
        </w:tabs>
        <w:spacing w:line="240" w:lineRule="auto" w:before="0" w:after="0"/>
        <w:ind w:left="665" w:right="986" w:firstLine="0"/>
        <w:jc w:val="both"/>
        <w:rPr>
          <w:sz w:val="22"/>
        </w:rPr>
      </w:pPr>
      <w:r>
        <w:rPr>
          <w:sz w:val="22"/>
        </w:rPr>
        <w:t>I evaluate the appropriateness of accounting policies used and </w:t>
      </w:r>
      <w:r>
        <w:rPr>
          <w:sz w:val="22"/>
        </w:rPr>
        <w:t>the reasonableness of accounting estimates and related disclosures.</w:t>
      </w:r>
    </w:p>
    <w:p>
      <w:pPr>
        <w:pStyle w:val="ListParagraph"/>
        <w:numPr>
          <w:ilvl w:val="0"/>
          <w:numId w:val="16"/>
        </w:numPr>
        <w:tabs>
          <w:tab w:pos="832" w:val="left" w:leader="none"/>
        </w:tabs>
        <w:spacing w:line="240" w:lineRule="auto" w:before="1" w:after="0"/>
        <w:ind w:left="665" w:right="986" w:firstLine="0"/>
        <w:jc w:val="both"/>
        <w:rPr>
          <w:sz w:val="22"/>
        </w:rPr>
      </w:pPr>
      <w:r>
        <w:rPr>
          <w:sz w:val="22"/>
        </w:rPr>
        <w:t>I conclude on the appropriateness of the use of the going concern basis of accounting and, based on the audit evidence obtained, on whether a material uncertainty exists related to events or conditions that may cause significant doubt on the Authority’s ability</w:t>
      </w:r>
      <w:r>
        <w:rPr>
          <w:spacing w:val="-9"/>
          <w:sz w:val="22"/>
        </w:rPr>
        <w:t> </w:t>
      </w:r>
      <w:r>
        <w:rPr>
          <w:sz w:val="22"/>
        </w:rPr>
        <w:t>to</w:t>
      </w:r>
      <w:r>
        <w:rPr>
          <w:spacing w:val="-8"/>
          <w:sz w:val="22"/>
        </w:rPr>
        <w:t> </w:t>
      </w:r>
      <w:r>
        <w:rPr>
          <w:sz w:val="22"/>
        </w:rPr>
        <w:t>continue</w:t>
      </w:r>
      <w:r>
        <w:rPr>
          <w:spacing w:val="-9"/>
          <w:sz w:val="22"/>
        </w:rPr>
        <w:t> </w:t>
      </w:r>
      <w:r>
        <w:rPr>
          <w:sz w:val="22"/>
        </w:rPr>
        <w:t>as</w:t>
      </w:r>
      <w:r>
        <w:rPr>
          <w:spacing w:val="-11"/>
          <w:sz w:val="22"/>
        </w:rPr>
        <w:t> </w:t>
      </w:r>
      <w:r>
        <w:rPr>
          <w:sz w:val="22"/>
        </w:rPr>
        <w:t>a</w:t>
      </w:r>
      <w:r>
        <w:rPr>
          <w:spacing w:val="-10"/>
          <w:sz w:val="22"/>
        </w:rPr>
        <w:t> </w:t>
      </w:r>
      <w:r>
        <w:rPr>
          <w:sz w:val="22"/>
        </w:rPr>
        <w:t>going</w:t>
      </w:r>
      <w:r>
        <w:rPr>
          <w:spacing w:val="-10"/>
          <w:sz w:val="22"/>
        </w:rPr>
        <w:t> </w:t>
      </w:r>
      <w:r>
        <w:rPr>
          <w:sz w:val="22"/>
        </w:rPr>
        <w:t>concern.</w:t>
      </w:r>
      <w:r>
        <w:rPr>
          <w:spacing w:val="-11"/>
          <w:sz w:val="22"/>
        </w:rPr>
        <w:t> </w:t>
      </w:r>
      <w:r>
        <w:rPr>
          <w:sz w:val="22"/>
        </w:rPr>
        <w:t>If</w:t>
      </w:r>
      <w:r>
        <w:rPr>
          <w:spacing w:val="-9"/>
          <w:sz w:val="22"/>
        </w:rPr>
        <w:t> </w:t>
      </w:r>
      <w:r>
        <w:rPr>
          <w:sz w:val="22"/>
        </w:rPr>
        <w:t>I conclude that a material uncertainty exists,</w:t>
      </w:r>
      <w:r>
        <w:rPr>
          <w:spacing w:val="-14"/>
          <w:sz w:val="22"/>
        </w:rPr>
        <w:t> </w:t>
      </w:r>
      <w:r>
        <w:rPr>
          <w:sz w:val="22"/>
        </w:rPr>
        <w:t>I</w:t>
      </w:r>
      <w:r>
        <w:rPr>
          <w:spacing w:val="-14"/>
          <w:sz w:val="22"/>
        </w:rPr>
        <w:t> </w:t>
      </w:r>
      <w:r>
        <w:rPr>
          <w:sz w:val="22"/>
        </w:rPr>
        <w:t>am</w:t>
      </w:r>
      <w:r>
        <w:rPr>
          <w:spacing w:val="-14"/>
          <w:sz w:val="22"/>
        </w:rPr>
        <w:t> </w:t>
      </w:r>
      <w:r>
        <w:rPr>
          <w:sz w:val="22"/>
        </w:rPr>
        <w:t>required</w:t>
      </w:r>
      <w:r>
        <w:rPr>
          <w:spacing w:val="-14"/>
          <w:sz w:val="22"/>
        </w:rPr>
        <w:t> </w:t>
      </w:r>
      <w:r>
        <w:rPr>
          <w:sz w:val="22"/>
        </w:rPr>
        <w:t>to</w:t>
      </w:r>
      <w:r>
        <w:rPr>
          <w:spacing w:val="-15"/>
          <w:sz w:val="22"/>
        </w:rPr>
        <w:t> </w:t>
      </w:r>
      <w:r>
        <w:rPr>
          <w:sz w:val="22"/>
        </w:rPr>
        <w:t>draw</w:t>
      </w:r>
      <w:r>
        <w:rPr>
          <w:spacing w:val="-14"/>
          <w:sz w:val="22"/>
        </w:rPr>
        <w:t> </w:t>
      </w:r>
      <w:r>
        <w:rPr>
          <w:sz w:val="22"/>
        </w:rPr>
        <w:t>attention</w:t>
      </w:r>
      <w:r>
        <w:rPr>
          <w:spacing w:val="-15"/>
          <w:sz w:val="22"/>
        </w:rPr>
        <w:t> </w:t>
      </w:r>
      <w:r>
        <w:rPr>
          <w:sz w:val="22"/>
        </w:rPr>
        <w:t>in my report to the related disclosures in the financial statements, or, if such disclosures</w:t>
      </w:r>
      <w:r>
        <w:rPr>
          <w:spacing w:val="-12"/>
          <w:sz w:val="22"/>
        </w:rPr>
        <w:t> </w:t>
      </w:r>
      <w:r>
        <w:rPr>
          <w:sz w:val="22"/>
        </w:rPr>
        <w:t>are</w:t>
      </w:r>
      <w:r>
        <w:rPr>
          <w:spacing w:val="-12"/>
          <w:sz w:val="22"/>
        </w:rPr>
        <w:t> </w:t>
      </w:r>
      <w:r>
        <w:rPr>
          <w:sz w:val="22"/>
        </w:rPr>
        <w:t>inadequate,</w:t>
      </w:r>
      <w:r>
        <w:rPr>
          <w:spacing w:val="-14"/>
          <w:sz w:val="22"/>
        </w:rPr>
        <w:t> </w:t>
      </w:r>
      <w:r>
        <w:rPr>
          <w:sz w:val="22"/>
        </w:rPr>
        <w:t>to</w:t>
      </w:r>
      <w:r>
        <w:rPr>
          <w:spacing w:val="-13"/>
          <w:sz w:val="22"/>
        </w:rPr>
        <w:t> </w:t>
      </w:r>
      <w:r>
        <w:rPr>
          <w:sz w:val="22"/>
        </w:rPr>
        <w:t>modify</w:t>
      </w:r>
      <w:r>
        <w:rPr>
          <w:spacing w:val="-15"/>
          <w:sz w:val="22"/>
        </w:rPr>
        <w:t> </w:t>
      </w:r>
      <w:r>
        <w:rPr>
          <w:sz w:val="22"/>
        </w:rPr>
        <w:t>my opinion.</w:t>
      </w:r>
      <w:r>
        <w:rPr>
          <w:spacing w:val="-16"/>
          <w:sz w:val="22"/>
        </w:rPr>
        <w:t> </w:t>
      </w:r>
      <w:r>
        <w:rPr>
          <w:sz w:val="22"/>
        </w:rPr>
        <w:t>My</w:t>
      </w:r>
      <w:r>
        <w:rPr>
          <w:spacing w:val="-15"/>
          <w:sz w:val="22"/>
        </w:rPr>
        <w:t> </w:t>
      </w:r>
      <w:r>
        <w:rPr>
          <w:sz w:val="22"/>
        </w:rPr>
        <w:t>conclusions</w:t>
      </w:r>
      <w:r>
        <w:rPr>
          <w:spacing w:val="-15"/>
          <w:sz w:val="22"/>
        </w:rPr>
        <w:t> </w:t>
      </w:r>
      <w:r>
        <w:rPr>
          <w:sz w:val="22"/>
        </w:rPr>
        <w:t>are</w:t>
      </w:r>
      <w:r>
        <w:rPr>
          <w:spacing w:val="-16"/>
          <w:sz w:val="22"/>
        </w:rPr>
        <w:t> </w:t>
      </w:r>
      <w:r>
        <w:rPr>
          <w:sz w:val="22"/>
        </w:rPr>
        <w:t>based</w:t>
      </w:r>
      <w:r>
        <w:rPr>
          <w:spacing w:val="-15"/>
          <w:sz w:val="22"/>
        </w:rPr>
        <w:t> </w:t>
      </w:r>
      <w:r>
        <w:rPr>
          <w:sz w:val="22"/>
        </w:rPr>
        <w:t>on</w:t>
      </w:r>
      <w:r>
        <w:rPr>
          <w:spacing w:val="-15"/>
          <w:sz w:val="22"/>
        </w:rPr>
        <w:t> </w:t>
      </w:r>
      <w:r>
        <w:rPr>
          <w:sz w:val="22"/>
        </w:rPr>
        <w:t>the audit</w:t>
      </w:r>
      <w:r>
        <w:rPr>
          <w:spacing w:val="-13"/>
          <w:sz w:val="22"/>
        </w:rPr>
        <w:t> </w:t>
      </w:r>
      <w:r>
        <w:rPr>
          <w:sz w:val="22"/>
        </w:rPr>
        <w:t>evidence</w:t>
      </w:r>
      <w:r>
        <w:rPr>
          <w:spacing w:val="-13"/>
          <w:sz w:val="22"/>
        </w:rPr>
        <w:t> </w:t>
      </w:r>
      <w:r>
        <w:rPr>
          <w:sz w:val="22"/>
        </w:rPr>
        <w:t>obtained</w:t>
      </w:r>
      <w:r>
        <w:rPr>
          <w:spacing w:val="-11"/>
          <w:sz w:val="22"/>
        </w:rPr>
        <w:t> </w:t>
      </w:r>
      <w:r>
        <w:rPr>
          <w:sz w:val="22"/>
        </w:rPr>
        <w:t>up</w:t>
      </w:r>
      <w:r>
        <w:rPr>
          <w:spacing w:val="-13"/>
          <w:sz w:val="22"/>
        </w:rPr>
        <w:t> </w:t>
      </w:r>
      <w:r>
        <w:rPr>
          <w:sz w:val="22"/>
        </w:rPr>
        <w:t>to</w:t>
      </w:r>
      <w:r>
        <w:rPr>
          <w:spacing w:val="-13"/>
          <w:sz w:val="22"/>
        </w:rPr>
        <w:t> </w:t>
      </w:r>
      <w:r>
        <w:rPr>
          <w:sz w:val="22"/>
        </w:rPr>
        <w:t>the</w:t>
      </w:r>
      <w:r>
        <w:rPr>
          <w:spacing w:val="-13"/>
          <w:sz w:val="22"/>
        </w:rPr>
        <w:t> </w:t>
      </w:r>
      <w:r>
        <w:rPr>
          <w:sz w:val="22"/>
        </w:rPr>
        <w:t>date</w:t>
      </w:r>
      <w:r>
        <w:rPr>
          <w:spacing w:val="-13"/>
          <w:sz w:val="22"/>
        </w:rPr>
        <w:t> </w:t>
      </w:r>
      <w:r>
        <w:rPr>
          <w:spacing w:val="-5"/>
          <w:sz w:val="22"/>
        </w:rPr>
        <w:t>of</w:t>
      </w:r>
    </w:p>
    <w:p>
      <w:pPr>
        <w:pStyle w:val="ListParagraph"/>
        <w:spacing w:after="0" w:line="240" w:lineRule="auto"/>
        <w:jc w:val="both"/>
        <w:rPr>
          <w:sz w:val="22"/>
        </w:rPr>
        <w:sectPr>
          <w:type w:val="continuous"/>
          <w:pgSz w:w="11910" w:h="16850"/>
          <w:pgMar w:header="0" w:footer="0" w:top="1940" w:bottom="280" w:left="283" w:right="992"/>
          <w:cols w:num="2" w:equalWidth="0">
            <w:col w:w="5320" w:space="40"/>
            <w:col w:w="5275"/>
          </w:cols>
        </w:sectPr>
      </w:pPr>
    </w:p>
    <w:p>
      <w:pPr>
        <w:spacing w:before="82"/>
        <w:ind w:left="1702" w:right="0" w:firstLine="0"/>
        <w:jc w:val="both"/>
        <w:rPr>
          <w:sz w:val="22"/>
        </w:rPr>
      </w:pPr>
      <w:r>
        <w:rPr>
          <w:sz w:val="22"/>
        </w:rPr>
        <w:t>my report. However, future events or conditions may cause the Authority to cease to continue as a going concern.</w:t>
      </w:r>
    </w:p>
    <w:p>
      <w:pPr>
        <w:spacing w:before="0"/>
        <w:ind w:left="1702" w:right="0" w:firstLine="0"/>
        <w:jc w:val="both"/>
        <w:rPr>
          <w:sz w:val="22"/>
        </w:rPr>
      </w:pPr>
      <w:r>
        <w:rPr>
          <w:sz w:val="22"/>
        </w:rPr>
        <w:t>- I evaluate the overall presentation, structure and content of the financial statements, including the disclosures, and whether the financial statements represent the underlying transactions and</w:t>
      </w:r>
      <w:r>
        <w:rPr>
          <w:spacing w:val="-4"/>
          <w:sz w:val="22"/>
        </w:rPr>
        <w:t> </w:t>
      </w:r>
      <w:r>
        <w:rPr>
          <w:sz w:val="22"/>
        </w:rPr>
        <w:t>events</w:t>
      </w:r>
      <w:r>
        <w:rPr>
          <w:spacing w:val="-8"/>
          <w:sz w:val="22"/>
        </w:rPr>
        <w:t> </w:t>
      </w:r>
      <w:r>
        <w:rPr>
          <w:sz w:val="22"/>
        </w:rPr>
        <w:t>in</w:t>
      </w:r>
      <w:r>
        <w:rPr>
          <w:spacing w:val="-7"/>
          <w:sz w:val="22"/>
        </w:rPr>
        <w:t> </w:t>
      </w:r>
      <w:r>
        <w:rPr>
          <w:sz w:val="22"/>
        </w:rPr>
        <w:t>a</w:t>
      </w:r>
      <w:r>
        <w:rPr>
          <w:spacing w:val="-7"/>
          <w:sz w:val="22"/>
        </w:rPr>
        <w:t> </w:t>
      </w:r>
      <w:r>
        <w:rPr>
          <w:sz w:val="22"/>
        </w:rPr>
        <w:t>manner</w:t>
      </w:r>
      <w:r>
        <w:rPr>
          <w:spacing w:val="-8"/>
          <w:sz w:val="22"/>
        </w:rPr>
        <w:t> </w:t>
      </w:r>
      <w:r>
        <w:rPr>
          <w:sz w:val="22"/>
        </w:rPr>
        <w:t>that</w:t>
      </w:r>
      <w:r>
        <w:rPr>
          <w:spacing w:val="-4"/>
          <w:sz w:val="22"/>
        </w:rPr>
        <w:t> </w:t>
      </w:r>
      <w:r>
        <w:rPr>
          <w:sz w:val="22"/>
        </w:rPr>
        <w:t>achieves</w:t>
      </w:r>
      <w:r>
        <w:rPr>
          <w:spacing w:val="-8"/>
          <w:sz w:val="22"/>
        </w:rPr>
        <w:t> </w:t>
      </w:r>
      <w:r>
        <w:rPr>
          <w:sz w:val="22"/>
        </w:rPr>
        <w:t>fair </w:t>
      </w:r>
      <w:r>
        <w:rPr>
          <w:spacing w:val="-2"/>
          <w:sz w:val="22"/>
        </w:rPr>
        <w:t>presentation.</w:t>
      </w:r>
    </w:p>
    <w:p>
      <w:pPr>
        <w:pStyle w:val="BodyText"/>
        <w:rPr>
          <w:sz w:val="22"/>
        </w:rPr>
      </w:pPr>
    </w:p>
    <w:p>
      <w:pPr>
        <w:spacing w:before="0"/>
        <w:ind w:left="1702" w:right="0" w:firstLine="0"/>
        <w:jc w:val="both"/>
        <w:rPr>
          <w:sz w:val="22"/>
        </w:rPr>
      </w:pPr>
      <w:r>
        <w:rPr>
          <w:sz w:val="22"/>
        </w:rPr>
        <w:t>I communicate with those charged with governance regarding, among other matters,</w:t>
      </w:r>
      <w:r>
        <w:rPr>
          <w:spacing w:val="-9"/>
          <w:sz w:val="22"/>
        </w:rPr>
        <w:t> </w:t>
      </w:r>
      <w:r>
        <w:rPr>
          <w:sz w:val="22"/>
        </w:rPr>
        <w:t>the</w:t>
      </w:r>
      <w:r>
        <w:rPr>
          <w:spacing w:val="-9"/>
          <w:sz w:val="22"/>
        </w:rPr>
        <w:t> </w:t>
      </w:r>
      <w:r>
        <w:rPr>
          <w:sz w:val="22"/>
        </w:rPr>
        <w:t>planned</w:t>
      </w:r>
      <w:r>
        <w:rPr>
          <w:spacing w:val="-9"/>
          <w:sz w:val="22"/>
        </w:rPr>
        <w:t> </w:t>
      </w:r>
      <w:r>
        <w:rPr>
          <w:sz w:val="22"/>
        </w:rPr>
        <w:t>scope</w:t>
      </w:r>
      <w:r>
        <w:rPr>
          <w:spacing w:val="-9"/>
          <w:sz w:val="22"/>
        </w:rPr>
        <w:t> </w:t>
      </w:r>
      <w:r>
        <w:rPr>
          <w:sz w:val="22"/>
        </w:rPr>
        <w:t>and</w:t>
      </w:r>
      <w:r>
        <w:rPr>
          <w:spacing w:val="-11"/>
          <w:sz w:val="22"/>
        </w:rPr>
        <w:t> </w:t>
      </w:r>
      <w:r>
        <w:rPr>
          <w:sz w:val="22"/>
        </w:rPr>
        <w:t>timing</w:t>
      </w:r>
      <w:r>
        <w:rPr>
          <w:spacing w:val="-10"/>
          <w:sz w:val="22"/>
        </w:rPr>
        <w:t> </w:t>
      </w:r>
      <w:r>
        <w:rPr>
          <w:sz w:val="22"/>
        </w:rPr>
        <w:t>of the audit and significant audit findings, including any significant deficiencies in internal</w:t>
      </w:r>
      <w:r>
        <w:rPr>
          <w:spacing w:val="-1"/>
          <w:sz w:val="22"/>
        </w:rPr>
        <w:t> </w:t>
      </w:r>
      <w:r>
        <w:rPr>
          <w:sz w:val="22"/>
        </w:rPr>
        <w:t>control</w:t>
      </w:r>
      <w:r>
        <w:rPr>
          <w:spacing w:val="-1"/>
          <w:sz w:val="22"/>
        </w:rPr>
        <w:t> </w:t>
      </w:r>
      <w:r>
        <w:rPr>
          <w:sz w:val="22"/>
        </w:rPr>
        <w:t>that I</w:t>
      </w:r>
      <w:r>
        <w:rPr>
          <w:spacing w:val="-1"/>
          <w:sz w:val="22"/>
        </w:rPr>
        <w:t> </w:t>
      </w:r>
      <w:r>
        <w:rPr>
          <w:sz w:val="22"/>
        </w:rPr>
        <w:t>identify</w:t>
      </w:r>
      <w:r>
        <w:rPr>
          <w:spacing w:val="-2"/>
          <w:sz w:val="22"/>
        </w:rPr>
        <w:t> </w:t>
      </w:r>
      <w:r>
        <w:rPr>
          <w:sz w:val="22"/>
        </w:rPr>
        <w:t>during</w:t>
      </w:r>
      <w:r>
        <w:rPr>
          <w:spacing w:val="-2"/>
          <w:sz w:val="22"/>
        </w:rPr>
        <w:t> </w:t>
      </w:r>
      <w:r>
        <w:rPr>
          <w:sz w:val="22"/>
        </w:rPr>
        <w:t>my </w:t>
      </w:r>
      <w:r>
        <w:rPr>
          <w:spacing w:val="-2"/>
          <w:sz w:val="22"/>
        </w:rPr>
        <w:t>audit.</w:t>
      </w:r>
    </w:p>
    <w:p>
      <w:pPr>
        <w:pStyle w:val="BodyText"/>
        <w:spacing w:before="1"/>
        <w:rPr>
          <w:sz w:val="22"/>
        </w:rPr>
      </w:pPr>
    </w:p>
    <w:p>
      <w:pPr>
        <w:spacing w:before="0"/>
        <w:ind w:left="1702" w:right="1" w:firstLine="0"/>
        <w:jc w:val="both"/>
        <w:rPr>
          <w:b/>
          <w:sz w:val="22"/>
        </w:rPr>
      </w:pPr>
      <w:r>
        <w:rPr>
          <w:b/>
          <w:sz w:val="22"/>
        </w:rPr>
        <w:t>Information other than the financial statements</w:t>
      </w:r>
    </w:p>
    <w:p>
      <w:pPr>
        <w:spacing w:line="240" w:lineRule="auto" w:before="0"/>
        <w:ind w:left="1702" w:right="0" w:firstLine="0"/>
        <w:jc w:val="both"/>
        <w:rPr>
          <w:sz w:val="22"/>
        </w:rPr>
      </w:pPr>
      <w:r>
        <w:rPr>
          <w:sz w:val="22"/>
        </w:rPr>
        <w:t>My opinion on the financial statements does not cover the other information presented with those statements and I do not express any form of assurance conclusion thereon.</w:t>
      </w:r>
    </w:p>
    <w:p>
      <w:pPr>
        <w:spacing w:before="255"/>
        <w:ind w:left="1702" w:right="1" w:firstLine="0"/>
        <w:jc w:val="both"/>
        <w:rPr>
          <w:sz w:val="22"/>
        </w:rPr>
      </w:pPr>
      <w:r>
        <w:rPr>
          <w:sz w:val="22"/>
        </w:rPr>
        <w:t>In connection with my audit of </w:t>
      </w:r>
      <w:r>
        <w:rPr>
          <w:sz w:val="22"/>
        </w:rPr>
        <w:t>the financial</w:t>
      </w:r>
      <w:r>
        <w:rPr>
          <w:spacing w:val="-12"/>
          <w:sz w:val="22"/>
        </w:rPr>
        <w:t> </w:t>
      </w:r>
      <w:r>
        <w:rPr>
          <w:sz w:val="22"/>
        </w:rPr>
        <w:t>statements,</w:t>
      </w:r>
      <w:r>
        <w:rPr>
          <w:spacing w:val="-12"/>
          <w:sz w:val="22"/>
        </w:rPr>
        <w:t> </w:t>
      </w:r>
      <w:r>
        <w:rPr>
          <w:sz w:val="22"/>
        </w:rPr>
        <w:t>I</w:t>
      </w:r>
      <w:r>
        <w:rPr>
          <w:spacing w:val="-14"/>
          <w:sz w:val="22"/>
        </w:rPr>
        <w:t> </w:t>
      </w:r>
      <w:r>
        <w:rPr>
          <w:sz w:val="22"/>
        </w:rPr>
        <w:t>am</w:t>
      </w:r>
      <w:r>
        <w:rPr>
          <w:spacing w:val="-14"/>
          <w:sz w:val="22"/>
        </w:rPr>
        <w:t> </w:t>
      </w:r>
      <w:r>
        <w:rPr>
          <w:sz w:val="22"/>
        </w:rPr>
        <w:t>required</w:t>
      </w:r>
      <w:r>
        <w:rPr>
          <w:spacing w:val="-12"/>
          <w:sz w:val="22"/>
        </w:rPr>
        <w:t> </w:t>
      </w:r>
      <w:r>
        <w:rPr>
          <w:sz w:val="22"/>
        </w:rPr>
        <w:t>under the ISAs to read the other information presented and, in doing so, consider whether the other information is materially inconsistent with the financial statements or with knowledge obtained during the audit, or if it otherwise appears</w:t>
      </w:r>
      <w:r>
        <w:rPr>
          <w:spacing w:val="54"/>
          <w:sz w:val="22"/>
        </w:rPr>
        <w:t> </w:t>
      </w:r>
      <w:r>
        <w:rPr>
          <w:sz w:val="22"/>
        </w:rPr>
        <w:t>to</w:t>
      </w:r>
      <w:r>
        <w:rPr>
          <w:spacing w:val="54"/>
          <w:sz w:val="22"/>
        </w:rPr>
        <w:t> </w:t>
      </w:r>
      <w:r>
        <w:rPr>
          <w:sz w:val="22"/>
        </w:rPr>
        <w:t>be</w:t>
      </w:r>
      <w:r>
        <w:rPr>
          <w:spacing w:val="54"/>
          <w:sz w:val="22"/>
        </w:rPr>
        <w:t> </w:t>
      </w:r>
      <w:r>
        <w:rPr>
          <w:sz w:val="22"/>
        </w:rPr>
        <w:t>materially</w:t>
      </w:r>
      <w:r>
        <w:rPr>
          <w:spacing w:val="54"/>
          <w:sz w:val="22"/>
        </w:rPr>
        <w:t> </w:t>
      </w:r>
      <w:r>
        <w:rPr>
          <w:sz w:val="22"/>
        </w:rPr>
        <w:t>misstated.</w:t>
      </w:r>
      <w:r>
        <w:rPr>
          <w:spacing w:val="54"/>
          <w:sz w:val="22"/>
        </w:rPr>
        <w:t> </w:t>
      </w:r>
      <w:r>
        <w:rPr>
          <w:spacing w:val="-5"/>
          <w:sz w:val="22"/>
        </w:rPr>
        <w:t>If,</w:t>
      </w:r>
    </w:p>
    <w:p>
      <w:pPr>
        <w:spacing w:before="82"/>
        <w:ind w:left="665" w:right="988" w:firstLine="0"/>
        <w:jc w:val="both"/>
        <w:rPr>
          <w:sz w:val="22"/>
        </w:rPr>
      </w:pPr>
      <w:r>
        <w:rPr/>
        <w:br w:type="column"/>
      </w:r>
      <w:r>
        <w:rPr>
          <w:sz w:val="22"/>
        </w:rPr>
        <w:t>based on the work I have performed, I conclude that there is a material misstatement</w:t>
      </w:r>
      <w:r>
        <w:rPr>
          <w:spacing w:val="-9"/>
          <w:sz w:val="22"/>
        </w:rPr>
        <w:t> </w:t>
      </w:r>
      <w:r>
        <w:rPr>
          <w:sz w:val="22"/>
        </w:rPr>
        <w:t>of</w:t>
      </w:r>
      <w:r>
        <w:rPr>
          <w:spacing w:val="-10"/>
          <w:sz w:val="22"/>
        </w:rPr>
        <w:t> </w:t>
      </w:r>
      <w:r>
        <w:rPr>
          <w:sz w:val="22"/>
        </w:rPr>
        <w:t>this</w:t>
      </w:r>
      <w:r>
        <w:rPr>
          <w:spacing w:val="-10"/>
          <w:sz w:val="22"/>
        </w:rPr>
        <w:t> </w:t>
      </w:r>
      <w:r>
        <w:rPr>
          <w:sz w:val="22"/>
        </w:rPr>
        <w:t>other</w:t>
      </w:r>
      <w:r>
        <w:rPr>
          <w:spacing w:val="-10"/>
          <w:sz w:val="22"/>
        </w:rPr>
        <w:t> </w:t>
      </w:r>
      <w:r>
        <w:rPr>
          <w:sz w:val="22"/>
        </w:rPr>
        <w:t>information,</w:t>
      </w:r>
      <w:r>
        <w:rPr>
          <w:spacing w:val="-10"/>
          <w:sz w:val="22"/>
        </w:rPr>
        <w:t> </w:t>
      </w:r>
      <w:r>
        <w:rPr>
          <w:sz w:val="22"/>
        </w:rPr>
        <w:t>I am required to report that fact.</w:t>
      </w:r>
    </w:p>
    <w:p>
      <w:pPr>
        <w:pStyle w:val="BodyText"/>
        <w:spacing w:before="1"/>
        <w:rPr>
          <w:sz w:val="22"/>
        </w:rPr>
      </w:pPr>
    </w:p>
    <w:p>
      <w:pPr>
        <w:spacing w:line="255" w:lineRule="exact" w:before="0"/>
        <w:ind w:left="665" w:right="0" w:firstLine="0"/>
        <w:jc w:val="both"/>
        <w:rPr>
          <w:b/>
          <w:sz w:val="22"/>
        </w:rPr>
      </w:pPr>
      <w:r>
        <w:rPr>
          <w:b/>
          <w:sz w:val="22"/>
        </w:rPr>
        <w:t>Reporting</w:t>
      </w:r>
      <w:r>
        <w:rPr>
          <w:b/>
          <w:spacing w:val="-5"/>
          <w:sz w:val="22"/>
        </w:rPr>
        <w:t> </w:t>
      </w:r>
      <w:r>
        <w:rPr>
          <w:b/>
          <w:sz w:val="22"/>
        </w:rPr>
        <w:t>on</w:t>
      </w:r>
      <w:r>
        <w:rPr>
          <w:b/>
          <w:spacing w:val="-5"/>
          <w:sz w:val="22"/>
        </w:rPr>
        <w:t> </w:t>
      </w:r>
      <w:r>
        <w:rPr>
          <w:b/>
          <w:sz w:val="22"/>
        </w:rPr>
        <w:t>other</w:t>
      </w:r>
      <w:r>
        <w:rPr>
          <w:b/>
          <w:spacing w:val="-2"/>
          <w:sz w:val="22"/>
        </w:rPr>
        <w:t> matters</w:t>
      </w:r>
    </w:p>
    <w:p>
      <w:pPr>
        <w:spacing w:before="0"/>
        <w:ind w:left="665" w:right="986" w:firstLine="0"/>
        <w:jc w:val="both"/>
        <w:rPr>
          <w:sz w:val="22"/>
        </w:rPr>
      </w:pPr>
      <w:r>
        <w:rPr>
          <w:sz w:val="22"/>
        </w:rPr>
        <w:t>My audit is conducted by reference to the special considerations which attach to State bodies in relation to their management and operation. I report if there</w:t>
      </w:r>
      <w:r>
        <w:rPr>
          <w:spacing w:val="-16"/>
          <w:sz w:val="22"/>
        </w:rPr>
        <w:t> </w:t>
      </w:r>
      <w:r>
        <w:rPr>
          <w:sz w:val="22"/>
        </w:rPr>
        <w:t>are</w:t>
      </w:r>
      <w:r>
        <w:rPr>
          <w:spacing w:val="-15"/>
          <w:sz w:val="22"/>
        </w:rPr>
        <w:t> </w:t>
      </w:r>
      <w:r>
        <w:rPr>
          <w:sz w:val="22"/>
        </w:rPr>
        <w:t>material</w:t>
      </w:r>
      <w:r>
        <w:rPr>
          <w:spacing w:val="-15"/>
          <w:sz w:val="22"/>
        </w:rPr>
        <w:t> </w:t>
      </w:r>
      <w:r>
        <w:rPr>
          <w:sz w:val="22"/>
        </w:rPr>
        <w:t>matters</w:t>
      </w:r>
      <w:r>
        <w:rPr>
          <w:spacing w:val="-16"/>
          <w:sz w:val="22"/>
        </w:rPr>
        <w:t> </w:t>
      </w:r>
      <w:r>
        <w:rPr>
          <w:sz w:val="22"/>
        </w:rPr>
        <w:t>relating</w:t>
      </w:r>
      <w:r>
        <w:rPr>
          <w:spacing w:val="-15"/>
          <w:sz w:val="22"/>
        </w:rPr>
        <w:t> </w:t>
      </w:r>
      <w:r>
        <w:rPr>
          <w:sz w:val="22"/>
        </w:rPr>
        <w:t>to</w:t>
      </w:r>
      <w:r>
        <w:rPr>
          <w:spacing w:val="-15"/>
          <w:sz w:val="22"/>
        </w:rPr>
        <w:t> </w:t>
      </w:r>
      <w:r>
        <w:rPr>
          <w:sz w:val="22"/>
        </w:rPr>
        <w:t>the manner</w:t>
      </w:r>
      <w:r>
        <w:rPr>
          <w:spacing w:val="-16"/>
          <w:sz w:val="22"/>
        </w:rPr>
        <w:t> </w:t>
      </w:r>
      <w:r>
        <w:rPr>
          <w:sz w:val="22"/>
        </w:rPr>
        <w:t>in</w:t>
      </w:r>
      <w:r>
        <w:rPr>
          <w:spacing w:val="-15"/>
          <w:sz w:val="22"/>
        </w:rPr>
        <w:t> </w:t>
      </w:r>
      <w:r>
        <w:rPr>
          <w:sz w:val="22"/>
        </w:rPr>
        <w:t>which</w:t>
      </w:r>
      <w:r>
        <w:rPr>
          <w:spacing w:val="-15"/>
          <w:sz w:val="22"/>
        </w:rPr>
        <w:t> </w:t>
      </w:r>
      <w:r>
        <w:rPr>
          <w:sz w:val="22"/>
        </w:rPr>
        <w:t>public</w:t>
      </w:r>
      <w:r>
        <w:rPr>
          <w:spacing w:val="-16"/>
          <w:sz w:val="22"/>
        </w:rPr>
        <w:t> </w:t>
      </w:r>
      <w:r>
        <w:rPr>
          <w:sz w:val="22"/>
        </w:rPr>
        <w:t>business</w:t>
      </w:r>
      <w:r>
        <w:rPr>
          <w:spacing w:val="-15"/>
          <w:sz w:val="22"/>
        </w:rPr>
        <w:t> </w:t>
      </w:r>
      <w:r>
        <w:rPr>
          <w:sz w:val="22"/>
        </w:rPr>
        <w:t>has</w:t>
      </w:r>
      <w:r>
        <w:rPr>
          <w:spacing w:val="-15"/>
          <w:sz w:val="22"/>
        </w:rPr>
        <w:t> </w:t>
      </w:r>
      <w:r>
        <w:rPr>
          <w:sz w:val="22"/>
        </w:rPr>
        <w:t>been </w:t>
      </w:r>
      <w:r>
        <w:rPr>
          <w:spacing w:val="-2"/>
          <w:sz w:val="22"/>
        </w:rPr>
        <w:t>conducted.</w:t>
      </w:r>
    </w:p>
    <w:p>
      <w:pPr>
        <w:spacing w:before="255"/>
        <w:ind w:left="665" w:right="985" w:firstLine="0"/>
        <w:jc w:val="both"/>
        <w:rPr>
          <w:sz w:val="22"/>
        </w:rPr>
      </w:pPr>
      <w:r>
        <w:rPr>
          <w:sz w:val="22"/>
        </w:rPr>
        <w:t>I seek to obtain evidence about the regularity of financial transactions in the course of audit. I report if there is any material instance where public money has not been applied for the purposes intended or where transactions did not conform to the authorities governing </w:t>
      </w:r>
      <w:r>
        <w:rPr>
          <w:spacing w:val="-2"/>
          <w:sz w:val="22"/>
        </w:rPr>
        <w:t>them.</w:t>
      </w:r>
    </w:p>
    <w:p>
      <w:pPr>
        <w:pStyle w:val="BodyText"/>
        <w:rPr>
          <w:sz w:val="22"/>
        </w:rPr>
      </w:pPr>
    </w:p>
    <w:p>
      <w:pPr>
        <w:spacing w:before="1"/>
        <w:ind w:left="665" w:right="991" w:firstLine="0"/>
        <w:jc w:val="both"/>
        <w:rPr>
          <w:sz w:val="22"/>
        </w:rPr>
      </w:pPr>
      <w:r>
        <w:rPr>
          <w:sz w:val="22"/>
        </w:rPr>
        <w:t>I also report by exception if, in my </w:t>
      </w:r>
      <w:r>
        <w:rPr>
          <w:spacing w:val="-2"/>
          <w:sz w:val="22"/>
        </w:rPr>
        <w:t>opinion,</w:t>
      </w:r>
    </w:p>
    <w:p>
      <w:pPr>
        <w:pStyle w:val="ListParagraph"/>
        <w:numPr>
          <w:ilvl w:val="0"/>
          <w:numId w:val="16"/>
        </w:numPr>
        <w:tabs>
          <w:tab w:pos="811" w:val="left" w:leader="none"/>
        </w:tabs>
        <w:spacing w:line="240" w:lineRule="auto" w:before="1" w:after="0"/>
        <w:ind w:left="665" w:right="986" w:firstLine="0"/>
        <w:jc w:val="both"/>
        <w:rPr>
          <w:sz w:val="22"/>
        </w:rPr>
      </w:pPr>
      <w:r>
        <w:rPr>
          <w:sz w:val="22"/>
        </w:rPr>
        <w:t>I have not received all the information and</w:t>
      </w:r>
      <w:r>
        <w:rPr>
          <w:spacing w:val="-6"/>
          <w:sz w:val="22"/>
        </w:rPr>
        <w:t> </w:t>
      </w:r>
      <w:r>
        <w:rPr>
          <w:sz w:val="22"/>
        </w:rPr>
        <w:t>explanations</w:t>
      </w:r>
      <w:r>
        <w:rPr>
          <w:spacing w:val="-7"/>
          <w:sz w:val="22"/>
        </w:rPr>
        <w:t> </w:t>
      </w:r>
      <w:r>
        <w:rPr>
          <w:sz w:val="22"/>
        </w:rPr>
        <w:t>I</w:t>
      </w:r>
      <w:r>
        <w:rPr>
          <w:spacing w:val="-9"/>
          <w:sz w:val="22"/>
        </w:rPr>
        <w:t> </w:t>
      </w:r>
      <w:r>
        <w:rPr>
          <w:sz w:val="22"/>
        </w:rPr>
        <w:t>required</w:t>
      </w:r>
      <w:r>
        <w:rPr>
          <w:spacing w:val="-9"/>
          <w:sz w:val="22"/>
        </w:rPr>
        <w:t> </w:t>
      </w:r>
      <w:r>
        <w:rPr>
          <w:sz w:val="22"/>
        </w:rPr>
        <w:t>for</w:t>
      </w:r>
      <w:r>
        <w:rPr>
          <w:spacing w:val="-7"/>
          <w:sz w:val="22"/>
        </w:rPr>
        <w:t> </w:t>
      </w:r>
      <w:r>
        <w:rPr>
          <w:sz w:val="22"/>
        </w:rPr>
        <w:t>my</w:t>
      </w:r>
      <w:r>
        <w:rPr>
          <w:spacing w:val="-9"/>
          <w:sz w:val="22"/>
        </w:rPr>
        <w:t> </w:t>
      </w:r>
      <w:r>
        <w:rPr>
          <w:sz w:val="22"/>
        </w:rPr>
        <w:t>audit, </w:t>
      </w:r>
      <w:r>
        <w:rPr>
          <w:spacing w:val="-6"/>
          <w:sz w:val="22"/>
        </w:rPr>
        <w:t>or</w:t>
      </w:r>
    </w:p>
    <w:p>
      <w:pPr>
        <w:pStyle w:val="ListParagraph"/>
        <w:numPr>
          <w:ilvl w:val="0"/>
          <w:numId w:val="16"/>
        </w:numPr>
        <w:tabs>
          <w:tab w:pos="895" w:val="left" w:leader="none"/>
        </w:tabs>
        <w:spacing w:line="240" w:lineRule="auto" w:before="0" w:after="0"/>
        <w:ind w:left="665" w:right="987" w:firstLine="0"/>
        <w:jc w:val="both"/>
        <w:rPr>
          <w:sz w:val="22"/>
        </w:rPr>
      </w:pPr>
      <w:r>
        <w:rPr>
          <w:sz w:val="22"/>
        </w:rPr>
        <w:t>The accounting records were not sufficient to permit the financial statements to be readily and properly audited, or</w:t>
      </w:r>
    </w:p>
    <w:p>
      <w:pPr>
        <w:pStyle w:val="ListParagraph"/>
        <w:numPr>
          <w:ilvl w:val="0"/>
          <w:numId w:val="16"/>
        </w:numPr>
        <w:tabs>
          <w:tab w:pos="863" w:val="left" w:leader="none"/>
        </w:tabs>
        <w:spacing w:line="240" w:lineRule="auto" w:before="0" w:after="0"/>
        <w:ind w:left="665" w:right="988" w:firstLine="0"/>
        <w:jc w:val="both"/>
        <w:rPr>
          <w:sz w:val="22"/>
        </w:rPr>
      </w:pPr>
      <w:r>
        <w:rPr>
          <w:sz w:val="22"/>
        </w:rPr>
        <w:t>The financial statements are not in agreement with the accounting records</w:t>
      </w:r>
    </w:p>
    <w:p>
      <w:pPr>
        <w:pStyle w:val="ListParagraph"/>
        <w:spacing w:after="0" w:line="240" w:lineRule="auto"/>
        <w:jc w:val="both"/>
        <w:rPr>
          <w:sz w:val="22"/>
        </w:rPr>
        <w:sectPr>
          <w:footerReference w:type="default" r:id="rId14"/>
          <w:pgSz w:w="11910" w:h="16850"/>
          <w:pgMar w:header="0" w:footer="811" w:top="1880" w:bottom="1000" w:left="283" w:right="992"/>
          <w:pgNumType w:start="72"/>
          <w:cols w:num="2" w:equalWidth="0">
            <w:col w:w="5320" w:space="40"/>
            <w:col w:w="5275"/>
          </w:cols>
        </w:sectPr>
      </w:pPr>
    </w:p>
    <w:p>
      <w:pPr>
        <w:spacing w:before="78"/>
        <w:ind w:left="1702" w:right="0" w:firstLine="0"/>
        <w:jc w:val="left"/>
        <w:rPr>
          <w:b/>
          <w:sz w:val="24"/>
        </w:rPr>
      </w:pPr>
      <w:r>
        <w:rPr>
          <w:b/>
          <w:sz w:val="24"/>
        </w:rPr>
        <w:t>National</w:t>
      </w:r>
      <w:r>
        <w:rPr>
          <w:b/>
          <w:spacing w:val="-2"/>
          <w:sz w:val="24"/>
        </w:rPr>
        <w:t> </w:t>
      </w:r>
      <w:r>
        <w:rPr>
          <w:b/>
          <w:sz w:val="24"/>
        </w:rPr>
        <w:t>Disability</w:t>
      </w:r>
      <w:r>
        <w:rPr>
          <w:b/>
          <w:spacing w:val="-2"/>
          <w:sz w:val="24"/>
        </w:rPr>
        <w:t> Authority</w:t>
      </w:r>
    </w:p>
    <w:p>
      <w:pPr>
        <w:pStyle w:val="BodyText"/>
        <w:rPr>
          <w:b/>
          <w:sz w:val="24"/>
        </w:rPr>
      </w:pPr>
    </w:p>
    <w:p>
      <w:pPr>
        <w:spacing w:before="0"/>
        <w:ind w:left="1702" w:right="988" w:firstLine="0"/>
        <w:jc w:val="left"/>
        <w:rPr>
          <w:b/>
          <w:sz w:val="24"/>
        </w:rPr>
      </w:pPr>
      <w:r>
        <w:rPr>
          <w:b/>
          <w:sz w:val="24"/>
        </w:rPr>
        <w:t>STATEMENT</w:t>
      </w:r>
      <w:r>
        <w:rPr>
          <w:b/>
          <w:spacing w:val="-6"/>
          <w:sz w:val="24"/>
        </w:rPr>
        <w:t> </w:t>
      </w:r>
      <w:r>
        <w:rPr>
          <w:b/>
          <w:sz w:val="24"/>
        </w:rPr>
        <w:t>OF</w:t>
      </w:r>
      <w:r>
        <w:rPr>
          <w:b/>
          <w:spacing w:val="-6"/>
          <w:sz w:val="24"/>
        </w:rPr>
        <w:t> </w:t>
      </w:r>
      <w:r>
        <w:rPr>
          <w:b/>
          <w:sz w:val="24"/>
        </w:rPr>
        <w:t>INCOME</w:t>
      </w:r>
      <w:r>
        <w:rPr>
          <w:b/>
          <w:spacing w:val="-8"/>
          <w:sz w:val="24"/>
        </w:rPr>
        <w:t> </w:t>
      </w:r>
      <w:r>
        <w:rPr>
          <w:b/>
          <w:sz w:val="24"/>
        </w:rPr>
        <w:t>AND</w:t>
      </w:r>
      <w:r>
        <w:rPr>
          <w:b/>
          <w:spacing w:val="-6"/>
          <w:sz w:val="24"/>
        </w:rPr>
        <w:t> </w:t>
      </w:r>
      <w:r>
        <w:rPr>
          <w:b/>
          <w:sz w:val="24"/>
        </w:rPr>
        <w:t>EXPENDITURE</w:t>
      </w:r>
      <w:r>
        <w:rPr>
          <w:b/>
          <w:spacing w:val="-7"/>
          <w:sz w:val="24"/>
        </w:rPr>
        <w:t> </w:t>
      </w:r>
      <w:r>
        <w:rPr>
          <w:b/>
          <w:sz w:val="24"/>
        </w:rPr>
        <w:t>AND</w:t>
      </w:r>
      <w:r>
        <w:rPr>
          <w:b/>
          <w:spacing w:val="-6"/>
          <w:sz w:val="24"/>
        </w:rPr>
        <w:t> </w:t>
      </w:r>
      <w:r>
        <w:rPr>
          <w:b/>
          <w:sz w:val="24"/>
        </w:rPr>
        <w:t>RETAINED REVENUE RESERVES</w:t>
      </w:r>
    </w:p>
    <w:p>
      <w:pPr>
        <w:spacing w:before="0"/>
        <w:ind w:left="1702" w:right="0" w:firstLine="0"/>
        <w:jc w:val="left"/>
        <w:rPr>
          <w:b/>
          <w:i/>
          <w:sz w:val="24"/>
        </w:rPr>
      </w:pPr>
      <w:r>
        <w:rPr>
          <w:b/>
          <w:i/>
          <w:sz w:val="24"/>
        </w:rPr>
        <w:t>For</w:t>
      </w:r>
      <w:r>
        <w:rPr>
          <w:b/>
          <w:i/>
          <w:spacing w:val="-1"/>
          <w:sz w:val="24"/>
        </w:rPr>
        <w:t> </w:t>
      </w:r>
      <w:r>
        <w:rPr>
          <w:b/>
          <w:i/>
          <w:sz w:val="24"/>
        </w:rPr>
        <w:t>the</w:t>
      </w:r>
      <w:r>
        <w:rPr>
          <w:b/>
          <w:i/>
          <w:spacing w:val="-2"/>
          <w:sz w:val="24"/>
        </w:rPr>
        <w:t> </w:t>
      </w:r>
      <w:r>
        <w:rPr>
          <w:b/>
          <w:i/>
          <w:sz w:val="24"/>
        </w:rPr>
        <w:t>year</w:t>
      </w:r>
      <w:r>
        <w:rPr>
          <w:b/>
          <w:i/>
          <w:spacing w:val="-1"/>
          <w:sz w:val="24"/>
        </w:rPr>
        <w:t> </w:t>
      </w:r>
      <w:r>
        <w:rPr>
          <w:b/>
          <w:i/>
          <w:sz w:val="24"/>
        </w:rPr>
        <w:t>ended</w:t>
      </w:r>
      <w:r>
        <w:rPr>
          <w:b/>
          <w:i/>
          <w:spacing w:val="-1"/>
          <w:sz w:val="24"/>
        </w:rPr>
        <w:t> </w:t>
      </w:r>
      <w:r>
        <w:rPr>
          <w:b/>
          <w:i/>
          <w:sz w:val="24"/>
        </w:rPr>
        <w:t>31</w:t>
      </w:r>
      <w:r>
        <w:rPr>
          <w:b/>
          <w:i/>
          <w:spacing w:val="-3"/>
          <w:sz w:val="24"/>
        </w:rPr>
        <w:t> </w:t>
      </w:r>
      <w:r>
        <w:rPr>
          <w:b/>
          <w:i/>
          <w:sz w:val="24"/>
        </w:rPr>
        <w:t>December</w:t>
      </w:r>
      <w:r>
        <w:rPr>
          <w:b/>
          <w:i/>
          <w:spacing w:val="-1"/>
          <w:sz w:val="24"/>
        </w:rPr>
        <w:t> </w:t>
      </w:r>
      <w:r>
        <w:rPr>
          <w:b/>
          <w:i/>
          <w:spacing w:val="-4"/>
          <w:sz w:val="24"/>
        </w:rPr>
        <w:t>2017</w:t>
      </w:r>
    </w:p>
    <w:p>
      <w:pPr>
        <w:pStyle w:val="BodyText"/>
        <w:spacing w:before="34" w:after="1"/>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04"/>
        <w:gridCol w:w="1112"/>
        <w:gridCol w:w="1150"/>
        <w:gridCol w:w="1274"/>
      </w:tblGrid>
      <w:tr>
        <w:trPr>
          <w:trHeight w:val="670" w:hRule="atLeast"/>
        </w:trPr>
        <w:tc>
          <w:tcPr>
            <w:tcW w:w="4804" w:type="dxa"/>
          </w:tcPr>
          <w:p>
            <w:pPr>
              <w:pStyle w:val="TableParagraph"/>
              <w:rPr>
                <w:rFonts w:ascii="Times New Roman"/>
                <w:sz w:val="20"/>
              </w:rPr>
            </w:pPr>
          </w:p>
        </w:tc>
        <w:tc>
          <w:tcPr>
            <w:tcW w:w="1112" w:type="dxa"/>
          </w:tcPr>
          <w:p>
            <w:pPr>
              <w:pStyle w:val="TableParagraph"/>
              <w:spacing w:line="225" w:lineRule="exact"/>
              <w:ind w:left="457"/>
              <w:rPr>
                <w:rFonts w:ascii="Arial"/>
                <w:b/>
                <w:sz w:val="20"/>
              </w:rPr>
            </w:pPr>
            <w:r>
              <w:rPr>
                <w:rFonts w:ascii="Arial"/>
                <w:b/>
                <w:spacing w:val="-4"/>
                <w:sz w:val="20"/>
              </w:rPr>
              <w:t>Note</w:t>
            </w:r>
          </w:p>
        </w:tc>
        <w:tc>
          <w:tcPr>
            <w:tcW w:w="1150" w:type="dxa"/>
          </w:tcPr>
          <w:p>
            <w:pPr>
              <w:pStyle w:val="TableParagraph"/>
              <w:spacing w:line="225" w:lineRule="exact"/>
              <w:ind w:right="110"/>
              <w:jc w:val="right"/>
              <w:rPr>
                <w:rFonts w:ascii="Arial"/>
                <w:b/>
                <w:sz w:val="20"/>
              </w:rPr>
            </w:pPr>
            <w:r>
              <w:rPr>
                <w:rFonts w:ascii="Arial"/>
                <w:b/>
                <w:spacing w:val="-4"/>
                <w:sz w:val="20"/>
              </w:rPr>
              <w:t>2017</w:t>
            </w:r>
          </w:p>
          <w:p>
            <w:pPr>
              <w:pStyle w:val="TableParagraph"/>
              <w:spacing w:line="195" w:lineRule="exact" w:before="231"/>
              <w:ind w:right="107"/>
              <w:jc w:val="right"/>
              <w:rPr>
                <w:rFonts w:ascii="Arial" w:hAnsi="Arial"/>
                <w:b/>
                <w:sz w:val="20"/>
              </w:rPr>
            </w:pPr>
            <w:r>
              <w:rPr>
                <w:rFonts w:ascii="Arial" w:hAnsi="Arial"/>
                <w:b/>
                <w:spacing w:val="-10"/>
                <w:sz w:val="20"/>
              </w:rPr>
              <w:t>€</w:t>
            </w:r>
          </w:p>
        </w:tc>
        <w:tc>
          <w:tcPr>
            <w:tcW w:w="1274" w:type="dxa"/>
            <w:shd w:val="clear" w:color="auto" w:fill="E4E4E4"/>
          </w:tcPr>
          <w:p>
            <w:pPr>
              <w:pStyle w:val="TableParagraph"/>
              <w:spacing w:line="225" w:lineRule="exact"/>
              <w:ind w:right="107"/>
              <w:jc w:val="right"/>
              <w:rPr>
                <w:rFonts w:ascii="Arial"/>
                <w:b/>
                <w:sz w:val="20"/>
              </w:rPr>
            </w:pPr>
            <w:r>
              <w:rPr>
                <w:rFonts w:ascii="Arial"/>
                <w:b/>
                <w:spacing w:val="-4"/>
                <w:sz w:val="20"/>
              </w:rPr>
              <w:t>2016</w:t>
            </w:r>
          </w:p>
          <w:p>
            <w:pPr>
              <w:pStyle w:val="TableParagraph"/>
              <w:spacing w:line="195" w:lineRule="exact" w:before="231"/>
              <w:ind w:right="104"/>
              <w:jc w:val="right"/>
              <w:rPr>
                <w:rFonts w:ascii="Arial" w:hAnsi="Arial"/>
                <w:b/>
                <w:sz w:val="20"/>
              </w:rPr>
            </w:pPr>
            <w:r>
              <w:rPr>
                <w:rFonts w:ascii="Arial" w:hAnsi="Arial"/>
                <w:b/>
                <w:spacing w:val="-10"/>
                <w:sz w:val="20"/>
              </w:rPr>
              <w:t>€</w:t>
            </w:r>
          </w:p>
        </w:tc>
      </w:tr>
      <w:tr>
        <w:trPr>
          <w:trHeight w:val="250" w:hRule="atLeast"/>
        </w:trPr>
        <w:tc>
          <w:tcPr>
            <w:tcW w:w="4804" w:type="dxa"/>
          </w:tcPr>
          <w:p>
            <w:pPr>
              <w:pStyle w:val="TableParagraph"/>
              <w:spacing w:line="231" w:lineRule="exact"/>
              <w:ind w:left="50"/>
              <w:rPr>
                <w:b/>
                <w:sz w:val="22"/>
              </w:rPr>
            </w:pPr>
            <w:r>
              <w:rPr>
                <w:b/>
                <w:spacing w:val="-2"/>
                <w:sz w:val="22"/>
              </w:rPr>
              <w:t>Income</w:t>
            </w:r>
          </w:p>
        </w:tc>
        <w:tc>
          <w:tcPr>
            <w:tcW w:w="1112" w:type="dxa"/>
          </w:tcPr>
          <w:p>
            <w:pPr>
              <w:pStyle w:val="TableParagraph"/>
              <w:rPr>
                <w:rFonts w:ascii="Times New Roman"/>
                <w:sz w:val="18"/>
              </w:rPr>
            </w:pPr>
          </w:p>
        </w:tc>
        <w:tc>
          <w:tcPr>
            <w:tcW w:w="1150" w:type="dxa"/>
          </w:tcPr>
          <w:p>
            <w:pPr>
              <w:pStyle w:val="TableParagraph"/>
              <w:rPr>
                <w:rFonts w:ascii="Times New Roman"/>
                <w:sz w:val="18"/>
              </w:rPr>
            </w:pPr>
          </w:p>
        </w:tc>
        <w:tc>
          <w:tcPr>
            <w:tcW w:w="1274" w:type="dxa"/>
            <w:shd w:val="clear" w:color="auto" w:fill="E4E4E4"/>
          </w:tcPr>
          <w:p>
            <w:pPr>
              <w:pStyle w:val="TableParagraph"/>
              <w:rPr>
                <w:rFonts w:ascii="Times New Roman"/>
                <w:sz w:val="18"/>
              </w:rPr>
            </w:pPr>
          </w:p>
        </w:tc>
      </w:tr>
      <w:tr>
        <w:trPr>
          <w:trHeight w:val="261" w:hRule="atLeast"/>
        </w:trPr>
        <w:tc>
          <w:tcPr>
            <w:tcW w:w="4804" w:type="dxa"/>
          </w:tcPr>
          <w:p>
            <w:pPr>
              <w:pStyle w:val="TableParagraph"/>
              <w:spacing w:line="242" w:lineRule="exact"/>
              <w:ind w:left="50"/>
              <w:rPr>
                <w:sz w:val="22"/>
              </w:rPr>
            </w:pPr>
            <w:r>
              <w:rPr>
                <w:sz w:val="22"/>
              </w:rPr>
              <w:t>Oireachtas</w:t>
            </w:r>
            <w:r>
              <w:rPr>
                <w:spacing w:val="-5"/>
                <w:sz w:val="22"/>
              </w:rPr>
              <w:t> </w:t>
            </w:r>
            <w:r>
              <w:rPr>
                <w:spacing w:val="-2"/>
                <w:sz w:val="22"/>
              </w:rPr>
              <w:t>Grants</w:t>
            </w:r>
          </w:p>
        </w:tc>
        <w:tc>
          <w:tcPr>
            <w:tcW w:w="1112" w:type="dxa"/>
          </w:tcPr>
          <w:p>
            <w:pPr>
              <w:pStyle w:val="TableParagraph"/>
              <w:spacing w:line="193" w:lineRule="exact" w:before="48"/>
              <w:ind w:left="433"/>
              <w:rPr>
                <w:rFonts w:ascii="Arial"/>
                <w:sz w:val="20"/>
              </w:rPr>
            </w:pPr>
            <w:r>
              <w:rPr>
                <w:rFonts w:ascii="Arial"/>
                <w:spacing w:val="-10"/>
                <w:sz w:val="20"/>
              </w:rPr>
              <w:t>2</w:t>
            </w:r>
          </w:p>
        </w:tc>
        <w:tc>
          <w:tcPr>
            <w:tcW w:w="1150" w:type="dxa"/>
          </w:tcPr>
          <w:p>
            <w:pPr>
              <w:pStyle w:val="TableParagraph"/>
              <w:spacing w:line="193" w:lineRule="exact" w:before="48"/>
              <w:ind w:right="110"/>
              <w:jc w:val="right"/>
              <w:rPr>
                <w:rFonts w:ascii="Arial"/>
                <w:sz w:val="20"/>
              </w:rPr>
            </w:pPr>
            <w:r>
              <w:rPr>
                <w:rFonts w:ascii="Arial"/>
                <w:spacing w:val="-2"/>
                <w:sz w:val="20"/>
              </w:rPr>
              <w:t>3,992,832</w:t>
            </w:r>
          </w:p>
        </w:tc>
        <w:tc>
          <w:tcPr>
            <w:tcW w:w="1274" w:type="dxa"/>
            <w:shd w:val="clear" w:color="auto" w:fill="E4E4E4"/>
          </w:tcPr>
          <w:p>
            <w:pPr>
              <w:pStyle w:val="TableParagraph"/>
              <w:spacing w:line="193" w:lineRule="exact" w:before="48"/>
              <w:ind w:right="107"/>
              <w:jc w:val="right"/>
              <w:rPr>
                <w:rFonts w:ascii="Arial"/>
                <w:sz w:val="20"/>
              </w:rPr>
            </w:pPr>
            <w:r>
              <w:rPr>
                <w:rFonts w:ascii="Arial"/>
                <w:spacing w:val="-2"/>
                <w:sz w:val="20"/>
              </w:rPr>
              <w:t>3,633,180</w:t>
            </w:r>
          </w:p>
        </w:tc>
      </w:tr>
      <w:tr>
        <w:trPr>
          <w:trHeight w:val="251" w:hRule="atLeast"/>
        </w:trPr>
        <w:tc>
          <w:tcPr>
            <w:tcW w:w="4804" w:type="dxa"/>
          </w:tcPr>
          <w:p>
            <w:pPr>
              <w:pStyle w:val="TableParagraph"/>
              <w:spacing w:line="232" w:lineRule="exact"/>
              <w:ind w:left="50"/>
              <w:rPr>
                <w:sz w:val="22"/>
              </w:rPr>
            </w:pPr>
            <w:r>
              <w:rPr>
                <w:sz w:val="22"/>
              </w:rPr>
              <w:t>Net</w:t>
            </w:r>
            <w:r>
              <w:rPr>
                <w:spacing w:val="-3"/>
                <w:sz w:val="22"/>
              </w:rPr>
              <w:t> </w:t>
            </w:r>
            <w:r>
              <w:rPr>
                <w:sz w:val="22"/>
              </w:rPr>
              <w:t>Deferred</w:t>
            </w:r>
            <w:r>
              <w:rPr>
                <w:spacing w:val="-4"/>
                <w:sz w:val="22"/>
              </w:rPr>
              <w:t> </w:t>
            </w:r>
            <w:r>
              <w:rPr>
                <w:sz w:val="22"/>
              </w:rPr>
              <w:t>Pension</w:t>
            </w:r>
            <w:r>
              <w:rPr>
                <w:spacing w:val="-3"/>
                <w:sz w:val="22"/>
              </w:rPr>
              <w:t> </w:t>
            </w:r>
            <w:r>
              <w:rPr>
                <w:spacing w:val="-2"/>
                <w:sz w:val="22"/>
              </w:rPr>
              <w:t>Funding</w:t>
            </w:r>
          </w:p>
        </w:tc>
        <w:tc>
          <w:tcPr>
            <w:tcW w:w="1112" w:type="dxa"/>
          </w:tcPr>
          <w:p>
            <w:pPr>
              <w:pStyle w:val="TableParagraph"/>
              <w:spacing w:line="215" w:lineRule="exact" w:before="17"/>
              <w:ind w:left="433"/>
              <w:rPr>
                <w:rFonts w:ascii="Arial"/>
                <w:sz w:val="20"/>
              </w:rPr>
            </w:pPr>
            <w:r>
              <w:rPr>
                <w:rFonts w:ascii="Arial"/>
                <w:spacing w:val="-10"/>
                <w:sz w:val="20"/>
              </w:rPr>
              <w:t>3</w:t>
            </w:r>
          </w:p>
        </w:tc>
        <w:tc>
          <w:tcPr>
            <w:tcW w:w="1150" w:type="dxa"/>
          </w:tcPr>
          <w:p>
            <w:pPr>
              <w:pStyle w:val="TableParagraph"/>
              <w:spacing w:line="203" w:lineRule="exact" w:before="29"/>
              <w:ind w:right="110"/>
              <w:jc w:val="right"/>
              <w:rPr>
                <w:rFonts w:ascii="Arial"/>
                <w:sz w:val="20"/>
              </w:rPr>
            </w:pPr>
            <w:r>
              <w:rPr>
                <w:rFonts w:ascii="Arial"/>
                <w:spacing w:val="-2"/>
                <w:sz w:val="20"/>
              </w:rPr>
              <w:t>504,600</w:t>
            </w:r>
          </w:p>
        </w:tc>
        <w:tc>
          <w:tcPr>
            <w:tcW w:w="1274" w:type="dxa"/>
            <w:shd w:val="clear" w:color="auto" w:fill="E4E4E4"/>
          </w:tcPr>
          <w:p>
            <w:pPr>
              <w:pStyle w:val="TableParagraph"/>
              <w:spacing w:line="203" w:lineRule="exact" w:before="29"/>
              <w:ind w:right="107"/>
              <w:jc w:val="right"/>
              <w:rPr>
                <w:rFonts w:ascii="Arial"/>
                <w:sz w:val="20"/>
              </w:rPr>
            </w:pPr>
            <w:r>
              <w:rPr>
                <w:rFonts w:ascii="Arial"/>
                <w:spacing w:val="-2"/>
                <w:sz w:val="20"/>
              </w:rPr>
              <w:t>413,700</w:t>
            </w:r>
          </w:p>
        </w:tc>
      </w:tr>
      <w:tr>
        <w:trPr>
          <w:trHeight w:val="254" w:hRule="atLeast"/>
        </w:trPr>
        <w:tc>
          <w:tcPr>
            <w:tcW w:w="4804" w:type="dxa"/>
          </w:tcPr>
          <w:p>
            <w:pPr>
              <w:pStyle w:val="TableParagraph"/>
              <w:spacing w:line="234" w:lineRule="exact"/>
              <w:ind w:left="50"/>
              <w:rPr>
                <w:sz w:val="22"/>
              </w:rPr>
            </w:pPr>
            <w:r>
              <w:rPr>
                <w:sz w:val="22"/>
              </w:rPr>
              <w:t>Other</w:t>
            </w:r>
            <w:r>
              <w:rPr>
                <w:spacing w:val="-5"/>
                <w:sz w:val="22"/>
              </w:rPr>
              <w:t> </w:t>
            </w:r>
            <w:r>
              <w:rPr>
                <w:spacing w:val="-2"/>
                <w:sz w:val="22"/>
              </w:rPr>
              <w:t>Income</w:t>
            </w:r>
          </w:p>
        </w:tc>
        <w:tc>
          <w:tcPr>
            <w:tcW w:w="1112" w:type="dxa"/>
          </w:tcPr>
          <w:p>
            <w:pPr>
              <w:pStyle w:val="TableParagraph"/>
              <w:spacing w:line="215" w:lineRule="exact" w:before="19"/>
              <w:ind w:left="433"/>
              <w:rPr>
                <w:rFonts w:ascii="Arial"/>
                <w:sz w:val="20"/>
              </w:rPr>
            </w:pPr>
            <w:r>
              <w:rPr>
                <w:rFonts w:ascii="Arial"/>
                <w:spacing w:val="-10"/>
                <w:sz w:val="20"/>
              </w:rPr>
              <w:t>4</w:t>
            </w:r>
          </w:p>
        </w:tc>
        <w:tc>
          <w:tcPr>
            <w:tcW w:w="1150" w:type="dxa"/>
          </w:tcPr>
          <w:p>
            <w:pPr>
              <w:pStyle w:val="TableParagraph"/>
              <w:spacing w:line="203" w:lineRule="exact" w:before="31"/>
              <w:ind w:right="110"/>
              <w:jc w:val="right"/>
              <w:rPr>
                <w:rFonts w:ascii="Arial"/>
                <w:sz w:val="20"/>
              </w:rPr>
            </w:pPr>
            <w:r>
              <w:rPr>
                <w:rFonts w:ascii="Arial"/>
                <w:spacing w:val="-2"/>
                <w:sz w:val="20"/>
              </w:rPr>
              <w:t>121,483</w:t>
            </w:r>
          </w:p>
        </w:tc>
        <w:tc>
          <w:tcPr>
            <w:tcW w:w="1274" w:type="dxa"/>
            <w:shd w:val="clear" w:color="auto" w:fill="E4E4E4"/>
          </w:tcPr>
          <w:p>
            <w:pPr>
              <w:pStyle w:val="TableParagraph"/>
              <w:spacing w:line="203" w:lineRule="exact" w:before="31"/>
              <w:ind w:right="107"/>
              <w:jc w:val="right"/>
              <w:rPr>
                <w:rFonts w:ascii="Arial"/>
                <w:sz w:val="20"/>
              </w:rPr>
            </w:pPr>
            <w:r>
              <w:rPr>
                <w:rFonts w:ascii="Arial"/>
                <w:spacing w:val="-2"/>
                <w:sz w:val="20"/>
              </w:rPr>
              <w:t>128,549</w:t>
            </w:r>
          </w:p>
        </w:tc>
      </w:tr>
      <w:tr>
        <w:trPr>
          <w:trHeight w:val="276" w:hRule="atLeast"/>
        </w:trPr>
        <w:tc>
          <w:tcPr>
            <w:tcW w:w="4804" w:type="dxa"/>
          </w:tcPr>
          <w:p>
            <w:pPr>
              <w:pStyle w:val="TableParagraph"/>
              <w:spacing w:line="253" w:lineRule="exact"/>
              <w:ind w:left="50"/>
              <w:rPr>
                <w:sz w:val="22"/>
              </w:rPr>
            </w:pPr>
            <w:r>
              <w:rPr>
                <w:sz w:val="22"/>
              </w:rPr>
              <w:t>Transfer</w:t>
            </w:r>
            <w:r>
              <w:rPr>
                <w:spacing w:val="-7"/>
                <w:sz w:val="22"/>
              </w:rPr>
              <w:t> </w:t>
            </w:r>
            <w:r>
              <w:rPr>
                <w:sz w:val="22"/>
              </w:rPr>
              <w:t>from/(to)</w:t>
            </w:r>
            <w:r>
              <w:rPr>
                <w:spacing w:val="-6"/>
                <w:sz w:val="22"/>
              </w:rPr>
              <w:t> </w:t>
            </w:r>
            <w:r>
              <w:rPr>
                <w:sz w:val="22"/>
              </w:rPr>
              <w:t>the</w:t>
            </w:r>
            <w:r>
              <w:rPr>
                <w:spacing w:val="-7"/>
                <w:sz w:val="22"/>
              </w:rPr>
              <w:t> </w:t>
            </w:r>
            <w:r>
              <w:rPr>
                <w:sz w:val="22"/>
              </w:rPr>
              <w:t>Capital</w:t>
            </w:r>
            <w:r>
              <w:rPr>
                <w:spacing w:val="-4"/>
                <w:sz w:val="22"/>
              </w:rPr>
              <w:t> </w:t>
            </w:r>
            <w:r>
              <w:rPr>
                <w:spacing w:val="-2"/>
                <w:sz w:val="22"/>
              </w:rPr>
              <w:t>Account</w:t>
            </w:r>
          </w:p>
        </w:tc>
        <w:tc>
          <w:tcPr>
            <w:tcW w:w="1112" w:type="dxa"/>
          </w:tcPr>
          <w:p>
            <w:pPr>
              <w:pStyle w:val="TableParagraph"/>
              <w:spacing w:before="19"/>
              <w:ind w:left="433"/>
              <w:rPr>
                <w:rFonts w:ascii="Arial"/>
                <w:sz w:val="20"/>
              </w:rPr>
            </w:pPr>
            <w:r>
              <w:rPr>
                <w:rFonts w:ascii="Arial"/>
                <w:spacing w:val="-10"/>
                <w:sz w:val="20"/>
              </w:rPr>
              <w:t>7</w:t>
            </w:r>
          </w:p>
        </w:tc>
        <w:tc>
          <w:tcPr>
            <w:tcW w:w="1150" w:type="dxa"/>
            <w:tcBorders>
              <w:bottom w:val="single" w:sz="4" w:space="0" w:color="000000"/>
            </w:tcBorders>
          </w:tcPr>
          <w:p>
            <w:pPr>
              <w:pStyle w:val="TableParagraph"/>
              <w:spacing w:line="225" w:lineRule="exact" w:before="31"/>
              <w:ind w:right="110"/>
              <w:jc w:val="right"/>
              <w:rPr>
                <w:rFonts w:ascii="Arial"/>
                <w:sz w:val="20"/>
              </w:rPr>
            </w:pPr>
            <w:r>
              <w:rPr>
                <w:rFonts w:ascii="Arial"/>
                <w:spacing w:val="-2"/>
                <w:sz w:val="20"/>
              </w:rPr>
              <w:t>78,981</w:t>
            </w:r>
          </w:p>
        </w:tc>
        <w:tc>
          <w:tcPr>
            <w:tcW w:w="1274" w:type="dxa"/>
            <w:tcBorders>
              <w:bottom w:val="single" w:sz="4" w:space="0" w:color="000000"/>
            </w:tcBorders>
            <w:shd w:val="clear" w:color="auto" w:fill="E4E4E4"/>
          </w:tcPr>
          <w:p>
            <w:pPr>
              <w:pStyle w:val="TableParagraph"/>
              <w:spacing w:line="225" w:lineRule="exact" w:before="31"/>
              <w:ind w:right="108"/>
              <w:jc w:val="right"/>
              <w:rPr>
                <w:rFonts w:ascii="Arial"/>
                <w:sz w:val="20"/>
              </w:rPr>
            </w:pPr>
            <w:r>
              <w:rPr>
                <w:rFonts w:ascii="Arial"/>
                <w:spacing w:val="-2"/>
                <w:sz w:val="20"/>
              </w:rPr>
              <w:t>(363,806)</w:t>
            </w:r>
          </w:p>
        </w:tc>
      </w:tr>
      <w:tr>
        <w:trPr>
          <w:trHeight w:val="458" w:hRule="atLeast"/>
        </w:trPr>
        <w:tc>
          <w:tcPr>
            <w:tcW w:w="4804" w:type="dxa"/>
          </w:tcPr>
          <w:p>
            <w:pPr>
              <w:pStyle w:val="TableParagraph"/>
              <w:spacing w:before="181"/>
              <w:ind w:left="50"/>
              <w:rPr>
                <w:b/>
                <w:sz w:val="22"/>
              </w:rPr>
            </w:pPr>
            <w:r>
              <w:rPr>
                <w:b/>
                <w:sz w:val="22"/>
              </w:rPr>
              <w:t>Total</w:t>
            </w:r>
            <w:r>
              <w:rPr>
                <w:b/>
                <w:spacing w:val="-4"/>
                <w:sz w:val="22"/>
              </w:rPr>
              <w:t> </w:t>
            </w:r>
            <w:r>
              <w:rPr>
                <w:b/>
                <w:spacing w:val="-2"/>
                <w:sz w:val="22"/>
              </w:rPr>
              <w:t>Income</w:t>
            </w:r>
          </w:p>
        </w:tc>
        <w:tc>
          <w:tcPr>
            <w:tcW w:w="1112" w:type="dxa"/>
          </w:tcPr>
          <w:p>
            <w:pPr>
              <w:pStyle w:val="TableParagraph"/>
              <w:rPr>
                <w:rFonts w:ascii="Times New Roman"/>
                <w:sz w:val="20"/>
              </w:rPr>
            </w:pPr>
          </w:p>
        </w:tc>
        <w:tc>
          <w:tcPr>
            <w:tcW w:w="1150" w:type="dxa"/>
            <w:tcBorders>
              <w:top w:val="single" w:sz="4" w:space="0" w:color="000000"/>
              <w:bottom w:val="single" w:sz="4" w:space="0" w:color="000000"/>
            </w:tcBorders>
          </w:tcPr>
          <w:p>
            <w:pPr>
              <w:pStyle w:val="TableParagraph"/>
              <w:spacing w:line="213" w:lineRule="exact" w:before="225"/>
              <w:ind w:right="136"/>
              <w:jc w:val="right"/>
              <w:rPr>
                <w:rFonts w:ascii="Arial"/>
                <w:b/>
                <w:sz w:val="20"/>
              </w:rPr>
            </w:pPr>
            <w:r>
              <w:rPr>
                <w:rFonts w:ascii="Arial"/>
                <w:b/>
                <w:spacing w:val="-2"/>
                <w:sz w:val="20"/>
              </w:rPr>
              <w:t>4,697,896</w:t>
            </w:r>
          </w:p>
        </w:tc>
        <w:tc>
          <w:tcPr>
            <w:tcW w:w="1274" w:type="dxa"/>
            <w:tcBorders>
              <w:top w:val="single" w:sz="4" w:space="0" w:color="000000"/>
              <w:bottom w:val="single" w:sz="4" w:space="0" w:color="000000"/>
            </w:tcBorders>
            <w:shd w:val="clear" w:color="auto" w:fill="E4E4E4"/>
          </w:tcPr>
          <w:p>
            <w:pPr>
              <w:pStyle w:val="TableParagraph"/>
              <w:spacing w:line="213" w:lineRule="exact" w:before="225"/>
              <w:ind w:right="107"/>
              <w:jc w:val="right"/>
              <w:rPr>
                <w:rFonts w:ascii="Arial"/>
                <w:b/>
                <w:sz w:val="20"/>
              </w:rPr>
            </w:pPr>
            <w:r>
              <w:rPr>
                <w:rFonts w:ascii="Arial"/>
                <w:b/>
                <w:spacing w:val="-2"/>
                <w:sz w:val="20"/>
              </w:rPr>
              <w:t>3,811,623</w:t>
            </w:r>
          </w:p>
        </w:tc>
      </w:tr>
      <w:tr>
        <w:trPr>
          <w:trHeight w:val="489" w:hRule="atLeast"/>
        </w:trPr>
        <w:tc>
          <w:tcPr>
            <w:tcW w:w="4804" w:type="dxa"/>
          </w:tcPr>
          <w:p>
            <w:pPr>
              <w:pStyle w:val="TableParagraph"/>
              <w:spacing w:line="234" w:lineRule="exact" w:before="234"/>
              <w:ind w:left="50"/>
              <w:rPr>
                <w:b/>
                <w:sz w:val="22"/>
              </w:rPr>
            </w:pPr>
            <w:r>
              <w:rPr>
                <w:b/>
                <w:spacing w:val="-2"/>
                <w:sz w:val="22"/>
              </w:rPr>
              <w:t>Expenditure</w:t>
            </w:r>
          </w:p>
        </w:tc>
        <w:tc>
          <w:tcPr>
            <w:tcW w:w="1112" w:type="dxa"/>
          </w:tcPr>
          <w:p>
            <w:pPr>
              <w:pStyle w:val="TableParagraph"/>
              <w:rPr>
                <w:rFonts w:ascii="Times New Roman"/>
                <w:sz w:val="20"/>
              </w:rPr>
            </w:pPr>
          </w:p>
        </w:tc>
        <w:tc>
          <w:tcPr>
            <w:tcW w:w="1150" w:type="dxa"/>
            <w:tcBorders>
              <w:top w:val="single" w:sz="4" w:space="0" w:color="000000"/>
            </w:tcBorders>
          </w:tcPr>
          <w:p>
            <w:pPr>
              <w:pStyle w:val="TableParagraph"/>
              <w:rPr>
                <w:rFonts w:ascii="Times New Roman"/>
                <w:sz w:val="20"/>
              </w:rPr>
            </w:pPr>
          </w:p>
        </w:tc>
        <w:tc>
          <w:tcPr>
            <w:tcW w:w="1274" w:type="dxa"/>
            <w:tcBorders>
              <w:top w:val="single" w:sz="4" w:space="0" w:color="000000"/>
            </w:tcBorders>
            <w:shd w:val="clear" w:color="auto" w:fill="E4E4E4"/>
          </w:tcPr>
          <w:p>
            <w:pPr>
              <w:pStyle w:val="TableParagraph"/>
              <w:rPr>
                <w:rFonts w:ascii="Times New Roman"/>
                <w:sz w:val="20"/>
              </w:rPr>
            </w:pPr>
          </w:p>
        </w:tc>
      </w:tr>
      <w:tr>
        <w:trPr>
          <w:trHeight w:val="257" w:hRule="atLeast"/>
        </w:trPr>
        <w:tc>
          <w:tcPr>
            <w:tcW w:w="4804" w:type="dxa"/>
          </w:tcPr>
          <w:p>
            <w:pPr>
              <w:pStyle w:val="TableParagraph"/>
              <w:spacing w:line="238" w:lineRule="exact"/>
              <w:ind w:left="50"/>
              <w:rPr>
                <w:sz w:val="22"/>
              </w:rPr>
            </w:pPr>
            <w:r>
              <w:rPr>
                <w:sz w:val="22"/>
              </w:rPr>
              <w:t>Projects</w:t>
            </w:r>
            <w:r>
              <w:rPr>
                <w:spacing w:val="-7"/>
                <w:sz w:val="22"/>
              </w:rPr>
              <w:t> </w:t>
            </w:r>
            <w:r>
              <w:rPr>
                <w:sz w:val="22"/>
              </w:rPr>
              <w:t>and</w:t>
            </w:r>
            <w:r>
              <w:rPr>
                <w:spacing w:val="-5"/>
                <w:sz w:val="22"/>
              </w:rPr>
              <w:t> </w:t>
            </w:r>
            <w:r>
              <w:rPr>
                <w:sz w:val="22"/>
              </w:rPr>
              <w:t>Commissioned</w:t>
            </w:r>
            <w:r>
              <w:rPr>
                <w:spacing w:val="-3"/>
                <w:sz w:val="22"/>
              </w:rPr>
              <w:t> </w:t>
            </w:r>
            <w:r>
              <w:rPr>
                <w:sz w:val="22"/>
              </w:rPr>
              <w:t>Works</w:t>
            </w:r>
            <w:r>
              <w:rPr>
                <w:spacing w:val="-4"/>
                <w:sz w:val="22"/>
              </w:rPr>
              <w:t> </w:t>
            </w:r>
            <w:r>
              <w:rPr>
                <w:spacing w:val="-2"/>
                <w:sz w:val="22"/>
              </w:rPr>
              <w:t>Payable</w:t>
            </w:r>
          </w:p>
        </w:tc>
        <w:tc>
          <w:tcPr>
            <w:tcW w:w="1112" w:type="dxa"/>
          </w:tcPr>
          <w:p>
            <w:pPr>
              <w:pStyle w:val="TableParagraph"/>
              <w:spacing w:line="216" w:lineRule="exact" w:before="21"/>
              <w:ind w:left="433"/>
              <w:rPr>
                <w:rFonts w:ascii="Arial"/>
                <w:sz w:val="20"/>
              </w:rPr>
            </w:pPr>
            <w:r>
              <w:rPr>
                <w:rFonts w:ascii="Arial"/>
                <w:spacing w:val="-10"/>
                <w:sz w:val="20"/>
              </w:rPr>
              <w:t>5</w:t>
            </w:r>
          </w:p>
        </w:tc>
        <w:tc>
          <w:tcPr>
            <w:tcW w:w="1150" w:type="dxa"/>
          </w:tcPr>
          <w:p>
            <w:pPr>
              <w:pStyle w:val="TableParagraph"/>
              <w:spacing w:line="204" w:lineRule="exact" w:before="33"/>
              <w:ind w:right="110"/>
              <w:jc w:val="right"/>
              <w:rPr>
                <w:rFonts w:ascii="Arial"/>
                <w:sz w:val="20"/>
              </w:rPr>
            </w:pPr>
            <w:r>
              <w:rPr>
                <w:rFonts w:ascii="Arial"/>
                <w:spacing w:val="-2"/>
                <w:sz w:val="20"/>
              </w:rPr>
              <w:t>577,400</w:t>
            </w:r>
          </w:p>
        </w:tc>
        <w:tc>
          <w:tcPr>
            <w:tcW w:w="1274" w:type="dxa"/>
            <w:shd w:val="clear" w:color="auto" w:fill="E4E4E4"/>
          </w:tcPr>
          <w:p>
            <w:pPr>
              <w:pStyle w:val="TableParagraph"/>
              <w:spacing w:line="204" w:lineRule="exact" w:before="33"/>
              <w:ind w:right="107"/>
              <w:jc w:val="right"/>
              <w:rPr>
                <w:rFonts w:ascii="Arial"/>
                <w:sz w:val="20"/>
              </w:rPr>
            </w:pPr>
            <w:r>
              <w:rPr>
                <w:rFonts w:ascii="Arial"/>
                <w:spacing w:val="-2"/>
                <w:sz w:val="20"/>
              </w:rPr>
              <w:t>446,043</w:t>
            </w:r>
          </w:p>
        </w:tc>
      </w:tr>
      <w:tr>
        <w:trPr>
          <w:trHeight w:val="255" w:hRule="atLeast"/>
        </w:trPr>
        <w:tc>
          <w:tcPr>
            <w:tcW w:w="4804" w:type="dxa"/>
          </w:tcPr>
          <w:p>
            <w:pPr>
              <w:pStyle w:val="TableParagraph"/>
              <w:spacing w:line="235" w:lineRule="exact"/>
              <w:ind w:left="50"/>
              <w:rPr>
                <w:sz w:val="22"/>
              </w:rPr>
            </w:pPr>
            <w:r>
              <w:rPr>
                <w:sz w:val="22"/>
              </w:rPr>
              <w:t>Administration</w:t>
            </w:r>
            <w:r>
              <w:rPr>
                <w:spacing w:val="-6"/>
                <w:sz w:val="22"/>
              </w:rPr>
              <w:t> </w:t>
            </w:r>
            <w:r>
              <w:rPr>
                <w:sz w:val="22"/>
              </w:rPr>
              <w:t>and</w:t>
            </w:r>
            <w:r>
              <w:rPr>
                <w:spacing w:val="-6"/>
                <w:sz w:val="22"/>
              </w:rPr>
              <w:t> </w:t>
            </w:r>
            <w:r>
              <w:rPr>
                <w:sz w:val="22"/>
              </w:rPr>
              <w:t>Operations</w:t>
            </w:r>
            <w:r>
              <w:rPr>
                <w:spacing w:val="-4"/>
                <w:sz w:val="22"/>
              </w:rPr>
              <w:t> Costs</w:t>
            </w:r>
          </w:p>
        </w:tc>
        <w:tc>
          <w:tcPr>
            <w:tcW w:w="1112" w:type="dxa"/>
          </w:tcPr>
          <w:p>
            <w:pPr>
              <w:pStyle w:val="TableParagraph"/>
              <w:spacing w:line="217" w:lineRule="exact" w:before="18"/>
              <w:ind w:left="433"/>
              <w:rPr>
                <w:rFonts w:ascii="Arial"/>
                <w:sz w:val="20"/>
              </w:rPr>
            </w:pPr>
            <w:r>
              <w:rPr>
                <w:rFonts w:ascii="Arial"/>
                <w:spacing w:val="-10"/>
                <w:sz w:val="20"/>
              </w:rPr>
              <w:t>6</w:t>
            </w:r>
          </w:p>
        </w:tc>
        <w:tc>
          <w:tcPr>
            <w:tcW w:w="1150" w:type="dxa"/>
          </w:tcPr>
          <w:p>
            <w:pPr>
              <w:pStyle w:val="TableParagraph"/>
              <w:spacing w:line="203" w:lineRule="exact" w:before="32"/>
              <w:ind w:right="110"/>
              <w:jc w:val="right"/>
              <w:rPr>
                <w:rFonts w:ascii="Arial"/>
                <w:sz w:val="20"/>
              </w:rPr>
            </w:pPr>
            <w:r>
              <w:rPr>
                <w:rFonts w:ascii="Arial"/>
                <w:spacing w:val="-2"/>
                <w:sz w:val="20"/>
              </w:rPr>
              <w:t>2,785,361</w:t>
            </w:r>
          </w:p>
        </w:tc>
        <w:tc>
          <w:tcPr>
            <w:tcW w:w="1274" w:type="dxa"/>
            <w:shd w:val="clear" w:color="auto" w:fill="E4E4E4"/>
          </w:tcPr>
          <w:p>
            <w:pPr>
              <w:pStyle w:val="TableParagraph"/>
              <w:spacing w:line="203" w:lineRule="exact" w:before="32"/>
              <w:ind w:right="107"/>
              <w:jc w:val="right"/>
              <w:rPr>
                <w:rFonts w:ascii="Arial"/>
                <w:sz w:val="20"/>
              </w:rPr>
            </w:pPr>
            <w:r>
              <w:rPr>
                <w:rFonts w:ascii="Arial"/>
                <w:spacing w:val="-2"/>
                <w:sz w:val="20"/>
              </w:rPr>
              <w:t>2,510,437</w:t>
            </w:r>
          </w:p>
        </w:tc>
      </w:tr>
      <w:tr>
        <w:trPr>
          <w:trHeight w:val="254" w:hRule="atLeast"/>
        </w:trPr>
        <w:tc>
          <w:tcPr>
            <w:tcW w:w="4804" w:type="dxa"/>
          </w:tcPr>
          <w:p>
            <w:pPr>
              <w:pStyle w:val="TableParagraph"/>
              <w:spacing w:line="234" w:lineRule="exact"/>
              <w:ind w:left="50"/>
              <w:rPr>
                <w:sz w:val="22"/>
              </w:rPr>
            </w:pPr>
            <w:r>
              <w:rPr>
                <w:sz w:val="22"/>
              </w:rPr>
              <w:t>Retirement</w:t>
            </w:r>
            <w:r>
              <w:rPr>
                <w:spacing w:val="-6"/>
                <w:sz w:val="22"/>
              </w:rPr>
              <w:t> </w:t>
            </w:r>
            <w:r>
              <w:rPr>
                <w:sz w:val="22"/>
              </w:rPr>
              <w:t>Benefit</w:t>
            </w:r>
            <w:r>
              <w:rPr>
                <w:spacing w:val="-3"/>
                <w:sz w:val="22"/>
              </w:rPr>
              <w:t> </w:t>
            </w:r>
            <w:r>
              <w:rPr>
                <w:spacing w:val="-2"/>
                <w:sz w:val="22"/>
              </w:rPr>
              <w:t>Costs</w:t>
            </w:r>
          </w:p>
        </w:tc>
        <w:tc>
          <w:tcPr>
            <w:tcW w:w="1112" w:type="dxa"/>
          </w:tcPr>
          <w:p>
            <w:pPr>
              <w:pStyle w:val="TableParagraph"/>
              <w:spacing w:line="215" w:lineRule="exact" w:before="19"/>
              <w:ind w:left="433"/>
              <w:rPr>
                <w:rFonts w:ascii="Arial"/>
                <w:sz w:val="20"/>
              </w:rPr>
            </w:pPr>
            <w:r>
              <w:rPr>
                <w:rFonts w:ascii="Arial"/>
                <w:spacing w:val="-10"/>
                <w:sz w:val="20"/>
              </w:rPr>
              <w:t>3</w:t>
            </w:r>
          </w:p>
        </w:tc>
        <w:tc>
          <w:tcPr>
            <w:tcW w:w="1150" w:type="dxa"/>
          </w:tcPr>
          <w:p>
            <w:pPr>
              <w:pStyle w:val="TableParagraph"/>
              <w:spacing w:line="203" w:lineRule="exact" w:before="31"/>
              <w:ind w:right="110"/>
              <w:jc w:val="right"/>
              <w:rPr>
                <w:rFonts w:ascii="Arial"/>
                <w:sz w:val="20"/>
              </w:rPr>
            </w:pPr>
            <w:r>
              <w:rPr>
                <w:rFonts w:ascii="Arial"/>
                <w:spacing w:val="-2"/>
                <w:sz w:val="20"/>
              </w:rPr>
              <w:t>1,141,700</w:t>
            </w:r>
          </w:p>
        </w:tc>
        <w:tc>
          <w:tcPr>
            <w:tcW w:w="1274" w:type="dxa"/>
            <w:shd w:val="clear" w:color="auto" w:fill="E4E4E4"/>
          </w:tcPr>
          <w:p>
            <w:pPr>
              <w:pStyle w:val="TableParagraph"/>
              <w:spacing w:line="203" w:lineRule="exact" w:before="31"/>
              <w:ind w:right="107"/>
              <w:jc w:val="right"/>
              <w:rPr>
                <w:rFonts w:ascii="Arial"/>
                <w:sz w:val="20"/>
              </w:rPr>
            </w:pPr>
            <w:r>
              <w:rPr>
                <w:rFonts w:ascii="Arial"/>
                <w:spacing w:val="-2"/>
                <w:sz w:val="20"/>
              </w:rPr>
              <w:t>947,400</w:t>
            </w:r>
          </w:p>
        </w:tc>
      </w:tr>
      <w:tr>
        <w:trPr>
          <w:trHeight w:val="274" w:hRule="atLeast"/>
        </w:trPr>
        <w:tc>
          <w:tcPr>
            <w:tcW w:w="4804" w:type="dxa"/>
          </w:tcPr>
          <w:p>
            <w:pPr>
              <w:pStyle w:val="TableParagraph"/>
              <w:spacing w:line="253" w:lineRule="exact"/>
              <w:ind w:left="50"/>
              <w:rPr>
                <w:sz w:val="22"/>
              </w:rPr>
            </w:pPr>
            <w:r>
              <w:rPr>
                <w:sz w:val="22"/>
              </w:rPr>
              <w:t>Reduction</w:t>
            </w:r>
            <w:r>
              <w:rPr>
                <w:spacing w:val="-2"/>
                <w:sz w:val="22"/>
              </w:rPr>
              <w:t> </w:t>
            </w:r>
            <w:r>
              <w:rPr>
                <w:sz w:val="22"/>
              </w:rPr>
              <w:t>in</w:t>
            </w:r>
            <w:r>
              <w:rPr>
                <w:spacing w:val="-4"/>
                <w:sz w:val="22"/>
              </w:rPr>
              <w:t> </w:t>
            </w:r>
            <w:r>
              <w:rPr>
                <w:sz w:val="22"/>
              </w:rPr>
              <w:t>the</w:t>
            </w:r>
            <w:r>
              <w:rPr>
                <w:spacing w:val="-2"/>
                <w:sz w:val="22"/>
              </w:rPr>
              <w:t> </w:t>
            </w:r>
            <w:r>
              <w:rPr>
                <w:sz w:val="22"/>
              </w:rPr>
              <w:t>value</w:t>
            </w:r>
            <w:r>
              <w:rPr>
                <w:spacing w:val="-4"/>
                <w:sz w:val="22"/>
              </w:rPr>
              <w:t> </w:t>
            </w:r>
            <w:r>
              <w:rPr>
                <w:sz w:val="22"/>
              </w:rPr>
              <w:t>of</w:t>
            </w:r>
            <w:r>
              <w:rPr>
                <w:spacing w:val="-3"/>
                <w:sz w:val="22"/>
              </w:rPr>
              <w:t> </w:t>
            </w:r>
            <w:r>
              <w:rPr>
                <w:sz w:val="22"/>
              </w:rPr>
              <w:t>fixed</w:t>
            </w:r>
            <w:r>
              <w:rPr>
                <w:spacing w:val="-1"/>
                <w:sz w:val="22"/>
              </w:rPr>
              <w:t> </w:t>
            </w:r>
            <w:r>
              <w:rPr>
                <w:spacing w:val="-2"/>
                <w:sz w:val="22"/>
              </w:rPr>
              <w:t>assets</w:t>
            </w:r>
          </w:p>
        </w:tc>
        <w:tc>
          <w:tcPr>
            <w:tcW w:w="1112" w:type="dxa"/>
          </w:tcPr>
          <w:p>
            <w:pPr>
              <w:pStyle w:val="TableParagraph"/>
              <w:spacing w:before="19"/>
              <w:ind w:left="433"/>
              <w:rPr>
                <w:rFonts w:ascii="Arial"/>
                <w:sz w:val="20"/>
              </w:rPr>
            </w:pPr>
            <w:r>
              <w:rPr>
                <w:rFonts w:ascii="Arial"/>
                <w:spacing w:val="-10"/>
                <w:sz w:val="20"/>
              </w:rPr>
              <w:t>8</w:t>
            </w:r>
          </w:p>
        </w:tc>
        <w:tc>
          <w:tcPr>
            <w:tcW w:w="1150" w:type="dxa"/>
            <w:tcBorders>
              <w:bottom w:val="single" w:sz="4" w:space="0" w:color="000000"/>
            </w:tcBorders>
          </w:tcPr>
          <w:p>
            <w:pPr>
              <w:pStyle w:val="TableParagraph"/>
              <w:spacing w:line="223" w:lineRule="exact" w:before="31"/>
              <w:ind w:right="110"/>
              <w:jc w:val="right"/>
              <w:rPr>
                <w:rFonts w:ascii="Arial"/>
                <w:sz w:val="20"/>
              </w:rPr>
            </w:pPr>
            <w:r>
              <w:rPr>
                <w:rFonts w:ascii="Arial"/>
                <w:spacing w:val="-2"/>
                <w:sz w:val="20"/>
              </w:rPr>
              <w:t>78,981</w:t>
            </w:r>
          </w:p>
        </w:tc>
        <w:tc>
          <w:tcPr>
            <w:tcW w:w="1274" w:type="dxa"/>
            <w:tcBorders>
              <w:bottom w:val="single" w:sz="4" w:space="0" w:color="000000"/>
            </w:tcBorders>
            <w:shd w:val="clear" w:color="auto" w:fill="E4E4E4"/>
          </w:tcPr>
          <w:p>
            <w:pPr>
              <w:pStyle w:val="TableParagraph"/>
              <w:spacing w:line="223" w:lineRule="exact" w:before="31"/>
              <w:ind w:right="106"/>
              <w:jc w:val="right"/>
              <w:rPr>
                <w:rFonts w:ascii="Arial"/>
                <w:sz w:val="20"/>
              </w:rPr>
            </w:pPr>
            <w:r>
              <w:rPr>
                <w:rFonts w:ascii="Arial"/>
                <w:spacing w:val="-2"/>
                <w:sz w:val="20"/>
              </w:rPr>
              <w:t>70,605</w:t>
            </w:r>
          </w:p>
        </w:tc>
      </w:tr>
      <w:tr>
        <w:trPr>
          <w:trHeight w:val="460" w:hRule="atLeast"/>
        </w:trPr>
        <w:tc>
          <w:tcPr>
            <w:tcW w:w="4804" w:type="dxa"/>
          </w:tcPr>
          <w:p>
            <w:pPr>
              <w:pStyle w:val="TableParagraph"/>
              <w:spacing w:before="184"/>
              <w:ind w:left="50"/>
              <w:rPr>
                <w:b/>
                <w:sz w:val="22"/>
              </w:rPr>
            </w:pPr>
            <w:r>
              <w:rPr>
                <w:b/>
                <w:sz w:val="22"/>
              </w:rPr>
              <w:t>Total</w:t>
            </w:r>
            <w:r>
              <w:rPr>
                <w:b/>
                <w:spacing w:val="1"/>
                <w:sz w:val="22"/>
              </w:rPr>
              <w:t> </w:t>
            </w:r>
            <w:r>
              <w:rPr>
                <w:b/>
                <w:spacing w:val="-2"/>
                <w:sz w:val="22"/>
              </w:rPr>
              <w:t>Expenditure</w:t>
            </w:r>
          </w:p>
        </w:tc>
        <w:tc>
          <w:tcPr>
            <w:tcW w:w="1112" w:type="dxa"/>
          </w:tcPr>
          <w:p>
            <w:pPr>
              <w:pStyle w:val="TableParagraph"/>
              <w:rPr>
                <w:rFonts w:ascii="Times New Roman"/>
                <w:sz w:val="20"/>
              </w:rPr>
            </w:pPr>
          </w:p>
        </w:tc>
        <w:tc>
          <w:tcPr>
            <w:tcW w:w="1150" w:type="dxa"/>
            <w:tcBorders>
              <w:top w:val="single" w:sz="4" w:space="0" w:color="000000"/>
              <w:bottom w:val="single" w:sz="4" w:space="0" w:color="000000"/>
            </w:tcBorders>
          </w:tcPr>
          <w:p>
            <w:pPr>
              <w:pStyle w:val="TableParagraph"/>
              <w:spacing w:line="213" w:lineRule="exact" w:before="228"/>
              <w:ind w:right="136"/>
              <w:jc w:val="right"/>
              <w:rPr>
                <w:rFonts w:ascii="Arial"/>
                <w:b/>
                <w:sz w:val="20"/>
              </w:rPr>
            </w:pPr>
            <w:r>
              <w:rPr>
                <w:rFonts w:ascii="Arial"/>
                <w:b/>
                <w:spacing w:val="-2"/>
                <w:sz w:val="20"/>
              </w:rPr>
              <w:t>4,583,442</w:t>
            </w:r>
          </w:p>
        </w:tc>
        <w:tc>
          <w:tcPr>
            <w:tcW w:w="1274" w:type="dxa"/>
            <w:tcBorders>
              <w:top w:val="single" w:sz="4" w:space="0" w:color="000000"/>
              <w:bottom w:val="single" w:sz="4" w:space="0" w:color="000000"/>
            </w:tcBorders>
            <w:shd w:val="clear" w:color="auto" w:fill="E4E4E4"/>
          </w:tcPr>
          <w:p>
            <w:pPr>
              <w:pStyle w:val="TableParagraph"/>
              <w:spacing w:line="213" w:lineRule="exact" w:before="228"/>
              <w:ind w:right="107"/>
              <w:jc w:val="right"/>
              <w:rPr>
                <w:rFonts w:ascii="Arial"/>
                <w:b/>
                <w:sz w:val="20"/>
              </w:rPr>
            </w:pPr>
            <w:r>
              <w:rPr>
                <w:rFonts w:ascii="Arial"/>
                <w:b/>
                <w:spacing w:val="-2"/>
                <w:sz w:val="20"/>
              </w:rPr>
              <w:t>3,974,485</w:t>
            </w:r>
          </w:p>
        </w:tc>
      </w:tr>
      <w:tr>
        <w:trPr>
          <w:trHeight w:val="874" w:hRule="atLeast"/>
        </w:trPr>
        <w:tc>
          <w:tcPr>
            <w:tcW w:w="4804" w:type="dxa"/>
          </w:tcPr>
          <w:p>
            <w:pPr>
              <w:pStyle w:val="TableParagraph"/>
              <w:spacing w:before="234"/>
              <w:ind w:left="50"/>
              <w:rPr>
                <w:b/>
                <w:sz w:val="22"/>
              </w:rPr>
            </w:pPr>
            <w:r>
              <w:rPr>
                <w:b/>
                <w:sz w:val="22"/>
              </w:rPr>
              <w:t>Surplus/(Deficit)</w:t>
            </w:r>
            <w:r>
              <w:rPr>
                <w:b/>
                <w:spacing w:val="-6"/>
                <w:sz w:val="22"/>
              </w:rPr>
              <w:t> </w:t>
            </w:r>
            <w:r>
              <w:rPr>
                <w:b/>
                <w:sz w:val="22"/>
              </w:rPr>
              <w:t>for</w:t>
            </w:r>
            <w:r>
              <w:rPr>
                <w:b/>
                <w:spacing w:val="-6"/>
                <w:sz w:val="22"/>
              </w:rPr>
              <w:t> </w:t>
            </w:r>
            <w:r>
              <w:rPr>
                <w:b/>
                <w:sz w:val="22"/>
              </w:rPr>
              <w:t>the</w:t>
            </w:r>
            <w:r>
              <w:rPr>
                <w:b/>
                <w:spacing w:val="-5"/>
                <w:sz w:val="22"/>
              </w:rPr>
              <w:t> </w:t>
            </w:r>
            <w:r>
              <w:rPr>
                <w:b/>
                <w:spacing w:val="-4"/>
                <w:sz w:val="22"/>
              </w:rPr>
              <w:t>Year</w:t>
            </w:r>
          </w:p>
        </w:tc>
        <w:tc>
          <w:tcPr>
            <w:tcW w:w="1112" w:type="dxa"/>
          </w:tcPr>
          <w:p>
            <w:pPr>
              <w:pStyle w:val="TableParagraph"/>
              <w:spacing w:before="24"/>
              <w:rPr>
                <w:b/>
                <w:i/>
                <w:sz w:val="20"/>
              </w:rPr>
            </w:pPr>
          </w:p>
          <w:p>
            <w:pPr>
              <w:pStyle w:val="TableParagraph"/>
              <w:ind w:left="433"/>
              <w:rPr>
                <w:rFonts w:ascii="Arial"/>
                <w:sz w:val="20"/>
              </w:rPr>
            </w:pPr>
            <w:r>
              <w:rPr>
                <w:rFonts w:ascii="Arial"/>
                <w:spacing w:val="-10"/>
                <w:sz w:val="20"/>
              </w:rPr>
              <w:t>9</w:t>
            </w:r>
          </w:p>
        </w:tc>
        <w:tc>
          <w:tcPr>
            <w:tcW w:w="1150" w:type="dxa"/>
            <w:tcBorders>
              <w:top w:val="single" w:sz="4" w:space="0" w:color="000000"/>
            </w:tcBorders>
          </w:tcPr>
          <w:p>
            <w:pPr>
              <w:pStyle w:val="TableParagraph"/>
              <w:spacing w:before="33"/>
              <w:rPr>
                <w:b/>
                <w:i/>
                <w:sz w:val="20"/>
              </w:rPr>
            </w:pPr>
          </w:p>
          <w:p>
            <w:pPr>
              <w:pStyle w:val="TableParagraph"/>
              <w:spacing w:before="1"/>
              <w:ind w:right="110"/>
              <w:jc w:val="right"/>
              <w:rPr>
                <w:rFonts w:ascii="Arial"/>
                <w:b/>
                <w:sz w:val="20"/>
              </w:rPr>
            </w:pPr>
            <w:r>
              <w:rPr>
                <w:rFonts w:ascii="Arial"/>
                <w:b/>
                <w:spacing w:val="-2"/>
                <w:sz w:val="20"/>
              </w:rPr>
              <w:t>114,454</w:t>
            </w:r>
          </w:p>
        </w:tc>
        <w:tc>
          <w:tcPr>
            <w:tcW w:w="1274" w:type="dxa"/>
            <w:tcBorders>
              <w:top w:val="single" w:sz="4" w:space="0" w:color="000000"/>
            </w:tcBorders>
            <w:shd w:val="clear" w:color="auto" w:fill="E4E4E4"/>
          </w:tcPr>
          <w:p>
            <w:pPr>
              <w:pStyle w:val="TableParagraph"/>
              <w:spacing w:before="33"/>
              <w:rPr>
                <w:b/>
                <w:i/>
                <w:sz w:val="20"/>
              </w:rPr>
            </w:pPr>
          </w:p>
          <w:p>
            <w:pPr>
              <w:pStyle w:val="TableParagraph"/>
              <w:spacing w:before="1"/>
              <w:ind w:right="108"/>
              <w:jc w:val="right"/>
              <w:rPr>
                <w:rFonts w:ascii="Arial"/>
                <w:b/>
                <w:sz w:val="20"/>
              </w:rPr>
            </w:pPr>
            <w:r>
              <w:rPr>
                <w:rFonts w:ascii="Arial"/>
                <w:b/>
                <w:spacing w:val="-2"/>
                <w:sz w:val="20"/>
              </w:rPr>
              <w:t>(162,862)</w:t>
            </w:r>
          </w:p>
        </w:tc>
      </w:tr>
      <w:tr>
        <w:trPr>
          <w:trHeight w:val="894" w:hRule="atLeast"/>
        </w:trPr>
        <w:tc>
          <w:tcPr>
            <w:tcW w:w="4804" w:type="dxa"/>
          </w:tcPr>
          <w:p>
            <w:pPr>
              <w:pStyle w:val="TableParagraph"/>
              <w:spacing w:before="124"/>
              <w:rPr>
                <w:b/>
                <w:i/>
                <w:sz w:val="22"/>
              </w:rPr>
            </w:pPr>
          </w:p>
          <w:p>
            <w:pPr>
              <w:pStyle w:val="TableParagraph"/>
              <w:ind w:left="50"/>
              <w:rPr>
                <w:sz w:val="22"/>
              </w:rPr>
            </w:pPr>
            <w:r>
              <w:rPr>
                <w:sz w:val="22"/>
              </w:rPr>
              <w:t>Balance</w:t>
            </w:r>
            <w:r>
              <w:rPr>
                <w:spacing w:val="-4"/>
                <w:sz w:val="22"/>
              </w:rPr>
              <w:t> </w:t>
            </w:r>
            <w:r>
              <w:rPr>
                <w:sz w:val="22"/>
              </w:rPr>
              <w:t>Brought</w:t>
            </w:r>
            <w:r>
              <w:rPr>
                <w:spacing w:val="-4"/>
                <w:sz w:val="22"/>
              </w:rPr>
              <w:t> </w:t>
            </w:r>
            <w:r>
              <w:rPr>
                <w:sz w:val="22"/>
              </w:rPr>
              <w:t>Forward</w:t>
            </w:r>
            <w:r>
              <w:rPr>
                <w:spacing w:val="-3"/>
                <w:sz w:val="22"/>
              </w:rPr>
              <w:t> </w:t>
            </w:r>
            <w:r>
              <w:rPr>
                <w:sz w:val="22"/>
              </w:rPr>
              <w:t>at</w:t>
            </w:r>
            <w:r>
              <w:rPr>
                <w:spacing w:val="-3"/>
                <w:sz w:val="22"/>
              </w:rPr>
              <w:t> </w:t>
            </w:r>
            <w:r>
              <w:rPr>
                <w:sz w:val="22"/>
              </w:rPr>
              <w:t>1</w:t>
            </w:r>
            <w:r>
              <w:rPr>
                <w:spacing w:val="-5"/>
                <w:sz w:val="22"/>
              </w:rPr>
              <w:t> </w:t>
            </w:r>
            <w:r>
              <w:rPr>
                <w:spacing w:val="-2"/>
                <w:sz w:val="22"/>
              </w:rPr>
              <w:t>January</w:t>
            </w:r>
          </w:p>
        </w:tc>
        <w:tc>
          <w:tcPr>
            <w:tcW w:w="1112" w:type="dxa"/>
          </w:tcPr>
          <w:p>
            <w:pPr>
              <w:pStyle w:val="TableParagraph"/>
              <w:rPr>
                <w:rFonts w:ascii="Times New Roman"/>
                <w:sz w:val="20"/>
              </w:rPr>
            </w:pPr>
          </w:p>
        </w:tc>
        <w:tc>
          <w:tcPr>
            <w:tcW w:w="1150" w:type="dxa"/>
            <w:tcBorders>
              <w:bottom w:val="single" w:sz="4" w:space="0" w:color="000000"/>
            </w:tcBorders>
          </w:tcPr>
          <w:p>
            <w:pPr>
              <w:pStyle w:val="TableParagraph"/>
              <w:spacing w:before="181"/>
              <w:rPr>
                <w:b/>
                <w:i/>
                <w:sz w:val="20"/>
              </w:rPr>
            </w:pPr>
          </w:p>
          <w:p>
            <w:pPr>
              <w:pStyle w:val="TableParagraph"/>
              <w:ind w:right="109"/>
              <w:jc w:val="right"/>
              <w:rPr>
                <w:rFonts w:ascii="Arial"/>
                <w:sz w:val="20"/>
              </w:rPr>
            </w:pPr>
            <w:r>
              <w:rPr>
                <w:rFonts w:ascii="Arial"/>
                <w:spacing w:val="-2"/>
                <w:sz w:val="20"/>
              </w:rPr>
              <w:t>262,304</w:t>
            </w:r>
          </w:p>
        </w:tc>
        <w:tc>
          <w:tcPr>
            <w:tcW w:w="1274" w:type="dxa"/>
            <w:tcBorders>
              <w:bottom w:val="single" w:sz="4" w:space="0" w:color="000000"/>
            </w:tcBorders>
            <w:shd w:val="clear" w:color="auto" w:fill="E4E4E4"/>
          </w:tcPr>
          <w:p>
            <w:pPr>
              <w:pStyle w:val="TableParagraph"/>
              <w:spacing w:before="181"/>
              <w:rPr>
                <w:b/>
                <w:i/>
                <w:sz w:val="20"/>
              </w:rPr>
            </w:pPr>
          </w:p>
          <w:p>
            <w:pPr>
              <w:pStyle w:val="TableParagraph"/>
              <w:ind w:right="107"/>
              <w:jc w:val="right"/>
              <w:rPr>
                <w:rFonts w:ascii="Arial"/>
                <w:sz w:val="20"/>
              </w:rPr>
            </w:pPr>
            <w:r>
              <w:rPr>
                <w:rFonts w:ascii="Arial"/>
                <w:spacing w:val="-2"/>
                <w:sz w:val="20"/>
              </w:rPr>
              <w:t>425,166</w:t>
            </w:r>
          </w:p>
        </w:tc>
      </w:tr>
      <w:tr>
        <w:trPr>
          <w:trHeight w:val="273" w:hRule="atLeast"/>
        </w:trPr>
        <w:tc>
          <w:tcPr>
            <w:tcW w:w="4804" w:type="dxa"/>
          </w:tcPr>
          <w:p>
            <w:pPr>
              <w:pStyle w:val="TableParagraph"/>
              <w:spacing w:line="251" w:lineRule="exact"/>
              <w:ind w:left="50"/>
              <w:rPr>
                <w:b/>
                <w:sz w:val="22"/>
              </w:rPr>
            </w:pPr>
            <w:r>
              <w:rPr>
                <w:b/>
                <w:sz w:val="22"/>
              </w:rPr>
              <w:t>Balance</w:t>
            </w:r>
            <w:r>
              <w:rPr>
                <w:b/>
                <w:spacing w:val="-4"/>
                <w:sz w:val="22"/>
              </w:rPr>
              <w:t> </w:t>
            </w:r>
            <w:r>
              <w:rPr>
                <w:b/>
                <w:sz w:val="22"/>
              </w:rPr>
              <w:t>Carried</w:t>
            </w:r>
            <w:r>
              <w:rPr>
                <w:b/>
                <w:spacing w:val="-2"/>
                <w:sz w:val="22"/>
              </w:rPr>
              <w:t> </w:t>
            </w:r>
            <w:r>
              <w:rPr>
                <w:b/>
                <w:sz w:val="22"/>
              </w:rPr>
              <w:t>Forward</w:t>
            </w:r>
            <w:r>
              <w:rPr>
                <w:b/>
                <w:spacing w:val="-2"/>
                <w:sz w:val="22"/>
              </w:rPr>
              <w:t> </w:t>
            </w:r>
            <w:r>
              <w:rPr>
                <w:b/>
                <w:sz w:val="22"/>
              </w:rPr>
              <w:t>at</w:t>
            </w:r>
            <w:r>
              <w:rPr>
                <w:b/>
                <w:spacing w:val="-4"/>
                <w:sz w:val="22"/>
              </w:rPr>
              <w:t> </w:t>
            </w:r>
            <w:r>
              <w:rPr>
                <w:b/>
                <w:sz w:val="22"/>
              </w:rPr>
              <w:t>31</w:t>
            </w:r>
            <w:r>
              <w:rPr>
                <w:b/>
                <w:spacing w:val="-3"/>
                <w:sz w:val="22"/>
              </w:rPr>
              <w:t> </w:t>
            </w:r>
            <w:r>
              <w:rPr>
                <w:b/>
                <w:spacing w:val="-2"/>
                <w:sz w:val="22"/>
              </w:rPr>
              <w:t>December</w:t>
            </w:r>
          </w:p>
        </w:tc>
        <w:tc>
          <w:tcPr>
            <w:tcW w:w="1112" w:type="dxa"/>
          </w:tcPr>
          <w:p>
            <w:pPr>
              <w:pStyle w:val="TableParagraph"/>
              <w:rPr>
                <w:rFonts w:ascii="Times New Roman"/>
                <w:sz w:val="20"/>
              </w:rPr>
            </w:pPr>
          </w:p>
        </w:tc>
        <w:tc>
          <w:tcPr>
            <w:tcW w:w="1150" w:type="dxa"/>
            <w:tcBorders>
              <w:top w:val="single" w:sz="4" w:space="0" w:color="000000"/>
              <w:bottom w:val="double" w:sz="4" w:space="0" w:color="000000"/>
            </w:tcBorders>
          </w:tcPr>
          <w:p>
            <w:pPr>
              <w:pStyle w:val="TableParagraph"/>
              <w:spacing w:line="215" w:lineRule="exact" w:before="21"/>
              <w:ind w:right="110"/>
              <w:jc w:val="right"/>
              <w:rPr>
                <w:rFonts w:ascii="Arial"/>
                <w:b/>
                <w:sz w:val="20"/>
              </w:rPr>
            </w:pPr>
            <w:r>
              <w:rPr>
                <w:rFonts w:ascii="Arial"/>
                <w:b/>
                <w:spacing w:val="-2"/>
                <w:sz w:val="20"/>
              </w:rPr>
              <w:t>376,758</w:t>
            </w:r>
          </w:p>
        </w:tc>
        <w:tc>
          <w:tcPr>
            <w:tcW w:w="1274" w:type="dxa"/>
            <w:tcBorders>
              <w:top w:val="single" w:sz="4" w:space="0" w:color="000000"/>
              <w:bottom w:val="double" w:sz="4" w:space="0" w:color="000000"/>
            </w:tcBorders>
            <w:shd w:val="clear" w:color="auto" w:fill="E4E4E4"/>
          </w:tcPr>
          <w:p>
            <w:pPr>
              <w:pStyle w:val="TableParagraph"/>
              <w:spacing w:line="215" w:lineRule="exact" w:before="21"/>
              <w:ind w:right="107"/>
              <w:jc w:val="right"/>
              <w:rPr>
                <w:rFonts w:ascii="Arial"/>
                <w:b/>
                <w:sz w:val="20"/>
              </w:rPr>
            </w:pPr>
            <w:r>
              <w:rPr>
                <w:rFonts w:ascii="Arial"/>
                <w:b/>
                <w:spacing w:val="-2"/>
                <w:sz w:val="20"/>
              </w:rPr>
              <w:t>262,304</w:t>
            </w:r>
          </w:p>
        </w:tc>
      </w:tr>
    </w:tbl>
    <w:p>
      <w:pPr>
        <w:pStyle w:val="BodyText"/>
        <w:rPr>
          <w:b/>
          <w:i/>
          <w:sz w:val="24"/>
        </w:rPr>
      </w:pPr>
    </w:p>
    <w:p>
      <w:pPr>
        <w:pStyle w:val="BodyText"/>
        <w:rPr>
          <w:b/>
          <w:i/>
          <w:sz w:val="24"/>
        </w:rPr>
      </w:pPr>
    </w:p>
    <w:p>
      <w:pPr>
        <w:pStyle w:val="BodyText"/>
        <w:rPr>
          <w:b/>
          <w:i/>
          <w:sz w:val="24"/>
        </w:rPr>
      </w:pPr>
    </w:p>
    <w:p>
      <w:pPr>
        <w:pStyle w:val="BodyText"/>
        <w:spacing w:before="28"/>
        <w:rPr>
          <w:b/>
          <w:i/>
          <w:sz w:val="24"/>
        </w:rPr>
      </w:pPr>
    </w:p>
    <w:p>
      <w:pPr>
        <w:spacing w:line="477" w:lineRule="auto" w:before="0"/>
        <w:ind w:left="1702" w:right="988" w:firstLine="0"/>
        <w:jc w:val="left"/>
        <w:rPr>
          <w:sz w:val="22"/>
        </w:rPr>
      </w:pPr>
      <w:r>
        <w:rPr>
          <w:sz w:val="22"/>
        </w:rPr>
        <w:drawing>
          <wp:anchor distT="0" distB="0" distL="0" distR="0" allowOverlap="1" layoutInCell="1" locked="0" behindDoc="1" simplePos="0" relativeHeight="487595520">
            <wp:simplePos x="0" y="0"/>
            <wp:positionH relativeFrom="page">
              <wp:posOffset>1257300</wp:posOffset>
            </wp:positionH>
            <wp:positionV relativeFrom="paragraph">
              <wp:posOffset>718768</wp:posOffset>
            </wp:positionV>
            <wp:extent cx="1449351" cy="540067"/>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1449351" cy="540067"/>
                    </a:xfrm>
                    <a:prstGeom prst="rect">
                      <a:avLst/>
                    </a:prstGeom>
                  </pic:spPr>
                </pic:pic>
              </a:graphicData>
            </a:graphic>
          </wp:anchor>
        </w:drawing>
      </w:r>
      <w:r>
        <w:rPr>
          <w:sz w:val="22"/>
        </w:rPr>
        <w:drawing>
          <wp:anchor distT="0" distB="0" distL="0" distR="0" allowOverlap="1" layoutInCell="1" locked="0" behindDoc="1" simplePos="0" relativeHeight="487596032">
            <wp:simplePos x="0" y="0"/>
            <wp:positionH relativeFrom="page">
              <wp:posOffset>2871127</wp:posOffset>
            </wp:positionH>
            <wp:positionV relativeFrom="paragraph">
              <wp:posOffset>699718</wp:posOffset>
            </wp:positionV>
            <wp:extent cx="1680638" cy="315372"/>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0" cstate="print"/>
                    <a:stretch>
                      <a:fillRect/>
                    </a:stretch>
                  </pic:blipFill>
                  <pic:spPr>
                    <a:xfrm>
                      <a:off x="0" y="0"/>
                      <a:ext cx="1680638" cy="315372"/>
                    </a:xfrm>
                    <a:prstGeom prst="rect">
                      <a:avLst/>
                    </a:prstGeom>
                  </pic:spPr>
                </pic:pic>
              </a:graphicData>
            </a:graphic>
          </wp:anchor>
        </w:drawing>
      </w:r>
      <w:r>
        <w:rPr>
          <w:sz w:val="22"/>
        </w:rPr>
        <w:drawing>
          <wp:anchor distT="0" distB="0" distL="0" distR="0" allowOverlap="1" layoutInCell="1" locked="0" behindDoc="1" simplePos="0" relativeHeight="487596544">
            <wp:simplePos x="0" y="0"/>
            <wp:positionH relativeFrom="page">
              <wp:posOffset>4971115</wp:posOffset>
            </wp:positionH>
            <wp:positionV relativeFrom="paragraph">
              <wp:posOffset>669873</wp:posOffset>
            </wp:positionV>
            <wp:extent cx="1332795" cy="492251"/>
            <wp:effectExtent l="0" t="0" r="0" b="0"/>
            <wp:wrapTopAndBottom/>
            <wp:docPr id="23" name="Image 23" descr="Siobhan Barron’s signature"/>
            <wp:cNvGraphicFramePr>
              <a:graphicFrameLocks/>
            </wp:cNvGraphicFramePr>
            <a:graphic>
              <a:graphicData uri="http://schemas.openxmlformats.org/drawingml/2006/picture">
                <pic:pic>
                  <pic:nvPicPr>
                    <pic:cNvPr id="23" name="Image 23" descr="Siobhan Barron’s signature"/>
                    <pic:cNvPicPr/>
                  </pic:nvPicPr>
                  <pic:blipFill>
                    <a:blip r:embed="rId11" cstate="print"/>
                    <a:stretch>
                      <a:fillRect/>
                    </a:stretch>
                  </pic:blipFill>
                  <pic:spPr>
                    <a:xfrm>
                      <a:off x="0" y="0"/>
                      <a:ext cx="1332795" cy="492251"/>
                    </a:xfrm>
                    <a:prstGeom prst="rect">
                      <a:avLst/>
                    </a:prstGeom>
                  </pic:spPr>
                </pic:pic>
              </a:graphicData>
            </a:graphic>
          </wp:anchor>
        </w:drawing>
      </w:r>
      <w:r>
        <w:rPr>
          <w:sz w:val="22"/>
        </w:rPr>
        <w:t>The</w:t>
      </w:r>
      <w:r>
        <w:rPr>
          <w:spacing w:val="-2"/>
          <w:sz w:val="22"/>
        </w:rPr>
        <w:t> </w:t>
      </w:r>
      <w:r>
        <w:rPr>
          <w:sz w:val="22"/>
        </w:rPr>
        <w:t>Statement</w:t>
      </w:r>
      <w:r>
        <w:rPr>
          <w:spacing w:val="-3"/>
          <w:sz w:val="22"/>
        </w:rPr>
        <w:t> </w:t>
      </w:r>
      <w:r>
        <w:rPr>
          <w:sz w:val="22"/>
        </w:rPr>
        <w:t>of</w:t>
      </w:r>
      <w:r>
        <w:rPr>
          <w:spacing w:val="-3"/>
          <w:sz w:val="22"/>
        </w:rPr>
        <w:t> </w:t>
      </w:r>
      <w:r>
        <w:rPr>
          <w:sz w:val="22"/>
        </w:rPr>
        <w:t>Cash</w:t>
      </w:r>
      <w:r>
        <w:rPr>
          <w:spacing w:val="-1"/>
          <w:sz w:val="22"/>
        </w:rPr>
        <w:t> </w:t>
      </w:r>
      <w:r>
        <w:rPr>
          <w:sz w:val="22"/>
        </w:rPr>
        <w:t>Flows</w:t>
      </w:r>
      <w:r>
        <w:rPr>
          <w:spacing w:val="-3"/>
          <w:sz w:val="22"/>
        </w:rPr>
        <w:t> </w:t>
      </w:r>
      <w:r>
        <w:rPr>
          <w:sz w:val="22"/>
        </w:rPr>
        <w:t>and</w:t>
      </w:r>
      <w:r>
        <w:rPr>
          <w:spacing w:val="-1"/>
          <w:sz w:val="22"/>
        </w:rPr>
        <w:t> </w:t>
      </w:r>
      <w:r>
        <w:rPr>
          <w:sz w:val="22"/>
        </w:rPr>
        <w:t>notes</w:t>
      </w:r>
      <w:r>
        <w:rPr>
          <w:spacing w:val="-5"/>
          <w:sz w:val="22"/>
        </w:rPr>
        <w:t> </w:t>
      </w:r>
      <w:r>
        <w:rPr>
          <w:sz w:val="22"/>
        </w:rPr>
        <w:t>1</w:t>
      </w:r>
      <w:r>
        <w:rPr>
          <w:spacing w:val="-4"/>
          <w:sz w:val="22"/>
        </w:rPr>
        <w:t> </w:t>
      </w:r>
      <w:r>
        <w:rPr>
          <w:sz w:val="22"/>
        </w:rPr>
        <w:t>to</w:t>
      </w:r>
      <w:r>
        <w:rPr>
          <w:spacing w:val="-3"/>
          <w:sz w:val="22"/>
        </w:rPr>
        <w:t> </w:t>
      </w:r>
      <w:r>
        <w:rPr>
          <w:sz w:val="22"/>
        </w:rPr>
        <w:t>14</w:t>
      </w:r>
      <w:r>
        <w:rPr>
          <w:spacing w:val="-4"/>
          <w:sz w:val="22"/>
        </w:rPr>
        <w:t> </w:t>
      </w:r>
      <w:r>
        <w:rPr>
          <w:sz w:val="22"/>
        </w:rPr>
        <w:t>form</w:t>
      </w:r>
      <w:r>
        <w:rPr>
          <w:spacing w:val="-6"/>
          <w:sz w:val="22"/>
        </w:rPr>
        <w:t> </w:t>
      </w:r>
      <w:r>
        <w:rPr>
          <w:sz w:val="22"/>
        </w:rPr>
        <w:t>part</w:t>
      </w:r>
      <w:r>
        <w:rPr>
          <w:spacing w:val="-1"/>
          <w:sz w:val="22"/>
        </w:rPr>
        <w:t> </w:t>
      </w:r>
      <w:r>
        <w:rPr>
          <w:sz w:val="22"/>
        </w:rPr>
        <w:t>of</w:t>
      </w:r>
      <w:r>
        <w:rPr>
          <w:spacing w:val="-3"/>
          <w:sz w:val="22"/>
        </w:rPr>
        <w:t> </w:t>
      </w:r>
      <w:r>
        <w:rPr>
          <w:sz w:val="22"/>
        </w:rPr>
        <w:t>these</w:t>
      </w:r>
      <w:r>
        <w:rPr>
          <w:spacing w:val="-4"/>
          <w:sz w:val="22"/>
        </w:rPr>
        <w:t> </w:t>
      </w:r>
      <w:r>
        <w:rPr>
          <w:sz w:val="22"/>
        </w:rPr>
        <w:t>financial</w:t>
      </w:r>
      <w:r>
        <w:rPr>
          <w:spacing w:val="-2"/>
          <w:sz w:val="22"/>
        </w:rPr>
        <w:t> </w:t>
      </w:r>
      <w:r>
        <w:rPr>
          <w:sz w:val="22"/>
        </w:rPr>
        <w:t>statements. On behalf of the Board of National Disability Authority:</w:t>
      </w:r>
    </w:p>
    <w:p>
      <w:pPr>
        <w:pStyle w:val="BodyText"/>
        <w:spacing w:before="160"/>
        <w:rPr>
          <w:sz w:val="20"/>
        </w:rPr>
      </w:pPr>
    </w:p>
    <w:tbl>
      <w:tblPr>
        <w:tblW w:w="0" w:type="auto"/>
        <w:jc w:val="left"/>
        <w:tblInd w:w="1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65"/>
        <w:gridCol w:w="816"/>
        <w:gridCol w:w="2065"/>
        <w:gridCol w:w="815"/>
        <w:gridCol w:w="2064"/>
      </w:tblGrid>
      <w:tr>
        <w:trPr>
          <w:trHeight w:val="835" w:hRule="atLeast"/>
        </w:trPr>
        <w:tc>
          <w:tcPr>
            <w:tcW w:w="2065" w:type="dxa"/>
            <w:tcBorders>
              <w:top w:val="single" w:sz="6" w:space="0" w:color="000000"/>
            </w:tcBorders>
          </w:tcPr>
          <w:p>
            <w:pPr>
              <w:pStyle w:val="TableParagraph"/>
              <w:spacing w:line="380" w:lineRule="atLeast" w:before="8"/>
              <w:rPr>
                <w:sz w:val="22"/>
              </w:rPr>
            </w:pPr>
            <w:r>
              <w:rPr>
                <w:sz w:val="22"/>
              </w:rPr>
              <w:t>Helen</w:t>
            </w:r>
            <w:r>
              <w:rPr>
                <w:spacing w:val="-16"/>
                <w:sz w:val="22"/>
              </w:rPr>
              <w:t> </w:t>
            </w:r>
            <w:r>
              <w:rPr>
                <w:sz w:val="22"/>
              </w:rPr>
              <w:t>Guinan, </w:t>
            </w:r>
            <w:r>
              <w:rPr>
                <w:spacing w:val="-2"/>
                <w:sz w:val="22"/>
              </w:rPr>
              <w:t>Chairperson</w:t>
            </w:r>
          </w:p>
        </w:tc>
        <w:tc>
          <w:tcPr>
            <w:tcW w:w="816" w:type="dxa"/>
          </w:tcPr>
          <w:p>
            <w:pPr>
              <w:pStyle w:val="TableParagraph"/>
              <w:rPr>
                <w:rFonts w:ascii="Times New Roman"/>
                <w:sz w:val="20"/>
              </w:rPr>
            </w:pPr>
          </w:p>
        </w:tc>
        <w:tc>
          <w:tcPr>
            <w:tcW w:w="2065" w:type="dxa"/>
            <w:tcBorders>
              <w:top w:val="single" w:sz="6" w:space="0" w:color="000000"/>
            </w:tcBorders>
          </w:tcPr>
          <w:p>
            <w:pPr>
              <w:pStyle w:val="TableParagraph"/>
              <w:spacing w:line="380" w:lineRule="atLeast" w:before="8"/>
              <w:ind w:left="-1"/>
              <w:rPr>
                <w:sz w:val="22"/>
              </w:rPr>
            </w:pPr>
            <w:r>
              <w:rPr>
                <w:sz w:val="22"/>
              </w:rPr>
              <w:t>Frank Cunneen, Authority</w:t>
            </w:r>
            <w:r>
              <w:rPr>
                <w:spacing w:val="-16"/>
                <w:sz w:val="22"/>
              </w:rPr>
              <w:t> </w:t>
            </w:r>
            <w:r>
              <w:rPr>
                <w:sz w:val="22"/>
              </w:rPr>
              <w:t>Member</w:t>
            </w:r>
          </w:p>
        </w:tc>
        <w:tc>
          <w:tcPr>
            <w:tcW w:w="815" w:type="dxa"/>
          </w:tcPr>
          <w:p>
            <w:pPr>
              <w:pStyle w:val="TableParagraph"/>
              <w:rPr>
                <w:rFonts w:ascii="Times New Roman"/>
                <w:sz w:val="20"/>
              </w:rPr>
            </w:pPr>
          </w:p>
        </w:tc>
        <w:tc>
          <w:tcPr>
            <w:tcW w:w="2064" w:type="dxa"/>
            <w:tcBorders>
              <w:top w:val="single" w:sz="6" w:space="0" w:color="000000"/>
            </w:tcBorders>
          </w:tcPr>
          <w:p>
            <w:pPr>
              <w:pStyle w:val="TableParagraph"/>
              <w:spacing w:line="380" w:lineRule="atLeast" w:before="8"/>
              <w:ind w:left="-1"/>
              <w:rPr>
                <w:sz w:val="22"/>
              </w:rPr>
            </w:pPr>
            <w:r>
              <w:rPr>
                <w:sz w:val="22"/>
              </w:rPr>
              <w:t>Siobhan</w:t>
            </w:r>
            <w:r>
              <w:rPr>
                <w:spacing w:val="-16"/>
                <w:sz w:val="22"/>
              </w:rPr>
              <w:t> </w:t>
            </w:r>
            <w:r>
              <w:rPr>
                <w:sz w:val="22"/>
              </w:rPr>
              <w:t>Barron, </w:t>
            </w:r>
            <w:r>
              <w:rPr>
                <w:spacing w:val="-2"/>
                <w:sz w:val="22"/>
              </w:rPr>
              <w:t>Director</w:t>
            </w:r>
          </w:p>
        </w:tc>
      </w:tr>
      <w:tr>
        <w:trPr>
          <w:trHeight w:val="318" w:hRule="atLeast"/>
        </w:trPr>
        <w:tc>
          <w:tcPr>
            <w:tcW w:w="2065" w:type="dxa"/>
          </w:tcPr>
          <w:p>
            <w:pPr>
              <w:pStyle w:val="TableParagraph"/>
              <w:spacing w:line="235" w:lineRule="exact" w:before="63"/>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816" w:type="dxa"/>
          </w:tcPr>
          <w:p>
            <w:pPr>
              <w:pStyle w:val="TableParagraph"/>
              <w:rPr>
                <w:rFonts w:ascii="Times New Roman"/>
                <w:sz w:val="20"/>
              </w:rPr>
            </w:pPr>
          </w:p>
        </w:tc>
        <w:tc>
          <w:tcPr>
            <w:tcW w:w="2065" w:type="dxa"/>
          </w:tcPr>
          <w:p>
            <w:pPr>
              <w:pStyle w:val="TableParagraph"/>
              <w:spacing w:line="235" w:lineRule="exact" w:before="63"/>
              <w:ind w:left="-1"/>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815" w:type="dxa"/>
          </w:tcPr>
          <w:p>
            <w:pPr>
              <w:pStyle w:val="TableParagraph"/>
              <w:rPr>
                <w:rFonts w:ascii="Times New Roman"/>
                <w:sz w:val="20"/>
              </w:rPr>
            </w:pPr>
          </w:p>
        </w:tc>
        <w:tc>
          <w:tcPr>
            <w:tcW w:w="2064" w:type="dxa"/>
          </w:tcPr>
          <w:p>
            <w:pPr>
              <w:pStyle w:val="TableParagraph"/>
              <w:spacing w:line="235" w:lineRule="exact" w:before="63"/>
              <w:ind w:left="-1"/>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992"/>
        </w:sectPr>
      </w:pPr>
    </w:p>
    <w:p>
      <w:pPr>
        <w:spacing w:before="82"/>
        <w:ind w:left="1702" w:right="0" w:firstLine="0"/>
        <w:jc w:val="left"/>
        <w:rPr>
          <w:b/>
          <w:sz w:val="22"/>
        </w:rPr>
      </w:pPr>
      <w:r>
        <w:rPr>
          <w:b/>
          <w:sz w:val="22"/>
        </w:rPr>
        <w:t>National</w:t>
      </w:r>
      <w:r>
        <w:rPr>
          <w:b/>
          <w:spacing w:val="-9"/>
          <w:sz w:val="22"/>
        </w:rPr>
        <w:t> </w:t>
      </w:r>
      <w:r>
        <w:rPr>
          <w:b/>
          <w:sz w:val="22"/>
        </w:rPr>
        <w:t>Disability</w:t>
      </w:r>
      <w:r>
        <w:rPr>
          <w:b/>
          <w:spacing w:val="-6"/>
          <w:sz w:val="22"/>
        </w:rPr>
        <w:t> </w:t>
      </w:r>
      <w:r>
        <w:rPr>
          <w:b/>
          <w:spacing w:val="-2"/>
          <w:sz w:val="22"/>
        </w:rPr>
        <w:t>Authority</w:t>
      </w:r>
    </w:p>
    <w:p>
      <w:pPr>
        <w:pStyle w:val="BodyText"/>
        <w:spacing w:before="1"/>
        <w:rPr>
          <w:b/>
          <w:sz w:val="22"/>
        </w:rPr>
      </w:pPr>
    </w:p>
    <w:p>
      <w:pPr>
        <w:spacing w:line="255" w:lineRule="exact" w:before="0"/>
        <w:ind w:left="1702" w:right="0" w:firstLine="0"/>
        <w:jc w:val="left"/>
        <w:rPr>
          <w:b/>
          <w:sz w:val="22"/>
        </w:rPr>
      </w:pPr>
      <w:r>
        <w:rPr>
          <w:b/>
          <w:sz w:val="22"/>
        </w:rPr>
        <w:t>STATEMENT</w:t>
      </w:r>
      <w:r>
        <w:rPr>
          <w:b/>
          <w:spacing w:val="-11"/>
          <w:sz w:val="22"/>
        </w:rPr>
        <w:t> </w:t>
      </w:r>
      <w:r>
        <w:rPr>
          <w:b/>
          <w:sz w:val="22"/>
        </w:rPr>
        <w:t>OF</w:t>
      </w:r>
      <w:r>
        <w:rPr>
          <w:b/>
          <w:spacing w:val="-9"/>
          <w:sz w:val="22"/>
        </w:rPr>
        <w:t> </w:t>
      </w:r>
      <w:r>
        <w:rPr>
          <w:b/>
          <w:sz w:val="22"/>
        </w:rPr>
        <w:t>COMPREHENSIVE</w:t>
      </w:r>
      <w:r>
        <w:rPr>
          <w:b/>
          <w:spacing w:val="-9"/>
          <w:sz w:val="22"/>
        </w:rPr>
        <w:t> </w:t>
      </w:r>
      <w:r>
        <w:rPr>
          <w:b/>
          <w:spacing w:val="-2"/>
          <w:sz w:val="22"/>
        </w:rPr>
        <w:t>INCOME</w:t>
      </w:r>
    </w:p>
    <w:p>
      <w:pPr>
        <w:spacing w:line="255" w:lineRule="exact" w:before="0"/>
        <w:ind w:left="1702" w:right="0" w:firstLine="0"/>
        <w:jc w:val="left"/>
        <w:rPr>
          <w:b/>
          <w:i/>
          <w:sz w:val="22"/>
        </w:rPr>
      </w:pPr>
      <w:r>
        <w:rPr>
          <w:b/>
          <w:i/>
          <w:sz w:val="22"/>
        </w:rPr>
        <w:t>For</w:t>
      </w:r>
      <w:r>
        <w:rPr>
          <w:b/>
          <w:i/>
          <w:spacing w:val="-5"/>
          <w:sz w:val="22"/>
        </w:rPr>
        <w:t> </w:t>
      </w:r>
      <w:r>
        <w:rPr>
          <w:b/>
          <w:i/>
          <w:sz w:val="22"/>
        </w:rPr>
        <w:t>the</w:t>
      </w:r>
      <w:r>
        <w:rPr>
          <w:b/>
          <w:i/>
          <w:spacing w:val="-3"/>
          <w:sz w:val="22"/>
        </w:rPr>
        <w:t> </w:t>
      </w:r>
      <w:r>
        <w:rPr>
          <w:b/>
          <w:i/>
          <w:sz w:val="22"/>
        </w:rPr>
        <w:t>year</w:t>
      </w:r>
      <w:r>
        <w:rPr>
          <w:b/>
          <w:i/>
          <w:spacing w:val="-4"/>
          <w:sz w:val="22"/>
        </w:rPr>
        <w:t> </w:t>
      </w:r>
      <w:r>
        <w:rPr>
          <w:b/>
          <w:i/>
          <w:sz w:val="22"/>
        </w:rPr>
        <w:t>ended</w:t>
      </w:r>
      <w:r>
        <w:rPr>
          <w:b/>
          <w:i/>
          <w:spacing w:val="-3"/>
          <w:sz w:val="22"/>
        </w:rPr>
        <w:t> </w:t>
      </w:r>
      <w:r>
        <w:rPr>
          <w:b/>
          <w:i/>
          <w:sz w:val="22"/>
        </w:rPr>
        <w:t>31</w:t>
      </w:r>
      <w:r>
        <w:rPr>
          <w:b/>
          <w:i/>
          <w:spacing w:val="-4"/>
          <w:sz w:val="22"/>
        </w:rPr>
        <w:t> </w:t>
      </w:r>
      <w:r>
        <w:rPr>
          <w:b/>
          <w:i/>
          <w:sz w:val="22"/>
        </w:rPr>
        <w:t>December</w:t>
      </w:r>
      <w:r>
        <w:rPr>
          <w:b/>
          <w:i/>
          <w:spacing w:val="-4"/>
          <w:sz w:val="22"/>
        </w:rPr>
        <w:t> 2017</w:t>
      </w:r>
    </w:p>
    <w:p>
      <w:pPr>
        <w:pStyle w:val="BodyText"/>
        <w:spacing w:before="41"/>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92"/>
        <w:gridCol w:w="629"/>
        <w:gridCol w:w="1284"/>
        <w:gridCol w:w="1276"/>
      </w:tblGrid>
      <w:tr>
        <w:trPr>
          <w:trHeight w:val="869" w:hRule="atLeast"/>
        </w:trPr>
        <w:tc>
          <w:tcPr>
            <w:tcW w:w="5292" w:type="dxa"/>
          </w:tcPr>
          <w:p>
            <w:pPr>
              <w:pStyle w:val="TableParagraph"/>
              <w:rPr>
                <w:rFonts w:ascii="Times New Roman"/>
                <w:sz w:val="22"/>
              </w:rPr>
            </w:pPr>
          </w:p>
        </w:tc>
        <w:tc>
          <w:tcPr>
            <w:tcW w:w="629" w:type="dxa"/>
          </w:tcPr>
          <w:p>
            <w:pPr>
              <w:pStyle w:val="TableParagraph"/>
              <w:spacing w:before="232"/>
              <w:ind w:right="81"/>
              <w:jc w:val="center"/>
              <w:rPr>
                <w:b/>
                <w:sz w:val="22"/>
              </w:rPr>
            </w:pPr>
            <w:r>
              <w:rPr>
                <w:b/>
                <w:spacing w:val="-4"/>
                <w:sz w:val="22"/>
              </w:rPr>
              <w:t>Note</w:t>
            </w:r>
          </w:p>
        </w:tc>
        <w:tc>
          <w:tcPr>
            <w:tcW w:w="1284" w:type="dxa"/>
          </w:tcPr>
          <w:p>
            <w:pPr>
              <w:pStyle w:val="TableParagraph"/>
              <w:spacing w:line="255" w:lineRule="exact" w:before="232"/>
              <w:ind w:right="104"/>
              <w:jc w:val="right"/>
              <w:rPr>
                <w:b/>
                <w:sz w:val="22"/>
              </w:rPr>
            </w:pPr>
            <w:r>
              <w:rPr>
                <w:b/>
                <w:spacing w:val="-4"/>
                <w:sz w:val="22"/>
              </w:rPr>
              <w:t>2017</w:t>
            </w:r>
          </w:p>
          <w:p>
            <w:pPr>
              <w:pStyle w:val="TableParagraph"/>
              <w:spacing w:line="255" w:lineRule="exact"/>
              <w:ind w:right="103"/>
              <w:jc w:val="right"/>
              <w:rPr>
                <w:b/>
                <w:sz w:val="22"/>
              </w:rPr>
            </w:pPr>
            <w:r>
              <w:rPr>
                <w:b/>
                <w:spacing w:val="-10"/>
                <w:sz w:val="22"/>
              </w:rPr>
              <w:t>€</w:t>
            </w:r>
          </w:p>
        </w:tc>
        <w:tc>
          <w:tcPr>
            <w:tcW w:w="1276" w:type="dxa"/>
            <w:shd w:val="clear" w:color="auto" w:fill="E4E4E4"/>
          </w:tcPr>
          <w:p>
            <w:pPr>
              <w:pStyle w:val="TableParagraph"/>
              <w:spacing w:line="255" w:lineRule="exact" w:before="232"/>
              <w:ind w:right="102"/>
              <w:jc w:val="right"/>
              <w:rPr>
                <w:b/>
                <w:sz w:val="22"/>
              </w:rPr>
            </w:pPr>
            <w:r>
              <w:rPr>
                <w:b/>
                <w:spacing w:val="-4"/>
                <w:sz w:val="22"/>
              </w:rPr>
              <w:t>2016</w:t>
            </w:r>
          </w:p>
          <w:p>
            <w:pPr>
              <w:pStyle w:val="TableParagraph"/>
              <w:spacing w:line="255" w:lineRule="exact"/>
              <w:ind w:right="102"/>
              <w:jc w:val="right"/>
              <w:rPr>
                <w:b/>
                <w:sz w:val="22"/>
              </w:rPr>
            </w:pPr>
            <w:r>
              <w:rPr>
                <w:b/>
                <w:spacing w:val="-10"/>
                <w:sz w:val="22"/>
              </w:rPr>
              <w:t>€</w:t>
            </w:r>
          </w:p>
        </w:tc>
      </w:tr>
      <w:tr>
        <w:trPr>
          <w:trHeight w:val="510" w:hRule="atLeast"/>
        </w:trPr>
        <w:tc>
          <w:tcPr>
            <w:tcW w:w="5292" w:type="dxa"/>
          </w:tcPr>
          <w:p>
            <w:pPr>
              <w:pStyle w:val="TableParagraph"/>
              <w:spacing w:before="128"/>
              <w:ind w:left="50"/>
              <w:rPr>
                <w:b/>
                <w:sz w:val="22"/>
              </w:rPr>
            </w:pPr>
            <w:r>
              <w:rPr>
                <w:b/>
                <w:spacing w:val="-2"/>
                <w:sz w:val="22"/>
              </w:rPr>
              <w:t>Surplus/(Deficit)</w:t>
            </w:r>
          </w:p>
        </w:tc>
        <w:tc>
          <w:tcPr>
            <w:tcW w:w="629" w:type="dxa"/>
          </w:tcPr>
          <w:p>
            <w:pPr>
              <w:pStyle w:val="TableParagraph"/>
              <w:rPr>
                <w:rFonts w:ascii="Times New Roman"/>
                <w:sz w:val="22"/>
              </w:rPr>
            </w:pPr>
          </w:p>
        </w:tc>
        <w:tc>
          <w:tcPr>
            <w:tcW w:w="1284" w:type="dxa"/>
          </w:tcPr>
          <w:p>
            <w:pPr>
              <w:pStyle w:val="TableParagraph"/>
              <w:spacing w:before="128"/>
              <w:ind w:right="103"/>
              <w:jc w:val="right"/>
              <w:rPr>
                <w:b/>
                <w:sz w:val="22"/>
              </w:rPr>
            </w:pPr>
            <w:r>
              <w:rPr>
                <w:b/>
                <w:spacing w:val="-2"/>
                <w:sz w:val="22"/>
              </w:rPr>
              <w:t>114,454</w:t>
            </w:r>
          </w:p>
        </w:tc>
        <w:tc>
          <w:tcPr>
            <w:tcW w:w="1276" w:type="dxa"/>
            <w:shd w:val="clear" w:color="auto" w:fill="E4E4E4"/>
          </w:tcPr>
          <w:p>
            <w:pPr>
              <w:pStyle w:val="TableParagraph"/>
              <w:spacing w:before="128"/>
              <w:ind w:right="101"/>
              <w:jc w:val="right"/>
              <w:rPr>
                <w:b/>
                <w:sz w:val="22"/>
              </w:rPr>
            </w:pPr>
            <w:r>
              <w:rPr>
                <w:b/>
                <w:spacing w:val="-2"/>
                <w:sz w:val="22"/>
              </w:rPr>
              <w:t>(162,862)</w:t>
            </w:r>
          </w:p>
        </w:tc>
      </w:tr>
      <w:tr>
        <w:trPr>
          <w:trHeight w:val="510" w:hRule="atLeast"/>
        </w:trPr>
        <w:tc>
          <w:tcPr>
            <w:tcW w:w="5292" w:type="dxa"/>
          </w:tcPr>
          <w:p>
            <w:pPr>
              <w:pStyle w:val="TableParagraph"/>
              <w:spacing w:before="127"/>
              <w:ind w:left="50"/>
              <w:rPr>
                <w:sz w:val="22"/>
              </w:rPr>
            </w:pPr>
            <w:r>
              <w:rPr>
                <w:sz w:val="22"/>
              </w:rPr>
              <w:t>Actuarial</w:t>
            </w:r>
            <w:r>
              <w:rPr>
                <w:spacing w:val="-6"/>
                <w:sz w:val="22"/>
              </w:rPr>
              <w:t> </w:t>
            </w:r>
            <w:r>
              <w:rPr>
                <w:sz w:val="22"/>
              </w:rPr>
              <w:t>(gains)\loss</w:t>
            </w:r>
            <w:r>
              <w:rPr>
                <w:spacing w:val="-6"/>
                <w:sz w:val="22"/>
              </w:rPr>
              <w:t> </w:t>
            </w:r>
            <w:r>
              <w:rPr>
                <w:sz w:val="22"/>
              </w:rPr>
              <w:t>on</w:t>
            </w:r>
            <w:r>
              <w:rPr>
                <w:spacing w:val="-4"/>
                <w:sz w:val="22"/>
              </w:rPr>
              <w:t> </w:t>
            </w:r>
            <w:r>
              <w:rPr>
                <w:sz w:val="22"/>
              </w:rPr>
              <w:t>retirement</w:t>
            </w:r>
            <w:r>
              <w:rPr>
                <w:spacing w:val="-5"/>
                <w:sz w:val="22"/>
              </w:rPr>
              <w:t> </w:t>
            </w:r>
            <w:r>
              <w:rPr>
                <w:sz w:val="22"/>
              </w:rPr>
              <w:t>benefit</w:t>
            </w:r>
            <w:r>
              <w:rPr>
                <w:spacing w:val="-6"/>
                <w:sz w:val="22"/>
              </w:rPr>
              <w:t> </w:t>
            </w:r>
            <w:r>
              <w:rPr>
                <w:spacing w:val="-2"/>
                <w:sz w:val="22"/>
              </w:rPr>
              <w:t>obligations</w:t>
            </w:r>
          </w:p>
        </w:tc>
        <w:tc>
          <w:tcPr>
            <w:tcW w:w="629" w:type="dxa"/>
          </w:tcPr>
          <w:p>
            <w:pPr>
              <w:pStyle w:val="TableParagraph"/>
              <w:spacing w:before="127"/>
              <w:ind w:right="83"/>
              <w:jc w:val="center"/>
              <w:rPr>
                <w:sz w:val="22"/>
              </w:rPr>
            </w:pPr>
            <w:r>
              <w:rPr>
                <w:spacing w:val="-10"/>
                <w:sz w:val="22"/>
              </w:rPr>
              <w:t>3</w:t>
            </w:r>
          </w:p>
        </w:tc>
        <w:tc>
          <w:tcPr>
            <w:tcW w:w="1284" w:type="dxa"/>
          </w:tcPr>
          <w:p>
            <w:pPr>
              <w:pStyle w:val="TableParagraph"/>
              <w:spacing w:before="127"/>
              <w:ind w:right="104"/>
              <w:jc w:val="right"/>
              <w:rPr>
                <w:sz w:val="22"/>
              </w:rPr>
            </w:pPr>
            <w:r>
              <w:rPr>
                <w:spacing w:val="-2"/>
                <w:sz w:val="22"/>
              </w:rPr>
              <w:t>(1,692,100)</w:t>
            </w:r>
          </w:p>
        </w:tc>
        <w:tc>
          <w:tcPr>
            <w:tcW w:w="1276" w:type="dxa"/>
            <w:shd w:val="clear" w:color="auto" w:fill="E4E4E4"/>
          </w:tcPr>
          <w:p>
            <w:pPr>
              <w:pStyle w:val="TableParagraph"/>
              <w:spacing w:before="127"/>
              <w:ind w:right="101"/>
              <w:jc w:val="right"/>
              <w:rPr>
                <w:sz w:val="22"/>
              </w:rPr>
            </w:pPr>
            <w:r>
              <w:rPr>
                <w:spacing w:val="-2"/>
                <w:sz w:val="22"/>
              </w:rPr>
              <w:t>3,766,000</w:t>
            </w:r>
          </w:p>
        </w:tc>
      </w:tr>
      <w:tr>
        <w:trPr>
          <w:trHeight w:val="661" w:hRule="atLeast"/>
        </w:trPr>
        <w:tc>
          <w:tcPr>
            <w:tcW w:w="5292" w:type="dxa"/>
          </w:tcPr>
          <w:p>
            <w:pPr>
              <w:pStyle w:val="TableParagraph"/>
              <w:spacing w:before="128"/>
              <w:ind w:left="50"/>
              <w:rPr>
                <w:sz w:val="22"/>
              </w:rPr>
            </w:pPr>
            <w:r>
              <w:rPr>
                <w:sz w:val="22"/>
              </w:rPr>
              <w:t>Adjustment</w:t>
            </w:r>
            <w:r>
              <w:rPr>
                <w:spacing w:val="-5"/>
                <w:sz w:val="22"/>
              </w:rPr>
              <w:t> </w:t>
            </w:r>
            <w:r>
              <w:rPr>
                <w:sz w:val="22"/>
              </w:rPr>
              <w:t>to</w:t>
            </w:r>
            <w:r>
              <w:rPr>
                <w:spacing w:val="-4"/>
                <w:sz w:val="22"/>
              </w:rPr>
              <w:t> </w:t>
            </w:r>
            <w:r>
              <w:rPr>
                <w:sz w:val="22"/>
              </w:rPr>
              <w:t>deferred</w:t>
            </w:r>
            <w:r>
              <w:rPr>
                <w:spacing w:val="-3"/>
                <w:sz w:val="22"/>
              </w:rPr>
              <w:t> </w:t>
            </w:r>
            <w:r>
              <w:rPr>
                <w:sz w:val="22"/>
              </w:rPr>
              <w:t>pension</w:t>
            </w:r>
            <w:r>
              <w:rPr>
                <w:spacing w:val="-2"/>
                <w:sz w:val="22"/>
              </w:rPr>
              <w:t> funding</w:t>
            </w:r>
          </w:p>
        </w:tc>
        <w:tc>
          <w:tcPr>
            <w:tcW w:w="629" w:type="dxa"/>
          </w:tcPr>
          <w:p>
            <w:pPr>
              <w:pStyle w:val="TableParagraph"/>
              <w:rPr>
                <w:rFonts w:ascii="Times New Roman"/>
                <w:sz w:val="22"/>
              </w:rPr>
            </w:pPr>
          </w:p>
        </w:tc>
        <w:tc>
          <w:tcPr>
            <w:tcW w:w="1284" w:type="dxa"/>
            <w:tcBorders>
              <w:bottom w:val="single" w:sz="4" w:space="0" w:color="000000"/>
            </w:tcBorders>
          </w:tcPr>
          <w:p>
            <w:pPr>
              <w:pStyle w:val="TableParagraph"/>
              <w:spacing w:before="128"/>
              <w:ind w:right="103"/>
              <w:jc w:val="right"/>
              <w:rPr>
                <w:sz w:val="22"/>
              </w:rPr>
            </w:pPr>
            <w:r>
              <w:rPr>
                <w:spacing w:val="-2"/>
                <w:sz w:val="22"/>
              </w:rPr>
              <w:t>1,692,100</w:t>
            </w:r>
          </w:p>
        </w:tc>
        <w:tc>
          <w:tcPr>
            <w:tcW w:w="1276" w:type="dxa"/>
            <w:tcBorders>
              <w:bottom w:val="single" w:sz="4" w:space="0" w:color="000000"/>
            </w:tcBorders>
            <w:shd w:val="clear" w:color="auto" w:fill="E4E4E4"/>
          </w:tcPr>
          <w:p>
            <w:pPr>
              <w:pStyle w:val="TableParagraph"/>
              <w:spacing w:before="128"/>
              <w:ind w:right="102"/>
              <w:jc w:val="right"/>
              <w:rPr>
                <w:sz w:val="22"/>
              </w:rPr>
            </w:pPr>
            <w:r>
              <w:rPr>
                <w:spacing w:val="-2"/>
                <w:sz w:val="22"/>
              </w:rPr>
              <w:t>(3,766,000)</w:t>
            </w:r>
          </w:p>
        </w:tc>
      </w:tr>
      <w:tr>
        <w:trPr>
          <w:trHeight w:val="256" w:hRule="atLeast"/>
        </w:trPr>
        <w:tc>
          <w:tcPr>
            <w:tcW w:w="5292" w:type="dxa"/>
          </w:tcPr>
          <w:p>
            <w:pPr>
              <w:pStyle w:val="TableParagraph"/>
              <w:spacing w:line="233" w:lineRule="exact"/>
              <w:ind w:left="50"/>
              <w:rPr>
                <w:b/>
                <w:sz w:val="22"/>
              </w:rPr>
            </w:pPr>
            <w:r>
              <w:rPr>
                <w:b/>
                <w:sz w:val="22"/>
              </w:rPr>
              <w:t>Total</w:t>
            </w:r>
            <w:r>
              <w:rPr>
                <w:b/>
                <w:spacing w:val="-8"/>
                <w:sz w:val="22"/>
              </w:rPr>
              <w:t> </w:t>
            </w:r>
            <w:r>
              <w:rPr>
                <w:b/>
                <w:sz w:val="22"/>
              </w:rPr>
              <w:t>Comprehensive</w:t>
            </w:r>
            <w:r>
              <w:rPr>
                <w:b/>
                <w:spacing w:val="-7"/>
                <w:sz w:val="22"/>
              </w:rPr>
              <w:t> </w:t>
            </w:r>
            <w:r>
              <w:rPr>
                <w:b/>
                <w:sz w:val="22"/>
              </w:rPr>
              <w:t>Income/(Loss)</w:t>
            </w:r>
            <w:r>
              <w:rPr>
                <w:b/>
                <w:spacing w:val="-6"/>
                <w:sz w:val="22"/>
              </w:rPr>
              <w:t> </w:t>
            </w:r>
            <w:r>
              <w:rPr>
                <w:b/>
                <w:sz w:val="22"/>
              </w:rPr>
              <w:t>for</w:t>
            </w:r>
            <w:r>
              <w:rPr>
                <w:b/>
                <w:spacing w:val="-6"/>
                <w:sz w:val="22"/>
              </w:rPr>
              <w:t> </w:t>
            </w:r>
            <w:r>
              <w:rPr>
                <w:b/>
                <w:sz w:val="22"/>
              </w:rPr>
              <w:t>the</w:t>
            </w:r>
            <w:r>
              <w:rPr>
                <w:b/>
                <w:spacing w:val="-6"/>
                <w:sz w:val="22"/>
              </w:rPr>
              <w:t> </w:t>
            </w:r>
            <w:r>
              <w:rPr>
                <w:b/>
                <w:spacing w:val="-4"/>
                <w:sz w:val="22"/>
              </w:rPr>
              <w:t>year</w:t>
            </w:r>
          </w:p>
        </w:tc>
        <w:tc>
          <w:tcPr>
            <w:tcW w:w="629" w:type="dxa"/>
          </w:tcPr>
          <w:p>
            <w:pPr>
              <w:pStyle w:val="TableParagraph"/>
              <w:rPr>
                <w:rFonts w:ascii="Times New Roman"/>
                <w:sz w:val="18"/>
              </w:rPr>
            </w:pPr>
          </w:p>
        </w:tc>
        <w:tc>
          <w:tcPr>
            <w:tcW w:w="1284" w:type="dxa"/>
            <w:tcBorders>
              <w:top w:val="single" w:sz="4" w:space="0" w:color="000000"/>
              <w:bottom w:val="double" w:sz="4" w:space="0" w:color="000000"/>
            </w:tcBorders>
          </w:tcPr>
          <w:p>
            <w:pPr>
              <w:pStyle w:val="TableParagraph"/>
              <w:spacing w:line="233" w:lineRule="exact"/>
              <w:ind w:right="103"/>
              <w:jc w:val="right"/>
              <w:rPr>
                <w:b/>
                <w:sz w:val="22"/>
              </w:rPr>
            </w:pPr>
            <w:r>
              <w:rPr>
                <w:b/>
                <w:spacing w:val="-2"/>
                <w:sz w:val="22"/>
              </w:rPr>
              <w:t>114,454</w:t>
            </w:r>
          </w:p>
        </w:tc>
        <w:tc>
          <w:tcPr>
            <w:tcW w:w="1276" w:type="dxa"/>
            <w:tcBorders>
              <w:top w:val="single" w:sz="4" w:space="0" w:color="000000"/>
              <w:bottom w:val="double" w:sz="4" w:space="0" w:color="000000"/>
            </w:tcBorders>
            <w:shd w:val="clear" w:color="auto" w:fill="E4E4E4"/>
          </w:tcPr>
          <w:p>
            <w:pPr>
              <w:pStyle w:val="TableParagraph"/>
              <w:spacing w:line="233" w:lineRule="exact"/>
              <w:ind w:right="101"/>
              <w:jc w:val="right"/>
              <w:rPr>
                <w:b/>
                <w:sz w:val="22"/>
              </w:rPr>
            </w:pPr>
            <w:r>
              <w:rPr>
                <w:b/>
                <w:spacing w:val="-2"/>
                <w:sz w:val="22"/>
              </w:rPr>
              <w:t>(162,862)</w:t>
            </w:r>
          </w:p>
        </w:tc>
      </w:tr>
    </w:tbl>
    <w:p>
      <w:pPr>
        <w:pStyle w:val="BodyText"/>
        <w:spacing w:before="237"/>
        <w:rPr>
          <w:b/>
          <w:i/>
          <w:sz w:val="22"/>
        </w:rPr>
      </w:pPr>
    </w:p>
    <w:p>
      <w:pPr>
        <w:spacing w:line="480" w:lineRule="auto" w:before="0"/>
        <w:ind w:left="1702" w:right="988" w:firstLine="0"/>
        <w:jc w:val="left"/>
        <w:rPr>
          <w:sz w:val="22"/>
        </w:rPr>
      </w:pPr>
      <w:r>
        <w:rPr>
          <w:sz w:val="22"/>
        </w:rPr>
        <w:t>The</w:t>
      </w:r>
      <w:r>
        <w:rPr>
          <w:spacing w:val="-2"/>
          <w:sz w:val="22"/>
        </w:rPr>
        <w:t> </w:t>
      </w:r>
      <w:r>
        <w:rPr>
          <w:sz w:val="22"/>
        </w:rPr>
        <w:t>Statement</w:t>
      </w:r>
      <w:r>
        <w:rPr>
          <w:spacing w:val="-3"/>
          <w:sz w:val="22"/>
        </w:rPr>
        <w:t> </w:t>
      </w:r>
      <w:r>
        <w:rPr>
          <w:sz w:val="22"/>
        </w:rPr>
        <w:t>of</w:t>
      </w:r>
      <w:r>
        <w:rPr>
          <w:spacing w:val="-3"/>
          <w:sz w:val="22"/>
        </w:rPr>
        <w:t> </w:t>
      </w:r>
      <w:r>
        <w:rPr>
          <w:sz w:val="22"/>
        </w:rPr>
        <w:t>Cash</w:t>
      </w:r>
      <w:r>
        <w:rPr>
          <w:spacing w:val="-1"/>
          <w:sz w:val="22"/>
        </w:rPr>
        <w:t> </w:t>
      </w:r>
      <w:r>
        <w:rPr>
          <w:sz w:val="22"/>
        </w:rPr>
        <w:t>Flows</w:t>
      </w:r>
      <w:r>
        <w:rPr>
          <w:spacing w:val="-3"/>
          <w:sz w:val="22"/>
        </w:rPr>
        <w:t> </w:t>
      </w:r>
      <w:r>
        <w:rPr>
          <w:sz w:val="22"/>
        </w:rPr>
        <w:t>and</w:t>
      </w:r>
      <w:r>
        <w:rPr>
          <w:spacing w:val="-1"/>
          <w:sz w:val="22"/>
        </w:rPr>
        <w:t> </w:t>
      </w:r>
      <w:r>
        <w:rPr>
          <w:sz w:val="22"/>
        </w:rPr>
        <w:t>notes</w:t>
      </w:r>
      <w:r>
        <w:rPr>
          <w:spacing w:val="-5"/>
          <w:sz w:val="22"/>
        </w:rPr>
        <w:t> </w:t>
      </w:r>
      <w:r>
        <w:rPr>
          <w:sz w:val="22"/>
        </w:rPr>
        <w:t>1</w:t>
      </w:r>
      <w:r>
        <w:rPr>
          <w:spacing w:val="-4"/>
          <w:sz w:val="22"/>
        </w:rPr>
        <w:t> </w:t>
      </w:r>
      <w:r>
        <w:rPr>
          <w:sz w:val="22"/>
        </w:rPr>
        <w:t>to</w:t>
      </w:r>
      <w:r>
        <w:rPr>
          <w:spacing w:val="-3"/>
          <w:sz w:val="22"/>
        </w:rPr>
        <w:t> </w:t>
      </w:r>
      <w:r>
        <w:rPr>
          <w:sz w:val="22"/>
        </w:rPr>
        <w:t>14</w:t>
      </w:r>
      <w:r>
        <w:rPr>
          <w:spacing w:val="-4"/>
          <w:sz w:val="22"/>
        </w:rPr>
        <w:t> </w:t>
      </w:r>
      <w:r>
        <w:rPr>
          <w:sz w:val="22"/>
        </w:rPr>
        <w:t>form</w:t>
      </w:r>
      <w:r>
        <w:rPr>
          <w:spacing w:val="-6"/>
          <w:sz w:val="22"/>
        </w:rPr>
        <w:t> </w:t>
      </w:r>
      <w:r>
        <w:rPr>
          <w:sz w:val="22"/>
        </w:rPr>
        <w:t>part</w:t>
      </w:r>
      <w:r>
        <w:rPr>
          <w:spacing w:val="-1"/>
          <w:sz w:val="22"/>
        </w:rPr>
        <w:t> </w:t>
      </w:r>
      <w:r>
        <w:rPr>
          <w:sz w:val="22"/>
        </w:rPr>
        <w:t>of</w:t>
      </w:r>
      <w:r>
        <w:rPr>
          <w:spacing w:val="-3"/>
          <w:sz w:val="22"/>
        </w:rPr>
        <w:t> </w:t>
      </w:r>
      <w:r>
        <w:rPr>
          <w:sz w:val="22"/>
        </w:rPr>
        <w:t>these</w:t>
      </w:r>
      <w:r>
        <w:rPr>
          <w:spacing w:val="-4"/>
          <w:sz w:val="22"/>
        </w:rPr>
        <w:t> </w:t>
      </w:r>
      <w:r>
        <w:rPr>
          <w:sz w:val="22"/>
        </w:rPr>
        <w:t>financial</w:t>
      </w:r>
      <w:r>
        <w:rPr>
          <w:spacing w:val="-2"/>
          <w:sz w:val="22"/>
        </w:rPr>
        <w:t> </w:t>
      </w:r>
      <w:r>
        <w:rPr>
          <w:sz w:val="22"/>
        </w:rPr>
        <w:t>statements. On behalf of the Board of National Disability Authority:</w:t>
      </w:r>
    </w:p>
    <w:p>
      <w:pPr>
        <w:pStyle w:val="BodyText"/>
        <w:spacing w:before="6"/>
        <w:rPr>
          <w:sz w:val="17"/>
        </w:rPr>
      </w:pPr>
      <w:r>
        <w:rPr>
          <w:sz w:val="17"/>
        </w:rPr>
        <w:drawing>
          <wp:anchor distT="0" distB="0" distL="0" distR="0" allowOverlap="1" layoutInCell="1" locked="0" behindDoc="1" simplePos="0" relativeHeight="487597056">
            <wp:simplePos x="0" y="0"/>
            <wp:positionH relativeFrom="page">
              <wp:posOffset>1260475</wp:posOffset>
            </wp:positionH>
            <wp:positionV relativeFrom="paragraph">
              <wp:posOffset>144376</wp:posOffset>
            </wp:positionV>
            <wp:extent cx="1424962" cy="530066"/>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1424962" cy="530066"/>
                    </a:xfrm>
                    <a:prstGeom prst="rect">
                      <a:avLst/>
                    </a:prstGeom>
                  </pic:spPr>
                </pic:pic>
              </a:graphicData>
            </a:graphic>
          </wp:anchor>
        </w:drawing>
      </w:r>
      <w:r>
        <w:rPr>
          <w:sz w:val="17"/>
        </w:rPr>
        <w:drawing>
          <wp:anchor distT="0" distB="0" distL="0" distR="0" allowOverlap="1" layoutInCell="1" locked="0" behindDoc="1" simplePos="0" relativeHeight="487597568">
            <wp:simplePos x="0" y="0"/>
            <wp:positionH relativeFrom="page">
              <wp:posOffset>2874302</wp:posOffset>
            </wp:positionH>
            <wp:positionV relativeFrom="paragraph">
              <wp:posOffset>153520</wp:posOffset>
            </wp:positionV>
            <wp:extent cx="1680638" cy="315372"/>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0" cstate="print"/>
                    <a:stretch>
                      <a:fillRect/>
                    </a:stretch>
                  </pic:blipFill>
                  <pic:spPr>
                    <a:xfrm>
                      <a:off x="0" y="0"/>
                      <a:ext cx="1680638" cy="315372"/>
                    </a:xfrm>
                    <a:prstGeom prst="rect">
                      <a:avLst/>
                    </a:prstGeom>
                  </pic:spPr>
                </pic:pic>
              </a:graphicData>
            </a:graphic>
          </wp:anchor>
        </w:drawing>
      </w:r>
      <w:r>
        <w:rPr>
          <w:sz w:val="17"/>
        </w:rPr>
        <w:drawing>
          <wp:anchor distT="0" distB="0" distL="0" distR="0" allowOverlap="1" layoutInCell="1" locked="0" behindDoc="1" simplePos="0" relativeHeight="487598080">
            <wp:simplePos x="0" y="0"/>
            <wp:positionH relativeFrom="page">
              <wp:posOffset>4971115</wp:posOffset>
            </wp:positionH>
            <wp:positionV relativeFrom="paragraph">
              <wp:posOffset>153520</wp:posOffset>
            </wp:positionV>
            <wp:extent cx="1332795" cy="492251"/>
            <wp:effectExtent l="0" t="0" r="0" b="0"/>
            <wp:wrapTopAndBottom/>
            <wp:docPr id="26" name="Image 26" descr="Siobhan Barron’s signature"/>
            <wp:cNvGraphicFramePr>
              <a:graphicFrameLocks/>
            </wp:cNvGraphicFramePr>
            <a:graphic>
              <a:graphicData uri="http://schemas.openxmlformats.org/drawingml/2006/picture">
                <pic:pic>
                  <pic:nvPicPr>
                    <pic:cNvPr id="26" name="Image 26" descr="Siobhan Barron’s signature"/>
                    <pic:cNvPicPr/>
                  </pic:nvPicPr>
                  <pic:blipFill>
                    <a:blip r:embed="rId11" cstate="print"/>
                    <a:stretch>
                      <a:fillRect/>
                    </a:stretch>
                  </pic:blipFill>
                  <pic:spPr>
                    <a:xfrm>
                      <a:off x="0" y="0"/>
                      <a:ext cx="1332795" cy="492251"/>
                    </a:xfrm>
                    <a:prstGeom prst="rect">
                      <a:avLst/>
                    </a:prstGeom>
                  </pic:spPr>
                </pic:pic>
              </a:graphicData>
            </a:graphic>
          </wp:anchor>
        </w:drawing>
      </w:r>
      <w:r>
        <w:rPr>
          <w:sz w:val="17"/>
        </w:rPr>
        <mc:AlternateContent>
          <mc:Choice Requires="wps">
            <w:drawing>
              <wp:anchor distT="0" distB="0" distL="0" distR="0" allowOverlap="1" layoutInCell="1" locked="0" behindDoc="1" simplePos="0" relativeHeight="487598592">
                <wp:simplePos x="0" y="0"/>
                <wp:positionH relativeFrom="page">
                  <wp:posOffset>1260652</wp:posOffset>
                </wp:positionH>
                <wp:positionV relativeFrom="paragraph">
                  <wp:posOffset>819288</wp:posOffset>
                </wp:positionV>
                <wp:extent cx="131127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9.264pt;margin-top:64.510902pt;width:103.25pt;height:.1pt;mso-position-horizontal-relative:page;mso-position-vertical-relative:paragraph;z-index:-15717888;mso-wrap-distance-left:0;mso-wrap-distance-right:0" id="docshape15" coordorigin="1985,1290" coordsize="2065,0" path="m1985,1290l4050,1290e" filled="false" stroked="true" strokeweight=".70656pt" strokecolor="#000000">
                <v:path arrowok="t"/>
                <v:stroke dashstyle="solid"/>
                <w10:wrap type="topAndBottom"/>
              </v:shape>
            </w:pict>
          </mc:Fallback>
        </mc:AlternateContent>
      </w:r>
      <w:r>
        <w:rPr>
          <w:sz w:val="17"/>
        </w:rPr>
        <mc:AlternateContent>
          <mc:Choice Requires="wps">
            <w:drawing>
              <wp:anchor distT="0" distB="0" distL="0" distR="0" allowOverlap="1" layoutInCell="1" locked="0" behindDoc="1" simplePos="0" relativeHeight="487599104">
                <wp:simplePos x="0" y="0"/>
                <wp:positionH relativeFrom="page">
                  <wp:posOffset>3089782</wp:posOffset>
                </wp:positionH>
                <wp:positionV relativeFrom="paragraph">
                  <wp:posOffset>819288</wp:posOffset>
                </wp:positionV>
                <wp:extent cx="131127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3.289993pt;margin-top:64.510902pt;width:103.25pt;height:.1pt;mso-position-horizontal-relative:page;mso-position-vertical-relative:paragraph;z-index:-15717376;mso-wrap-distance-left:0;mso-wrap-distance-right:0" id="docshape16" coordorigin="4866,1290" coordsize="2065,0" path="m4866,1290l6931,1290e" filled="false" stroked="true" strokeweight=".70656pt" strokecolor="#000000">
                <v:path arrowok="t"/>
                <v:stroke dashstyle="solid"/>
                <w10:wrap type="topAndBottom"/>
              </v:shape>
            </w:pict>
          </mc:Fallback>
        </mc:AlternateContent>
      </w:r>
      <w:r>
        <w:rPr>
          <w:sz w:val="17"/>
        </w:rPr>
        <mc:AlternateContent>
          <mc:Choice Requires="wps">
            <w:drawing>
              <wp:anchor distT="0" distB="0" distL="0" distR="0" allowOverlap="1" layoutInCell="1" locked="0" behindDoc="1" simplePos="0" relativeHeight="487599616">
                <wp:simplePos x="0" y="0"/>
                <wp:positionH relativeFrom="page">
                  <wp:posOffset>4918836</wp:posOffset>
                </wp:positionH>
                <wp:positionV relativeFrom="paragraph">
                  <wp:posOffset>819288</wp:posOffset>
                </wp:positionV>
                <wp:extent cx="131127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311275" cy="1270"/>
                        </a:xfrm>
                        <a:custGeom>
                          <a:avLst/>
                          <a:gdLst/>
                          <a:ahLst/>
                          <a:cxnLst/>
                          <a:rect l="l" t="t" r="r" b="b"/>
                          <a:pathLst>
                            <a:path w="1311275" h="0">
                              <a:moveTo>
                                <a:pt x="0" y="0"/>
                              </a:moveTo>
                              <a:lnTo>
                                <a:pt x="1311085" y="0"/>
                              </a:lnTo>
                            </a:path>
                          </a:pathLst>
                        </a:custGeom>
                        <a:ln w="897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7.309998pt;margin-top:64.510902pt;width:103.25pt;height:.1pt;mso-position-horizontal-relative:page;mso-position-vertical-relative:paragraph;z-index:-15716864;mso-wrap-distance-left:0;mso-wrap-distance-right:0" id="docshape17" coordorigin="7746,1290" coordsize="2065,0" path="m7746,1290l9811,1290e" filled="false" stroked="true" strokeweight=".70656pt" strokecolor="#000000">
                <v:path arrowok="t"/>
                <v:stroke dashstyle="solid"/>
                <w10:wrap type="topAndBottom"/>
              </v:shape>
            </w:pict>
          </mc:Fallback>
        </mc:AlternateContent>
      </w:r>
    </w:p>
    <w:p>
      <w:pPr>
        <w:pStyle w:val="BodyText"/>
        <w:spacing w:before="6"/>
        <w:rPr>
          <w:sz w:val="17"/>
        </w:rPr>
      </w:pPr>
    </w:p>
    <w:p>
      <w:pPr>
        <w:pStyle w:val="BodyText"/>
        <w:spacing w:before="15" w:after="1"/>
        <w:rPr>
          <w:sz w:val="20"/>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5"/>
        <w:gridCol w:w="2881"/>
        <w:gridCol w:w="2395"/>
      </w:tblGrid>
      <w:tr>
        <w:trPr>
          <w:trHeight w:val="701" w:hRule="atLeast"/>
        </w:trPr>
        <w:tc>
          <w:tcPr>
            <w:tcW w:w="2395"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127"/>
              <w:ind w:left="50"/>
              <w:rPr>
                <w:sz w:val="22"/>
              </w:rPr>
            </w:pPr>
            <w:r>
              <w:rPr>
                <w:spacing w:val="-2"/>
                <w:sz w:val="22"/>
              </w:rPr>
              <w:t>Chairperson</w:t>
            </w:r>
          </w:p>
        </w:tc>
        <w:tc>
          <w:tcPr>
            <w:tcW w:w="2881" w:type="dxa"/>
          </w:tcPr>
          <w:p>
            <w:pPr>
              <w:pStyle w:val="TableParagraph"/>
              <w:ind w:left="535"/>
              <w:rPr>
                <w:sz w:val="22"/>
              </w:rPr>
            </w:pPr>
            <w:r>
              <w:rPr>
                <w:sz w:val="22"/>
              </w:rPr>
              <w:t>Frank</w:t>
            </w:r>
            <w:r>
              <w:rPr>
                <w:spacing w:val="-5"/>
                <w:sz w:val="22"/>
              </w:rPr>
              <w:t> </w:t>
            </w:r>
            <w:r>
              <w:rPr>
                <w:spacing w:val="-2"/>
                <w:sz w:val="22"/>
              </w:rPr>
              <w:t>Cunneen,</w:t>
            </w:r>
          </w:p>
          <w:p>
            <w:pPr>
              <w:pStyle w:val="TableParagraph"/>
              <w:spacing w:before="127"/>
              <w:ind w:left="535"/>
              <w:rPr>
                <w:sz w:val="22"/>
              </w:rPr>
            </w:pPr>
            <w:r>
              <w:rPr>
                <w:sz w:val="22"/>
              </w:rPr>
              <w:t>Authority</w:t>
            </w:r>
            <w:r>
              <w:rPr>
                <w:spacing w:val="-7"/>
                <w:sz w:val="22"/>
              </w:rPr>
              <w:t> </w:t>
            </w:r>
            <w:r>
              <w:rPr>
                <w:spacing w:val="-2"/>
                <w:sz w:val="22"/>
              </w:rPr>
              <w:t>Member</w:t>
            </w:r>
          </w:p>
        </w:tc>
        <w:tc>
          <w:tcPr>
            <w:tcW w:w="2395" w:type="dxa"/>
          </w:tcPr>
          <w:p>
            <w:pPr>
              <w:pStyle w:val="TableParagraph"/>
              <w:ind w:left="534"/>
              <w:rPr>
                <w:sz w:val="22"/>
              </w:rPr>
            </w:pPr>
            <w:r>
              <w:rPr>
                <w:sz w:val="22"/>
              </w:rPr>
              <w:t>Siobhan</w:t>
            </w:r>
            <w:r>
              <w:rPr>
                <w:spacing w:val="-4"/>
                <w:sz w:val="22"/>
              </w:rPr>
              <w:t> </w:t>
            </w:r>
            <w:r>
              <w:rPr>
                <w:spacing w:val="-2"/>
                <w:sz w:val="22"/>
              </w:rPr>
              <w:t>Barron,</w:t>
            </w:r>
          </w:p>
          <w:p>
            <w:pPr>
              <w:pStyle w:val="TableParagraph"/>
              <w:spacing w:before="127"/>
              <w:ind w:left="534"/>
              <w:rPr>
                <w:sz w:val="22"/>
              </w:rPr>
            </w:pPr>
            <w:r>
              <w:rPr>
                <w:spacing w:val="-2"/>
                <w:sz w:val="22"/>
              </w:rPr>
              <w:t>Director</w:t>
            </w:r>
          </w:p>
        </w:tc>
      </w:tr>
      <w:tr>
        <w:trPr>
          <w:trHeight w:val="320" w:hRule="atLeast"/>
        </w:trPr>
        <w:tc>
          <w:tcPr>
            <w:tcW w:w="2395" w:type="dxa"/>
          </w:tcPr>
          <w:p>
            <w:pPr>
              <w:pStyle w:val="TableParagraph"/>
              <w:spacing w:line="235" w:lineRule="exact" w:before="64"/>
              <w:ind w:left="50"/>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881" w:type="dxa"/>
          </w:tcPr>
          <w:p>
            <w:pPr>
              <w:pStyle w:val="TableParagraph"/>
              <w:spacing w:line="235" w:lineRule="exact" w:before="64"/>
              <w:ind w:left="535"/>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395" w:type="dxa"/>
          </w:tcPr>
          <w:p>
            <w:pPr>
              <w:pStyle w:val="TableParagraph"/>
              <w:spacing w:line="235" w:lineRule="exact" w:before="64"/>
              <w:ind w:left="534"/>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992"/>
        </w:sectPr>
      </w:pPr>
    </w:p>
    <w:p>
      <w:pPr>
        <w:spacing w:before="82"/>
        <w:ind w:left="1702" w:right="0" w:firstLine="0"/>
        <w:jc w:val="left"/>
        <w:rPr>
          <w:b/>
          <w:sz w:val="22"/>
        </w:rPr>
      </w:pPr>
      <w:r>
        <w:rPr>
          <w:b/>
          <w:sz w:val="22"/>
        </w:rPr>
        <w:t>National</w:t>
      </w:r>
      <w:r>
        <w:rPr>
          <w:b/>
          <w:spacing w:val="-9"/>
          <w:sz w:val="22"/>
        </w:rPr>
        <w:t> </w:t>
      </w:r>
      <w:r>
        <w:rPr>
          <w:b/>
          <w:sz w:val="22"/>
        </w:rPr>
        <w:t>Disability</w:t>
      </w:r>
      <w:r>
        <w:rPr>
          <w:b/>
          <w:spacing w:val="-6"/>
          <w:sz w:val="22"/>
        </w:rPr>
        <w:t> </w:t>
      </w:r>
      <w:r>
        <w:rPr>
          <w:b/>
          <w:spacing w:val="-2"/>
          <w:sz w:val="22"/>
        </w:rPr>
        <w:t>Authority</w:t>
      </w:r>
    </w:p>
    <w:p>
      <w:pPr>
        <w:pStyle w:val="BodyText"/>
        <w:spacing w:before="1"/>
        <w:rPr>
          <w:b/>
          <w:sz w:val="22"/>
        </w:rPr>
      </w:pPr>
    </w:p>
    <w:p>
      <w:pPr>
        <w:spacing w:line="255" w:lineRule="exact" w:before="0"/>
        <w:ind w:left="1702" w:right="0" w:firstLine="0"/>
        <w:jc w:val="left"/>
        <w:rPr>
          <w:b/>
          <w:sz w:val="22"/>
        </w:rPr>
      </w:pPr>
      <w:r>
        <w:rPr>
          <w:b/>
          <w:sz w:val="22"/>
        </w:rPr>
        <w:t>STATEMENT</w:t>
      </w:r>
      <w:r>
        <w:rPr>
          <w:b/>
          <w:spacing w:val="-9"/>
          <w:sz w:val="22"/>
        </w:rPr>
        <w:t> </w:t>
      </w:r>
      <w:r>
        <w:rPr>
          <w:b/>
          <w:sz w:val="22"/>
        </w:rPr>
        <w:t>OF</w:t>
      </w:r>
      <w:r>
        <w:rPr>
          <w:b/>
          <w:spacing w:val="-6"/>
          <w:sz w:val="22"/>
        </w:rPr>
        <w:t> </w:t>
      </w:r>
      <w:r>
        <w:rPr>
          <w:b/>
          <w:sz w:val="22"/>
        </w:rPr>
        <w:t>FINANCIAL</w:t>
      </w:r>
      <w:r>
        <w:rPr>
          <w:b/>
          <w:spacing w:val="-6"/>
          <w:sz w:val="22"/>
        </w:rPr>
        <w:t> </w:t>
      </w:r>
      <w:r>
        <w:rPr>
          <w:b/>
          <w:spacing w:val="-2"/>
          <w:sz w:val="22"/>
        </w:rPr>
        <w:t>POSITION</w:t>
      </w:r>
    </w:p>
    <w:p>
      <w:pPr>
        <w:spacing w:line="255" w:lineRule="exact" w:before="0"/>
        <w:ind w:left="1702" w:right="0" w:firstLine="0"/>
        <w:jc w:val="left"/>
        <w:rPr>
          <w:b/>
          <w:i/>
          <w:sz w:val="22"/>
        </w:rPr>
      </w:pPr>
      <w:r>
        <w:rPr>
          <w:b/>
          <w:i/>
          <w:sz w:val="22"/>
        </w:rPr>
        <mc:AlternateContent>
          <mc:Choice Requires="wps">
            <w:drawing>
              <wp:anchor distT="0" distB="0" distL="0" distR="0" allowOverlap="1" layoutInCell="1" locked="0" behindDoc="0" simplePos="0" relativeHeight="15742464">
                <wp:simplePos x="0" y="0"/>
                <wp:positionH relativeFrom="page">
                  <wp:posOffset>1327911</wp:posOffset>
                </wp:positionH>
                <wp:positionV relativeFrom="paragraph">
                  <wp:posOffset>172455</wp:posOffset>
                </wp:positionV>
                <wp:extent cx="5403850" cy="564769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403850" cy="56476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1"/>
                              <w:gridCol w:w="1370"/>
                              <w:gridCol w:w="1299"/>
                              <w:gridCol w:w="1298"/>
                            </w:tblGrid>
                            <w:tr>
                              <w:trPr>
                                <w:trHeight w:val="708" w:hRule="atLeast"/>
                              </w:trPr>
                              <w:tc>
                                <w:tcPr>
                                  <w:tcW w:w="4421" w:type="dxa"/>
                                </w:tcPr>
                                <w:p>
                                  <w:pPr>
                                    <w:pStyle w:val="TableParagraph"/>
                                    <w:rPr>
                                      <w:rFonts w:ascii="Times New Roman"/>
                                      <w:sz w:val="20"/>
                                    </w:rPr>
                                  </w:pPr>
                                </w:p>
                              </w:tc>
                              <w:tc>
                                <w:tcPr>
                                  <w:tcW w:w="1370" w:type="dxa"/>
                                </w:tcPr>
                                <w:p>
                                  <w:pPr>
                                    <w:pStyle w:val="TableParagraph"/>
                                    <w:spacing w:line="221" w:lineRule="exact"/>
                                    <w:ind w:left="628"/>
                                    <w:jc w:val="center"/>
                                    <w:rPr>
                                      <w:b/>
                                      <w:sz w:val="21"/>
                                    </w:rPr>
                                  </w:pPr>
                                  <w:r>
                                    <w:rPr>
                                      <w:b/>
                                      <w:spacing w:val="-4"/>
                                      <w:sz w:val="21"/>
                                    </w:rPr>
                                    <w:t>Note</w:t>
                                  </w:r>
                                </w:p>
                              </w:tc>
                              <w:tc>
                                <w:tcPr>
                                  <w:tcW w:w="1299" w:type="dxa"/>
                                </w:tcPr>
                                <w:p>
                                  <w:pPr>
                                    <w:pStyle w:val="TableParagraph"/>
                                    <w:spacing w:line="221" w:lineRule="exact"/>
                                    <w:ind w:right="104"/>
                                    <w:jc w:val="right"/>
                                    <w:rPr>
                                      <w:b/>
                                      <w:sz w:val="21"/>
                                    </w:rPr>
                                  </w:pPr>
                                  <w:r>
                                    <w:rPr>
                                      <w:b/>
                                      <w:spacing w:val="-4"/>
                                      <w:sz w:val="21"/>
                                    </w:rPr>
                                    <w:t>2017</w:t>
                                  </w:r>
                                </w:p>
                                <w:p>
                                  <w:pPr>
                                    <w:pStyle w:val="TableParagraph"/>
                                    <w:rPr>
                                      <w:sz w:val="21"/>
                                    </w:rPr>
                                  </w:pPr>
                                </w:p>
                                <w:p>
                                  <w:pPr>
                                    <w:pStyle w:val="TableParagraph"/>
                                    <w:spacing w:line="224" w:lineRule="exact"/>
                                    <w:ind w:right="104"/>
                                    <w:jc w:val="right"/>
                                    <w:rPr>
                                      <w:b/>
                                      <w:sz w:val="21"/>
                                    </w:rPr>
                                  </w:pPr>
                                  <w:r>
                                    <w:rPr>
                                      <w:b/>
                                      <w:spacing w:val="-10"/>
                                      <w:sz w:val="21"/>
                                    </w:rPr>
                                    <w:t>€</w:t>
                                  </w:r>
                                </w:p>
                              </w:tc>
                              <w:tc>
                                <w:tcPr>
                                  <w:tcW w:w="1298" w:type="dxa"/>
                                  <w:shd w:val="clear" w:color="auto" w:fill="E4E4E4"/>
                                </w:tcPr>
                                <w:p>
                                  <w:pPr>
                                    <w:pStyle w:val="TableParagraph"/>
                                    <w:spacing w:line="221" w:lineRule="exact"/>
                                    <w:ind w:right="103"/>
                                    <w:jc w:val="right"/>
                                    <w:rPr>
                                      <w:b/>
                                      <w:sz w:val="21"/>
                                    </w:rPr>
                                  </w:pPr>
                                  <w:r>
                                    <w:rPr>
                                      <w:b/>
                                      <w:spacing w:val="-4"/>
                                      <w:sz w:val="21"/>
                                    </w:rPr>
                                    <w:t>2016</w:t>
                                  </w:r>
                                </w:p>
                                <w:p>
                                  <w:pPr>
                                    <w:pStyle w:val="TableParagraph"/>
                                    <w:rPr>
                                      <w:sz w:val="21"/>
                                    </w:rPr>
                                  </w:pPr>
                                </w:p>
                                <w:p>
                                  <w:pPr>
                                    <w:pStyle w:val="TableParagraph"/>
                                    <w:spacing w:line="224" w:lineRule="exact"/>
                                    <w:ind w:right="104"/>
                                    <w:jc w:val="right"/>
                                    <w:rPr>
                                      <w:b/>
                                      <w:sz w:val="21"/>
                                    </w:rPr>
                                  </w:pPr>
                                  <w:r>
                                    <w:rPr>
                                      <w:b/>
                                      <w:spacing w:val="-10"/>
                                      <w:sz w:val="21"/>
                                    </w:rPr>
                                    <w:t>€</w:t>
                                  </w:r>
                                </w:p>
                              </w:tc>
                            </w:tr>
                            <w:tr>
                              <w:trPr>
                                <w:trHeight w:val="243" w:hRule="atLeast"/>
                              </w:trPr>
                              <w:tc>
                                <w:tcPr>
                                  <w:tcW w:w="4421" w:type="dxa"/>
                                </w:tcPr>
                                <w:p>
                                  <w:pPr>
                                    <w:pStyle w:val="TableParagraph"/>
                                    <w:spacing w:line="223" w:lineRule="exact" w:before="1"/>
                                    <w:ind w:left="50"/>
                                    <w:rPr>
                                      <w:b/>
                                      <w:sz w:val="21"/>
                                    </w:rPr>
                                  </w:pPr>
                                  <w:r>
                                    <w:rPr>
                                      <w:b/>
                                      <w:sz w:val="21"/>
                                    </w:rPr>
                                    <w:t>Fixed</w:t>
                                  </w:r>
                                  <w:r>
                                    <w:rPr>
                                      <w:b/>
                                      <w:spacing w:val="-6"/>
                                      <w:sz w:val="21"/>
                                    </w:rPr>
                                    <w:t> </w:t>
                                  </w:r>
                                  <w:r>
                                    <w:rPr>
                                      <w:b/>
                                      <w:spacing w:val="-2"/>
                                      <w:sz w:val="21"/>
                                    </w:rPr>
                                    <w:t>Assets</w:t>
                                  </w:r>
                                </w:p>
                              </w:tc>
                              <w:tc>
                                <w:tcPr>
                                  <w:tcW w:w="1370" w:type="dxa"/>
                                </w:tcPr>
                                <w:p>
                                  <w:pPr>
                                    <w:pStyle w:val="TableParagraph"/>
                                    <w:rPr>
                                      <w:rFonts w:ascii="Times New Roman"/>
                                      <w:sz w:val="16"/>
                                    </w:rPr>
                                  </w:pPr>
                                </w:p>
                              </w:tc>
                              <w:tc>
                                <w:tcPr>
                                  <w:tcW w:w="1299" w:type="dxa"/>
                                </w:tcPr>
                                <w:p>
                                  <w:pPr>
                                    <w:pStyle w:val="TableParagraph"/>
                                    <w:rPr>
                                      <w:rFonts w:ascii="Times New Roman"/>
                                      <w:sz w:val="16"/>
                                    </w:rPr>
                                  </w:pPr>
                                </w:p>
                              </w:tc>
                              <w:tc>
                                <w:tcPr>
                                  <w:tcW w:w="1298" w:type="dxa"/>
                                  <w:shd w:val="clear" w:color="auto" w:fill="E4E4E4"/>
                                </w:tcPr>
                                <w:p>
                                  <w:pPr>
                                    <w:pStyle w:val="TableParagraph"/>
                                    <w:rPr>
                                      <w:rFonts w:ascii="Times New Roman"/>
                                      <w:sz w:val="16"/>
                                    </w:rPr>
                                  </w:pPr>
                                </w:p>
                              </w:tc>
                            </w:tr>
                            <w:tr>
                              <w:trPr>
                                <w:trHeight w:val="266" w:hRule="atLeast"/>
                              </w:trPr>
                              <w:tc>
                                <w:tcPr>
                                  <w:tcW w:w="4421" w:type="dxa"/>
                                </w:tcPr>
                                <w:p>
                                  <w:pPr>
                                    <w:pStyle w:val="TableParagraph"/>
                                    <w:spacing w:before="2"/>
                                    <w:ind w:left="50"/>
                                    <w:rPr>
                                      <w:sz w:val="21"/>
                                    </w:rPr>
                                  </w:pPr>
                                  <w:r>
                                    <w:rPr>
                                      <w:sz w:val="21"/>
                                    </w:rPr>
                                    <w:t>Property,</w:t>
                                  </w:r>
                                  <w:r>
                                    <w:rPr>
                                      <w:spacing w:val="-5"/>
                                      <w:sz w:val="21"/>
                                    </w:rPr>
                                    <w:t> </w:t>
                                  </w:r>
                                  <w:r>
                                    <w:rPr>
                                      <w:sz w:val="21"/>
                                    </w:rPr>
                                    <w:t>plant</w:t>
                                  </w:r>
                                  <w:r>
                                    <w:rPr>
                                      <w:spacing w:val="-5"/>
                                      <w:sz w:val="21"/>
                                    </w:rPr>
                                    <w:t> </w:t>
                                  </w:r>
                                  <w:r>
                                    <w:rPr>
                                      <w:sz w:val="21"/>
                                    </w:rPr>
                                    <w:t>&amp;</w:t>
                                  </w:r>
                                  <w:r>
                                    <w:rPr>
                                      <w:spacing w:val="-3"/>
                                      <w:sz w:val="21"/>
                                    </w:rPr>
                                    <w:t> </w:t>
                                  </w:r>
                                  <w:r>
                                    <w:rPr>
                                      <w:spacing w:val="-2"/>
                                      <w:sz w:val="21"/>
                                    </w:rPr>
                                    <w:t>equipment</w:t>
                                  </w:r>
                                </w:p>
                              </w:tc>
                              <w:tc>
                                <w:tcPr>
                                  <w:tcW w:w="1370" w:type="dxa"/>
                                </w:tcPr>
                                <w:p>
                                  <w:pPr>
                                    <w:pStyle w:val="TableParagraph"/>
                                    <w:ind w:left="628" w:right="49"/>
                                    <w:jc w:val="center"/>
                                    <w:rPr>
                                      <w:sz w:val="21"/>
                                    </w:rPr>
                                  </w:pPr>
                                  <w:r>
                                    <w:rPr>
                                      <w:spacing w:val="-10"/>
                                      <w:sz w:val="21"/>
                                    </w:rPr>
                                    <w:t>8</w:t>
                                  </w:r>
                                </w:p>
                              </w:tc>
                              <w:tc>
                                <w:tcPr>
                                  <w:tcW w:w="1299" w:type="dxa"/>
                                  <w:tcBorders>
                                    <w:bottom w:val="single" w:sz="4" w:space="0" w:color="000000"/>
                                  </w:tcBorders>
                                </w:tcPr>
                                <w:p>
                                  <w:pPr>
                                    <w:pStyle w:val="TableParagraph"/>
                                    <w:ind w:right="103"/>
                                    <w:jc w:val="right"/>
                                    <w:rPr>
                                      <w:sz w:val="21"/>
                                    </w:rPr>
                                  </w:pPr>
                                  <w:r>
                                    <w:rPr>
                                      <w:spacing w:val="-2"/>
                                      <w:sz w:val="21"/>
                                    </w:rPr>
                                    <w:t>3,014,066</w:t>
                                  </w:r>
                                </w:p>
                              </w:tc>
                              <w:tc>
                                <w:tcPr>
                                  <w:tcW w:w="1298" w:type="dxa"/>
                                  <w:tcBorders>
                                    <w:bottom w:val="single" w:sz="4" w:space="0" w:color="000000"/>
                                  </w:tcBorders>
                                  <w:shd w:val="clear" w:color="auto" w:fill="E4E4E4"/>
                                </w:tcPr>
                                <w:p>
                                  <w:pPr>
                                    <w:pStyle w:val="TableParagraph"/>
                                    <w:ind w:right="102"/>
                                    <w:jc w:val="right"/>
                                    <w:rPr>
                                      <w:sz w:val="21"/>
                                    </w:rPr>
                                  </w:pPr>
                                  <w:r>
                                    <w:rPr>
                                      <w:spacing w:val="-2"/>
                                      <w:sz w:val="21"/>
                                    </w:rPr>
                                    <w:t>3,093,047</w:t>
                                  </w:r>
                                </w:p>
                              </w:tc>
                            </w:tr>
                            <w:tr>
                              <w:trPr>
                                <w:trHeight w:val="244" w:hRule="atLeast"/>
                              </w:trPr>
                              <w:tc>
                                <w:tcPr>
                                  <w:tcW w:w="4421" w:type="dxa"/>
                                </w:tcPr>
                                <w:p>
                                  <w:pPr>
                                    <w:pStyle w:val="TableParagraph"/>
                                    <w:spacing w:line="221" w:lineRule="exact"/>
                                    <w:ind w:left="50"/>
                                    <w:rPr>
                                      <w:b/>
                                      <w:sz w:val="21"/>
                                    </w:rPr>
                                  </w:pPr>
                                  <w:r>
                                    <w:rPr>
                                      <w:b/>
                                      <w:sz w:val="21"/>
                                    </w:rPr>
                                    <w:t>Total</w:t>
                                  </w:r>
                                  <w:r>
                                    <w:rPr>
                                      <w:b/>
                                      <w:spacing w:val="-5"/>
                                      <w:sz w:val="21"/>
                                    </w:rPr>
                                    <w:t> </w:t>
                                  </w:r>
                                  <w:r>
                                    <w:rPr>
                                      <w:b/>
                                      <w:sz w:val="21"/>
                                    </w:rPr>
                                    <w:t>Fixed</w:t>
                                  </w:r>
                                  <w:r>
                                    <w:rPr>
                                      <w:b/>
                                      <w:spacing w:val="-4"/>
                                      <w:sz w:val="21"/>
                                    </w:rPr>
                                    <w:t> </w:t>
                                  </w:r>
                                  <w:r>
                                    <w:rPr>
                                      <w:b/>
                                      <w:spacing w:val="-2"/>
                                      <w:sz w:val="21"/>
                                    </w:rPr>
                                    <w:t>Assets</w:t>
                                  </w:r>
                                </w:p>
                              </w:tc>
                              <w:tc>
                                <w:tcPr>
                                  <w:tcW w:w="1370" w:type="dxa"/>
                                </w:tcPr>
                                <w:p>
                                  <w:pPr>
                                    <w:pStyle w:val="TableParagraph"/>
                                    <w:rPr>
                                      <w:rFonts w:ascii="Times New Roman"/>
                                      <w:sz w:val="16"/>
                                    </w:rPr>
                                  </w:pPr>
                                </w:p>
                              </w:tc>
                              <w:tc>
                                <w:tcPr>
                                  <w:tcW w:w="1299" w:type="dxa"/>
                                  <w:tcBorders>
                                    <w:top w:val="single" w:sz="4" w:space="0" w:color="000000"/>
                                    <w:bottom w:val="single" w:sz="4" w:space="0" w:color="000000"/>
                                  </w:tcBorders>
                                </w:tcPr>
                                <w:p>
                                  <w:pPr>
                                    <w:pStyle w:val="TableParagraph"/>
                                    <w:spacing w:line="221" w:lineRule="exact"/>
                                    <w:ind w:right="105"/>
                                    <w:jc w:val="right"/>
                                    <w:rPr>
                                      <w:b/>
                                      <w:sz w:val="21"/>
                                    </w:rPr>
                                  </w:pPr>
                                  <w:r>
                                    <w:rPr>
                                      <w:b/>
                                      <w:spacing w:val="-2"/>
                                      <w:sz w:val="21"/>
                                    </w:rPr>
                                    <w:t>3,014,066</w:t>
                                  </w:r>
                                </w:p>
                              </w:tc>
                              <w:tc>
                                <w:tcPr>
                                  <w:tcW w:w="1298" w:type="dxa"/>
                                  <w:tcBorders>
                                    <w:top w:val="single" w:sz="4" w:space="0" w:color="000000"/>
                                    <w:bottom w:val="single" w:sz="4" w:space="0" w:color="000000"/>
                                  </w:tcBorders>
                                  <w:shd w:val="clear" w:color="auto" w:fill="E4E4E4"/>
                                </w:tcPr>
                                <w:p>
                                  <w:pPr>
                                    <w:pStyle w:val="TableParagraph"/>
                                    <w:spacing w:line="221" w:lineRule="exact"/>
                                    <w:ind w:right="104"/>
                                    <w:jc w:val="right"/>
                                    <w:rPr>
                                      <w:b/>
                                      <w:sz w:val="21"/>
                                    </w:rPr>
                                  </w:pPr>
                                  <w:r>
                                    <w:rPr>
                                      <w:b/>
                                      <w:spacing w:val="-2"/>
                                      <w:sz w:val="21"/>
                                    </w:rPr>
                                    <w:t>3,093,047</w:t>
                                  </w:r>
                                </w:p>
                              </w:tc>
                            </w:tr>
                            <w:tr>
                              <w:trPr>
                                <w:trHeight w:val="465" w:hRule="atLeast"/>
                              </w:trPr>
                              <w:tc>
                                <w:tcPr>
                                  <w:tcW w:w="4421" w:type="dxa"/>
                                </w:tcPr>
                                <w:p>
                                  <w:pPr>
                                    <w:pStyle w:val="TableParagraph"/>
                                    <w:spacing w:line="223" w:lineRule="exact" w:before="223"/>
                                    <w:ind w:left="50"/>
                                    <w:rPr>
                                      <w:b/>
                                      <w:sz w:val="21"/>
                                    </w:rPr>
                                  </w:pPr>
                                  <w:r>
                                    <w:rPr>
                                      <w:b/>
                                      <w:sz w:val="21"/>
                                    </w:rPr>
                                    <w:t>Current</w:t>
                                  </w:r>
                                  <w:r>
                                    <w:rPr>
                                      <w:b/>
                                      <w:spacing w:val="-10"/>
                                      <w:sz w:val="21"/>
                                    </w:rPr>
                                    <w:t> </w:t>
                                  </w:r>
                                  <w:r>
                                    <w:rPr>
                                      <w:b/>
                                      <w:spacing w:val="-2"/>
                                      <w:sz w:val="21"/>
                                    </w:rPr>
                                    <w:t>Assets</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rPr>
                                      <w:rFonts w:ascii="Times New Roman"/>
                                      <w:sz w:val="20"/>
                                    </w:rPr>
                                  </w:pPr>
                                </w:p>
                              </w:tc>
                              <w:tc>
                                <w:tcPr>
                                  <w:tcW w:w="1298" w:type="dxa"/>
                                  <w:tcBorders>
                                    <w:top w:val="single" w:sz="4" w:space="0" w:color="000000"/>
                                  </w:tcBorders>
                                  <w:shd w:val="clear" w:color="auto" w:fill="E4E4E4"/>
                                </w:tcPr>
                                <w:p>
                                  <w:pPr>
                                    <w:pStyle w:val="TableParagraph"/>
                                    <w:rPr>
                                      <w:rFonts w:ascii="Times New Roman"/>
                                      <w:sz w:val="20"/>
                                    </w:rPr>
                                  </w:pPr>
                                </w:p>
                              </w:tc>
                            </w:tr>
                            <w:tr>
                              <w:trPr>
                                <w:trHeight w:val="243" w:hRule="atLeast"/>
                              </w:trPr>
                              <w:tc>
                                <w:tcPr>
                                  <w:tcW w:w="4421" w:type="dxa"/>
                                </w:tcPr>
                                <w:p>
                                  <w:pPr>
                                    <w:pStyle w:val="TableParagraph"/>
                                    <w:spacing w:line="224" w:lineRule="exact"/>
                                    <w:ind w:left="50"/>
                                    <w:rPr>
                                      <w:sz w:val="21"/>
                                    </w:rPr>
                                  </w:pPr>
                                  <w:r>
                                    <w:rPr>
                                      <w:spacing w:val="-2"/>
                                      <w:sz w:val="21"/>
                                    </w:rPr>
                                    <w:t>Receivables</w:t>
                                  </w:r>
                                </w:p>
                              </w:tc>
                              <w:tc>
                                <w:tcPr>
                                  <w:tcW w:w="1370" w:type="dxa"/>
                                </w:tcPr>
                                <w:p>
                                  <w:pPr>
                                    <w:pStyle w:val="TableParagraph"/>
                                    <w:spacing w:line="224" w:lineRule="exact"/>
                                    <w:ind w:left="478"/>
                                    <w:jc w:val="center"/>
                                    <w:rPr>
                                      <w:sz w:val="21"/>
                                    </w:rPr>
                                  </w:pPr>
                                  <w:r>
                                    <w:rPr>
                                      <w:spacing w:val="-5"/>
                                      <w:sz w:val="21"/>
                                    </w:rPr>
                                    <w:t>10</w:t>
                                  </w:r>
                                </w:p>
                              </w:tc>
                              <w:tc>
                                <w:tcPr>
                                  <w:tcW w:w="1299" w:type="dxa"/>
                                </w:tcPr>
                                <w:p>
                                  <w:pPr>
                                    <w:pStyle w:val="TableParagraph"/>
                                    <w:spacing w:line="224" w:lineRule="exact"/>
                                    <w:ind w:right="103"/>
                                    <w:jc w:val="right"/>
                                    <w:rPr>
                                      <w:sz w:val="21"/>
                                    </w:rPr>
                                  </w:pPr>
                                  <w:r>
                                    <w:rPr>
                                      <w:spacing w:val="-2"/>
                                      <w:sz w:val="21"/>
                                    </w:rPr>
                                    <w:t>452,230</w:t>
                                  </w:r>
                                </w:p>
                              </w:tc>
                              <w:tc>
                                <w:tcPr>
                                  <w:tcW w:w="1298" w:type="dxa"/>
                                  <w:shd w:val="clear" w:color="auto" w:fill="E4E4E4"/>
                                </w:tcPr>
                                <w:p>
                                  <w:pPr>
                                    <w:pStyle w:val="TableParagraph"/>
                                    <w:spacing w:line="224" w:lineRule="exact"/>
                                    <w:ind w:right="102"/>
                                    <w:jc w:val="right"/>
                                    <w:rPr>
                                      <w:sz w:val="21"/>
                                    </w:rPr>
                                  </w:pPr>
                                  <w:r>
                                    <w:rPr>
                                      <w:spacing w:val="-2"/>
                                      <w:sz w:val="21"/>
                                    </w:rPr>
                                    <w:t>368,877</w:t>
                                  </w:r>
                                </w:p>
                              </w:tc>
                            </w:tr>
                            <w:tr>
                              <w:trPr>
                                <w:trHeight w:val="267" w:hRule="atLeast"/>
                              </w:trPr>
                              <w:tc>
                                <w:tcPr>
                                  <w:tcW w:w="4421" w:type="dxa"/>
                                </w:tcPr>
                                <w:p>
                                  <w:pPr>
                                    <w:pStyle w:val="TableParagraph"/>
                                    <w:spacing w:before="1"/>
                                    <w:ind w:left="50"/>
                                    <w:rPr>
                                      <w:sz w:val="21"/>
                                    </w:rPr>
                                  </w:pPr>
                                  <w:r>
                                    <w:rPr>
                                      <w:sz w:val="21"/>
                                    </w:rPr>
                                    <w:t>Cash</w:t>
                                  </w:r>
                                  <w:r>
                                    <w:rPr>
                                      <w:spacing w:val="-4"/>
                                      <w:sz w:val="21"/>
                                    </w:rPr>
                                    <w:t> </w:t>
                                  </w:r>
                                  <w:r>
                                    <w:rPr>
                                      <w:sz w:val="21"/>
                                    </w:rPr>
                                    <w:t>and</w:t>
                                  </w:r>
                                  <w:r>
                                    <w:rPr>
                                      <w:spacing w:val="-4"/>
                                      <w:sz w:val="21"/>
                                    </w:rPr>
                                    <w:t> </w:t>
                                  </w:r>
                                  <w:r>
                                    <w:rPr>
                                      <w:sz w:val="21"/>
                                    </w:rPr>
                                    <w:t>cash</w:t>
                                  </w:r>
                                  <w:r>
                                    <w:rPr>
                                      <w:spacing w:val="-2"/>
                                      <w:sz w:val="21"/>
                                    </w:rPr>
                                    <w:t> equivalents</w:t>
                                  </w:r>
                                </w:p>
                              </w:tc>
                              <w:tc>
                                <w:tcPr>
                                  <w:tcW w:w="1370" w:type="dxa"/>
                                </w:tcPr>
                                <w:p>
                                  <w:pPr>
                                    <w:pStyle w:val="TableParagraph"/>
                                    <w:rPr>
                                      <w:rFonts w:ascii="Times New Roman"/>
                                      <w:sz w:val="18"/>
                                    </w:rPr>
                                  </w:pPr>
                                </w:p>
                              </w:tc>
                              <w:tc>
                                <w:tcPr>
                                  <w:tcW w:w="1299" w:type="dxa"/>
                                  <w:tcBorders>
                                    <w:bottom w:val="single" w:sz="4" w:space="0" w:color="000000"/>
                                  </w:tcBorders>
                                </w:tcPr>
                                <w:p>
                                  <w:pPr>
                                    <w:pStyle w:val="TableParagraph"/>
                                    <w:spacing w:before="1"/>
                                    <w:ind w:right="103"/>
                                    <w:jc w:val="right"/>
                                    <w:rPr>
                                      <w:sz w:val="21"/>
                                    </w:rPr>
                                  </w:pPr>
                                  <w:r>
                                    <w:rPr>
                                      <w:spacing w:val="-2"/>
                                      <w:sz w:val="21"/>
                                    </w:rPr>
                                    <w:t>52,301</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56,634</w:t>
                                  </w:r>
                                </w:p>
                              </w:tc>
                            </w:tr>
                            <w:tr>
                              <w:trPr>
                                <w:trHeight w:val="708" w:hRule="atLeast"/>
                              </w:trPr>
                              <w:tc>
                                <w:tcPr>
                                  <w:tcW w:w="4421" w:type="dxa"/>
                                </w:tcPr>
                                <w:p>
                                  <w:pPr>
                                    <w:pStyle w:val="TableParagraph"/>
                                    <w:spacing w:line="242" w:lineRule="exact" w:before="204"/>
                                    <w:ind w:left="50"/>
                                    <w:rPr>
                                      <w:b/>
                                      <w:i/>
                                      <w:sz w:val="21"/>
                                    </w:rPr>
                                  </w:pPr>
                                  <w:r>
                                    <w:rPr>
                                      <w:b/>
                                      <w:sz w:val="21"/>
                                    </w:rPr>
                                    <w:t>Current</w:t>
                                  </w:r>
                                  <w:r>
                                    <w:rPr>
                                      <w:b/>
                                      <w:spacing w:val="-8"/>
                                      <w:sz w:val="21"/>
                                    </w:rPr>
                                    <w:t> </w:t>
                                  </w:r>
                                  <w:r>
                                    <w:rPr>
                                      <w:b/>
                                      <w:sz w:val="21"/>
                                    </w:rPr>
                                    <w:t>Liabilities</w:t>
                                  </w:r>
                                  <w:r>
                                    <w:rPr>
                                      <w:b/>
                                      <w:spacing w:val="-6"/>
                                      <w:sz w:val="21"/>
                                    </w:rPr>
                                    <w:t> </w:t>
                                  </w:r>
                                  <w:r>
                                    <w:rPr>
                                      <w:b/>
                                      <w:i/>
                                      <w:sz w:val="21"/>
                                    </w:rPr>
                                    <w:t>(amounts</w:t>
                                  </w:r>
                                  <w:r>
                                    <w:rPr>
                                      <w:b/>
                                      <w:i/>
                                      <w:spacing w:val="-9"/>
                                      <w:sz w:val="21"/>
                                    </w:rPr>
                                    <w:t> </w:t>
                                  </w:r>
                                  <w:r>
                                    <w:rPr>
                                      <w:b/>
                                      <w:i/>
                                      <w:sz w:val="21"/>
                                    </w:rPr>
                                    <w:t>falling</w:t>
                                  </w:r>
                                  <w:r>
                                    <w:rPr>
                                      <w:b/>
                                      <w:i/>
                                      <w:spacing w:val="-9"/>
                                      <w:sz w:val="21"/>
                                    </w:rPr>
                                    <w:t> </w:t>
                                  </w:r>
                                  <w:r>
                                    <w:rPr>
                                      <w:b/>
                                      <w:i/>
                                      <w:sz w:val="21"/>
                                    </w:rPr>
                                    <w:t>due</w:t>
                                  </w:r>
                                  <w:r>
                                    <w:rPr>
                                      <w:b/>
                                      <w:i/>
                                      <w:spacing w:val="-8"/>
                                      <w:sz w:val="21"/>
                                    </w:rPr>
                                    <w:t> </w:t>
                                  </w:r>
                                  <w:r>
                                    <w:rPr>
                                      <w:b/>
                                      <w:i/>
                                      <w:sz w:val="21"/>
                                    </w:rPr>
                                    <w:t>within</w:t>
                                  </w:r>
                                  <w:r>
                                    <w:rPr>
                                      <w:b/>
                                      <w:i/>
                                      <w:sz w:val="21"/>
                                    </w:rPr>
                                    <w:t> one year)</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spacing w:line="221" w:lineRule="exact"/>
                                    <w:ind w:right="105"/>
                                    <w:jc w:val="right"/>
                                    <w:rPr>
                                      <w:b/>
                                      <w:sz w:val="21"/>
                                    </w:rPr>
                                  </w:pPr>
                                  <w:r>
                                    <w:rPr>
                                      <w:b/>
                                      <w:spacing w:val="-2"/>
                                      <w:sz w:val="21"/>
                                    </w:rPr>
                                    <w:t>504,531</w:t>
                                  </w:r>
                                </w:p>
                              </w:tc>
                              <w:tc>
                                <w:tcPr>
                                  <w:tcW w:w="1298" w:type="dxa"/>
                                  <w:tcBorders>
                                    <w:top w:val="single" w:sz="4" w:space="0" w:color="000000"/>
                                  </w:tcBorders>
                                  <w:shd w:val="clear" w:color="auto" w:fill="E4E4E4"/>
                                </w:tcPr>
                                <w:p>
                                  <w:pPr>
                                    <w:pStyle w:val="TableParagraph"/>
                                    <w:spacing w:line="221" w:lineRule="exact"/>
                                    <w:ind w:right="104"/>
                                    <w:jc w:val="right"/>
                                    <w:rPr>
                                      <w:b/>
                                      <w:sz w:val="21"/>
                                    </w:rPr>
                                  </w:pPr>
                                  <w:r>
                                    <w:rPr>
                                      <w:b/>
                                      <w:spacing w:val="-2"/>
                                      <w:sz w:val="21"/>
                                    </w:rPr>
                                    <w:t>425,511</w:t>
                                  </w:r>
                                </w:p>
                              </w:tc>
                            </w:tr>
                            <w:tr>
                              <w:trPr>
                                <w:trHeight w:val="265" w:hRule="atLeast"/>
                              </w:trPr>
                              <w:tc>
                                <w:tcPr>
                                  <w:tcW w:w="4421" w:type="dxa"/>
                                </w:tcPr>
                                <w:p>
                                  <w:pPr>
                                    <w:pStyle w:val="TableParagraph"/>
                                    <w:spacing w:before="1"/>
                                    <w:ind w:left="50"/>
                                    <w:rPr>
                                      <w:sz w:val="21"/>
                                    </w:rPr>
                                  </w:pPr>
                                  <w:r>
                                    <w:rPr>
                                      <w:spacing w:val="-2"/>
                                      <w:sz w:val="21"/>
                                    </w:rPr>
                                    <w:t>Payables</w:t>
                                  </w:r>
                                </w:p>
                              </w:tc>
                              <w:tc>
                                <w:tcPr>
                                  <w:tcW w:w="1370" w:type="dxa"/>
                                </w:tcPr>
                                <w:p>
                                  <w:pPr>
                                    <w:pStyle w:val="TableParagraph"/>
                                    <w:spacing w:before="1"/>
                                    <w:ind w:left="478"/>
                                    <w:jc w:val="center"/>
                                    <w:rPr>
                                      <w:sz w:val="21"/>
                                    </w:rPr>
                                  </w:pPr>
                                  <w:r>
                                    <w:rPr>
                                      <w:spacing w:val="-5"/>
                                      <w:sz w:val="21"/>
                                    </w:rPr>
                                    <w:t>11</w:t>
                                  </w:r>
                                </w:p>
                              </w:tc>
                              <w:tc>
                                <w:tcPr>
                                  <w:tcW w:w="1299" w:type="dxa"/>
                                  <w:tcBorders>
                                    <w:bottom w:val="single" w:sz="4" w:space="0" w:color="000000"/>
                                  </w:tcBorders>
                                </w:tcPr>
                                <w:p>
                                  <w:pPr>
                                    <w:pStyle w:val="TableParagraph"/>
                                    <w:spacing w:before="1"/>
                                    <w:ind w:right="102"/>
                                    <w:jc w:val="right"/>
                                    <w:rPr>
                                      <w:sz w:val="21"/>
                                    </w:rPr>
                                  </w:pPr>
                                  <w:r>
                                    <w:rPr>
                                      <w:spacing w:val="-2"/>
                                      <w:sz w:val="21"/>
                                    </w:rPr>
                                    <w:t>(117,773)</w:t>
                                  </w:r>
                                </w:p>
                              </w:tc>
                              <w:tc>
                                <w:tcPr>
                                  <w:tcW w:w="1298" w:type="dxa"/>
                                  <w:tcBorders>
                                    <w:bottom w:val="single" w:sz="4" w:space="0" w:color="000000"/>
                                  </w:tcBorders>
                                  <w:shd w:val="clear" w:color="auto" w:fill="E4E4E4"/>
                                </w:tcPr>
                                <w:p>
                                  <w:pPr>
                                    <w:pStyle w:val="TableParagraph"/>
                                    <w:spacing w:before="1"/>
                                    <w:ind w:right="101"/>
                                    <w:jc w:val="right"/>
                                    <w:rPr>
                                      <w:sz w:val="21"/>
                                    </w:rPr>
                                  </w:pPr>
                                  <w:r>
                                    <w:rPr>
                                      <w:spacing w:val="-2"/>
                                      <w:sz w:val="21"/>
                                    </w:rPr>
                                    <w:t>(153,207)</w:t>
                                  </w:r>
                                </w:p>
                              </w:tc>
                            </w:tr>
                            <w:tr>
                              <w:trPr>
                                <w:trHeight w:val="588" w:hRule="atLeast"/>
                              </w:trPr>
                              <w:tc>
                                <w:tcPr>
                                  <w:tcW w:w="4421" w:type="dxa"/>
                                </w:tcPr>
                                <w:p>
                                  <w:pPr>
                                    <w:pStyle w:val="TableParagraph"/>
                                    <w:spacing w:before="222"/>
                                    <w:ind w:left="50"/>
                                    <w:rPr>
                                      <w:b/>
                                      <w:sz w:val="21"/>
                                    </w:rPr>
                                  </w:pPr>
                                  <w:r>
                                    <w:rPr>
                                      <w:b/>
                                      <w:sz w:val="21"/>
                                    </w:rPr>
                                    <w:t>Net</w:t>
                                  </w:r>
                                  <w:r>
                                    <w:rPr>
                                      <w:b/>
                                      <w:spacing w:val="-7"/>
                                      <w:sz w:val="21"/>
                                    </w:rPr>
                                    <w:t> </w:t>
                                  </w:r>
                                  <w:r>
                                    <w:rPr>
                                      <w:b/>
                                      <w:sz w:val="21"/>
                                    </w:rPr>
                                    <w:t>Current</w:t>
                                  </w:r>
                                  <w:r>
                                    <w:rPr>
                                      <w:b/>
                                      <w:spacing w:val="-7"/>
                                      <w:sz w:val="21"/>
                                    </w:rPr>
                                    <w:t> </w:t>
                                  </w:r>
                                  <w:r>
                                    <w:rPr>
                                      <w:b/>
                                      <w:spacing w:val="-2"/>
                                      <w:sz w:val="21"/>
                                    </w:rPr>
                                    <w:t>Assets</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spacing w:before="222"/>
                                    <w:ind w:right="105"/>
                                    <w:jc w:val="right"/>
                                    <w:rPr>
                                      <w:b/>
                                      <w:sz w:val="21"/>
                                    </w:rPr>
                                  </w:pPr>
                                  <w:r>
                                    <w:rPr>
                                      <w:b/>
                                      <w:spacing w:val="-2"/>
                                      <w:sz w:val="21"/>
                                    </w:rPr>
                                    <w:t>386,758</w:t>
                                  </w:r>
                                </w:p>
                              </w:tc>
                              <w:tc>
                                <w:tcPr>
                                  <w:tcW w:w="1298" w:type="dxa"/>
                                  <w:tcBorders>
                                    <w:top w:val="single" w:sz="4" w:space="0" w:color="000000"/>
                                  </w:tcBorders>
                                  <w:shd w:val="clear" w:color="auto" w:fill="E4E4E4"/>
                                </w:tcPr>
                                <w:p>
                                  <w:pPr>
                                    <w:pStyle w:val="TableParagraph"/>
                                    <w:spacing w:before="222"/>
                                    <w:ind w:right="104"/>
                                    <w:jc w:val="right"/>
                                    <w:rPr>
                                      <w:b/>
                                      <w:sz w:val="21"/>
                                    </w:rPr>
                                  </w:pPr>
                                  <w:r>
                                    <w:rPr>
                                      <w:b/>
                                      <w:spacing w:val="-2"/>
                                      <w:sz w:val="21"/>
                                    </w:rPr>
                                    <w:t>272,304</w:t>
                                  </w:r>
                                </w:p>
                              </w:tc>
                            </w:tr>
                            <w:tr>
                              <w:trPr>
                                <w:trHeight w:val="609" w:hRule="atLeast"/>
                              </w:trPr>
                              <w:tc>
                                <w:tcPr>
                                  <w:tcW w:w="5791" w:type="dxa"/>
                                  <w:gridSpan w:val="2"/>
                                </w:tcPr>
                                <w:p>
                                  <w:pPr>
                                    <w:pStyle w:val="TableParagraph"/>
                                    <w:spacing w:line="242" w:lineRule="exact" w:before="106"/>
                                    <w:ind w:left="50" w:right="1184"/>
                                    <w:rPr>
                                      <w:b/>
                                      <w:i/>
                                      <w:sz w:val="21"/>
                                    </w:rPr>
                                  </w:pPr>
                                  <w:r>
                                    <w:rPr>
                                      <w:b/>
                                      <w:sz w:val="21"/>
                                    </w:rPr>
                                    <w:t>Long</w:t>
                                  </w:r>
                                  <w:r>
                                    <w:rPr>
                                      <w:b/>
                                      <w:spacing w:val="-5"/>
                                      <w:sz w:val="21"/>
                                    </w:rPr>
                                    <w:t> </w:t>
                                  </w:r>
                                  <w:r>
                                    <w:rPr>
                                      <w:b/>
                                      <w:sz w:val="21"/>
                                    </w:rPr>
                                    <w:t>term</w:t>
                                  </w:r>
                                  <w:r>
                                    <w:rPr>
                                      <w:b/>
                                      <w:spacing w:val="40"/>
                                      <w:sz w:val="21"/>
                                    </w:rPr>
                                    <w:t> </w:t>
                                  </w:r>
                                  <w:r>
                                    <w:rPr>
                                      <w:b/>
                                      <w:sz w:val="21"/>
                                    </w:rPr>
                                    <w:t>Liabilities</w:t>
                                  </w:r>
                                  <w:r>
                                    <w:rPr>
                                      <w:b/>
                                      <w:spacing w:val="-3"/>
                                      <w:sz w:val="21"/>
                                    </w:rPr>
                                    <w:t> </w:t>
                                  </w:r>
                                  <w:r>
                                    <w:rPr>
                                      <w:b/>
                                      <w:i/>
                                      <w:sz w:val="21"/>
                                    </w:rPr>
                                    <w:t>(amounts</w:t>
                                  </w:r>
                                  <w:r>
                                    <w:rPr>
                                      <w:b/>
                                      <w:i/>
                                      <w:spacing w:val="-6"/>
                                      <w:sz w:val="21"/>
                                    </w:rPr>
                                    <w:t> </w:t>
                                  </w:r>
                                  <w:r>
                                    <w:rPr>
                                      <w:b/>
                                      <w:i/>
                                      <w:sz w:val="21"/>
                                    </w:rPr>
                                    <w:t>falling</w:t>
                                  </w:r>
                                  <w:r>
                                    <w:rPr>
                                      <w:b/>
                                      <w:i/>
                                      <w:spacing w:val="-8"/>
                                      <w:sz w:val="21"/>
                                    </w:rPr>
                                    <w:t> </w:t>
                                  </w:r>
                                  <w:r>
                                    <w:rPr>
                                      <w:b/>
                                      <w:i/>
                                      <w:sz w:val="21"/>
                                    </w:rPr>
                                    <w:t>due</w:t>
                                  </w:r>
                                  <w:r>
                                    <w:rPr>
                                      <w:b/>
                                      <w:i/>
                                      <w:spacing w:val="-5"/>
                                      <w:sz w:val="21"/>
                                    </w:rPr>
                                    <w:t> </w:t>
                                  </w:r>
                                  <w:r>
                                    <w:rPr>
                                      <w:b/>
                                      <w:i/>
                                      <w:sz w:val="21"/>
                                    </w:rPr>
                                    <w:t>after</w:t>
                                  </w:r>
                                  <w:r>
                                    <w:rPr>
                                      <w:b/>
                                      <w:i/>
                                      <w:sz w:val="21"/>
                                    </w:rPr>
                                    <w:t> one year)</w:t>
                                  </w:r>
                                </w:p>
                              </w:tc>
                              <w:tc>
                                <w:tcPr>
                                  <w:tcW w:w="1299" w:type="dxa"/>
                                </w:tcPr>
                                <w:p>
                                  <w:pPr>
                                    <w:pStyle w:val="TableParagraph"/>
                                    <w:rPr>
                                      <w:rFonts w:ascii="Times New Roman"/>
                                      <w:sz w:val="20"/>
                                    </w:rPr>
                                  </w:pPr>
                                </w:p>
                              </w:tc>
                              <w:tc>
                                <w:tcPr>
                                  <w:tcW w:w="1298" w:type="dxa"/>
                                  <w:shd w:val="clear" w:color="auto" w:fill="E4E4E4"/>
                                </w:tcPr>
                                <w:p>
                                  <w:pPr>
                                    <w:pStyle w:val="TableParagraph"/>
                                    <w:rPr>
                                      <w:rFonts w:ascii="Times New Roman"/>
                                      <w:sz w:val="20"/>
                                    </w:rPr>
                                  </w:pPr>
                                </w:p>
                              </w:tc>
                            </w:tr>
                            <w:tr>
                              <w:trPr>
                                <w:trHeight w:val="733" w:hRule="atLeast"/>
                              </w:trPr>
                              <w:tc>
                                <w:tcPr>
                                  <w:tcW w:w="4421" w:type="dxa"/>
                                </w:tcPr>
                                <w:p>
                                  <w:pPr>
                                    <w:pStyle w:val="TableParagraph"/>
                                    <w:spacing w:before="2"/>
                                    <w:rPr>
                                      <w:sz w:val="21"/>
                                    </w:rPr>
                                  </w:pPr>
                                </w:p>
                                <w:p>
                                  <w:pPr>
                                    <w:pStyle w:val="TableParagraph"/>
                                    <w:ind w:left="50"/>
                                    <w:rPr>
                                      <w:sz w:val="21"/>
                                    </w:rPr>
                                  </w:pPr>
                                  <w:r>
                                    <w:rPr>
                                      <w:sz w:val="21"/>
                                    </w:rPr>
                                    <w:t>Rental</w:t>
                                  </w:r>
                                  <w:r>
                                    <w:rPr>
                                      <w:spacing w:val="-7"/>
                                      <w:sz w:val="21"/>
                                    </w:rPr>
                                    <w:t> </w:t>
                                  </w:r>
                                  <w:r>
                                    <w:rPr>
                                      <w:sz w:val="21"/>
                                    </w:rPr>
                                    <w:t>deposit</w:t>
                                  </w:r>
                                  <w:r>
                                    <w:rPr>
                                      <w:spacing w:val="-4"/>
                                      <w:sz w:val="21"/>
                                    </w:rPr>
                                    <w:t> held</w:t>
                                  </w:r>
                                </w:p>
                              </w:tc>
                              <w:tc>
                                <w:tcPr>
                                  <w:tcW w:w="1370" w:type="dxa"/>
                                </w:tcPr>
                                <w:p>
                                  <w:pPr>
                                    <w:pStyle w:val="TableParagraph"/>
                                    <w:spacing w:before="1"/>
                                    <w:ind w:left="478"/>
                                    <w:jc w:val="center"/>
                                    <w:rPr>
                                      <w:sz w:val="21"/>
                                    </w:rPr>
                                  </w:pPr>
                                  <w:r>
                                    <w:rPr>
                                      <w:spacing w:val="-5"/>
                                      <w:sz w:val="21"/>
                                    </w:rPr>
                                    <w:t>12</w:t>
                                  </w:r>
                                </w:p>
                              </w:tc>
                              <w:tc>
                                <w:tcPr>
                                  <w:tcW w:w="1299" w:type="dxa"/>
                                </w:tcPr>
                                <w:p>
                                  <w:pPr>
                                    <w:pStyle w:val="TableParagraph"/>
                                    <w:spacing w:before="123"/>
                                    <w:ind w:right="105"/>
                                    <w:jc w:val="right"/>
                                    <w:rPr>
                                      <w:sz w:val="21"/>
                                    </w:rPr>
                                  </w:pPr>
                                  <w:r>
                                    <w:rPr>
                                      <w:spacing w:val="-2"/>
                                      <w:sz w:val="21"/>
                                    </w:rPr>
                                    <w:t>(10,000)</w:t>
                                  </w:r>
                                </w:p>
                              </w:tc>
                              <w:tc>
                                <w:tcPr>
                                  <w:tcW w:w="1298" w:type="dxa"/>
                                  <w:shd w:val="clear" w:color="auto" w:fill="E4E4E4"/>
                                </w:tcPr>
                                <w:p>
                                  <w:pPr>
                                    <w:pStyle w:val="TableParagraph"/>
                                    <w:spacing w:before="123"/>
                                    <w:ind w:right="104"/>
                                    <w:jc w:val="right"/>
                                    <w:rPr>
                                      <w:sz w:val="21"/>
                                    </w:rPr>
                                  </w:pPr>
                                  <w:r>
                                    <w:rPr>
                                      <w:spacing w:val="-2"/>
                                      <w:sz w:val="21"/>
                                    </w:rPr>
                                    <w:t>(10,000)</w:t>
                                  </w:r>
                                </w:p>
                              </w:tc>
                            </w:tr>
                            <w:tr>
                              <w:trPr>
                                <w:trHeight w:val="609" w:hRule="atLeast"/>
                              </w:trPr>
                              <w:tc>
                                <w:tcPr>
                                  <w:tcW w:w="4421" w:type="dxa"/>
                                </w:tcPr>
                                <w:p>
                                  <w:pPr>
                                    <w:pStyle w:val="TableParagraph"/>
                                    <w:spacing w:before="1"/>
                                    <w:rPr>
                                      <w:sz w:val="21"/>
                                    </w:rPr>
                                  </w:pPr>
                                </w:p>
                                <w:p>
                                  <w:pPr>
                                    <w:pStyle w:val="TableParagraph"/>
                                    <w:ind w:left="50"/>
                                    <w:rPr>
                                      <w:b/>
                                      <w:sz w:val="21"/>
                                    </w:rPr>
                                  </w:pPr>
                                  <w:r>
                                    <w:rPr>
                                      <w:b/>
                                      <w:sz w:val="21"/>
                                    </w:rPr>
                                    <w:t>Retirement</w:t>
                                  </w:r>
                                  <w:r>
                                    <w:rPr>
                                      <w:b/>
                                      <w:spacing w:val="-12"/>
                                      <w:sz w:val="21"/>
                                    </w:rPr>
                                    <w:t> </w:t>
                                  </w:r>
                                  <w:r>
                                    <w:rPr>
                                      <w:b/>
                                      <w:spacing w:val="-2"/>
                                      <w:sz w:val="21"/>
                                    </w:rPr>
                                    <w:t>Benefits</w:t>
                                  </w:r>
                                </w:p>
                              </w:tc>
                              <w:tc>
                                <w:tcPr>
                                  <w:tcW w:w="1370" w:type="dxa"/>
                                </w:tcPr>
                                <w:p>
                                  <w:pPr>
                                    <w:pStyle w:val="TableParagraph"/>
                                    <w:rPr>
                                      <w:rFonts w:ascii="Times New Roman"/>
                                      <w:sz w:val="20"/>
                                    </w:rPr>
                                  </w:pPr>
                                </w:p>
                              </w:tc>
                              <w:tc>
                                <w:tcPr>
                                  <w:tcW w:w="1299" w:type="dxa"/>
                                </w:tcPr>
                                <w:p>
                                  <w:pPr>
                                    <w:pStyle w:val="TableParagraph"/>
                                    <w:rPr>
                                      <w:rFonts w:ascii="Times New Roman"/>
                                      <w:sz w:val="20"/>
                                    </w:rPr>
                                  </w:pPr>
                                </w:p>
                              </w:tc>
                              <w:tc>
                                <w:tcPr>
                                  <w:tcW w:w="1298" w:type="dxa"/>
                                  <w:shd w:val="clear" w:color="auto" w:fill="E4E4E4"/>
                                </w:tcPr>
                                <w:p>
                                  <w:pPr>
                                    <w:pStyle w:val="TableParagraph"/>
                                    <w:rPr>
                                      <w:rFonts w:ascii="Times New Roman"/>
                                      <w:sz w:val="20"/>
                                    </w:rPr>
                                  </w:pPr>
                                </w:p>
                              </w:tc>
                            </w:tr>
                            <w:tr>
                              <w:trPr>
                                <w:trHeight w:val="366" w:hRule="atLeast"/>
                              </w:trPr>
                              <w:tc>
                                <w:tcPr>
                                  <w:tcW w:w="4421" w:type="dxa"/>
                                </w:tcPr>
                                <w:p>
                                  <w:pPr>
                                    <w:pStyle w:val="TableParagraph"/>
                                    <w:spacing w:line="224" w:lineRule="exact" w:before="122"/>
                                    <w:ind w:left="50"/>
                                    <w:rPr>
                                      <w:sz w:val="21"/>
                                    </w:rPr>
                                  </w:pPr>
                                  <w:r>
                                    <w:rPr>
                                      <w:sz w:val="21"/>
                                    </w:rPr>
                                    <w:t>Deferred</w:t>
                                  </w:r>
                                  <w:r>
                                    <w:rPr>
                                      <w:spacing w:val="-5"/>
                                      <w:sz w:val="21"/>
                                    </w:rPr>
                                    <w:t> </w:t>
                                  </w:r>
                                  <w:r>
                                    <w:rPr>
                                      <w:sz w:val="21"/>
                                    </w:rPr>
                                    <w:t>retirement</w:t>
                                  </w:r>
                                  <w:r>
                                    <w:rPr>
                                      <w:spacing w:val="-5"/>
                                      <w:sz w:val="21"/>
                                    </w:rPr>
                                    <w:t> </w:t>
                                  </w:r>
                                  <w:r>
                                    <w:rPr>
                                      <w:sz w:val="21"/>
                                    </w:rPr>
                                    <w:t>benefit</w:t>
                                  </w:r>
                                  <w:r>
                                    <w:rPr>
                                      <w:spacing w:val="-7"/>
                                      <w:sz w:val="21"/>
                                    </w:rPr>
                                    <w:t> </w:t>
                                  </w:r>
                                  <w:r>
                                    <w:rPr>
                                      <w:sz w:val="21"/>
                                    </w:rPr>
                                    <w:t>funding</w:t>
                                  </w:r>
                                  <w:r>
                                    <w:rPr>
                                      <w:spacing w:val="-5"/>
                                      <w:sz w:val="21"/>
                                    </w:rPr>
                                    <w:t> </w:t>
                                  </w:r>
                                  <w:r>
                                    <w:rPr>
                                      <w:spacing w:val="-4"/>
                                      <w:sz w:val="21"/>
                                    </w:rPr>
                                    <w:t>asset</w:t>
                                  </w:r>
                                </w:p>
                              </w:tc>
                              <w:tc>
                                <w:tcPr>
                                  <w:tcW w:w="1370" w:type="dxa"/>
                                </w:tcPr>
                                <w:p>
                                  <w:pPr>
                                    <w:pStyle w:val="TableParagraph"/>
                                    <w:spacing w:line="224" w:lineRule="exact" w:before="122"/>
                                    <w:ind w:left="478"/>
                                    <w:jc w:val="center"/>
                                    <w:rPr>
                                      <w:sz w:val="21"/>
                                    </w:rPr>
                                  </w:pPr>
                                  <w:r>
                                    <w:rPr>
                                      <w:spacing w:val="-10"/>
                                      <w:sz w:val="21"/>
                                    </w:rPr>
                                    <w:t>3</w:t>
                                  </w:r>
                                </w:p>
                              </w:tc>
                              <w:tc>
                                <w:tcPr>
                                  <w:tcW w:w="1299" w:type="dxa"/>
                                </w:tcPr>
                                <w:p>
                                  <w:pPr>
                                    <w:pStyle w:val="TableParagraph"/>
                                    <w:spacing w:line="224" w:lineRule="exact" w:before="122"/>
                                    <w:ind w:right="102"/>
                                    <w:jc w:val="right"/>
                                    <w:rPr>
                                      <w:sz w:val="21"/>
                                    </w:rPr>
                                  </w:pPr>
                                  <w:r>
                                    <w:rPr>
                                      <w:spacing w:val="-2"/>
                                      <w:sz w:val="21"/>
                                    </w:rPr>
                                    <w:t>(26,364,000)</w:t>
                                  </w:r>
                                </w:p>
                              </w:tc>
                              <w:tc>
                                <w:tcPr>
                                  <w:tcW w:w="1298" w:type="dxa"/>
                                  <w:shd w:val="clear" w:color="auto" w:fill="E4E4E4"/>
                                </w:tcPr>
                                <w:p>
                                  <w:pPr>
                                    <w:pStyle w:val="TableParagraph"/>
                                    <w:spacing w:line="224" w:lineRule="exact" w:before="122"/>
                                    <w:ind w:right="101"/>
                                    <w:jc w:val="right"/>
                                    <w:rPr>
                                      <w:sz w:val="21"/>
                                    </w:rPr>
                                  </w:pPr>
                                  <w:r>
                                    <w:rPr>
                                      <w:spacing w:val="-2"/>
                                      <w:sz w:val="21"/>
                                    </w:rPr>
                                    <w:t>(27,551,500)</w:t>
                                  </w:r>
                                </w:p>
                              </w:tc>
                            </w:tr>
                            <w:tr>
                              <w:trPr>
                                <w:trHeight w:val="510" w:hRule="atLeast"/>
                              </w:trPr>
                              <w:tc>
                                <w:tcPr>
                                  <w:tcW w:w="4421" w:type="dxa"/>
                                </w:tcPr>
                                <w:p>
                                  <w:pPr>
                                    <w:pStyle w:val="TableParagraph"/>
                                    <w:spacing w:before="1"/>
                                    <w:ind w:left="50"/>
                                    <w:rPr>
                                      <w:sz w:val="21"/>
                                    </w:rPr>
                                  </w:pPr>
                                  <w:r>
                                    <w:rPr>
                                      <w:sz w:val="21"/>
                                    </w:rPr>
                                    <w:t>Retirement</w:t>
                                  </w:r>
                                  <w:r>
                                    <w:rPr>
                                      <w:spacing w:val="-7"/>
                                      <w:sz w:val="21"/>
                                    </w:rPr>
                                    <w:t> </w:t>
                                  </w:r>
                                  <w:r>
                                    <w:rPr>
                                      <w:sz w:val="21"/>
                                    </w:rPr>
                                    <w:t>benefit</w:t>
                                  </w:r>
                                  <w:r>
                                    <w:rPr>
                                      <w:spacing w:val="-6"/>
                                      <w:sz w:val="21"/>
                                    </w:rPr>
                                    <w:t> </w:t>
                                  </w:r>
                                  <w:r>
                                    <w:rPr>
                                      <w:spacing w:val="-2"/>
                                      <w:sz w:val="21"/>
                                    </w:rPr>
                                    <w:t>obligations</w:t>
                                  </w:r>
                                </w:p>
                              </w:tc>
                              <w:tc>
                                <w:tcPr>
                                  <w:tcW w:w="1370" w:type="dxa"/>
                                </w:tcPr>
                                <w:p>
                                  <w:pPr>
                                    <w:pStyle w:val="TableParagraph"/>
                                    <w:spacing w:before="1"/>
                                    <w:ind w:left="478"/>
                                    <w:jc w:val="center"/>
                                    <w:rPr>
                                      <w:sz w:val="21"/>
                                    </w:rPr>
                                  </w:pPr>
                                  <w:r>
                                    <w:rPr>
                                      <w:spacing w:val="-10"/>
                                      <w:sz w:val="21"/>
                                    </w:rPr>
                                    <w:t>3</w:t>
                                  </w:r>
                                </w:p>
                              </w:tc>
                              <w:tc>
                                <w:tcPr>
                                  <w:tcW w:w="1299" w:type="dxa"/>
                                  <w:tcBorders>
                                    <w:bottom w:val="single" w:sz="4" w:space="0" w:color="000000"/>
                                  </w:tcBorders>
                                </w:tcPr>
                                <w:p>
                                  <w:pPr>
                                    <w:pStyle w:val="TableParagraph"/>
                                    <w:spacing w:before="1"/>
                                    <w:ind w:right="103"/>
                                    <w:jc w:val="right"/>
                                    <w:rPr>
                                      <w:sz w:val="21"/>
                                    </w:rPr>
                                  </w:pPr>
                                  <w:r>
                                    <w:rPr>
                                      <w:spacing w:val="-2"/>
                                      <w:sz w:val="21"/>
                                    </w:rPr>
                                    <w:t>26,364,000</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27,551,500</w:t>
                                  </w:r>
                                </w:p>
                              </w:tc>
                            </w:tr>
                            <w:tr>
                              <w:trPr>
                                <w:trHeight w:val="243" w:hRule="atLeast"/>
                              </w:trPr>
                              <w:tc>
                                <w:tcPr>
                                  <w:tcW w:w="4421" w:type="dxa"/>
                                </w:tcPr>
                                <w:p>
                                  <w:pPr>
                                    <w:pStyle w:val="TableParagraph"/>
                                    <w:spacing w:line="221" w:lineRule="exact"/>
                                    <w:ind w:left="50"/>
                                    <w:rPr>
                                      <w:b/>
                                      <w:sz w:val="21"/>
                                    </w:rPr>
                                  </w:pPr>
                                  <w:r>
                                    <w:rPr>
                                      <w:b/>
                                      <w:sz w:val="21"/>
                                    </w:rPr>
                                    <w:t>Total</w:t>
                                  </w:r>
                                  <w:r>
                                    <w:rPr>
                                      <w:b/>
                                      <w:spacing w:val="-4"/>
                                      <w:sz w:val="21"/>
                                    </w:rPr>
                                    <w:t> </w:t>
                                  </w:r>
                                  <w:r>
                                    <w:rPr>
                                      <w:b/>
                                      <w:sz w:val="21"/>
                                    </w:rPr>
                                    <w:t>Net</w:t>
                                  </w:r>
                                  <w:r>
                                    <w:rPr>
                                      <w:b/>
                                      <w:spacing w:val="-5"/>
                                      <w:sz w:val="21"/>
                                    </w:rPr>
                                    <w:t> </w:t>
                                  </w:r>
                                  <w:r>
                                    <w:rPr>
                                      <w:b/>
                                      <w:spacing w:val="-2"/>
                                      <w:sz w:val="21"/>
                                    </w:rPr>
                                    <w:t>Assets</w:t>
                                  </w:r>
                                </w:p>
                              </w:tc>
                              <w:tc>
                                <w:tcPr>
                                  <w:tcW w:w="1370" w:type="dxa"/>
                                </w:tcPr>
                                <w:p>
                                  <w:pPr>
                                    <w:pStyle w:val="TableParagraph"/>
                                    <w:rPr>
                                      <w:rFonts w:ascii="Times New Roman"/>
                                      <w:sz w:val="16"/>
                                    </w:rPr>
                                  </w:pPr>
                                </w:p>
                              </w:tc>
                              <w:tc>
                                <w:tcPr>
                                  <w:tcW w:w="1299" w:type="dxa"/>
                                  <w:tcBorders>
                                    <w:top w:val="single" w:sz="4" w:space="0" w:color="000000"/>
                                    <w:bottom w:val="double" w:sz="4" w:space="0" w:color="000000"/>
                                  </w:tcBorders>
                                </w:tcPr>
                                <w:p>
                                  <w:pPr>
                                    <w:pStyle w:val="TableParagraph"/>
                                    <w:spacing w:line="221" w:lineRule="exact"/>
                                    <w:ind w:right="105"/>
                                    <w:jc w:val="right"/>
                                    <w:rPr>
                                      <w:b/>
                                      <w:sz w:val="21"/>
                                    </w:rPr>
                                  </w:pPr>
                                  <w:r>
                                    <w:rPr>
                                      <w:b/>
                                      <w:spacing w:val="-2"/>
                                      <w:sz w:val="21"/>
                                    </w:rPr>
                                    <w:t>3,390,824</w:t>
                                  </w:r>
                                </w:p>
                              </w:tc>
                              <w:tc>
                                <w:tcPr>
                                  <w:tcW w:w="1298" w:type="dxa"/>
                                  <w:tcBorders>
                                    <w:top w:val="single" w:sz="4" w:space="0" w:color="000000"/>
                                    <w:bottom w:val="double" w:sz="4" w:space="0" w:color="000000"/>
                                  </w:tcBorders>
                                  <w:shd w:val="clear" w:color="auto" w:fill="E4E4E4"/>
                                </w:tcPr>
                                <w:p>
                                  <w:pPr>
                                    <w:pStyle w:val="TableParagraph"/>
                                    <w:spacing w:line="221" w:lineRule="exact"/>
                                    <w:ind w:right="104"/>
                                    <w:jc w:val="right"/>
                                    <w:rPr>
                                      <w:b/>
                                      <w:sz w:val="21"/>
                                    </w:rPr>
                                  </w:pPr>
                                  <w:r>
                                    <w:rPr>
                                      <w:b/>
                                      <w:spacing w:val="-2"/>
                                      <w:sz w:val="21"/>
                                    </w:rPr>
                                    <w:t>3,355,351</w:t>
                                  </w:r>
                                </w:p>
                              </w:tc>
                            </w:tr>
                            <w:tr>
                              <w:trPr>
                                <w:trHeight w:val="587" w:hRule="atLeast"/>
                              </w:trPr>
                              <w:tc>
                                <w:tcPr>
                                  <w:tcW w:w="4421" w:type="dxa"/>
                                </w:tcPr>
                                <w:p>
                                  <w:pPr>
                                    <w:pStyle w:val="TableParagraph"/>
                                    <w:spacing w:before="222"/>
                                    <w:ind w:left="50"/>
                                    <w:rPr>
                                      <w:b/>
                                      <w:sz w:val="21"/>
                                    </w:rPr>
                                  </w:pPr>
                                  <w:r>
                                    <w:rPr>
                                      <w:b/>
                                      <w:spacing w:val="-2"/>
                                      <w:sz w:val="21"/>
                                    </w:rPr>
                                    <w:t>Representing</w:t>
                                  </w:r>
                                </w:p>
                              </w:tc>
                              <w:tc>
                                <w:tcPr>
                                  <w:tcW w:w="1370" w:type="dxa"/>
                                </w:tcPr>
                                <w:p>
                                  <w:pPr>
                                    <w:pStyle w:val="TableParagraph"/>
                                    <w:rPr>
                                      <w:rFonts w:ascii="Times New Roman"/>
                                      <w:sz w:val="20"/>
                                    </w:rPr>
                                  </w:pPr>
                                </w:p>
                              </w:tc>
                              <w:tc>
                                <w:tcPr>
                                  <w:tcW w:w="1299" w:type="dxa"/>
                                  <w:tcBorders>
                                    <w:top w:val="double" w:sz="4" w:space="0" w:color="000000"/>
                                  </w:tcBorders>
                                </w:tcPr>
                                <w:p>
                                  <w:pPr>
                                    <w:pStyle w:val="TableParagraph"/>
                                    <w:rPr>
                                      <w:rFonts w:ascii="Times New Roman"/>
                                      <w:sz w:val="20"/>
                                    </w:rPr>
                                  </w:pPr>
                                </w:p>
                              </w:tc>
                              <w:tc>
                                <w:tcPr>
                                  <w:tcW w:w="1298" w:type="dxa"/>
                                  <w:tcBorders>
                                    <w:top w:val="double" w:sz="4" w:space="0" w:color="000000"/>
                                  </w:tcBorders>
                                  <w:shd w:val="clear" w:color="auto" w:fill="E4E4E4"/>
                                </w:tcPr>
                                <w:p>
                                  <w:pPr>
                                    <w:pStyle w:val="TableParagraph"/>
                                    <w:rPr>
                                      <w:rFonts w:ascii="Times New Roman"/>
                                      <w:sz w:val="20"/>
                                    </w:rPr>
                                  </w:pPr>
                                </w:p>
                              </w:tc>
                            </w:tr>
                            <w:tr>
                              <w:trPr>
                                <w:trHeight w:val="366" w:hRule="atLeast"/>
                              </w:trPr>
                              <w:tc>
                                <w:tcPr>
                                  <w:tcW w:w="4421" w:type="dxa"/>
                                </w:tcPr>
                                <w:p>
                                  <w:pPr>
                                    <w:pStyle w:val="TableParagraph"/>
                                    <w:spacing w:line="224" w:lineRule="exact" w:before="122"/>
                                    <w:ind w:left="50"/>
                                    <w:rPr>
                                      <w:sz w:val="21"/>
                                    </w:rPr>
                                  </w:pPr>
                                  <w:r>
                                    <w:rPr>
                                      <w:sz w:val="21"/>
                                    </w:rPr>
                                    <w:t>Capital</w:t>
                                  </w:r>
                                  <w:r>
                                    <w:rPr>
                                      <w:spacing w:val="-6"/>
                                      <w:sz w:val="21"/>
                                    </w:rPr>
                                    <w:t> </w:t>
                                  </w:r>
                                  <w:r>
                                    <w:rPr>
                                      <w:spacing w:val="-2"/>
                                      <w:sz w:val="21"/>
                                    </w:rPr>
                                    <w:t>account</w:t>
                                  </w:r>
                                </w:p>
                              </w:tc>
                              <w:tc>
                                <w:tcPr>
                                  <w:tcW w:w="1370" w:type="dxa"/>
                                </w:tcPr>
                                <w:p>
                                  <w:pPr>
                                    <w:pStyle w:val="TableParagraph"/>
                                    <w:spacing w:line="224" w:lineRule="exact" w:before="122"/>
                                    <w:ind w:left="478"/>
                                    <w:jc w:val="center"/>
                                    <w:rPr>
                                      <w:sz w:val="21"/>
                                    </w:rPr>
                                  </w:pPr>
                                  <w:r>
                                    <w:rPr>
                                      <w:spacing w:val="-10"/>
                                      <w:sz w:val="21"/>
                                    </w:rPr>
                                    <w:t>7</w:t>
                                  </w:r>
                                </w:p>
                              </w:tc>
                              <w:tc>
                                <w:tcPr>
                                  <w:tcW w:w="1299" w:type="dxa"/>
                                </w:tcPr>
                                <w:p>
                                  <w:pPr>
                                    <w:pStyle w:val="TableParagraph"/>
                                    <w:spacing w:line="224" w:lineRule="exact" w:before="122"/>
                                    <w:ind w:right="103"/>
                                    <w:jc w:val="right"/>
                                    <w:rPr>
                                      <w:sz w:val="21"/>
                                    </w:rPr>
                                  </w:pPr>
                                  <w:r>
                                    <w:rPr>
                                      <w:spacing w:val="-2"/>
                                      <w:sz w:val="21"/>
                                    </w:rPr>
                                    <w:t>3,014,066</w:t>
                                  </w:r>
                                </w:p>
                              </w:tc>
                              <w:tc>
                                <w:tcPr>
                                  <w:tcW w:w="1298" w:type="dxa"/>
                                  <w:shd w:val="clear" w:color="auto" w:fill="E4E4E4"/>
                                </w:tcPr>
                                <w:p>
                                  <w:pPr>
                                    <w:pStyle w:val="TableParagraph"/>
                                    <w:spacing w:line="224" w:lineRule="exact" w:before="122"/>
                                    <w:ind w:right="102"/>
                                    <w:jc w:val="right"/>
                                    <w:rPr>
                                      <w:sz w:val="21"/>
                                    </w:rPr>
                                  </w:pPr>
                                  <w:r>
                                    <w:rPr>
                                      <w:spacing w:val="-2"/>
                                      <w:sz w:val="21"/>
                                    </w:rPr>
                                    <w:t>3,093,047</w:t>
                                  </w:r>
                                </w:p>
                              </w:tc>
                            </w:tr>
                            <w:tr>
                              <w:trPr>
                                <w:trHeight w:val="510" w:hRule="atLeast"/>
                              </w:trPr>
                              <w:tc>
                                <w:tcPr>
                                  <w:tcW w:w="4421" w:type="dxa"/>
                                </w:tcPr>
                                <w:p>
                                  <w:pPr>
                                    <w:pStyle w:val="TableParagraph"/>
                                    <w:spacing w:before="1"/>
                                    <w:ind w:left="50"/>
                                    <w:rPr>
                                      <w:sz w:val="21"/>
                                    </w:rPr>
                                  </w:pPr>
                                  <w:r>
                                    <w:rPr>
                                      <w:sz w:val="21"/>
                                    </w:rPr>
                                    <w:t>Retained</w:t>
                                  </w:r>
                                  <w:r>
                                    <w:rPr>
                                      <w:spacing w:val="-6"/>
                                      <w:sz w:val="21"/>
                                    </w:rPr>
                                    <w:t> </w:t>
                                  </w:r>
                                  <w:r>
                                    <w:rPr>
                                      <w:sz w:val="21"/>
                                    </w:rPr>
                                    <w:t>revenue</w:t>
                                  </w:r>
                                  <w:r>
                                    <w:rPr>
                                      <w:spacing w:val="-6"/>
                                      <w:sz w:val="21"/>
                                    </w:rPr>
                                    <w:t> </w:t>
                                  </w:r>
                                  <w:r>
                                    <w:rPr>
                                      <w:spacing w:val="-2"/>
                                      <w:sz w:val="21"/>
                                    </w:rPr>
                                    <w:t>reserves</w:t>
                                  </w:r>
                                </w:p>
                              </w:tc>
                              <w:tc>
                                <w:tcPr>
                                  <w:tcW w:w="1370" w:type="dxa"/>
                                </w:tcPr>
                                <w:p>
                                  <w:pPr>
                                    <w:pStyle w:val="TableParagraph"/>
                                    <w:rPr>
                                      <w:rFonts w:ascii="Times New Roman"/>
                                      <w:sz w:val="20"/>
                                    </w:rPr>
                                  </w:pPr>
                                </w:p>
                              </w:tc>
                              <w:tc>
                                <w:tcPr>
                                  <w:tcW w:w="1299" w:type="dxa"/>
                                  <w:tcBorders>
                                    <w:bottom w:val="single" w:sz="4" w:space="0" w:color="000000"/>
                                  </w:tcBorders>
                                </w:tcPr>
                                <w:p>
                                  <w:pPr>
                                    <w:pStyle w:val="TableParagraph"/>
                                    <w:spacing w:before="1"/>
                                    <w:ind w:right="103"/>
                                    <w:jc w:val="right"/>
                                    <w:rPr>
                                      <w:sz w:val="21"/>
                                    </w:rPr>
                                  </w:pPr>
                                  <w:r>
                                    <w:rPr>
                                      <w:spacing w:val="-2"/>
                                      <w:sz w:val="21"/>
                                    </w:rPr>
                                    <w:t>376,758</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262,304</w:t>
                                  </w:r>
                                </w:p>
                              </w:tc>
                            </w:tr>
                            <w:tr>
                              <w:trPr>
                                <w:trHeight w:val="244" w:hRule="atLeast"/>
                              </w:trPr>
                              <w:tc>
                                <w:tcPr>
                                  <w:tcW w:w="4421" w:type="dxa"/>
                                </w:tcPr>
                                <w:p>
                                  <w:pPr>
                                    <w:pStyle w:val="TableParagraph"/>
                                    <w:rPr>
                                      <w:rFonts w:ascii="Times New Roman"/>
                                      <w:sz w:val="16"/>
                                    </w:rPr>
                                  </w:pPr>
                                </w:p>
                              </w:tc>
                              <w:tc>
                                <w:tcPr>
                                  <w:tcW w:w="1370" w:type="dxa"/>
                                </w:tcPr>
                                <w:p>
                                  <w:pPr>
                                    <w:pStyle w:val="TableParagraph"/>
                                    <w:rPr>
                                      <w:rFonts w:ascii="Times New Roman"/>
                                      <w:sz w:val="16"/>
                                    </w:rPr>
                                  </w:pPr>
                                </w:p>
                              </w:tc>
                              <w:tc>
                                <w:tcPr>
                                  <w:tcW w:w="1299" w:type="dxa"/>
                                  <w:tcBorders>
                                    <w:top w:val="single" w:sz="4" w:space="0" w:color="000000"/>
                                    <w:bottom w:val="double" w:sz="4" w:space="0" w:color="000000"/>
                                  </w:tcBorders>
                                </w:tcPr>
                                <w:p>
                                  <w:pPr>
                                    <w:pStyle w:val="TableParagraph"/>
                                    <w:spacing w:line="221" w:lineRule="exact"/>
                                    <w:ind w:right="105"/>
                                    <w:jc w:val="right"/>
                                    <w:rPr>
                                      <w:b/>
                                      <w:sz w:val="21"/>
                                    </w:rPr>
                                  </w:pPr>
                                  <w:r>
                                    <w:rPr>
                                      <w:b/>
                                      <w:spacing w:val="-2"/>
                                      <w:sz w:val="21"/>
                                    </w:rPr>
                                    <w:t>3,390,824</w:t>
                                  </w:r>
                                </w:p>
                              </w:tc>
                              <w:tc>
                                <w:tcPr>
                                  <w:tcW w:w="1298" w:type="dxa"/>
                                  <w:tcBorders>
                                    <w:top w:val="single" w:sz="4" w:space="0" w:color="000000"/>
                                    <w:bottom w:val="double" w:sz="4" w:space="0" w:color="000000"/>
                                  </w:tcBorders>
                                  <w:shd w:val="clear" w:color="auto" w:fill="E4E4E4"/>
                                </w:tcPr>
                                <w:p>
                                  <w:pPr>
                                    <w:pStyle w:val="TableParagraph"/>
                                    <w:spacing w:line="221" w:lineRule="exact"/>
                                    <w:ind w:right="104"/>
                                    <w:jc w:val="right"/>
                                    <w:rPr>
                                      <w:b/>
                                      <w:sz w:val="21"/>
                                    </w:rPr>
                                  </w:pPr>
                                  <w:r>
                                    <w:rPr>
                                      <w:b/>
                                      <w:spacing w:val="-2"/>
                                      <w:sz w:val="21"/>
                                    </w:rPr>
                                    <w:t>3,355,351</w:t>
                                  </w:r>
                                </w:p>
                              </w:tc>
                            </w:tr>
                          </w:tbl>
                          <w:p>
                            <w:pPr>
                              <w:pStyle w:val="BodyText"/>
                            </w:pPr>
                          </w:p>
                        </w:txbxContent>
                      </wps:txbx>
                      <wps:bodyPr wrap="square" lIns="0" tIns="0" rIns="0" bIns="0" rtlCol="0">
                        <a:noAutofit/>
                      </wps:bodyPr>
                    </wps:wsp>
                  </a:graphicData>
                </a:graphic>
              </wp:anchor>
            </w:drawing>
          </mc:Choice>
          <mc:Fallback>
            <w:pict>
              <v:shape style="position:absolute;margin-left:104.559998pt;margin-top:13.579156pt;width:425.5pt;height:444.7pt;mso-position-horizontal-relative:page;mso-position-vertical-relative:paragraph;z-index:15742464" type="#_x0000_t202" id="docshape1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1"/>
                        <w:gridCol w:w="1370"/>
                        <w:gridCol w:w="1299"/>
                        <w:gridCol w:w="1298"/>
                      </w:tblGrid>
                      <w:tr>
                        <w:trPr>
                          <w:trHeight w:val="708" w:hRule="atLeast"/>
                        </w:trPr>
                        <w:tc>
                          <w:tcPr>
                            <w:tcW w:w="4421" w:type="dxa"/>
                          </w:tcPr>
                          <w:p>
                            <w:pPr>
                              <w:pStyle w:val="TableParagraph"/>
                              <w:rPr>
                                <w:rFonts w:ascii="Times New Roman"/>
                                <w:sz w:val="20"/>
                              </w:rPr>
                            </w:pPr>
                          </w:p>
                        </w:tc>
                        <w:tc>
                          <w:tcPr>
                            <w:tcW w:w="1370" w:type="dxa"/>
                          </w:tcPr>
                          <w:p>
                            <w:pPr>
                              <w:pStyle w:val="TableParagraph"/>
                              <w:spacing w:line="221" w:lineRule="exact"/>
                              <w:ind w:left="628"/>
                              <w:jc w:val="center"/>
                              <w:rPr>
                                <w:b/>
                                <w:sz w:val="21"/>
                              </w:rPr>
                            </w:pPr>
                            <w:r>
                              <w:rPr>
                                <w:b/>
                                <w:spacing w:val="-4"/>
                                <w:sz w:val="21"/>
                              </w:rPr>
                              <w:t>Note</w:t>
                            </w:r>
                          </w:p>
                        </w:tc>
                        <w:tc>
                          <w:tcPr>
                            <w:tcW w:w="1299" w:type="dxa"/>
                          </w:tcPr>
                          <w:p>
                            <w:pPr>
                              <w:pStyle w:val="TableParagraph"/>
                              <w:spacing w:line="221" w:lineRule="exact"/>
                              <w:ind w:right="104"/>
                              <w:jc w:val="right"/>
                              <w:rPr>
                                <w:b/>
                                <w:sz w:val="21"/>
                              </w:rPr>
                            </w:pPr>
                            <w:r>
                              <w:rPr>
                                <w:b/>
                                <w:spacing w:val="-4"/>
                                <w:sz w:val="21"/>
                              </w:rPr>
                              <w:t>2017</w:t>
                            </w:r>
                          </w:p>
                          <w:p>
                            <w:pPr>
                              <w:pStyle w:val="TableParagraph"/>
                              <w:rPr>
                                <w:sz w:val="21"/>
                              </w:rPr>
                            </w:pPr>
                          </w:p>
                          <w:p>
                            <w:pPr>
                              <w:pStyle w:val="TableParagraph"/>
                              <w:spacing w:line="224" w:lineRule="exact"/>
                              <w:ind w:right="104"/>
                              <w:jc w:val="right"/>
                              <w:rPr>
                                <w:b/>
                                <w:sz w:val="21"/>
                              </w:rPr>
                            </w:pPr>
                            <w:r>
                              <w:rPr>
                                <w:b/>
                                <w:spacing w:val="-10"/>
                                <w:sz w:val="21"/>
                              </w:rPr>
                              <w:t>€</w:t>
                            </w:r>
                          </w:p>
                        </w:tc>
                        <w:tc>
                          <w:tcPr>
                            <w:tcW w:w="1298" w:type="dxa"/>
                            <w:shd w:val="clear" w:color="auto" w:fill="E4E4E4"/>
                          </w:tcPr>
                          <w:p>
                            <w:pPr>
                              <w:pStyle w:val="TableParagraph"/>
                              <w:spacing w:line="221" w:lineRule="exact"/>
                              <w:ind w:right="103"/>
                              <w:jc w:val="right"/>
                              <w:rPr>
                                <w:b/>
                                <w:sz w:val="21"/>
                              </w:rPr>
                            </w:pPr>
                            <w:r>
                              <w:rPr>
                                <w:b/>
                                <w:spacing w:val="-4"/>
                                <w:sz w:val="21"/>
                              </w:rPr>
                              <w:t>2016</w:t>
                            </w:r>
                          </w:p>
                          <w:p>
                            <w:pPr>
                              <w:pStyle w:val="TableParagraph"/>
                              <w:rPr>
                                <w:sz w:val="21"/>
                              </w:rPr>
                            </w:pPr>
                          </w:p>
                          <w:p>
                            <w:pPr>
                              <w:pStyle w:val="TableParagraph"/>
                              <w:spacing w:line="224" w:lineRule="exact"/>
                              <w:ind w:right="104"/>
                              <w:jc w:val="right"/>
                              <w:rPr>
                                <w:b/>
                                <w:sz w:val="21"/>
                              </w:rPr>
                            </w:pPr>
                            <w:r>
                              <w:rPr>
                                <w:b/>
                                <w:spacing w:val="-10"/>
                                <w:sz w:val="21"/>
                              </w:rPr>
                              <w:t>€</w:t>
                            </w:r>
                          </w:p>
                        </w:tc>
                      </w:tr>
                      <w:tr>
                        <w:trPr>
                          <w:trHeight w:val="243" w:hRule="atLeast"/>
                        </w:trPr>
                        <w:tc>
                          <w:tcPr>
                            <w:tcW w:w="4421" w:type="dxa"/>
                          </w:tcPr>
                          <w:p>
                            <w:pPr>
                              <w:pStyle w:val="TableParagraph"/>
                              <w:spacing w:line="223" w:lineRule="exact" w:before="1"/>
                              <w:ind w:left="50"/>
                              <w:rPr>
                                <w:b/>
                                <w:sz w:val="21"/>
                              </w:rPr>
                            </w:pPr>
                            <w:r>
                              <w:rPr>
                                <w:b/>
                                <w:sz w:val="21"/>
                              </w:rPr>
                              <w:t>Fixed</w:t>
                            </w:r>
                            <w:r>
                              <w:rPr>
                                <w:b/>
                                <w:spacing w:val="-6"/>
                                <w:sz w:val="21"/>
                              </w:rPr>
                              <w:t> </w:t>
                            </w:r>
                            <w:r>
                              <w:rPr>
                                <w:b/>
                                <w:spacing w:val="-2"/>
                                <w:sz w:val="21"/>
                              </w:rPr>
                              <w:t>Assets</w:t>
                            </w:r>
                          </w:p>
                        </w:tc>
                        <w:tc>
                          <w:tcPr>
                            <w:tcW w:w="1370" w:type="dxa"/>
                          </w:tcPr>
                          <w:p>
                            <w:pPr>
                              <w:pStyle w:val="TableParagraph"/>
                              <w:rPr>
                                <w:rFonts w:ascii="Times New Roman"/>
                                <w:sz w:val="16"/>
                              </w:rPr>
                            </w:pPr>
                          </w:p>
                        </w:tc>
                        <w:tc>
                          <w:tcPr>
                            <w:tcW w:w="1299" w:type="dxa"/>
                          </w:tcPr>
                          <w:p>
                            <w:pPr>
                              <w:pStyle w:val="TableParagraph"/>
                              <w:rPr>
                                <w:rFonts w:ascii="Times New Roman"/>
                                <w:sz w:val="16"/>
                              </w:rPr>
                            </w:pPr>
                          </w:p>
                        </w:tc>
                        <w:tc>
                          <w:tcPr>
                            <w:tcW w:w="1298" w:type="dxa"/>
                            <w:shd w:val="clear" w:color="auto" w:fill="E4E4E4"/>
                          </w:tcPr>
                          <w:p>
                            <w:pPr>
                              <w:pStyle w:val="TableParagraph"/>
                              <w:rPr>
                                <w:rFonts w:ascii="Times New Roman"/>
                                <w:sz w:val="16"/>
                              </w:rPr>
                            </w:pPr>
                          </w:p>
                        </w:tc>
                      </w:tr>
                      <w:tr>
                        <w:trPr>
                          <w:trHeight w:val="266" w:hRule="atLeast"/>
                        </w:trPr>
                        <w:tc>
                          <w:tcPr>
                            <w:tcW w:w="4421" w:type="dxa"/>
                          </w:tcPr>
                          <w:p>
                            <w:pPr>
                              <w:pStyle w:val="TableParagraph"/>
                              <w:spacing w:before="2"/>
                              <w:ind w:left="50"/>
                              <w:rPr>
                                <w:sz w:val="21"/>
                              </w:rPr>
                            </w:pPr>
                            <w:r>
                              <w:rPr>
                                <w:sz w:val="21"/>
                              </w:rPr>
                              <w:t>Property,</w:t>
                            </w:r>
                            <w:r>
                              <w:rPr>
                                <w:spacing w:val="-5"/>
                                <w:sz w:val="21"/>
                              </w:rPr>
                              <w:t> </w:t>
                            </w:r>
                            <w:r>
                              <w:rPr>
                                <w:sz w:val="21"/>
                              </w:rPr>
                              <w:t>plant</w:t>
                            </w:r>
                            <w:r>
                              <w:rPr>
                                <w:spacing w:val="-5"/>
                                <w:sz w:val="21"/>
                              </w:rPr>
                              <w:t> </w:t>
                            </w:r>
                            <w:r>
                              <w:rPr>
                                <w:sz w:val="21"/>
                              </w:rPr>
                              <w:t>&amp;</w:t>
                            </w:r>
                            <w:r>
                              <w:rPr>
                                <w:spacing w:val="-3"/>
                                <w:sz w:val="21"/>
                              </w:rPr>
                              <w:t> </w:t>
                            </w:r>
                            <w:r>
                              <w:rPr>
                                <w:spacing w:val="-2"/>
                                <w:sz w:val="21"/>
                              </w:rPr>
                              <w:t>equipment</w:t>
                            </w:r>
                          </w:p>
                        </w:tc>
                        <w:tc>
                          <w:tcPr>
                            <w:tcW w:w="1370" w:type="dxa"/>
                          </w:tcPr>
                          <w:p>
                            <w:pPr>
                              <w:pStyle w:val="TableParagraph"/>
                              <w:ind w:left="628" w:right="49"/>
                              <w:jc w:val="center"/>
                              <w:rPr>
                                <w:sz w:val="21"/>
                              </w:rPr>
                            </w:pPr>
                            <w:r>
                              <w:rPr>
                                <w:spacing w:val="-10"/>
                                <w:sz w:val="21"/>
                              </w:rPr>
                              <w:t>8</w:t>
                            </w:r>
                          </w:p>
                        </w:tc>
                        <w:tc>
                          <w:tcPr>
                            <w:tcW w:w="1299" w:type="dxa"/>
                            <w:tcBorders>
                              <w:bottom w:val="single" w:sz="4" w:space="0" w:color="000000"/>
                            </w:tcBorders>
                          </w:tcPr>
                          <w:p>
                            <w:pPr>
                              <w:pStyle w:val="TableParagraph"/>
                              <w:ind w:right="103"/>
                              <w:jc w:val="right"/>
                              <w:rPr>
                                <w:sz w:val="21"/>
                              </w:rPr>
                            </w:pPr>
                            <w:r>
                              <w:rPr>
                                <w:spacing w:val="-2"/>
                                <w:sz w:val="21"/>
                              </w:rPr>
                              <w:t>3,014,066</w:t>
                            </w:r>
                          </w:p>
                        </w:tc>
                        <w:tc>
                          <w:tcPr>
                            <w:tcW w:w="1298" w:type="dxa"/>
                            <w:tcBorders>
                              <w:bottom w:val="single" w:sz="4" w:space="0" w:color="000000"/>
                            </w:tcBorders>
                            <w:shd w:val="clear" w:color="auto" w:fill="E4E4E4"/>
                          </w:tcPr>
                          <w:p>
                            <w:pPr>
                              <w:pStyle w:val="TableParagraph"/>
                              <w:ind w:right="102"/>
                              <w:jc w:val="right"/>
                              <w:rPr>
                                <w:sz w:val="21"/>
                              </w:rPr>
                            </w:pPr>
                            <w:r>
                              <w:rPr>
                                <w:spacing w:val="-2"/>
                                <w:sz w:val="21"/>
                              </w:rPr>
                              <w:t>3,093,047</w:t>
                            </w:r>
                          </w:p>
                        </w:tc>
                      </w:tr>
                      <w:tr>
                        <w:trPr>
                          <w:trHeight w:val="244" w:hRule="atLeast"/>
                        </w:trPr>
                        <w:tc>
                          <w:tcPr>
                            <w:tcW w:w="4421" w:type="dxa"/>
                          </w:tcPr>
                          <w:p>
                            <w:pPr>
                              <w:pStyle w:val="TableParagraph"/>
                              <w:spacing w:line="221" w:lineRule="exact"/>
                              <w:ind w:left="50"/>
                              <w:rPr>
                                <w:b/>
                                <w:sz w:val="21"/>
                              </w:rPr>
                            </w:pPr>
                            <w:r>
                              <w:rPr>
                                <w:b/>
                                <w:sz w:val="21"/>
                              </w:rPr>
                              <w:t>Total</w:t>
                            </w:r>
                            <w:r>
                              <w:rPr>
                                <w:b/>
                                <w:spacing w:val="-5"/>
                                <w:sz w:val="21"/>
                              </w:rPr>
                              <w:t> </w:t>
                            </w:r>
                            <w:r>
                              <w:rPr>
                                <w:b/>
                                <w:sz w:val="21"/>
                              </w:rPr>
                              <w:t>Fixed</w:t>
                            </w:r>
                            <w:r>
                              <w:rPr>
                                <w:b/>
                                <w:spacing w:val="-4"/>
                                <w:sz w:val="21"/>
                              </w:rPr>
                              <w:t> </w:t>
                            </w:r>
                            <w:r>
                              <w:rPr>
                                <w:b/>
                                <w:spacing w:val="-2"/>
                                <w:sz w:val="21"/>
                              </w:rPr>
                              <w:t>Assets</w:t>
                            </w:r>
                          </w:p>
                        </w:tc>
                        <w:tc>
                          <w:tcPr>
                            <w:tcW w:w="1370" w:type="dxa"/>
                          </w:tcPr>
                          <w:p>
                            <w:pPr>
                              <w:pStyle w:val="TableParagraph"/>
                              <w:rPr>
                                <w:rFonts w:ascii="Times New Roman"/>
                                <w:sz w:val="16"/>
                              </w:rPr>
                            </w:pPr>
                          </w:p>
                        </w:tc>
                        <w:tc>
                          <w:tcPr>
                            <w:tcW w:w="1299" w:type="dxa"/>
                            <w:tcBorders>
                              <w:top w:val="single" w:sz="4" w:space="0" w:color="000000"/>
                              <w:bottom w:val="single" w:sz="4" w:space="0" w:color="000000"/>
                            </w:tcBorders>
                          </w:tcPr>
                          <w:p>
                            <w:pPr>
                              <w:pStyle w:val="TableParagraph"/>
                              <w:spacing w:line="221" w:lineRule="exact"/>
                              <w:ind w:right="105"/>
                              <w:jc w:val="right"/>
                              <w:rPr>
                                <w:b/>
                                <w:sz w:val="21"/>
                              </w:rPr>
                            </w:pPr>
                            <w:r>
                              <w:rPr>
                                <w:b/>
                                <w:spacing w:val="-2"/>
                                <w:sz w:val="21"/>
                              </w:rPr>
                              <w:t>3,014,066</w:t>
                            </w:r>
                          </w:p>
                        </w:tc>
                        <w:tc>
                          <w:tcPr>
                            <w:tcW w:w="1298" w:type="dxa"/>
                            <w:tcBorders>
                              <w:top w:val="single" w:sz="4" w:space="0" w:color="000000"/>
                              <w:bottom w:val="single" w:sz="4" w:space="0" w:color="000000"/>
                            </w:tcBorders>
                            <w:shd w:val="clear" w:color="auto" w:fill="E4E4E4"/>
                          </w:tcPr>
                          <w:p>
                            <w:pPr>
                              <w:pStyle w:val="TableParagraph"/>
                              <w:spacing w:line="221" w:lineRule="exact"/>
                              <w:ind w:right="104"/>
                              <w:jc w:val="right"/>
                              <w:rPr>
                                <w:b/>
                                <w:sz w:val="21"/>
                              </w:rPr>
                            </w:pPr>
                            <w:r>
                              <w:rPr>
                                <w:b/>
                                <w:spacing w:val="-2"/>
                                <w:sz w:val="21"/>
                              </w:rPr>
                              <w:t>3,093,047</w:t>
                            </w:r>
                          </w:p>
                        </w:tc>
                      </w:tr>
                      <w:tr>
                        <w:trPr>
                          <w:trHeight w:val="465" w:hRule="atLeast"/>
                        </w:trPr>
                        <w:tc>
                          <w:tcPr>
                            <w:tcW w:w="4421" w:type="dxa"/>
                          </w:tcPr>
                          <w:p>
                            <w:pPr>
                              <w:pStyle w:val="TableParagraph"/>
                              <w:spacing w:line="223" w:lineRule="exact" w:before="223"/>
                              <w:ind w:left="50"/>
                              <w:rPr>
                                <w:b/>
                                <w:sz w:val="21"/>
                              </w:rPr>
                            </w:pPr>
                            <w:r>
                              <w:rPr>
                                <w:b/>
                                <w:sz w:val="21"/>
                              </w:rPr>
                              <w:t>Current</w:t>
                            </w:r>
                            <w:r>
                              <w:rPr>
                                <w:b/>
                                <w:spacing w:val="-10"/>
                                <w:sz w:val="21"/>
                              </w:rPr>
                              <w:t> </w:t>
                            </w:r>
                            <w:r>
                              <w:rPr>
                                <w:b/>
                                <w:spacing w:val="-2"/>
                                <w:sz w:val="21"/>
                              </w:rPr>
                              <w:t>Assets</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rPr>
                                <w:rFonts w:ascii="Times New Roman"/>
                                <w:sz w:val="20"/>
                              </w:rPr>
                            </w:pPr>
                          </w:p>
                        </w:tc>
                        <w:tc>
                          <w:tcPr>
                            <w:tcW w:w="1298" w:type="dxa"/>
                            <w:tcBorders>
                              <w:top w:val="single" w:sz="4" w:space="0" w:color="000000"/>
                            </w:tcBorders>
                            <w:shd w:val="clear" w:color="auto" w:fill="E4E4E4"/>
                          </w:tcPr>
                          <w:p>
                            <w:pPr>
                              <w:pStyle w:val="TableParagraph"/>
                              <w:rPr>
                                <w:rFonts w:ascii="Times New Roman"/>
                                <w:sz w:val="20"/>
                              </w:rPr>
                            </w:pPr>
                          </w:p>
                        </w:tc>
                      </w:tr>
                      <w:tr>
                        <w:trPr>
                          <w:trHeight w:val="243" w:hRule="atLeast"/>
                        </w:trPr>
                        <w:tc>
                          <w:tcPr>
                            <w:tcW w:w="4421" w:type="dxa"/>
                          </w:tcPr>
                          <w:p>
                            <w:pPr>
                              <w:pStyle w:val="TableParagraph"/>
                              <w:spacing w:line="224" w:lineRule="exact"/>
                              <w:ind w:left="50"/>
                              <w:rPr>
                                <w:sz w:val="21"/>
                              </w:rPr>
                            </w:pPr>
                            <w:r>
                              <w:rPr>
                                <w:spacing w:val="-2"/>
                                <w:sz w:val="21"/>
                              </w:rPr>
                              <w:t>Receivables</w:t>
                            </w:r>
                          </w:p>
                        </w:tc>
                        <w:tc>
                          <w:tcPr>
                            <w:tcW w:w="1370" w:type="dxa"/>
                          </w:tcPr>
                          <w:p>
                            <w:pPr>
                              <w:pStyle w:val="TableParagraph"/>
                              <w:spacing w:line="224" w:lineRule="exact"/>
                              <w:ind w:left="478"/>
                              <w:jc w:val="center"/>
                              <w:rPr>
                                <w:sz w:val="21"/>
                              </w:rPr>
                            </w:pPr>
                            <w:r>
                              <w:rPr>
                                <w:spacing w:val="-5"/>
                                <w:sz w:val="21"/>
                              </w:rPr>
                              <w:t>10</w:t>
                            </w:r>
                          </w:p>
                        </w:tc>
                        <w:tc>
                          <w:tcPr>
                            <w:tcW w:w="1299" w:type="dxa"/>
                          </w:tcPr>
                          <w:p>
                            <w:pPr>
                              <w:pStyle w:val="TableParagraph"/>
                              <w:spacing w:line="224" w:lineRule="exact"/>
                              <w:ind w:right="103"/>
                              <w:jc w:val="right"/>
                              <w:rPr>
                                <w:sz w:val="21"/>
                              </w:rPr>
                            </w:pPr>
                            <w:r>
                              <w:rPr>
                                <w:spacing w:val="-2"/>
                                <w:sz w:val="21"/>
                              </w:rPr>
                              <w:t>452,230</w:t>
                            </w:r>
                          </w:p>
                        </w:tc>
                        <w:tc>
                          <w:tcPr>
                            <w:tcW w:w="1298" w:type="dxa"/>
                            <w:shd w:val="clear" w:color="auto" w:fill="E4E4E4"/>
                          </w:tcPr>
                          <w:p>
                            <w:pPr>
                              <w:pStyle w:val="TableParagraph"/>
                              <w:spacing w:line="224" w:lineRule="exact"/>
                              <w:ind w:right="102"/>
                              <w:jc w:val="right"/>
                              <w:rPr>
                                <w:sz w:val="21"/>
                              </w:rPr>
                            </w:pPr>
                            <w:r>
                              <w:rPr>
                                <w:spacing w:val="-2"/>
                                <w:sz w:val="21"/>
                              </w:rPr>
                              <w:t>368,877</w:t>
                            </w:r>
                          </w:p>
                        </w:tc>
                      </w:tr>
                      <w:tr>
                        <w:trPr>
                          <w:trHeight w:val="267" w:hRule="atLeast"/>
                        </w:trPr>
                        <w:tc>
                          <w:tcPr>
                            <w:tcW w:w="4421" w:type="dxa"/>
                          </w:tcPr>
                          <w:p>
                            <w:pPr>
                              <w:pStyle w:val="TableParagraph"/>
                              <w:spacing w:before="1"/>
                              <w:ind w:left="50"/>
                              <w:rPr>
                                <w:sz w:val="21"/>
                              </w:rPr>
                            </w:pPr>
                            <w:r>
                              <w:rPr>
                                <w:sz w:val="21"/>
                              </w:rPr>
                              <w:t>Cash</w:t>
                            </w:r>
                            <w:r>
                              <w:rPr>
                                <w:spacing w:val="-4"/>
                                <w:sz w:val="21"/>
                              </w:rPr>
                              <w:t> </w:t>
                            </w:r>
                            <w:r>
                              <w:rPr>
                                <w:sz w:val="21"/>
                              </w:rPr>
                              <w:t>and</w:t>
                            </w:r>
                            <w:r>
                              <w:rPr>
                                <w:spacing w:val="-4"/>
                                <w:sz w:val="21"/>
                              </w:rPr>
                              <w:t> </w:t>
                            </w:r>
                            <w:r>
                              <w:rPr>
                                <w:sz w:val="21"/>
                              </w:rPr>
                              <w:t>cash</w:t>
                            </w:r>
                            <w:r>
                              <w:rPr>
                                <w:spacing w:val="-2"/>
                                <w:sz w:val="21"/>
                              </w:rPr>
                              <w:t> equivalents</w:t>
                            </w:r>
                          </w:p>
                        </w:tc>
                        <w:tc>
                          <w:tcPr>
                            <w:tcW w:w="1370" w:type="dxa"/>
                          </w:tcPr>
                          <w:p>
                            <w:pPr>
                              <w:pStyle w:val="TableParagraph"/>
                              <w:rPr>
                                <w:rFonts w:ascii="Times New Roman"/>
                                <w:sz w:val="18"/>
                              </w:rPr>
                            </w:pPr>
                          </w:p>
                        </w:tc>
                        <w:tc>
                          <w:tcPr>
                            <w:tcW w:w="1299" w:type="dxa"/>
                            <w:tcBorders>
                              <w:bottom w:val="single" w:sz="4" w:space="0" w:color="000000"/>
                            </w:tcBorders>
                          </w:tcPr>
                          <w:p>
                            <w:pPr>
                              <w:pStyle w:val="TableParagraph"/>
                              <w:spacing w:before="1"/>
                              <w:ind w:right="103"/>
                              <w:jc w:val="right"/>
                              <w:rPr>
                                <w:sz w:val="21"/>
                              </w:rPr>
                            </w:pPr>
                            <w:r>
                              <w:rPr>
                                <w:spacing w:val="-2"/>
                                <w:sz w:val="21"/>
                              </w:rPr>
                              <w:t>52,301</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56,634</w:t>
                            </w:r>
                          </w:p>
                        </w:tc>
                      </w:tr>
                      <w:tr>
                        <w:trPr>
                          <w:trHeight w:val="708" w:hRule="atLeast"/>
                        </w:trPr>
                        <w:tc>
                          <w:tcPr>
                            <w:tcW w:w="4421" w:type="dxa"/>
                          </w:tcPr>
                          <w:p>
                            <w:pPr>
                              <w:pStyle w:val="TableParagraph"/>
                              <w:spacing w:line="242" w:lineRule="exact" w:before="204"/>
                              <w:ind w:left="50"/>
                              <w:rPr>
                                <w:b/>
                                <w:i/>
                                <w:sz w:val="21"/>
                              </w:rPr>
                            </w:pPr>
                            <w:r>
                              <w:rPr>
                                <w:b/>
                                <w:sz w:val="21"/>
                              </w:rPr>
                              <w:t>Current</w:t>
                            </w:r>
                            <w:r>
                              <w:rPr>
                                <w:b/>
                                <w:spacing w:val="-8"/>
                                <w:sz w:val="21"/>
                              </w:rPr>
                              <w:t> </w:t>
                            </w:r>
                            <w:r>
                              <w:rPr>
                                <w:b/>
                                <w:sz w:val="21"/>
                              </w:rPr>
                              <w:t>Liabilities</w:t>
                            </w:r>
                            <w:r>
                              <w:rPr>
                                <w:b/>
                                <w:spacing w:val="-6"/>
                                <w:sz w:val="21"/>
                              </w:rPr>
                              <w:t> </w:t>
                            </w:r>
                            <w:r>
                              <w:rPr>
                                <w:b/>
                                <w:i/>
                                <w:sz w:val="21"/>
                              </w:rPr>
                              <w:t>(amounts</w:t>
                            </w:r>
                            <w:r>
                              <w:rPr>
                                <w:b/>
                                <w:i/>
                                <w:spacing w:val="-9"/>
                                <w:sz w:val="21"/>
                              </w:rPr>
                              <w:t> </w:t>
                            </w:r>
                            <w:r>
                              <w:rPr>
                                <w:b/>
                                <w:i/>
                                <w:sz w:val="21"/>
                              </w:rPr>
                              <w:t>falling</w:t>
                            </w:r>
                            <w:r>
                              <w:rPr>
                                <w:b/>
                                <w:i/>
                                <w:spacing w:val="-9"/>
                                <w:sz w:val="21"/>
                              </w:rPr>
                              <w:t> </w:t>
                            </w:r>
                            <w:r>
                              <w:rPr>
                                <w:b/>
                                <w:i/>
                                <w:sz w:val="21"/>
                              </w:rPr>
                              <w:t>due</w:t>
                            </w:r>
                            <w:r>
                              <w:rPr>
                                <w:b/>
                                <w:i/>
                                <w:spacing w:val="-8"/>
                                <w:sz w:val="21"/>
                              </w:rPr>
                              <w:t> </w:t>
                            </w:r>
                            <w:r>
                              <w:rPr>
                                <w:b/>
                                <w:i/>
                                <w:sz w:val="21"/>
                              </w:rPr>
                              <w:t>within</w:t>
                            </w:r>
                            <w:r>
                              <w:rPr>
                                <w:b/>
                                <w:i/>
                                <w:sz w:val="21"/>
                              </w:rPr>
                              <w:t> one year)</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spacing w:line="221" w:lineRule="exact"/>
                              <w:ind w:right="105"/>
                              <w:jc w:val="right"/>
                              <w:rPr>
                                <w:b/>
                                <w:sz w:val="21"/>
                              </w:rPr>
                            </w:pPr>
                            <w:r>
                              <w:rPr>
                                <w:b/>
                                <w:spacing w:val="-2"/>
                                <w:sz w:val="21"/>
                              </w:rPr>
                              <w:t>504,531</w:t>
                            </w:r>
                          </w:p>
                        </w:tc>
                        <w:tc>
                          <w:tcPr>
                            <w:tcW w:w="1298" w:type="dxa"/>
                            <w:tcBorders>
                              <w:top w:val="single" w:sz="4" w:space="0" w:color="000000"/>
                            </w:tcBorders>
                            <w:shd w:val="clear" w:color="auto" w:fill="E4E4E4"/>
                          </w:tcPr>
                          <w:p>
                            <w:pPr>
                              <w:pStyle w:val="TableParagraph"/>
                              <w:spacing w:line="221" w:lineRule="exact"/>
                              <w:ind w:right="104"/>
                              <w:jc w:val="right"/>
                              <w:rPr>
                                <w:b/>
                                <w:sz w:val="21"/>
                              </w:rPr>
                            </w:pPr>
                            <w:r>
                              <w:rPr>
                                <w:b/>
                                <w:spacing w:val="-2"/>
                                <w:sz w:val="21"/>
                              </w:rPr>
                              <w:t>425,511</w:t>
                            </w:r>
                          </w:p>
                        </w:tc>
                      </w:tr>
                      <w:tr>
                        <w:trPr>
                          <w:trHeight w:val="265" w:hRule="atLeast"/>
                        </w:trPr>
                        <w:tc>
                          <w:tcPr>
                            <w:tcW w:w="4421" w:type="dxa"/>
                          </w:tcPr>
                          <w:p>
                            <w:pPr>
                              <w:pStyle w:val="TableParagraph"/>
                              <w:spacing w:before="1"/>
                              <w:ind w:left="50"/>
                              <w:rPr>
                                <w:sz w:val="21"/>
                              </w:rPr>
                            </w:pPr>
                            <w:r>
                              <w:rPr>
                                <w:spacing w:val="-2"/>
                                <w:sz w:val="21"/>
                              </w:rPr>
                              <w:t>Payables</w:t>
                            </w:r>
                          </w:p>
                        </w:tc>
                        <w:tc>
                          <w:tcPr>
                            <w:tcW w:w="1370" w:type="dxa"/>
                          </w:tcPr>
                          <w:p>
                            <w:pPr>
                              <w:pStyle w:val="TableParagraph"/>
                              <w:spacing w:before="1"/>
                              <w:ind w:left="478"/>
                              <w:jc w:val="center"/>
                              <w:rPr>
                                <w:sz w:val="21"/>
                              </w:rPr>
                            </w:pPr>
                            <w:r>
                              <w:rPr>
                                <w:spacing w:val="-5"/>
                                <w:sz w:val="21"/>
                              </w:rPr>
                              <w:t>11</w:t>
                            </w:r>
                          </w:p>
                        </w:tc>
                        <w:tc>
                          <w:tcPr>
                            <w:tcW w:w="1299" w:type="dxa"/>
                            <w:tcBorders>
                              <w:bottom w:val="single" w:sz="4" w:space="0" w:color="000000"/>
                            </w:tcBorders>
                          </w:tcPr>
                          <w:p>
                            <w:pPr>
                              <w:pStyle w:val="TableParagraph"/>
                              <w:spacing w:before="1"/>
                              <w:ind w:right="102"/>
                              <w:jc w:val="right"/>
                              <w:rPr>
                                <w:sz w:val="21"/>
                              </w:rPr>
                            </w:pPr>
                            <w:r>
                              <w:rPr>
                                <w:spacing w:val="-2"/>
                                <w:sz w:val="21"/>
                              </w:rPr>
                              <w:t>(117,773)</w:t>
                            </w:r>
                          </w:p>
                        </w:tc>
                        <w:tc>
                          <w:tcPr>
                            <w:tcW w:w="1298" w:type="dxa"/>
                            <w:tcBorders>
                              <w:bottom w:val="single" w:sz="4" w:space="0" w:color="000000"/>
                            </w:tcBorders>
                            <w:shd w:val="clear" w:color="auto" w:fill="E4E4E4"/>
                          </w:tcPr>
                          <w:p>
                            <w:pPr>
                              <w:pStyle w:val="TableParagraph"/>
                              <w:spacing w:before="1"/>
                              <w:ind w:right="101"/>
                              <w:jc w:val="right"/>
                              <w:rPr>
                                <w:sz w:val="21"/>
                              </w:rPr>
                            </w:pPr>
                            <w:r>
                              <w:rPr>
                                <w:spacing w:val="-2"/>
                                <w:sz w:val="21"/>
                              </w:rPr>
                              <w:t>(153,207)</w:t>
                            </w:r>
                          </w:p>
                        </w:tc>
                      </w:tr>
                      <w:tr>
                        <w:trPr>
                          <w:trHeight w:val="588" w:hRule="atLeast"/>
                        </w:trPr>
                        <w:tc>
                          <w:tcPr>
                            <w:tcW w:w="4421" w:type="dxa"/>
                          </w:tcPr>
                          <w:p>
                            <w:pPr>
                              <w:pStyle w:val="TableParagraph"/>
                              <w:spacing w:before="222"/>
                              <w:ind w:left="50"/>
                              <w:rPr>
                                <w:b/>
                                <w:sz w:val="21"/>
                              </w:rPr>
                            </w:pPr>
                            <w:r>
                              <w:rPr>
                                <w:b/>
                                <w:sz w:val="21"/>
                              </w:rPr>
                              <w:t>Net</w:t>
                            </w:r>
                            <w:r>
                              <w:rPr>
                                <w:b/>
                                <w:spacing w:val="-7"/>
                                <w:sz w:val="21"/>
                              </w:rPr>
                              <w:t> </w:t>
                            </w:r>
                            <w:r>
                              <w:rPr>
                                <w:b/>
                                <w:sz w:val="21"/>
                              </w:rPr>
                              <w:t>Current</w:t>
                            </w:r>
                            <w:r>
                              <w:rPr>
                                <w:b/>
                                <w:spacing w:val="-7"/>
                                <w:sz w:val="21"/>
                              </w:rPr>
                              <w:t> </w:t>
                            </w:r>
                            <w:r>
                              <w:rPr>
                                <w:b/>
                                <w:spacing w:val="-2"/>
                                <w:sz w:val="21"/>
                              </w:rPr>
                              <w:t>Assets</w:t>
                            </w:r>
                          </w:p>
                        </w:tc>
                        <w:tc>
                          <w:tcPr>
                            <w:tcW w:w="1370" w:type="dxa"/>
                          </w:tcPr>
                          <w:p>
                            <w:pPr>
                              <w:pStyle w:val="TableParagraph"/>
                              <w:rPr>
                                <w:rFonts w:ascii="Times New Roman"/>
                                <w:sz w:val="20"/>
                              </w:rPr>
                            </w:pPr>
                          </w:p>
                        </w:tc>
                        <w:tc>
                          <w:tcPr>
                            <w:tcW w:w="1299" w:type="dxa"/>
                            <w:tcBorders>
                              <w:top w:val="single" w:sz="4" w:space="0" w:color="000000"/>
                            </w:tcBorders>
                          </w:tcPr>
                          <w:p>
                            <w:pPr>
                              <w:pStyle w:val="TableParagraph"/>
                              <w:spacing w:before="222"/>
                              <w:ind w:right="105"/>
                              <w:jc w:val="right"/>
                              <w:rPr>
                                <w:b/>
                                <w:sz w:val="21"/>
                              </w:rPr>
                            </w:pPr>
                            <w:r>
                              <w:rPr>
                                <w:b/>
                                <w:spacing w:val="-2"/>
                                <w:sz w:val="21"/>
                              </w:rPr>
                              <w:t>386,758</w:t>
                            </w:r>
                          </w:p>
                        </w:tc>
                        <w:tc>
                          <w:tcPr>
                            <w:tcW w:w="1298" w:type="dxa"/>
                            <w:tcBorders>
                              <w:top w:val="single" w:sz="4" w:space="0" w:color="000000"/>
                            </w:tcBorders>
                            <w:shd w:val="clear" w:color="auto" w:fill="E4E4E4"/>
                          </w:tcPr>
                          <w:p>
                            <w:pPr>
                              <w:pStyle w:val="TableParagraph"/>
                              <w:spacing w:before="222"/>
                              <w:ind w:right="104"/>
                              <w:jc w:val="right"/>
                              <w:rPr>
                                <w:b/>
                                <w:sz w:val="21"/>
                              </w:rPr>
                            </w:pPr>
                            <w:r>
                              <w:rPr>
                                <w:b/>
                                <w:spacing w:val="-2"/>
                                <w:sz w:val="21"/>
                              </w:rPr>
                              <w:t>272,304</w:t>
                            </w:r>
                          </w:p>
                        </w:tc>
                      </w:tr>
                      <w:tr>
                        <w:trPr>
                          <w:trHeight w:val="609" w:hRule="atLeast"/>
                        </w:trPr>
                        <w:tc>
                          <w:tcPr>
                            <w:tcW w:w="5791" w:type="dxa"/>
                            <w:gridSpan w:val="2"/>
                          </w:tcPr>
                          <w:p>
                            <w:pPr>
                              <w:pStyle w:val="TableParagraph"/>
                              <w:spacing w:line="242" w:lineRule="exact" w:before="106"/>
                              <w:ind w:left="50" w:right="1184"/>
                              <w:rPr>
                                <w:b/>
                                <w:i/>
                                <w:sz w:val="21"/>
                              </w:rPr>
                            </w:pPr>
                            <w:r>
                              <w:rPr>
                                <w:b/>
                                <w:sz w:val="21"/>
                              </w:rPr>
                              <w:t>Long</w:t>
                            </w:r>
                            <w:r>
                              <w:rPr>
                                <w:b/>
                                <w:spacing w:val="-5"/>
                                <w:sz w:val="21"/>
                              </w:rPr>
                              <w:t> </w:t>
                            </w:r>
                            <w:r>
                              <w:rPr>
                                <w:b/>
                                <w:sz w:val="21"/>
                              </w:rPr>
                              <w:t>term</w:t>
                            </w:r>
                            <w:r>
                              <w:rPr>
                                <w:b/>
                                <w:spacing w:val="40"/>
                                <w:sz w:val="21"/>
                              </w:rPr>
                              <w:t> </w:t>
                            </w:r>
                            <w:r>
                              <w:rPr>
                                <w:b/>
                                <w:sz w:val="21"/>
                              </w:rPr>
                              <w:t>Liabilities</w:t>
                            </w:r>
                            <w:r>
                              <w:rPr>
                                <w:b/>
                                <w:spacing w:val="-3"/>
                                <w:sz w:val="21"/>
                              </w:rPr>
                              <w:t> </w:t>
                            </w:r>
                            <w:r>
                              <w:rPr>
                                <w:b/>
                                <w:i/>
                                <w:sz w:val="21"/>
                              </w:rPr>
                              <w:t>(amounts</w:t>
                            </w:r>
                            <w:r>
                              <w:rPr>
                                <w:b/>
                                <w:i/>
                                <w:spacing w:val="-6"/>
                                <w:sz w:val="21"/>
                              </w:rPr>
                              <w:t> </w:t>
                            </w:r>
                            <w:r>
                              <w:rPr>
                                <w:b/>
                                <w:i/>
                                <w:sz w:val="21"/>
                              </w:rPr>
                              <w:t>falling</w:t>
                            </w:r>
                            <w:r>
                              <w:rPr>
                                <w:b/>
                                <w:i/>
                                <w:spacing w:val="-8"/>
                                <w:sz w:val="21"/>
                              </w:rPr>
                              <w:t> </w:t>
                            </w:r>
                            <w:r>
                              <w:rPr>
                                <w:b/>
                                <w:i/>
                                <w:sz w:val="21"/>
                              </w:rPr>
                              <w:t>due</w:t>
                            </w:r>
                            <w:r>
                              <w:rPr>
                                <w:b/>
                                <w:i/>
                                <w:spacing w:val="-5"/>
                                <w:sz w:val="21"/>
                              </w:rPr>
                              <w:t> </w:t>
                            </w:r>
                            <w:r>
                              <w:rPr>
                                <w:b/>
                                <w:i/>
                                <w:sz w:val="21"/>
                              </w:rPr>
                              <w:t>after</w:t>
                            </w:r>
                            <w:r>
                              <w:rPr>
                                <w:b/>
                                <w:i/>
                                <w:sz w:val="21"/>
                              </w:rPr>
                              <w:t> one year)</w:t>
                            </w:r>
                          </w:p>
                        </w:tc>
                        <w:tc>
                          <w:tcPr>
                            <w:tcW w:w="1299" w:type="dxa"/>
                          </w:tcPr>
                          <w:p>
                            <w:pPr>
                              <w:pStyle w:val="TableParagraph"/>
                              <w:rPr>
                                <w:rFonts w:ascii="Times New Roman"/>
                                <w:sz w:val="20"/>
                              </w:rPr>
                            </w:pPr>
                          </w:p>
                        </w:tc>
                        <w:tc>
                          <w:tcPr>
                            <w:tcW w:w="1298" w:type="dxa"/>
                            <w:shd w:val="clear" w:color="auto" w:fill="E4E4E4"/>
                          </w:tcPr>
                          <w:p>
                            <w:pPr>
                              <w:pStyle w:val="TableParagraph"/>
                              <w:rPr>
                                <w:rFonts w:ascii="Times New Roman"/>
                                <w:sz w:val="20"/>
                              </w:rPr>
                            </w:pPr>
                          </w:p>
                        </w:tc>
                      </w:tr>
                      <w:tr>
                        <w:trPr>
                          <w:trHeight w:val="733" w:hRule="atLeast"/>
                        </w:trPr>
                        <w:tc>
                          <w:tcPr>
                            <w:tcW w:w="4421" w:type="dxa"/>
                          </w:tcPr>
                          <w:p>
                            <w:pPr>
                              <w:pStyle w:val="TableParagraph"/>
                              <w:spacing w:before="2"/>
                              <w:rPr>
                                <w:sz w:val="21"/>
                              </w:rPr>
                            </w:pPr>
                          </w:p>
                          <w:p>
                            <w:pPr>
                              <w:pStyle w:val="TableParagraph"/>
                              <w:ind w:left="50"/>
                              <w:rPr>
                                <w:sz w:val="21"/>
                              </w:rPr>
                            </w:pPr>
                            <w:r>
                              <w:rPr>
                                <w:sz w:val="21"/>
                              </w:rPr>
                              <w:t>Rental</w:t>
                            </w:r>
                            <w:r>
                              <w:rPr>
                                <w:spacing w:val="-7"/>
                                <w:sz w:val="21"/>
                              </w:rPr>
                              <w:t> </w:t>
                            </w:r>
                            <w:r>
                              <w:rPr>
                                <w:sz w:val="21"/>
                              </w:rPr>
                              <w:t>deposit</w:t>
                            </w:r>
                            <w:r>
                              <w:rPr>
                                <w:spacing w:val="-4"/>
                                <w:sz w:val="21"/>
                              </w:rPr>
                              <w:t> held</w:t>
                            </w:r>
                          </w:p>
                        </w:tc>
                        <w:tc>
                          <w:tcPr>
                            <w:tcW w:w="1370" w:type="dxa"/>
                          </w:tcPr>
                          <w:p>
                            <w:pPr>
                              <w:pStyle w:val="TableParagraph"/>
                              <w:spacing w:before="1"/>
                              <w:ind w:left="478"/>
                              <w:jc w:val="center"/>
                              <w:rPr>
                                <w:sz w:val="21"/>
                              </w:rPr>
                            </w:pPr>
                            <w:r>
                              <w:rPr>
                                <w:spacing w:val="-5"/>
                                <w:sz w:val="21"/>
                              </w:rPr>
                              <w:t>12</w:t>
                            </w:r>
                          </w:p>
                        </w:tc>
                        <w:tc>
                          <w:tcPr>
                            <w:tcW w:w="1299" w:type="dxa"/>
                          </w:tcPr>
                          <w:p>
                            <w:pPr>
                              <w:pStyle w:val="TableParagraph"/>
                              <w:spacing w:before="123"/>
                              <w:ind w:right="105"/>
                              <w:jc w:val="right"/>
                              <w:rPr>
                                <w:sz w:val="21"/>
                              </w:rPr>
                            </w:pPr>
                            <w:r>
                              <w:rPr>
                                <w:spacing w:val="-2"/>
                                <w:sz w:val="21"/>
                              </w:rPr>
                              <w:t>(10,000)</w:t>
                            </w:r>
                          </w:p>
                        </w:tc>
                        <w:tc>
                          <w:tcPr>
                            <w:tcW w:w="1298" w:type="dxa"/>
                            <w:shd w:val="clear" w:color="auto" w:fill="E4E4E4"/>
                          </w:tcPr>
                          <w:p>
                            <w:pPr>
                              <w:pStyle w:val="TableParagraph"/>
                              <w:spacing w:before="123"/>
                              <w:ind w:right="104"/>
                              <w:jc w:val="right"/>
                              <w:rPr>
                                <w:sz w:val="21"/>
                              </w:rPr>
                            </w:pPr>
                            <w:r>
                              <w:rPr>
                                <w:spacing w:val="-2"/>
                                <w:sz w:val="21"/>
                              </w:rPr>
                              <w:t>(10,000)</w:t>
                            </w:r>
                          </w:p>
                        </w:tc>
                      </w:tr>
                      <w:tr>
                        <w:trPr>
                          <w:trHeight w:val="609" w:hRule="atLeast"/>
                        </w:trPr>
                        <w:tc>
                          <w:tcPr>
                            <w:tcW w:w="4421" w:type="dxa"/>
                          </w:tcPr>
                          <w:p>
                            <w:pPr>
                              <w:pStyle w:val="TableParagraph"/>
                              <w:spacing w:before="1"/>
                              <w:rPr>
                                <w:sz w:val="21"/>
                              </w:rPr>
                            </w:pPr>
                          </w:p>
                          <w:p>
                            <w:pPr>
                              <w:pStyle w:val="TableParagraph"/>
                              <w:ind w:left="50"/>
                              <w:rPr>
                                <w:b/>
                                <w:sz w:val="21"/>
                              </w:rPr>
                            </w:pPr>
                            <w:r>
                              <w:rPr>
                                <w:b/>
                                <w:sz w:val="21"/>
                              </w:rPr>
                              <w:t>Retirement</w:t>
                            </w:r>
                            <w:r>
                              <w:rPr>
                                <w:b/>
                                <w:spacing w:val="-12"/>
                                <w:sz w:val="21"/>
                              </w:rPr>
                              <w:t> </w:t>
                            </w:r>
                            <w:r>
                              <w:rPr>
                                <w:b/>
                                <w:spacing w:val="-2"/>
                                <w:sz w:val="21"/>
                              </w:rPr>
                              <w:t>Benefits</w:t>
                            </w:r>
                          </w:p>
                        </w:tc>
                        <w:tc>
                          <w:tcPr>
                            <w:tcW w:w="1370" w:type="dxa"/>
                          </w:tcPr>
                          <w:p>
                            <w:pPr>
                              <w:pStyle w:val="TableParagraph"/>
                              <w:rPr>
                                <w:rFonts w:ascii="Times New Roman"/>
                                <w:sz w:val="20"/>
                              </w:rPr>
                            </w:pPr>
                          </w:p>
                        </w:tc>
                        <w:tc>
                          <w:tcPr>
                            <w:tcW w:w="1299" w:type="dxa"/>
                          </w:tcPr>
                          <w:p>
                            <w:pPr>
                              <w:pStyle w:val="TableParagraph"/>
                              <w:rPr>
                                <w:rFonts w:ascii="Times New Roman"/>
                                <w:sz w:val="20"/>
                              </w:rPr>
                            </w:pPr>
                          </w:p>
                        </w:tc>
                        <w:tc>
                          <w:tcPr>
                            <w:tcW w:w="1298" w:type="dxa"/>
                            <w:shd w:val="clear" w:color="auto" w:fill="E4E4E4"/>
                          </w:tcPr>
                          <w:p>
                            <w:pPr>
                              <w:pStyle w:val="TableParagraph"/>
                              <w:rPr>
                                <w:rFonts w:ascii="Times New Roman"/>
                                <w:sz w:val="20"/>
                              </w:rPr>
                            </w:pPr>
                          </w:p>
                        </w:tc>
                      </w:tr>
                      <w:tr>
                        <w:trPr>
                          <w:trHeight w:val="366" w:hRule="atLeast"/>
                        </w:trPr>
                        <w:tc>
                          <w:tcPr>
                            <w:tcW w:w="4421" w:type="dxa"/>
                          </w:tcPr>
                          <w:p>
                            <w:pPr>
                              <w:pStyle w:val="TableParagraph"/>
                              <w:spacing w:line="224" w:lineRule="exact" w:before="122"/>
                              <w:ind w:left="50"/>
                              <w:rPr>
                                <w:sz w:val="21"/>
                              </w:rPr>
                            </w:pPr>
                            <w:r>
                              <w:rPr>
                                <w:sz w:val="21"/>
                              </w:rPr>
                              <w:t>Deferred</w:t>
                            </w:r>
                            <w:r>
                              <w:rPr>
                                <w:spacing w:val="-5"/>
                                <w:sz w:val="21"/>
                              </w:rPr>
                              <w:t> </w:t>
                            </w:r>
                            <w:r>
                              <w:rPr>
                                <w:sz w:val="21"/>
                              </w:rPr>
                              <w:t>retirement</w:t>
                            </w:r>
                            <w:r>
                              <w:rPr>
                                <w:spacing w:val="-5"/>
                                <w:sz w:val="21"/>
                              </w:rPr>
                              <w:t> </w:t>
                            </w:r>
                            <w:r>
                              <w:rPr>
                                <w:sz w:val="21"/>
                              </w:rPr>
                              <w:t>benefit</w:t>
                            </w:r>
                            <w:r>
                              <w:rPr>
                                <w:spacing w:val="-7"/>
                                <w:sz w:val="21"/>
                              </w:rPr>
                              <w:t> </w:t>
                            </w:r>
                            <w:r>
                              <w:rPr>
                                <w:sz w:val="21"/>
                              </w:rPr>
                              <w:t>funding</w:t>
                            </w:r>
                            <w:r>
                              <w:rPr>
                                <w:spacing w:val="-5"/>
                                <w:sz w:val="21"/>
                              </w:rPr>
                              <w:t> </w:t>
                            </w:r>
                            <w:r>
                              <w:rPr>
                                <w:spacing w:val="-4"/>
                                <w:sz w:val="21"/>
                              </w:rPr>
                              <w:t>asset</w:t>
                            </w:r>
                          </w:p>
                        </w:tc>
                        <w:tc>
                          <w:tcPr>
                            <w:tcW w:w="1370" w:type="dxa"/>
                          </w:tcPr>
                          <w:p>
                            <w:pPr>
                              <w:pStyle w:val="TableParagraph"/>
                              <w:spacing w:line="224" w:lineRule="exact" w:before="122"/>
                              <w:ind w:left="478"/>
                              <w:jc w:val="center"/>
                              <w:rPr>
                                <w:sz w:val="21"/>
                              </w:rPr>
                            </w:pPr>
                            <w:r>
                              <w:rPr>
                                <w:spacing w:val="-10"/>
                                <w:sz w:val="21"/>
                              </w:rPr>
                              <w:t>3</w:t>
                            </w:r>
                          </w:p>
                        </w:tc>
                        <w:tc>
                          <w:tcPr>
                            <w:tcW w:w="1299" w:type="dxa"/>
                          </w:tcPr>
                          <w:p>
                            <w:pPr>
                              <w:pStyle w:val="TableParagraph"/>
                              <w:spacing w:line="224" w:lineRule="exact" w:before="122"/>
                              <w:ind w:right="102"/>
                              <w:jc w:val="right"/>
                              <w:rPr>
                                <w:sz w:val="21"/>
                              </w:rPr>
                            </w:pPr>
                            <w:r>
                              <w:rPr>
                                <w:spacing w:val="-2"/>
                                <w:sz w:val="21"/>
                              </w:rPr>
                              <w:t>(26,364,000)</w:t>
                            </w:r>
                          </w:p>
                        </w:tc>
                        <w:tc>
                          <w:tcPr>
                            <w:tcW w:w="1298" w:type="dxa"/>
                            <w:shd w:val="clear" w:color="auto" w:fill="E4E4E4"/>
                          </w:tcPr>
                          <w:p>
                            <w:pPr>
                              <w:pStyle w:val="TableParagraph"/>
                              <w:spacing w:line="224" w:lineRule="exact" w:before="122"/>
                              <w:ind w:right="101"/>
                              <w:jc w:val="right"/>
                              <w:rPr>
                                <w:sz w:val="21"/>
                              </w:rPr>
                            </w:pPr>
                            <w:r>
                              <w:rPr>
                                <w:spacing w:val="-2"/>
                                <w:sz w:val="21"/>
                              </w:rPr>
                              <w:t>(27,551,500)</w:t>
                            </w:r>
                          </w:p>
                        </w:tc>
                      </w:tr>
                      <w:tr>
                        <w:trPr>
                          <w:trHeight w:val="510" w:hRule="atLeast"/>
                        </w:trPr>
                        <w:tc>
                          <w:tcPr>
                            <w:tcW w:w="4421" w:type="dxa"/>
                          </w:tcPr>
                          <w:p>
                            <w:pPr>
                              <w:pStyle w:val="TableParagraph"/>
                              <w:spacing w:before="1"/>
                              <w:ind w:left="50"/>
                              <w:rPr>
                                <w:sz w:val="21"/>
                              </w:rPr>
                            </w:pPr>
                            <w:r>
                              <w:rPr>
                                <w:sz w:val="21"/>
                              </w:rPr>
                              <w:t>Retirement</w:t>
                            </w:r>
                            <w:r>
                              <w:rPr>
                                <w:spacing w:val="-7"/>
                                <w:sz w:val="21"/>
                              </w:rPr>
                              <w:t> </w:t>
                            </w:r>
                            <w:r>
                              <w:rPr>
                                <w:sz w:val="21"/>
                              </w:rPr>
                              <w:t>benefit</w:t>
                            </w:r>
                            <w:r>
                              <w:rPr>
                                <w:spacing w:val="-6"/>
                                <w:sz w:val="21"/>
                              </w:rPr>
                              <w:t> </w:t>
                            </w:r>
                            <w:r>
                              <w:rPr>
                                <w:spacing w:val="-2"/>
                                <w:sz w:val="21"/>
                              </w:rPr>
                              <w:t>obligations</w:t>
                            </w:r>
                          </w:p>
                        </w:tc>
                        <w:tc>
                          <w:tcPr>
                            <w:tcW w:w="1370" w:type="dxa"/>
                          </w:tcPr>
                          <w:p>
                            <w:pPr>
                              <w:pStyle w:val="TableParagraph"/>
                              <w:spacing w:before="1"/>
                              <w:ind w:left="478"/>
                              <w:jc w:val="center"/>
                              <w:rPr>
                                <w:sz w:val="21"/>
                              </w:rPr>
                            </w:pPr>
                            <w:r>
                              <w:rPr>
                                <w:spacing w:val="-10"/>
                                <w:sz w:val="21"/>
                              </w:rPr>
                              <w:t>3</w:t>
                            </w:r>
                          </w:p>
                        </w:tc>
                        <w:tc>
                          <w:tcPr>
                            <w:tcW w:w="1299" w:type="dxa"/>
                            <w:tcBorders>
                              <w:bottom w:val="single" w:sz="4" w:space="0" w:color="000000"/>
                            </w:tcBorders>
                          </w:tcPr>
                          <w:p>
                            <w:pPr>
                              <w:pStyle w:val="TableParagraph"/>
                              <w:spacing w:before="1"/>
                              <w:ind w:right="103"/>
                              <w:jc w:val="right"/>
                              <w:rPr>
                                <w:sz w:val="21"/>
                              </w:rPr>
                            </w:pPr>
                            <w:r>
                              <w:rPr>
                                <w:spacing w:val="-2"/>
                                <w:sz w:val="21"/>
                              </w:rPr>
                              <w:t>26,364,000</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27,551,500</w:t>
                            </w:r>
                          </w:p>
                        </w:tc>
                      </w:tr>
                      <w:tr>
                        <w:trPr>
                          <w:trHeight w:val="243" w:hRule="atLeast"/>
                        </w:trPr>
                        <w:tc>
                          <w:tcPr>
                            <w:tcW w:w="4421" w:type="dxa"/>
                          </w:tcPr>
                          <w:p>
                            <w:pPr>
                              <w:pStyle w:val="TableParagraph"/>
                              <w:spacing w:line="221" w:lineRule="exact"/>
                              <w:ind w:left="50"/>
                              <w:rPr>
                                <w:b/>
                                <w:sz w:val="21"/>
                              </w:rPr>
                            </w:pPr>
                            <w:r>
                              <w:rPr>
                                <w:b/>
                                <w:sz w:val="21"/>
                              </w:rPr>
                              <w:t>Total</w:t>
                            </w:r>
                            <w:r>
                              <w:rPr>
                                <w:b/>
                                <w:spacing w:val="-4"/>
                                <w:sz w:val="21"/>
                              </w:rPr>
                              <w:t> </w:t>
                            </w:r>
                            <w:r>
                              <w:rPr>
                                <w:b/>
                                <w:sz w:val="21"/>
                              </w:rPr>
                              <w:t>Net</w:t>
                            </w:r>
                            <w:r>
                              <w:rPr>
                                <w:b/>
                                <w:spacing w:val="-5"/>
                                <w:sz w:val="21"/>
                              </w:rPr>
                              <w:t> </w:t>
                            </w:r>
                            <w:r>
                              <w:rPr>
                                <w:b/>
                                <w:spacing w:val="-2"/>
                                <w:sz w:val="21"/>
                              </w:rPr>
                              <w:t>Assets</w:t>
                            </w:r>
                          </w:p>
                        </w:tc>
                        <w:tc>
                          <w:tcPr>
                            <w:tcW w:w="1370" w:type="dxa"/>
                          </w:tcPr>
                          <w:p>
                            <w:pPr>
                              <w:pStyle w:val="TableParagraph"/>
                              <w:rPr>
                                <w:rFonts w:ascii="Times New Roman"/>
                                <w:sz w:val="16"/>
                              </w:rPr>
                            </w:pPr>
                          </w:p>
                        </w:tc>
                        <w:tc>
                          <w:tcPr>
                            <w:tcW w:w="1299" w:type="dxa"/>
                            <w:tcBorders>
                              <w:top w:val="single" w:sz="4" w:space="0" w:color="000000"/>
                              <w:bottom w:val="double" w:sz="4" w:space="0" w:color="000000"/>
                            </w:tcBorders>
                          </w:tcPr>
                          <w:p>
                            <w:pPr>
                              <w:pStyle w:val="TableParagraph"/>
                              <w:spacing w:line="221" w:lineRule="exact"/>
                              <w:ind w:right="105"/>
                              <w:jc w:val="right"/>
                              <w:rPr>
                                <w:b/>
                                <w:sz w:val="21"/>
                              </w:rPr>
                            </w:pPr>
                            <w:r>
                              <w:rPr>
                                <w:b/>
                                <w:spacing w:val="-2"/>
                                <w:sz w:val="21"/>
                              </w:rPr>
                              <w:t>3,390,824</w:t>
                            </w:r>
                          </w:p>
                        </w:tc>
                        <w:tc>
                          <w:tcPr>
                            <w:tcW w:w="1298" w:type="dxa"/>
                            <w:tcBorders>
                              <w:top w:val="single" w:sz="4" w:space="0" w:color="000000"/>
                              <w:bottom w:val="double" w:sz="4" w:space="0" w:color="000000"/>
                            </w:tcBorders>
                            <w:shd w:val="clear" w:color="auto" w:fill="E4E4E4"/>
                          </w:tcPr>
                          <w:p>
                            <w:pPr>
                              <w:pStyle w:val="TableParagraph"/>
                              <w:spacing w:line="221" w:lineRule="exact"/>
                              <w:ind w:right="104"/>
                              <w:jc w:val="right"/>
                              <w:rPr>
                                <w:b/>
                                <w:sz w:val="21"/>
                              </w:rPr>
                            </w:pPr>
                            <w:r>
                              <w:rPr>
                                <w:b/>
                                <w:spacing w:val="-2"/>
                                <w:sz w:val="21"/>
                              </w:rPr>
                              <w:t>3,355,351</w:t>
                            </w:r>
                          </w:p>
                        </w:tc>
                      </w:tr>
                      <w:tr>
                        <w:trPr>
                          <w:trHeight w:val="587" w:hRule="atLeast"/>
                        </w:trPr>
                        <w:tc>
                          <w:tcPr>
                            <w:tcW w:w="4421" w:type="dxa"/>
                          </w:tcPr>
                          <w:p>
                            <w:pPr>
                              <w:pStyle w:val="TableParagraph"/>
                              <w:spacing w:before="222"/>
                              <w:ind w:left="50"/>
                              <w:rPr>
                                <w:b/>
                                <w:sz w:val="21"/>
                              </w:rPr>
                            </w:pPr>
                            <w:r>
                              <w:rPr>
                                <w:b/>
                                <w:spacing w:val="-2"/>
                                <w:sz w:val="21"/>
                              </w:rPr>
                              <w:t>Representing</w:t>
                            </w:r>
                          </w:p>
                        </w:tc>
                        <w:tc>
                          <w:tcPr>
                            <w:tcW w:w="1370" w:type="dxa"/>
                          </w:tcPr>
                          <w:p>
                            <w:pPr>
                              <w:pStyle w:val="TableParagraph"/>
                              <w:rPr>
                                <w:rFonts w:ascii="Times New Roman"/>
                                <w:sz w:val="20"/>
                              </w:rPr>
                            </w:pPr>
                          </w:p>
                        </w:tc>
                        <w:tc>
                          <w:tcPr>
                            <w:tcW w:w="1299" w:type="dxa"/>
                            <w:tcBorders>
                              <w:top w:val="double" w:sz="4" w:space="0" w:color="000000"/>
                            </w:tcBorders>
                          </w:tcPr>
                          <w:p>
                            <w:pPr>
                              <w:pStyle w:val="TableParagraph"/>
                              <w:rPr>
                                <w:rFonts w:ascii="Times New Roman"/>
                                <w:sz w:val="20"/>
                              </w:rPr>
                            </w:pPr>
                          </w:p>
                        </w:tc>
                        <w:tc>
                          <w:tcPr>
                            <w:tcW w:w="1298" w:type="dxa"/>
                            <w:tcBorders>
                              <w:top w:val="double" w:sz="4" w:space="0" w:color="000000"/>
                            </w:tcBorders>
                            <w:shd w:val="clear" w:color="auto" w:fill="E4E4E4"/>
                          </w:tcPr>
                          <w:p>
                            <w:pPr>
                              <w:pStyle w:val="TableParagraph"/>
                              <w:rPr>
                                <w:rFonts w:ascii="Times New Roman"/>
                                <w:sz w:val="20"/>
                              </w:rPr>
                            </w:pPr>
                          </w:p>
                        </w:tc>
                      </w:tr>
                      <w:tr>
                        <w:trPr>
                          <w:trHeight w:val="366" w:hRule="atLeast"/>
                        </w:trPr>
                        <w:tc>
                          <w:tcPr>
                            <w:tcW w:w="4421" w:type="dxa"/>
                          </w:tcPr>
                          <w:p>
                            <w:pPr>
                              <w:pStyle w:val="TableParagraph"/>
                              <w:spacing w:line="224" w:lineRule="exact" w:before="122"/>
                              <w:ind w:left="50"/>
                              <w:rPr>
                                <w:sz w:val="21"/>
                              </w:rPr>
                            </w:pPr>
                            <w:r>
                              <w:rPr>
                                <w:sz w:val="21"/>
                              </w:rPr>
                              <w:t>Capital</w:t>
                            </w:r>
                            <w:r>
                              <w:rPr>
                                <w:spacing w:val="-6"/>
                                <w:sz w:val="21"/>
                              </w:rPr>
                              <w:t> </w:t>
                            </w:r>
                            <w:r>
                              <w:rPr>
                                <w:spacing w:val="-2"/>
                                <w:sz w:val="21"/>
                              </w:rPr>
                              <w:t>account</w:t>
                            </w:r>
                          </w:p>
                        </w:tc>
                        <w:tc>
                          <w:tcPr>
                            <w:tcW w:w="1370" w:type="dxa"/>
                          </w:tcPr>
                          <w:p>
                            <w:pPr>
                              <w:pStyle w:val="TableParagraph"/>
                              <w:spacing w:line="224" w:lineRule="exact" w:before="122"/>
                              <w:ind w:left="478"/>
                              <w:jc w:val="center"/>
                              <w:rPr>
                                <w:sz w:val="21"/>
                              </w:rPr>
                            </w:pPr>
                            <w:r>
                              <w:rPr>
                                <w:spacing w:val="-10"/>
                                <w:sz w:val="21"/>
                              </w:rPr>
                              <w:t>7</w:t>
                            </w:r>
                          </w:p>
                        </w:tc>
                        <w:tc>
                          <w:tcPr>
                            <w:tcW w:w="1299" w:type="dxa"/>
                          </w:tcPr>
                          <w:p>
                            <w:pPr>
                              <w:pStyle w:val="TableParagraph"/>
                              <w:spacing w:line="224" w:lineRule="exact" w:before="122"/>
                              <w:ind w:right="103"/>
                              <w:jc w:val="right"/>
                              <w:rPr>
                                <w:sz w:val="21"/>
                              </w:rPr>
                            </w:pPr>
                            <w:r>
                              <w:rPr>
                                <w:spacing w:val="-2"/>
                                <w:sz w:val="21"/>
                              </w:rPr>
                              <w:t>3,014,066</w:t>
                            </w:r>
                          </w:p>
                        </w:tc>
                        <w:tc>
                          <w:tcPr>
                            <w:tcW w:w="1298" w:type="dxa"/>
                            <w:shd w:val="clear" w:color="auto" w:fill="E4E4E4"/>
                          </w:tcPr>
                          <w:p>
                            <w:pPr>
                              <w:pStyle w:val="TableParagraph"/>
                              <w:spacing w:line="224" w:lineRule="exact" w:before="122"/>
                              <w:ind w:right="102"/>
                              <w:jc w:val="right"/>
                              <w:rPr>
                                <w:sz w:val="21"/>
                              </w:rPr>
                            </w:pPr>
                            <w:r>
                              <w:rPr>
                                <w:spacing w:val="-2"/>
                                <w:sz w:val="21"/>
                              </w:rPr>
                              <w:t>3,093,047</w:t>
                            </w:r>
                          </w:p>
                        </w:tc>
                      </w:tr>
                      <w:tr>
                        <w:trPr>
                          <w:trHeight w:val="510" w:hRule="atLeast"/>
                        </w:trPr>
                        <w:tc>
                          <w:tcPr>
                            <w:tcW w:w="4421" w:type="dxa"/>
                          </w:tcPr>
                          <w:p>
                            <w:pPr>
                              <w:pStyle w:val="TableParagraph"/>
                              <w:spacing w:before="1"/>
                              <w:ind w:left="50"/>
                              <w:rPr>
                                <w:sz w:val="21"/>
                              </w:rPr>
                            </w:pPr>
                            <w:r>
                              <w:rPr>
                                <w:sz w:val="21"/>
                              </w:rPr>
                              <w:t>Retained</w:t>
                            </w:r>
                            <w:r>
                              <w:rPr>
                                <w:spacing w:val="-6"/>
                                <w:sz w:val="21"/>
                              </w:rPr>
                              <w:t> </w:t>
                            </w:r>
                            <w:r>
                              <w:rPr>
                                <w:sz w:val="21"/>
                              </w:rPr>
                              <w:t>revenue</w:t>
                            </w:r>
                            <w:r>
                              <w:rPr>
                                <w:spacing w:val="-6"/>
                                <w:sz w:val="21"/>
                              </w:rPr>
                              <w:t> </w:t>
                            </w:r>
                            <w:r>
                              <w:rPr>
                                <w:spacing w:val="-2"/>
                                <w:sz w:val="21"/>
                              </w:rPr>
                              <w:t>reserves</w:t>
                            </w:r>
                          </w:p>
                        </w:tc>
                        <w:tc>
                          <w:tcPr>
                            <w:tcW w:w="1370" w:type="dxa"/>
                          </w:tcPr>
                          <w:p>
                            <w:pPr>
                              <w:pStyle w:val="TableParagraph"/>
                              <w:rPr>
                                <w:rFonts w:ascii="Times New Roman"/>
                                <w:sz w:val="20"/>
                              </w:rPr>
                            </w:pPr>
                          </w:p>
                        </w:tc>
                        <w:tc>
                          <w:tcPr>
                            <w:tcW w:w="1299" w:type="dxa"/>
                            <w:tcBorders>
                              <w:bottom w:val="single" w:sz="4" w:space="0" w:color="000000"/>
                            </w:tcBorders>
                          </w:tcPr>
                          <w:p>
                            <w:pPr>
                              <w:pStyle w:val="TableParagraph"/>
                              <w:spacing w:before="1"/>
                              <w:ind w:right="103"/>
                              <w:jc w:val="right"/>
                              <w:rPr>
                                <w:sz w:val="21"/>
                              </w:rPr>
                            </w:pPr>
                            <w:r>
                              <w:rPr>
                                <w:spacing w:val="-2"/>
                                <w:sz w:val="21"/>
                              </w:rPr>
                              <w:t>376,758</w:t>
                            </w:r>
                          </w:p>
                        </w:tc>
                        <w:tc>
                          <w:tcPr>
                            <w:tcW w:w="1298" w:type="dxa"/>
                            <w:tcBorders>
                              <w:bottom w:val="single" w:sz="4" w:space="0" w:color="000000"/>
                            </w:tcBorders>
                            <w:shd w:val="clear" w:color="auto" w:fill="E4E4E4"/>
                          </w:tcPr>
                          <w:p>
                            <w:pPr>
                              <w:pStyle w:val="TableParagraph"/>
                              <w:spacing w:before="1"/>
                              <w:ind w:right="102"/>
                              <w:jc w:val="right"/>
                              <w:rPr>
                                <w:sz w:val="21"/>
                              </w:rPr>
                            </w:pPr>
                            <w:r>
                              <w:rPr>
                                <w:spacing w:val="-2"/>
                                <w:sz w:val="21"/>
                              </w:rPr>
                              <w:t>262,304</w:t>
                            </w:r>
                          </w:p>
                        </w:tc>
                      </w:tr>
                      <w:tr>
                        <w:trPr>
                          <w:trHeight w:val="244" w:hRule="atLeast"/>
                        </w:trPr>
                        <w:tc>
                          <w:tcPr>
                            <w:tcW w:w="4421" w:type="dxa"/>
                          </w:tcPr>
                          <w:p>
                            <w:pPr>
                              <w:pStyle w:val="TableParagraph"/>
                              <w:rPr>
                                <w:rFonts w:ascii="Times New Roman"/>
                                <w:sz w:val="16"/>
                              </w:rPr>
                            </w:pPr>
                          </w:p>
                        </w:tc>
                        <w:tc>
                          <w:tcPr>
                            <w:tcW w:w="1370" w:type="dxa"/>
                          </w:tcPr>
                          <w:p>
                            <w:pPr>
                              <w:pStyle w:val="TableParagraph"/>
                              <w:rPr>
                                <w:rFonts w:ascii="Times New Roman"/>
                                <w:sz w:val="16"/>
                              </w:rPr>
                            </w:pPr>
                          </w:p>
                        </w:tc>
                        <w:tc>
                          <w:tcPr>
                            <w:tcW w:w="1299" w:type="dxa"/>
                            <w:tcBorders>
                              <w:top w:val="single" w:sz="4" w:space="0" w:color="000000"/>
                              <w:bottom w:val="double" w:sz="4" w:space="0" w:color="000000"/>
                            </w:tcBorders>
                          </w:tcPr>
                          <w:p>
                            <w:pPr>
                              <w:pStyle w:val="TableParagraph"/>
                              <w:spacing w:line="221" w:lineRule="exact"/>
                              <w:ind w:right="105"/>
                              <w:jc w:val="right"/>
                              <w:rPr>
                                <w:b/>
                                <w:sz w:val="21"/>
                              </w:rPr>
                            </w:pPr>
                            <w:r>
                              <w:rPr>
                                <w:b/>
                                <w:spacing w:val="-2"/>
                                <w:sz w:val="21"/>
                              </w:rPr>
                              <w:t>3,390,824</w:t>
                            </w:r>
                          </w:p>
                        </w:tc>
                        <w:tc>
                          <w:tcPr>
                            <w:tcW w:w="1298" w:type="dxa"/>
                            <w:tcBorders>
                              <w:top w:val="single" w:sz="4" w:space="0" w:color="000000"/>
                              <w:bottom w:val="double" w:sz="4" w:space="0" w:color="000000"/>
                            </w:tcBorders>
                            <w:shd w:val="clear" w:color="auto" w:fill="E4E4E4"/>
                          </w:tcPr>
                          <w:p>
                            <w:pPr>
                              <w:pStyle w:val="TableParagraph"/>
                              <w:spacing w:line="221" w:lineRule="exact"/>
                              <w:ind w:right="104"/>
                              <w:jc w:val="right"/>
                              <w:rPr>
                                <w:b/>
                                <w:sz w:val="21"/>
                              </w:rPr>
                            </w:pPr>
                            <w:r>
                              <w:rPr>
                                <w:b/>
                                <w:spacing w:val="-2"/>
                                <w:sz w:val="21"/>
                              </w:rPr>
                              <w:t>3,355,351</w:t>
                            </w:r>
                          </w:p>
                        </w:tc>
                      </w:tr>
                    </w:tbl>
                    <w:p>
                      <w:pPr>
                        <w:pStyle w:val="BodyText"/>
                      </w:pPr>
                    </w:p>
                  </w:txbxContent>
                </v:textbox>
                <w10:wrap type="none"/>
              </v:shape>
            </w:pict>
          </mc:Fallback>
        </mc:AlternateContent>
      </w:r>
      <w:r>
        <w:rPr>
          <w:b/>
          <w:i/>
          <w:sz w:val="22"/>
        </w:rPr>
        <w:t>For</w:t>
      </w:r>
      <w:r>
        <w:rPr>
          <w:b/>
          <w:i/>
          <w:spacing w:val="-5"/>
          <w:sz w:val="22"/>
        </w:rPr>
        <w:t> </w:t>
      </w:r>
      <w:r>
        <w:rPr>
          <w:b/>
          <w:i/>
          <w:sz w:val="22"/>
        </w:rPr>
        <w:t>the</w:t>
      </w:r>
      <w:r>
        <w:rPr>
          <w:b/>
          <w:i/>
          <w:spacing w:val="-3"/>
          <w:sz w:val="22"/>
        </w:rPr>
        <w:t> </w:t>
      </w:r>
      <w:r>
        <w:rPr>
          <w:b/>
          <w:i/>
          <w:sz w:val="22"/>
        </w:rPr>
        <w:t>year</w:t>
      </w:r>
      <w:r>
        <w:rPr>
          <w:b/>
          <w:i/>
          <w:spacing w:val="-4"/>
          <w:sz w:val="22"/>
        </w:rPr>
        <w:t> </w:t>
      </w:r>
      <w:r>
        <w:rPr>
          <w:b/>
          <w:i/>
          <w:sz w:val="22"/>
        </w:rPr>
        <w:t>ended</w:t>
      </w:r>
      <w:r>
        <w:rPr>
          <w:b/>
          <w:i/>
          <w:spacing w:val="-3"/>
          <w:sz w:val="22"/>
        </w:rPr>
        <w:t> </w:t>
      </w:r>
      <w:r>
        <w:rPr>
          <w:b/>
          <w:i/>
          <w:sz w:val="22"/>
        </w:rPr>
        <w:t>31</w:t>
      </w:r>
      <w:r>
        <w:rPr>
          <w:b/>
          <w:i/>
          <w:spacing w:val="-4"/>
          <w:sz w:val="22"/>
        </w:rPr>
        <w:t> </w:t>
      </w:r>
      <w:r>
        <w:rPr>
          <w:b/>
          <w:i/>
          <w:sz w:val="22"/>
        </w:rPr>
        <w:t>December</w:t>
      </w:r>
      <w:r>
        <w:rPr>
          <w:b/>
          <w:i/>
          <w:spacing w:val="-4"/>
          <w:sz w:val="22"/>
        </w:rPr>
        <w:t> 2017</w:t>
      </w: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rPr>
          <w:b/>
          <w:i/>
          <w:sz w:val="22"/>
        </w:rPr>
      </w:pPr>
    </w:p>
    <w:p>
      <w:pPr>
        <w:pStyle w:val="BodyText"/>
        <w:spacing w:before="228"/>
        <w:rPr>
          <w:b/>
          <w:i/>
          <w:sz w:val="22"/>
        </w:rPr>
      </w:pPr>
    </w:p>
    <w:p>
      <w:pPr>
        <w:spacing w:line="510" w:lineRule="atLeast" w:before="0"/>
        <w:ind w:left="1702" w:right="988" w:firstLine="0"/>
        <w:jc w:val="left"/>
        <w:rPr>
          <w:sz w:val="22"/>
        </w:rPr>
      </w:pPr>
      <w:r>
        <w:rPr>
          <w:sz w:val="22"/>
        </w:rPr>
        <w:t>The</w:t>
      </w:r>
      <w:r>
        <w:rPr>
          <w:spacing w:val="-2"/>
          <w:sz w:val="22"/>
        </w:rPr>
        <w:t> </w:t>
      </w:r>
      <w:r>
        <w:rPr>
          <w:sz w:val="22"/>
        </w:rPr>
        <w:t>Statement</w:t>
      </w:r>
      <w:r>
        <w:rPr>
          <w:spacing w:val="-3"/>
          <w:sz w:val="22"/>
        </w:rPr>
        <w:t> </w:t>
      </w:r>
      <w:r>
        <w:rPr>
          <w:sz w:val="22"/>
        </w:rPr>
        <w:t>of</w:t>
      </w:r>
      <w:r>
        <w:rPr>
          <w:spacing w:val="-3"/>
          <w:sz w:val="22"/>
        </w:rPr>
        <w:t> </w:t>
      </w:r>
      <w:r>
        <w:rPr>
          <w:sz w:val="22"/>
        </w:rPr>
        <w:t>Cash</w:t>
      </w:r>
      <w:r>
        <w:rPr>
          <w:spacing w:val="-1"/>
          <w:sz w:val="22"/>
        </w:rPr>
        <w:t> </w:t>
      </w:r>
      <w:r>
        <w:rPr>
          <w:sz w:val="22"/>
        </w:rPr>
        <w:t>Flows</w:t>
      </w:r>
      <w:r>
        <w:rPr>
          <w:spacing w:val="-3"/>
          <w:sz w:val="22"/>
        </w:rPr>
        <w:t> </w:t>
      </w:r>
      <w:r>
        <w:rPr>
          <w:sz w:val="22"/>
        </w:rPr>
        <w:t>and</w:t>
      </w:r>
      <w:r>
        <w:rPr>
          <w:spacing w:val="-1"/>
          <w:sz w:val="22"/>
        </w:rPr>
        <w:t> </w:t>
      </w:r>
      <w:r>
        <w:rPr>
          <w:sz w:val="22"/>
        </w:rPr>
        <w:t>notes</w:t>
      </w:r>
      <w:r>
        <w:rPr>
          <w:spacing w:val="-5"/>
          <w:sz w:val="22"/>
        </w:rPr>
        <w:t> </w:t>
      </w:r>
      <w:r>
        <w:rPr>
          <w:sz w:val="22"/>
        </w:rPr>
        <w:t>1</w:t>
      </w:r>
      <w:r>
        <w:rPr>
          <w:spacing w:val="-4"/>
          <w:sz w:val="22"/>
        </w:rPr>
        <w:t> </w:t>
      </w:r>
      <w:r>
        <w:rPr>
          <w:sz w:val="22"/>
        </w:rPr>
        <w:t>to</w:t>
      </w:r>
      <w:r>
        <w:rPr>
          <w:spacing w:val="-3"/>
          <w:sz w:val="22"/>
        </w:rPr>
        <w:t> </w:t>
      </w:r>
      <w:r>
        <w:rPr>
          <w:sz w:val="22"/>
        </w:rPr>
        <w:t>14</w:t>
      </w:r>
      <w:r>
        <w:rPr>
          <w:spacing w:val="-4"/>
          <w:sz w:val="22"/>
        </w:rPr>
        <w:t> </w:t>
      </w:r>
      <w:r>
        <w:rPr>
          <w:sz w:val="22"/>
        </w:rPr>
        <w:t>form</w:t>
      </w:r>
      <w:r>
        <w:rPr>
          <w:spacing w:val="-6"/>
          <w:sz w:val="22"/>
        </w:rPr>
        <w:t> </w:t>
      </w:r>
      <w:r>
        <w:rPr>
          <w:sz w:val="22"/>
        </w:rPr>
        <w:t>part</w:t>
      </w:r>
      <w:r>
        <w:rPr>
          <w:spacing w:val="-1"/>
          <w:sz w:val="22"/>
        </w:rPr>
        <w:t> </w:t>
      </w:r>
      <w:r>
        <w:rPr>
          <w:sz w:val="22"/>
        </w:rPr>
        <w:t>of</w:t>
      </w:r>
      <w:r>
        <w:rPr>
          <w:spacing w:val="-3"/>
          <w:sz w:val="22"/>
        </w:rPr>
        <w:t> </w:t>
      </w:r>
      <w:r>
        <w:rPr>
          <w:sz w:val="22"/>
        </w:rPr>
        <w:t>these</w:t>
      </w:r>
      <w:r>
        <w:rPr>
          <w:spacing w:val="-4"/>
          <w:sz w:val="22"/>
        </w:rPr>
        <w:t> </w:t>
      </w:r>
      <w:r>
        <w:rPr>
          <w:sz w:val="22"/>
        </w:rPr>
        <w:t>financial</w:t>
      </w:r>
      <w:r>
        <w:rPr>
          <w:spacing w:val="-2"/>
          <w:sz w:val="22"/>
        </w:rPr>
        <w:t> </w:t>
      </w:r>
      <w:r>
        <w:rPr>
          <w:sz w:val="22"/>
        </w:rPr>
        <w:t>statements. On behalf of the Board of National Disability Authority:</w:t>
      </w:r>
    </w:p>
    <w:p>
      <w:pPr>
        <w:pStyle w:val="BodyText"/>
        <w:spacing w:before="10"/>
        <w:rPr>
          <w:sz w:val="12"/>
        </w:rPr>
      </w:pPr>
      <w:r>
        <w:rPr>
          <w:sz w:val="12"/>
        </w:rPr>
        <w:drawing>
          <wp:anchor distT="0" distB="0" distL="0" distR="0" allowOverlap="1" layoutInCell="1" locked="0" behindDoc="1" simplePos="0" relativeHeight="487600128">
            <wp:simplePos x="0" y="0"/>
            <wp:positionH relativeFrom="page">
              <wp:posOffset>1257300</wp:posOffset>
            </wp:positionH>
            <wp:positionV relativeFrom="paragraph">
              <wp:posOffset>110382</wp:posOffset>
            </wp:positionV>
            <wp:extent cx="1208247" cy="450056"/>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7" cstate="print"/>
                    <a:stretch>
                      <a:fillRect/>
                    </a:stretch>
                  </pic:blipFill>
                  <pic:spPr>
                    <a:xfrm>
                      <a:off x="0" y="0"/>
                      <a:ext cx="1208247" cy="450056"/>
                    </a:xfrm>
                    <a:prstGeom prst="rect">
                      <a:avLst/>
                    </a:prstGeom>
                  </pic:spPr>
                </pic:pic>
              </a:graphicData>
            </a:graphic>
          </wp:anchor>
        </w:drawing>
      </w:r>
      <w:r>
        <w:rPr>
          <w:sz w:val="12"/>
        </w:rPr>
        <w:drawing>
          <wp:anchor distT="0" distB="0" distL="0" distR="0" allowOverlap="1" layoutInCell="1" locked="0" behindDoc="1" simplePos="0" relativeHeight="487600640">
            <wp:simplePos x="0" y="0"/>
            <wp:positionH relativeFrom="page">
              <wp:posOffset>2870084</wp:posOffset>
            </wp:positionH>
            <wp:positionV relativeFrom="paragraph">
              <wp:posOffset>150387</wp:posOffset>
            </wp:positionV>
            <wp:extent cx="1252884" cy="234695"/>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10" cstate="print"/>
                    <a:stretch>
                      <a:fillRect/>
                    </a:stretch>
                  </pic:blipFill>
                  <pic:spPr>
                    <a:xfrm>
                      <a:off x="0" y="0"/>
                      <a:ext cx="1252884" cy="234695"/>
                    </a:xfrm>
                    <a:prstGeom prst="rect">
                      <a:avLst/>
                    </a:prstGeom>
                  </pic:spPr>
                </pic:pic>
              </a:graphicData>
            </a:graphic>
          </wp:anchor>
        </w:drawing>
      </w:r>
      <w:r>
        <w:rPr>
          <w:sz w:val="12"/>
        </w:rPr>
        <w:drawing>
          <wp:anchor distT="0" distB="0" distL="0" distR="0" allowOverlap="1" layoutInCell="1" locked="0" behindDoc="1" simplePos="0" relativeHeight="487601152">
            <wp:simplePos x="0" y="0"/>
            <wp:positionH relativeFrom="page">
              <wp:posOffset>4966404</wp:posOffset>
            </wp:positionH>
            <wp:positionV relativeFrom="paragraph">
              <wp:posOffset>150387</wp:posOffset>
            </wp:positionV>
            <wp:extent cx="965026" cy="356235"/>
            <wp:effectExtent l="0" t="0" r="0" b="0"/>
            <wp:wrapTopAndBottom/>
            <wp:docPr id="33" name="Image 33" descr="Siobhan Barron’s signature"/>
            <wp:cNvGraphicFramePr>
              <a:graphicFrameLocks/>
            </wp:cNvGraphicFramePr>
            <a:graphic>
              <a:graphicData uri="http://schemas.openxmlformats.org/drawingml/2006/picture">
                <pic:pic>
                  <pic:nvPicPr>
                    <pic:cNvPr id="33" name="Image 33" descr="Siobhan Barron’s signature"/>
                    <pic:cNvPicPr/>
                  </pic:nvPicPr>
                  <pic:blipFill>
                    <a:blip r:embed="rId11" cstate="print"/>
                    <a:stretch>
                      <a:fillRect/>
                    </a:stretch>
                  </pic:blipFill>
                  <pic:spPr>
                    <a:xfrm>
                      <a:off x="0" y="0"/>
                      <a:ext cx="965026" cy="356235"/>
                    </a:xfrm>
                    <a:prstGeom prst="rect">
                      <a:avLst/>
                    </a:prstGeom>
                  </pic:spPr>
                </pic:pic>
              </a:graphicData>
            </a:graphic>
          </wp:anchor>
        </w:drawing>
      </w:r>
    </w:p>
    <w:p>
      <w:pPr>
        <w:pStyle w:val="BodyText"/>
        <w:spacing w:before="7"/>
        <w:rPr>
          <w:sz w:val="3"/>
        </w:rPr>
      </w:pPr>
    </w:p>
    <w:tbl>
      <w:tblPr>
        <w:tblW w:w="0" w:type="auto"/>
        <w:jc w:val="left"/>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5"/>
        <w:gridCol w:w="2881"/>
        <w:gridCol w:w="2396"/>
      </w:tblGrid>
      <w:tr>
        <w:trPr>
          <w:trHeight w:val="703" w:hRule="atLeast"/>
        </w:trPr>
        <w:tc>
          <w:tcPr>
            <w:tcW w:w="2395" w:type="dxa"/>
          </w:tcPr>
          <w:p>
            <w:pPr>
              <w:pStyle w:val="TableParagraph"/>
              <w:ind w:left="50"/>
              <w:rPr>
                <w:sz w:val="22"/>
              </w:rPr>
            </w:pPr>
            <w:r>
              <w:rPr>
                <w:sz w:val="22"/>
              </w:rPr>
              <w:t>Helen</w:t>
            </w:r>
            <w:r>
              <w:rPr>
                <w:spacing w:val="-3"/>
                <w:sz w:val="22"/>
              </w:rPr>
              <w:t> </w:t>
            </w:r>
            <w:r>
              <w:rPr>
                <w:spacing w:val="-2"/>
                <w:sz w:val="22"/>
              </w:rPr>
              <w:t>Guinan,</w:t>
            </w:r>
          </w:p>
          <w:p>
            <w:pPr>
              <w:pStyle w:val="TableParagraph"/>
              <w:spacing w:before="130"/>
              <w:ind w:left="50"/>
              <w:rPr>
                <w:sz w:val="22"/>
              </w:rPr>
            </w:pPr>
            <w:r>
              <w:rPr>
                <w:spacing w:val="-2"/>
                <w:sz w:val="22"/>
              </w:rPr>
              <w:t>Chairperson</w:t>
            </w:r>
          </w:p>
        </w:tc>
        <w:tc>
          <w:tcPr>
            <w:tcW w:w="2881" w:type="dxa"/>
          </w:tcPr>
          <w:p>
            <w:pPr>
              <w:pStyle w:val="TableParagraph"/>
              <w:ind w:left="535"/>
              <w:rPr>
                <w:sz w:val="22"/>
              </w:rPr>
            </w:pPr>
            <w:r>
              <w:rPr>
                <w:sz w:val="22"/>
              </w:rPr>
              <w:t>Frank</w:t>
            </w:r>
            <w:r>
              <w:rPr>
                <w:spacing w:val="-5"/>
                <w:sz w:val="22"/>
              </w:rPr>
              <w:t> </w:t>
            </w:r>
            <w:r>
              <w:rPr>
                <w:spacing w:val="-2"/>
                <w:sz w:val="22"/>
              </w:rPr>
              <w:t>Cunneen,</w:t>
            </w:r>
          </w:p>
          <w:p>
            <w:pPr>
              <w:pStyle w:val="TableParagraph"/>
              <w:spacing w:before="130"/>
              <w:ind w:left="535"/>
              <w:rPr>
                <w:sz w:val="22"/>
              </w:rPr>
            </w:pPr>
            <w:r>
              <w:rPr>
                <w:sz w:val="22"/>
              </w:rPr>
              <w:t>Authority</w:t>
            </w:r>
            <w:r>
              <w:rPr>
                <w:spacing w:val="-7"/>
                <w:sz w:val="22"/>
              </w:rPr>
              <w:t> </w:t>
            </w:r>
            <w:r>
              <w:rPr>
                <w:spacing w:val="-2"/>
                <w:sz w:val="22"/>
              </w:rPr>
              <w:t>Member</w:t>
            </w:r>
          </w:p>
        </w:tc>
        <w:tc>
          <w:tcPr>
            <w:tcW w:w="2396" w:type="dxa"/>
          </w:tcPr>
          <w:p>
            <w:pPr>
              <w:pStyle w:val="TableParagraph"/>
              <w:ind w:left="534"/>
              <w:rPr>
                <w:sz w:val="22"/>
              </w:rPr>
            </w:pPr>
            <w:r>
              <w:rPr>
                <w:sz w:val="22"/>
              </w:rPr>
              <w:t>Siobhan</w:t>
            </w:r>
            <w:r>
              <w:rPr>
                <w:spacing w:val="-4"/>
                <w:sz w:val="22"/>
              </w:rPr>
              <w:t> </w:t>
            </w:r>
            <w:r>
              <w:rPr>
                <w:spacing w:val="-2"/>
                <w:sz w:val="22"/>
              </w:rPr>
              <w:t>Barron,</w:t>
            </w:r>
          </w:p>
          <w:p>
            <w:pPr>
              <w:pStyle w:val="TableParagraph"/>
              <w:spacing w:before="130"/>
              <w:ind w:left="534"/>
              <w:rPr>
                <w:sz w:val="22"/>
              </w:rPr>
            </w:pPr>
            <w:r>
              <w:rPr>
                <w:spacing w:val="-2"/>
                <w:sz w:val="22"/>
              </w:rPr>
              <w:t>Director</w:t>
            </w:r>
          </w:p>
        </w:tc>
      </w:tr>
      <w:tr>
        <w:trPr>
          <w:trHeight w:val="318" w:hRule="atLeast"/>
        </w:trPr>
        <w:tc>
          <w:tcPr>
            <w:tcW w:w="2395" w:type="dxa"/>
          </w:tcPr>
          <w:p>
            <w:pPr>
              <w:pStyle w:val="TableParagraph"/>
              <w:spacing w:line="235" w:lineRule="exact" w:before="63"/>
              <w:ind w:left="50"/>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881" w:type="dxa"/>
          </w:tcPr>
          <w:p>
            <w:pPr>
              <w:pStyle w:val="TableParagraph"/>
              <w:spacing w:line="235" w:lineRule="exact" w:before="63"/>
              <w:ind w:left="535"/>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c>
          <w:tcPr>
            <w:tcW w:w="2396" w:type="dxa"/>
          </w:tcPr>
          <w:p>
            <w:pPr>
              <w:pStyle w:val="TableParagraph"/>
              <w:spacing w:line="235" w:lineRule="exact" w:before="63"/>
              <w:ind w:left="534"/>
              <w:rPr>
                <w:sz w:val="22"/>
              </w:rPr>
            </w:pPr>
            <w:r>
              <w:rPr>
                <w:sz w:val="22"/>
              </w:rPr>
              <w:t>Date:</w:t>
            </w:r>
            <w:r>
              <w:rPr>
                <w:spacing w:val="-2"/>
                <w:sz w:val="22"/>
              </w:rPr>
              <w:t> </w:t>
            </w:r>
            <w:r>
              <w:rPr>
                <w:sz w:val="22"/>
              </w:rPr>
              <w:t>29</w:t>
            </w:r>
            <w:r>
              <w:rPr>
                <w:position w:val="5"/>
                <w:sz w:val="14"/>
              </w:rPr>
              <w:t>th</w:t>
            </w:r>
            <w:r>
              <w:rPr>
                <w:spacing w:val="19"/>
                <w:position w:val="5"/>
                <w:sz w:val="14"/>
              </w:rPr>
              <w:t> </w:t>
            </w:r>
            <w:r>
              <w:rPr>
                <w:sz w:val="22"/>
              </w:rPr>
              <w:t>May</w:t>
            </w:r>
            <w:r>
              <w:rPr>
                <w:spacing w:val="-2"/>
                <w:sz w:val="22"/>
              </w:rPr>
              <w:t> </w:t>
            </w:r>
            <w:r>
              <w:rPr>
                <w:spacing w:val="-4"/>
                <w:sz w:val="22"/>
              </w:rPr>
              <w:t>2018</w:t>
            </w:r>
          </w:p>
        </w:tc>
      </w:tr>
    </w:tbl>
    <w:p>
      <w:pPr>
        <w:pStyle w:val="TableParagraph"/>
        <w:spacing w:after="0" w:line="235" w:lineRule="exact"/>
        <w:rPr>
          <w:sz w:val="22"/>
        </w:rPr>
        <w:sectPr>
          <w:pgSz w:w="11910" w:h="16850"/>
          <w:pgMar w:header="0" w:footer="811" w:top="1880" w:bottom="1000" w:left="283" w:right="992"/>
        </w:sectPr>
      </w:pPr>
    </w:p>
    <w:p>
      <w:pPr>
        <w:spacing w:before="78"/>
        <w:ind w:left="1702" w:right="0" w:firstLine="0"/>
        <w:jc w:val="left"/>
        <w:rPr>
          <w:b/>
          <w:sz w:val="24"/>
        </w:rPr>
      </w:pPr>
      <w:r>
        <w:rPr>
          <w:b/>
          <w:sz w:val="24"/>
        </w:rPr>
        <w:t>National</w:t>
      </w:r>
      <w:r>
        <w:rPr>
          <w:b/>
          <w:spacing w:val="-2"/>
          <w:sz w:val="24"/>
        </w:rPr>
        <w:t> </w:t>
      </w:r>
      <w:r>
        <w:rPr>
          <w:b/>
          <w:sz w:val="24"/>
        </w:rPr>
        <w:t>Disability</w:t>
      </w:r>
      <w:r>
        <w:rPr>
          <w:b/>
          <w:spacing w:val="-2"/>
          <w:sz w:val="24"/>
        </w:rPr>
        <w:t> Authority</w:t>
      </w:r>
    </w:p>
    <w:p>
      <w:pPr>
        <w:pStyle w:val="BodyText"/>
        <w:spacing w:before="139"/>
        <w:rPr>
          <w:b/>
          <w:sz w:val="24"/>
        </w:rPr>
      </w:pPr>
    </w:p>
    <w:p>
      <w:pPr>
        <w:spacing w:before="0"/>
        <w:ind w:left="1702" w:right="0" w:firstLine="0"/>
        <w:jc w:val="left"/>
        <w:rPr>
          <w:b/>
          <w:sz w:val="24"/>
        </w:rPr>
      </w:pPr>
      <w:r>
        <w:rPr>
          <w:b/>
          <w:sz w:val="24"/>
        </w:rPr>
        <w:t>STATEMENT</w:t>
      </w:r>
      <w:r>
        <w:rPr>
          <w:b/>
          <w:spacing w:val="-4"/>
          <w:sz w:val="24"/>
        </w:rPr>
        <w:t> </w:t>
      </w:r>
      <w:r>
        <w:rPr>
          <w:b/>
          <w:sz w:val="24"/>
        </w:rPr>
        <w:t>OF</w:t>
      </w:r>
      <w:r>
        <w:rPr>
          <w:b/>
          <w:spacing w:val="-2"/>
          <w:sz w:val="24"/>
        </w:rPr>
        <w:t> </w:t>
      </w:r>
      <w:r>
        <w:rPr>
          <w:b/>
          <w:sz w:val="24"/>
        </w:rPr>
        <w:t>CASH</w:t>
      </w:r>
      <w:r>
        <w:rPr>
          <w:b/>
          <w:spacing w:val="-2"/>
          <w:sz w:val="24"/>
        </w:rPr>
        <w:t> FLOWS</w:t>
      </w:r>
    </w:p>
    <w:p>
      <w:pPr>
        <w:spacing w:before="0"/>
        <w:ind w:left="1702" w:right="0" w:firstLine="0"/>
        <w:jc w:val="left"/>
        <w:rPr>
          <w:b/>
          <w:i/>
          <w:sz w:val="24"/>
        </w:rPr>
      </w:pPr>
      <w:r>
        <w:rPr>
          <w:b/>
          <w:i/>
          <w:sz w:val="24"/>
        </w:rPr>
        <w:t>For</w:t>
      </w:r>
      <w:r>
        <w:rPr>
          <w:b/>
          <w:i/>
          <w:spacing w:val="-1"/>
          <w:sz w:val="24"/>
        </w:rPr>
        <w:t> </w:t>
      </w:r>
      <w:r>
        <w:rPr>
          <w:b/>
          <w:i/>
          <w:sz w:val="24"/>
        </w:rPr>
        <w:t>the</w:t>
      </w:r>
      <w:r>
        <w:rPr>
          <w:b/>
          <w:i/>
          <w:spacing w:val="-2"/>
          <w:sz w:val="24"/>
        </w:rPr>
        <w:t> </w:t>
      </w:r>
      <w:r>
        <w:rPr>
          <w:b/>
          <w:i/>
          <w:sz w:val="24"/>
        </w:rPr>
        <w:t>year</w:t>
      </w:r>
      <w:r>
        <w:rPr>
          <w:b/>
          <w:i/>
          <w:spacing w:val="-1"/>
          <w:sz w:val="24"/>
        </w:rPr>
        <w:t> </w:t>
      </w:r>
      <w:r>
        <w:rPr>
          <w:b/>
          <w:i/>
          <w:sz w:val="24"/>
        </w:rPr>
        <w:t>ended</w:t>
      </w:r>
      <w:r>
        <w:rPr>
          <w:b/>
          <w:i/>
          <w:spacing w:val="-1"/>
          <w:sz w:val="24"/>
        </w:rPr>
        <w:t> </w:t>
      </w:r>
      <w:r>
        <w:rPr>
          <w:b/>
          <w:i/>
          <w:sz w:val="24"/>
        </w:rPr>
        <w:t>31</w:t>
      </w:r>
      <w:r>
        <w:rPr>
          <w:b/>
          <w:i/>
          <w:spacing w:val="-3"/>
          <w:sz w:val="24"/>
        </w:rPr>
        <w:t> </w:t>
      </w:r>
      <w:r>
        <w:rPr>
          <w:b/>
          <w:i/>
          <w:sz w:val="24"/>
        </w:rPr>
        <w:t>December</w:t>
      </w:r>
      <w:r>
        <w:rPr>
          <w:b/>
          <w:i/>
          <w:spacing w:val="-1"/>
          <w:sz w:val="24"/>
        </w:rPr>
        <w:t> </w:t>
      </w:r>
      <w:r>
        <w:rPr>
          <w:b/>
          <w:i/>
          <w:spacing w:val="-4"/>
          <w:sz w:val="24"/>
        </w:rPr>
        <w:t>2017</w:t>
      </w:r>
    </w:p>
    <w:p>
      <w:pPr>
        <w:pStyle w:val="BodyText"/>
        <w:spacing w:before="34" w:after="1"/>
        <w:rPr>
          <w:b/>
          <w:i/>
          <w:sz w:val="20"/>
        </w:rPr>
      </w:pPr>
    </w:p>
    <w:tbl>
      <w:tblPr>
        <w:tblW w:w="0" w:type="auto"/>
        <w:jc w:val="left"/>
        <w:tblInd w:w="1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35"/>
        <w:gridCol w:w="1088"/>
        <w:gridCol w:w="1277"/>
      </w:tblGrid>
      <w:tr>
        <w:trPr>
          <w:trHeight w:val="742" w:hRule="atLeast"/>
        </w:trPr>
        <w:tc>
          <w:tcPr>
            <w:tcW w:w="5835" w:type="dxa"/>
          </w:tcPr>
          <w:p>
            <w:pPr>
              <w:pStyle w:val="TableParagraph"/>
              <w:rPr>
                <w:rFonts w:ascii="Times New Roman"/>
                <w:sz w:val="22"/>
              </w:rPr>
            </w:pPr>
          </w:p>
        </w:tc>
        <w:tc>
          <w:tcPr>
            <w:tcW w:w="1088" w:type="dxa"/>
          </w:tcPr>
          <w:p>
            <w:pPr>
              <w:pStyle w:val="TableParagraph"/>
              <w:spacing w:line="233" w:lineRule="exact"/>
              <w:ind w:right="105"/>
              <w:jc w:val="right"/>
              <w:rPr>
                <w:b/>
                <w:sz w:val="22"/>
              </w:rPr>
            </w:pPr>
            <w:r>
              <w:rPr>
                <w:b/>
                <w:spacing w:val="-4"/>
                <w:sz w:val="22"/>
              </w:rPr>
              <w:t>2017</w:t>
            </w:r>
          </w:p>
          <w:p>
            <w:pPr>
              <w:pStyle w:val="TableParagraph"/>
              <w:spacing w:line="236" w:lineRule="exact" w:before="253"/>
              <w:ind w:right="105"/>
              <w:jc w:val="right"/>
              <w:rPr>
                <w:b/>
                <w:sz w:val="22"/>
              </w:rPr>
            </w:pPr>
            <w:r>
              <w:rPr>
                <w:b/>
                <w:spacing w:val="-10"/>
                <w:sz w:val="22"/>
              </w:rPr>
              <w:t>€</w:t>
            </w:r>
          </w:p>
        </w:tc>
        <w:tc>
          <w:tcPr>
            <w:tcW w:w="1277" w:type="dxa"/>
            <w:shd w:val="clear" w:color="auto" w:fill="E4E4E4"/>
          </w:tcPr>
          <w:p>
            <w:pPr>
              <w:pStyle w:val="TableParagraph"/>
              <w:spacing w:line="233" w:lineRule="exact"/>
              <w:ind w:right="104"/>
              <w:jc w:val="right"/>
              <w:rPr>
                <w:b/>
                <w:sz w:val="22"/>
              </w:rPr>
            </w:pPr>
            <w:r>
              <w:rPr>
                <w:b/>
                <w:spacing w:val="-4"/>
                <w:sz w:val="22"/>
              </w:rPr>
              <w:t>2016</w:t>
            </w:r>
          </w:p>
          <w:p>
            <w:pPr>
              <w:pStyle w:val="TableParagraph"/>
              <w:spacing w:line="236" w:lineRule="exact" w:before="253"/>
              <w:ind w:right="104"/>
              <w:jc w:val="right"/>
              <w:rPr>
                <w:b/>
                <w:sz w:val="22"/>
              </w:rPr>
            </w:pPr>
            <w:r>
              <w:rPr>
                <w:b/>
                <w:spacing w:val="-10"/>
                <w:sz w:val="22"/>
              </w:rPr>
              <w:t>€</w:t>
            </w:r>
          </w:p>
        </w:tc>
      </w:tr>
      <w:tr>
        <w:trPr>
          <w:trHeight w:val="255" w:hRule="atLeast"/>
        </w:trPr>
        <w:tc>
          <w:tcPr>
            <w:tcW w:w="5835" w:type="dxa"/>
          </w:tcPr>
          <w:p>
            <w:pPr>
              <w:pStyle w:val="TableParagraph"/>
              <w:spacing w:line="235" w:lineRule="exact" w:before="1"/>
              <w:ind w:left="50"/>
              <w:rPr>
                <w:b/>
                <w:sz w:val="22"/>
              </w:rPr>
            </w:pPr>
            <w:r>
              <w:rPr>
                <w:b/>
                <w:sz w:val="22"/>
              </w:rPr>
              <w:t>Net</w:t>
            </w:r>
            <w:r>
              <w:rPr>
                <w:b/>
                <w:spacing w:val="-5"/>
                <w:sz w:val="22"/>
              </w:rPr>
              <w:t> </w:t>
            </w:r>
            <w:r>
              <w:rPr>
                <w:b/>
                <w:sz w:val="22"/>
              </w:rPr>
              <w:t>Cash</w:t>
            </w:r>
            <w:r>
              <w:rPr>
                <w:b/>
                <w:spacing w:val="-5"/>
                <w:sz w:val="22"/>
              </w:rPr>
              <w:t> </w:t>
            </w:r>
            <w:r>
              <w:rPr>
                <w:b/>
                <w:sz w:val="22"/>
              </w:rPr>
              <w:t>Flows</w:t>
            </w:r>
            <w:r>
              <w:rPr>
                <w:b/>
                <w:spacing w:val="-3"/>
                <w:sz w:val="22"/>
              </w:rPr>
              <w:t> </w:t>
            </w:r>
            <w:r>
              <w:rPr>
                <w:b/>
                <w:sz w:val="22"/>
              </w:rPr>
              <w:t>from</w:t>
            </w:r>
            <w:r>
              <w:rPr>
                <w:b/>
                <w:spacing w:val="-4"/>
                <w:sz w:val="22"/>
              </w:rPr>
              <w:t> </w:t>
            </w:r>
            <w:r>
              <w:rPr>
                <w:b/>
                <w:sz w:val="22"/>
              </w:rPr>
              <w:t>Operating</w:t>
            </w:r>
            <w:r>
              <w:rPr>
                <w:b/>
                <w:spacing w:val="-3"/>
                <w:sz w:val="22"/>
              </w:rPr>
              <w:t> </w:t>
            </w:r>
            <w:r>
              <w:rPr>
                <w:b/>
                <w:spacing w:val="-2"/>
                <w:sz w:val="22"/>
              </w:rPr>
              <w:t>Activities</w:t>
            </w:r>
          </w:p>
        </w:tc>
        <w:tc>
          <w:tcPr>
            <w:tcW w:w="1088" w:type="dxa"/>
          </w:tcPr>
          <w:p>
            <w:pPr>
              <w:pStyle w:val="TableParagraph"/>
              <w:rPr>
                <w:rFonts w:ascii="Times New Roman"/>
                <w:sz w:val="18"/>
              </w:rPr>
            </w:pPr>
          </w:p>
        </w:tc>
        <w:tc>
          <w:tcPr>
            <w:tcW w:w="1277" w:type="dxa"/>
            <w:shd w:val="clear" w:color="auto" w:fill="E4E4E4"/>
          </w:tcPr>
          <w:p>
            <w:pPr>
              <w:pStyle w:val="TableParagraph"/>
              <w:rPr>
                <w:rFonts w:ascii="Times New Roman"/>
                <w:sz w:val="18"/>
              </w:rPr>
            </w:pPr>
          </w:p>
        </w:tc>
      </w:tr>
      <w:tr>
        <w:trPr>
          <w:trHeight w:val="254" w:hRule="atLeast"/>
        </w:trPr>
        <w:tc>
          <w:tcPr>
            <w:tcW w:w="5835" w:type="dxa"/>
          </w:tcPr>
          <w:p>
            <w:pPr>
              <w:pStyle w:val="TableParagraph"/>
              <w:spacing w:line="234" w:lineRule="exact"/>
              <w:ind w:left="50"/>
              <w:rPr>
                <w:sz w:val="22"/>
              </w:rPr>
            </w:pPr>
            <w:r>
              <w:rPr>
                <w:sz w:val="22"/>
              </w:rPr>
              <w:t>Excess</w:t>
            </w:r>
            <w:r>
              <w:rPr>
                <w:spacing w:val="-2"/>
                <w:sz w:val="22"/>
              </w:rPr>
              <w:t> </w:t>
            </w:r>
            <w:r>
              <w:rPr>
                <w:sz w:val="22"/>
              </w:rPr>
              <w:t>Income</w:t>
            </w:r>
            <w:r>
              <w:rPr>
                <w:spacing w:val="-3"/>
                <w:sz w:val="22"/>
              </w:rPr>
              <w:t> </w:t>
            </w:r>
            <w:r>
              <w:rPr>
                <w:sz w:val="22"/>
              </w:rPr>
              <w:t>over</w:t>
            </w:r>
            <w:r>
              <w:rPr>
                <w:spacing w:val="-2"/>
                <w:sz w:val="22"/>
              </w:rPr>
              <w:t> Expenditure</w:t>
            </w:r>
          </w:p>
        </w:tc>
        <w:tc>
          <w:tcPr>
            <w:tcW w:w="1088" w:type="dxa"/>
          </w:tcPr>
          <w:p>
            <w:pPr>
              <w:pStyle w:val="TableParagraph"/>
              <w:spacing w:line="234" w:lineRule="exact"/>
              <w:ind w:right="105"/>
              <w:jc w:val="right"/>
              <w:rPr>
                <w:sz w:val="22"/>
              </w:rPr>
            </w:pPr>
            <w:r>
              <w:rPr>
                <w:spacing w:val="-2"/>
                <w:sz w:val="22"/>
              </w:rPr>
              <w:t>35,473</w:t>
            </w:r>
          </w:p>
        </w:tc>
        <w:tc>
          <w:tcPr>
            <w:tcW w:w="1277" w:type="dxa"/>
            <w:shd w:val="clear" w:color="auto" w:fill="E4E4E4"/>
          </w:tcPr>
          <w:p>
            <w:pPr>
              <w:pStyle w:val="TableParagraph"/>
              <w:spacing w:line="234" w:lineRule="exact"/>
              <w:ind w:right="103"/>
              <w:jc w:val="right"/>
              <w:rPr>
                <w:sz w:val="22"/>
              </w:rPr>
            </w:pPr>
            <w:r>
              <w:rPr>
                <w:spacing w:val="-2"/>
                <w:sz w:val="22"/>
              </w:rPr>
              <w:t>200,944</w:t>
            </w:r>
          </w:p>
        </w:tc>
      </w:tr>
      <w:tr>
        <w:trPr>
          <w:trHeight w:val="254" w:hRule="atLeast"/>
        </w:trPr>
        <w:tc>
          <w:tcPr>
            <w:tcW w:w="5835" w:type="dxa"/>
          </w:tcPr>
          <w:p>
            <w:pPr>
              <w:pStyle w:val="TableParagraph"/>
              <w:spacing w:line="234" w:lineRule="exact"/>
              <w:ind w:left="50"/>
              <w:rPr>
                <w:sz w:val="22"/>
              </w:rPr>
            </w:pPr>
            <w:r>
              <w:rPr>
                <w:sz w:val="22"/>
              </w:rPr>
              <w:t>Depreciation</w:t>
            </w:r>
            <w:r>
              <w:rPr>
                <w:spacing w:val="-6"/>
                <w:sz w:val="22"/>
              </w:rPr>
              <w:t> </w:t>
            </w:r>
            <w:r>
              <w:rPr>
                <w:sz w:val="22"/>
              </w:rPr>
              <w:t>of</w:t>
            </w:r>
            <w:r>
              <w:rPr>
                <w:spacing w:val="-2"/>
                <w:sz w:val="22"/>
              </w:rPr>
              <w:t> </w:t>
            </w:r>
            <w:r>
              <w:rPr>
                <w:sz w:val="22"/>
              </w:rPr>
              <w:t>Fixed</w:t>
            </w:r>
            <w:r>
              <w:rPr>
                <w:spacing w:val="-2"/>
                <w:sz w:val="22"/>
              </w:rPr>
              <w:t> Assets</w:t>
            </w:r>
          </w:p>
        </w:tc>
        <w:tc>
          <w:tcPr>
            <w:tcW w:w="1088" w:type="dxa"/>
          </w:tcPr>
          <w:p>
            <w:pPr>
              <w:pStyle w:val="TableParagraph"/>
              <w:spacing w:line="234" w:lineRule="exact"/>
              <w:ind w:right="105"/>
              <w:jc w:val="right"/>
              <w:rPr>
                <w:sz w:val="22"/>
              </w:rPr>
            </w:pPr>
            <w:r>
              <w:rPr>
                <w:spacing w:val="-2"/>
                <w:sz w:val="22"/>
              </w:rPr>
              <w:t>78,981</w:t>
            </w:r>
          </w:p>
        </w:tc>
        <w:tc>
          <w:tcPr>
            <w:tcW w:w="1277" w:type="dxa"/>
            <w:shd w:val="clear" w:color="auto" w:fill="E4E4E4"/>
          </w:tcPr>
          <w:p>
            <w:pPr>
              <w:pStyle w:val="TableParagraph"/>
              <w:spacing w:line="234" w:lineRule="exact"/>
              <w:ind w:right="103"/>
              <w:jc w:val="right"/>
              <w:rPr>
                <w:sz w:val="22"/>
              </w:rPr>
            </w:pPr>
            <w:r>
              <w:rPr>
                <w:spacing w:val="-2"/>
                <w:sz w:val="22"/>
              </w:rPr>
              <w:t>70,605</w:t>
            </w:r>
          </w:p>
        </w:tc>
      </w:tr>
      <w:tr>
        <w:trPr>
          <w:trHeight w:val="255" w:hRule="atLeast"/>
        </w:trPr>
        <w:tc>
          <w:tcPr>
            <w:tcW w:w="5835" w:type="dxa"/>
          </w:tcPr>
          <w:p>
            <w:pPr>
              <w:pStyle w:val="TableParagraph"/>
              <w:spacing w:line="236" w:lineRule="exact"/>
              <w:ind w:left="50"/>
              <w:rPr>
                <w:sz w:val="22"/>
              </w:rPr>
            </w:pPr>
            <w:r>
              <w:rPr>
                <w:sz w:val="22"/>
              </w:rPr>
              <w:t>(Increase)/Decrease</w:t>
            </w:r>
            <w:r>
              <w:rPr>
                <w:spacing w:val="-7"/>
                <w:sz w:val="22"/>
              </w:rPr>
              <w:t> </w:t>
            </w:r>
            <w:r>
              <w:rPr>
                <w:sz w:val="22"/>
              </w:rPr>
              <w:t>in</w:t>
            </w:r>
            <w:r>
              <w:rPr>
                <w:spacing w:val="-7"/>
                <w:sz w:val="22"/>
              </w:rPr>
              <w:t> </w:t>
            </w:r>
            <w:r>
              <w:rPr>
                <w:spacing w:val="-2"/>
                <w:sz w:val="22"/>
              </w:rPr>
              <w:t>Receivables</w:t>
            </w:r>
          </w:p>
        </w:tc>
        <w:tc>
          <w:tcPr>
            <w:tcW w:w="1088" w:type="dxa"/>
          </w:tcPr>
          <w:p>
            <w:pPr>
              <w:pStyle w:val="TableParagraph"/>
              <w:spacing w:line="236" w:lineRule="exact"/>
              <w:ind w:right="105"/>
              <w:jc w:val="right"/>
              <w:rPr>
                <w:sz w:val="22"/>
              </w:rPr>
            </w:pPr>
            <w:r>
              <w:rPr>
                <w:spacing w:val="-2"/>
                <w:sz w:val="22"/>
              </w:rPr>
              <w:t>(83,353)</w:t>
            </w:r>
          </w:p>
        </w:tc>
        <w:tc>
          <w:tcPr>
            <w:tcW w:w="1277" w:type="dxa"/>
            <w:shd w:val="clear" w:color="auto" w:fill="E4E4E4"/>
          </w:tcPr>
          <w:p>
            <w:pPr>
              <w:pStyle w:val="TableParagraph"/>
              <w:spacing w:line="236" w:lineRule="exact"/>
              <w:ind w:right="105"/>
              <w:jc w:val="right"/>
              <w:rPr>
                <w:sz w:val="22"/>
              </w:rPr>
            </w:pPr>
            <w:r>
              <w:rPr>
                <w:spacing w:val="-2"/>
                <w:sz w:val="22"/>
              </w:rPr>
              <w:t>105,183</w:t>
            </w:r>
          </w:p>
        </w:tc>
      </w:tr>
      <w:tr>
        <w:trPr>
          <w:trHeight w:val="259" w:hRule="atLeast"/>
        </w:trPr>
        <w:tc>
          <w:tcPr>
            <w:tcW w:w="5835" w:type="dxa"/>
          </w:tcPr>
          <w:p>
            <w:pPr>
              <w:pStyle w:val="TableParagraph"/>
              <w:spacing w:line="238" w:lineRule="exact" w:before="1"/>
              <w:ind w:left="50"/>
              <w:rPr>
                <w:sz w:val="22"/>
              </w:rPr>
            </w:pPr>
            <w:r>
              <w:rPr>
                <w:sz w:val="22"/>
              </w:rPr>
              <w:t>(Decrease)/Increase</w:t>
            </w:r>
            <w:r>
              <w:rPr>
                <w:spacing w:val="-7"/>
                <w:sz w:val="22"/>
              </w:rPr>
              <w:t> </w:t>
            </w:r>
            <w:r>
              <w:rPr>
                <w:sz w:val="22"/>
              </w:rPr>
              <w:t>in</w:t>
            </w:r>
            <w:r>
              <w:rPr>
                <w:spacing w:val="-7"/>
                <w:sz w:val="22"/>
              </w:rPr>
              <w:t> </w:t>
            </w:r>
            <w:r>
              <w:rPr>
                <w:spacing w:val="-2"/>
                <w:sz w:val="22"/>
              </w:rPr>
              <w:t>Payables</w:t>
            </w:r>
          </w:p>
        </w:tc>
        <w:tc>
          <w:tcPr>
            <w:tcW w:w="1088" w:type="dxa"/>
            <w:tcBorders>
              <w:bottom w:val="single" w:sz="4" w:space="0" w:color="000000"/>
            </w:tcBorders>
          </w:tcPr>
          <w:p>
            <w:pPr>
              <w:pStyle w:val="TableParagraph"/>
              <w:spacing w:before="1"/>
              <w:ind w:right="105"/>
              <w:jc w:val="right"/>
              <w:rPr>
                <w:sz w:val="22"/>
              </w:rPr>
            </w:pPr>
            <w:r>
              <w:rPr>
                <w:spacing w:val="-2"/>
                <w:sz w:val="22"/>
              </w:rPr>
              <w:t>(35,434)</w:t>
            </w:r>
          </w:p>
        </w:tc>
        <w:tc>
          <w:tcPr>
            <w:tcW w:w="1277" w:type="dxa"/>
            <w:tcBorders>
              <w:bottom w:val="single" w:sz="4" w:space="0" w:color="000000"/>
            </w:tcBorders>
            <w:shd w:val="clear" w:color="auto" w:fill="E4E4E4"/>
          </w:tcPr>
          <w:p>
            <w:pPr>
              <w:pStyle w:val="TableParagraph"/>
              <w:spacing w:before="1"/>
              <w:ind w:right="103"/>
              <w:jc w:val="right"/>
              <w:rPr>
                <w:sz w:val="22"/>
              </w:rPr>
            </w:pPr>
            <w:r>
              <w:rPr>
                <w:spacing w:val="-2"/>
                <w:sz w:val="22"/>
              </w:rPr>
              <w:t>102,638</w:t>
            </w:r>
          </w:p>
        </w:tc>
      </w:tr>
      <w:tr>
        <w:trPr>
          <w:trHeight w:val="274" w:hRule="atLeast"/>
        </w:trPr>
        <w:tc>
          <w:tcPr>
            <w:tcW w:w="5835" w:type="dxa"/>
          </w:tcPr>
          <w:p>
            <w:pPr>
              <w:pStyle w:val="TableParagraph"/>
              <w:spacing w:line="251" w:lineRule="exact"/>
              <w:ind w:left="50"/>
              <w:rPr>
                <w:b/>
                <w:sz w:val="22"/>
              </w:rPr>
            </w:pPr>
            <w:r>
              <w:rPr>
                <w:b/>
                <w:sz w:val="22"/>
              </w:rPr>
              <w:t>Net</w:t>
            </w:r>
            <w:r>
              <w:rPr>
                <w:b/>
                <w:spacing w:val="-5"/>
                <w:sz w:val="22"/>
              </w:rPr>
              <w:t> </w:t>
            </w:r>
            <w:r>
              <w:rPr>
                <w:b/>
                <w:sz w:val="22"/>
              </w:rPr>
              <w:t>Cash</w:t>
            </w:r>
            <w:r>
              <w:rPr>
                <w:b/>
                <w:spacing w:val="-4"/>
                <w:sz w:val="22"/>
              </w:rPr>
              <w:t> </w:t>
            </w:r>
            <w:r>
              <w:rPr>
                <w:b/>
                <w:sz w:val="22"/>
              </w:rPr>
              <w:t>Inflow</w:t>
            </w:r>
            <w:r>
              <w:rPr>
                <w:b/>
                <w:spacing w:val="-3"/>
                <w:sz w:val="22"/>
              </w:rPr>
              <w:t> </w:t>
            </w:r>
            <w:r>
              <w:rPr>
                <w:b/>
                <w:sz w:val="22"/>
              </w:rPr>
              <w:t>from</w:t>
            </w:r>
            <w:r>
              <w:rPr>
                <w:b/>
                <w:spacing w:val="-5"/>
                <w:sz w:val="22"/>
              </w:rPr>
              <w:t> </w:t>
            </w:r>
            <w:r>
              <w:rPr>
                <w:b/>
                <w:sz w:val="22"/>
              </w:rPr>
              <w:t>Operating</w:t>
            </w:r>
            <w:r>
              <w:rPr>
                <w:b/>
                <w:spacing w:val="-3"/>
                <w:sz w:val="22"/>
              </w:rPr>
              <w:t> </w:t>
            </w:r>
            <w:r>
              <w:rPr>
                <w:b/>
                <w:spacing w:val="-2"/>
                <w:sz w:val="22"/>
              </w:rPr>
              <w:t>Activities</w:t>
            </w:r>
          </w:p>
        </w:tc>
        <w:tc>
          <w:tcPr>
            <w:tcW w:w="1088" w:type="dxa"/>
            <w:tcBorders>
              <w:top w:val="single" w:sz="4" w:space="0" w:color="000000"/>
              <w:bottom w:val="single" w:sz="4" w:space="0" w:color="000000"/>
            </w:tcBorders>
          </w:tcPr>
          <w:p>
            <w:pPr>
              <w:pStyle w:val="TableParagraph"/>
              <w:spacing w:line="233" w:lineRule="exact"/>
              <w:ind w:right="106"/>
              <w:jc w:val="right"/>
              <w:rPr>
                <w:b/>
                <w:sz w:val="22"/>
              </w:rPr>
            </w:pPr>
            <w:r>
              <w:rPr>
                <w:b/>
                <w:spacing w:val="-2"/>
                <w:sz w:val="22"/>
              </w:rPr>
              <w:t>(4,333)</w:t>
            </w:r>
          </w:p>
        </w:tc>
        <w:tc>
          <w:tcPr>
            <w:tcW w:w="1277" w:type="dxa"/>
            <w:tcBorders>
              <w:top w:val="single" w:sz="4" w:space="0" w:color="000000"/>
              <w:bottom w:val="single" w:sz="4" w:space="0" w:color="000000"/>
            </w:tcBorders>
            <w:shd w:val="clear" w:color="auto" w:fill="E4E4E4"/>
          </w:tcPr>
          <w:p>
            <w:pPr>
              <w:pStyle w:val="TableParagraph"/>
              <w:spacing w:line="233" w:lineRule="exact"/>
              <w:ind w:right="104"/>
              <w:jc w:val="right"/>
              <w:rPr>
                <w:b/>
                <w:sz w:val="22"/>
              </w:rPr>
            </w:pPr>
            <w:r>
              <w:rPr>
                <w:b/>
                <w:spacing w:val="-2"/>
                <w:sz w:val="22"/>
              </w:rPr>
              <w:t>479,370</w:t>
            </w:r>
          </w:p>
        </w:tc>
      </w:tr>
      <w:tr>
        <w:trPr>
          <w:trHeight w:val="486" w:hRule="atLeast"/>
        </w:trPr>
        <w:tc>
          <w:tcPr>
            <w:tcW w:w="5835" w:type="dxa"/>
          </w:tcPr>
          <w:p>
            <w:pPr>
              <w:pStyle w:val="TableParagraph"/>
              <w:spacing w:line="234" w:lineRule="exact" w:before="232"/>
              <w:ind w:left="50"/>
              <w:rPr>
                <w:b/>
                <w:sz w:val="22"/>
              </w:rPr>
            </w:pPr>
            <w:r>
              <w:rPr>
                <w:b/>
                <w:sz w:val="22"/>
              </w:rPr>
              <w:t>Cash</w:t>
            </w:r>
            <w:r>
              <w:rPr>
                <w:b/>
                <w:spacing w:val="-5"/>
                <w:sz w:val="22"/>
              </w:rPr>
              <w:t> </w:t>
            </w:r>
            <w:r>
              <w:rPr>
                <w:b/>
                <w:sz w:val="22"/>
              </w:rPr>
              <w:t>Flows</w:t>
            </w:r>
            <w:r>
              <w:rPr>
                <w:b/>
                <w:spacing w:val="-5"/>
                <w:sz w:val="22"/>
              </w:rPr>
              <w:t> </w:t>
            </w:r>
            <w:r>
              <w:rPr>
                <w:b/>
                <w:sz w:val="22"/>
              </w:rPr>
              <w:t>from</w:t>
            </w:r>
            <w:r>
              <w:rPr>
                <w:b/>
                <w:spacing w:val="-6"/>
                <w:sz w:val="22"/>
              </w:rPr>
              <w:t> </w:t>
            </w:r>
            <w:r>
              <w:rPr>
                <w:b/>
                <w:sz w:val="22"/>
              </w:rPr>
              <w:t>Investing</w:t>
            </w:r>
            <w:r>
              <w:rPr>
                <w:b/>
                <w:spacing w:val="-4"/>
                <w:sz w:val="22"/>
              </w:rPr>
              <w:t> </w:t>
            </w:r>
            <w:r>
              <w:rPr>
                <w:b/>
                <w:spacing w:val="-2"/>
                <w:sz w:val="22"/>
              </w:rPr>
              <w:t>Activities</w:t>
            </w:r>
          </w:p>
        </w:tc>
        <w:tc>
          <w:tcPr>
            <w:tcW w:w="1088" w:type="dxa"/>
            <w:tcBorders>
              <w:top w:val="single" w:sz="4" w:space="0" w:color="000000"/>
            </w:tcBorders>
          </w:tcPr>
          <w:p>
            <w:pPr>
              <w:pStyle w:val="TableParagraph"/>
              <w:rPr>
                <w:rFonts w:ascii="Times New Roman"/>
                <w:sz w:val="22"/>
              </w:rPr>
            </w:pPr>
          </w:p>
        </w:tc>
        <w:tc>
          <w:tcPr>
            <w:tcW w:w="1277" w:type="dxa"/>
            <w:tcBorders>
              <w:top w:val="single" w:sz="4" w:space="0" w:color="000000"/>
            </w:tcBorders>
            <w:shd w:val="clear" w:color="auto" w:fill="E4E4E4"/>
          </w:tcPr>
          <w:p>
            <w:pPr>
              <w:pStyle w:val="TableParagraph"/>
              <w:rPr>
                <w:rFonts w:ascii="Times New Roman"/>
                <w:sz w:val="22"/>
              </w:rPr>
            </w:pPr>
          </w:p>
        </w:tc>
      </w:tr>
      <w:tr>
        <w:trPr>
          <w:trHeight w:val="260" w:hRule="atLeast"/>
        </w:trPr>
        <w:tc>
          <w:tcPr>
            <w:tcW w:w="5835" w:type="dxa"/>
          </w:tcPr>
          <w:p>
            <w:pPr>
              <w:pStyle w:val="TableParagraph"/>
              <w:spacing w:line="241" w:lineRule="exact"/>
              <w:ind w:left="50"/>
              <w:rPr>
                <w:sz w:val="22"/>
              </w:rPr>
            </w:pPr>
            <w:r>
              <w:rPr>
                <w:sz w:val="22"/>
              </w:rPr>
              <w:t>Payments</w:t>
            </w:r>
            <w:r>
              <w:rPr>
                <w:spacing w:val="-6"/>
                <w:sz w:val="22"/>
              </w:rPr>
              <w:t> </w:t>
            </w:r>
            <w:r>
              <w:rPr>
                <w:sz w:val="22"/>
              </w:rPr>
              <w:t>to</w:t>
            </w:r>
            <w:r>
              <w:rPr>
                <w:spacing w:val="-4"/>
                <w:sz w:val="22"/>
              </w:rPr>
              <w:t> </w:t>
            </w:r>
            <w:r>
              <w:rPr>
                <w:sz w:val="22"/>
              </w:rPr>
              <w:t>acquire</w:t>
            </w:r>
            <w:r>
              <w:rPr>
                <w:spacing w:val="-3"/>
                <w:sz w:val="22"/>
              </w:rPr>
              <w:t> </w:t>
            </w:r>
            <w:r>
              <w:rPr>
                <w:sz w:val="22"/>
              </w:rPr>
              <w:t>Property,</w:t>
            </w:r>
            <w:r>
              <w:rPr>
                <w:spacing w:val="-3"/>
                <w:sz w:val="22"/>
              </w:rPr>
              <w:t> </w:t>
            </w:r>
            <w:r>
              <w:rPr>
                <w:sz w:val="22"/>
              </w:rPr>
              <w:t>Plant</w:t>
            </w:r>
            <w:r>
              <w:rPr>
                <w:spacing w:val="-4"/>
                <w:sz w:val="22"/>
              </w:rPr>
              <w:t> </w:t>
            </w:r>
            <w:r>
              <w:rPr>
                <w:sz w:val="22"/>
              </w:rPr>
              <w:t>and</w:t>
            </w:r>
            <w:r>
              <w:rPr>
                <w:spacing w:val="-3"/>
                <w:sz w:val="22"/>
              </w:rPr>
              <w:t> </w:t>
            </w:r>
            <w:r>
              <w:rPr>
                <w:spacing w:val="-2"/>
                <w:sz w:val="22"/>
              </w:rPr>
              <w:t>Equipment</w:t>
            </w:r>
          </w:p>
        </w:tc>
        <w:tc>
          <w:tcPr>
            <w:tcW w:w="1088" w:type="dxa"/>
            <w:tcBorders>
              <w:bottom w:val="single" w:sz="4" w:space="0" w:color="000000"/>
            </w:tcBorders>
          </w:tcPr>
          <w:p>
            <w:pPr>
              <w:pStyle w:val="TableParagraph"/>
              <w:ind w:right="106"/>
              <w:jc w:val="right"/>
              <w:rPr>
                <w:sz w:val="22"/>
              </w:rPr>
            </w:pPr>
            <w:r>
              <w:rPr>
                <w:spacing w:val="-10"/>
                <w:sz w:val="22"/>
              </w:rPr>
              <w:t>-</w:t>
            </w:r>
          </w:p>
        </w:tc>
        <w:tc>
          <w:tcPr>
            <w:tcW w:w="1277" w:type="dxa"/>
            <w:tcBorders>
              <w:bottom w:val="single" w:sz="4" w:space="0" w:color="000000"/>
            </w:tcBorders>
            <w:shd w:val="clear" w:color="auto" w:fill="E4E4E4"/>
          </w:tcPr>
          <w:p>
            <w:pPr>
              <w:pStyle w:val="TableParagraph"/>
              <w:ind w:right="104"/>
              <w:jc w:val="right"/>
              <w:rPr>
                <w:sz w:val="22"/>
              </w:rPr>
            </w:pPr>
            <w:r>
              <w:rPr>
                <w:spacing w:val="-2"/>
                <w:sz w:val="22"/>
              </w:rPr>
              <w:t>(434,411)</w:t>
            </w:r>
          </w:p>
        </w:tc>
      </w:tr>
      <w:tr>
        <w:trPr>
          <w:trHeight w:val="271" w:hRule="atLeast"/>
        </w:trPr>
        <w:tc>
          <w:tcPr>
            <w:tcW w:w="5835" w:type="dxa"/>
          </w:tcPr>
          <w:p>
            <w:pPr>
              <w:pStyle w:val="TableParagraph"/>
              <w:spacing w:line="251" w:lineRule="exact"/>
              <w:ind w:left="50"/>
              <w:rPr>
                <w:b/>
                <w:sz w:val="22"/>
              </w:rPr>
            </w:pPr>
            <w:r>
              <w:rPr>
                <w:b/>
                <w:sz w:val="22"/>
              </w:rPr>
              <w:t>Net</w:t>
            </w:r>
            <w:r>
              <w:rPr>
                <w:b/>
                <w:spacing w:val="-5"/>
                <w:sz w:val="22"/>
              </w:rPr>
              <w:t> </w:t>
            </w:r>
            <w:r>
              <w:rPr>
                <w:b/>
                <w:sz w:val="22"/>
              </w:rPr>
              <w:t>Cash</w:t>
            </w:r>
            <w:r>
              <w:rPr>
                <w:b/>
                <w:spacing w:val="-6"/>
                <w:sz w:val="22"/>
              </w:rPr>
              <w:t> </w:t>
            </w:r>
            <w:r>
              <w:rPr>
                <w:b/>
                <w:sz w:val="22"/>
              </w:rPr>
              <w:t>Flows</w:t>
            </w:r>
            <w:r>
              <w:rPr>
                <w:b/>
                <w:spacing w:val="-2"/>
                <w:sz w:val="22"/>
              </w:rPr>
              <w:t> </w:t>
            </w:r>
            <w:r>
              <w:rPr>
                <w:b/>
                <w:sz w:val="22"/>
              </w:rPr>
              <w:t>from</w:t>
            </w:r>
            <w:r>
              <w:rPr>
                <w:b/>
                <w:spacing w:val="-5"/>
                <w:sz w:val="22"/>
              </w:rPr>
              <w:t> </w:t>
            </w:r>
            <w:r>
              <w:rPr>
                <w:b/>
                <w:sz w:val="22"/>
              </w:rPr>
              <w:t>Investing</w:t>
            </w:r>
            <w:r>
              <w:rPr>
                <w:b/>
                <w:spacing w:val="-1"/>
                <w:sz w:val="22"/>
              </w:rPr>
              <w:t> </w:t>
            </w:r>
            <w:r>
              <w:rPr>
                <w:b/>
                <w:spacing w:val="-2"/>
                <w:sz w:val="22"/>
              </w:rPr>
              <w:t>Activities</w:t>
            </w:r>
          </w:p>
        </w:tc>
        <w:tc>
          <w:tcPr>
            <w:tcW w:w="1088" w:type="dxa"/>
            <w:tcBorders>
              <w:top w:val="single" w:sz="4" w:space="0" w:color="000000"/>
              <w:bottom w:val="single" w:sz="4" w:space="0" w:color="000000"/>
            </w:tcBorders>
          </w:tcPr>
          <w:p>
            <w:pPr>
              <w:pStyle w:val="TableParagraph"/>
              <w:rPr>
                <w:rFonts w:ascii="Times New Roman"/>
                <w:sz w:val="18"/>
              </w:rPr>
            </w:pPr>
          </w:p>
        </w:tc>
        <w:tc>
          <w:tcPr>
            <w:tcW w:w="1277" w:type="dxa"/>
            <w:tcBorders>
              <w:top w:val="single" w:sz="4" w:space="0" w:color="000000"/>
              <w:bottom w:val="single" w:sz="4" w:space="0" w:color="000000"/>
            </w:tcBorders>
            <w:shd w:val="clear" w:color="auto" w:fill="E4E4E4"/>
          </w:tcPr>
          <w:p>
            <w:pPr>
              <w:pStyle w:val="TableParagraph"/>
              <w:spacing w:line="233" w:lineRule="exact"/>
              <w:ind w:right="104"/>
              <w:jc w:val="right"/>
              <w:rPr>
                <w:b/>
                <w:sz w:val="22"/>
              </w:rPr>
            </w:pPr>
            <w:r>
              <w:rPr>
                <w:b/>
                <w:spacing w:val="-2"/>
                <w:sz w:val="22"/>
              </w:rPr>
              <w:t>(434,411)</w:t>
            </w:r>
          </w:p>
        </w:tc>
      </w:tr>
      <w:tr>
        <w:trPr>
          <w:trHeight w:val="489" w:hRule="atLeast"/>
        </w:trPr>
        <w:tc>
          <w:tcPr>
            <w:tcW w:w="5835" w:type="dxa"/>
          </w:tcPr>
          <w:p>
            <w:pPr>
              <w:pStyle w:val="TableParagraph"/>
              <w:spacing w:line="234" w:lineRule="exact" w:before="234"/>
              <w:ind w:left="50"/>
              <w:rPr>
                <w:b/>
                <w:sz w:val="22"/>
              </w:rPr>
            </w:pPr>
            <w:r>
              <w:rPr>
                <w:b/>
                <w:sz w:val="22"/>
              </w:rPr>
              <w:t>Cash</w:t>
            </w:r>
            <w:r>
              <w:rPr>
                <w:b/>
                <w:spacing w:val="-7"/>
                <w:sz w:val="22"/>
              </w:rPr>
              <w:t> </w:t>
            </w:r>
            <w:r>
              <w:rPr>
                <w:b/>
                <w:sz w:val="22"/>
              </w:rPr>
              <w:t>Flows</w:t>
            </w:r>
            <w:r>
              <w:rPr>
                <w:b/>
                <w:spacing w:val="-4"/>
                <w:sz w:val="22"/>
              </w:rPr>
              <w:t> </w:t>
            </w:r>
            <w:r>
              <w:rPr>
                <w:b/>
                <w:sz w:val="22"/>
              </w:rPr>
              <w:t>from</w:t>
            </w:r>
            <w:r>
              <w:rPr>
                <w:b/>
                <w:spacing w:val="-5"/>
                <w:sz w:val="22"/>
              </w:rPr>
              <w:t> </w:t>
            </w:r>
            <w:r>
              <w:rPr>
                <w:b/>
                <w:sz w:val="22"/>
              </w:rPr>
              <w:t>Financing</w:t>
            </w:r>
            <w:r>
              <w:rPr>
                <w:b/>
                <w:spacing w:val="-4"/>
                <w:sz w:val="22"/>
              </w:rPr>
              <w:t> </w:t>
            </w:r>
            <w:r>
              <w:rPr>
                <w:b/>
                <w:spacing w:val="-2"/>
                <w:sz w:val="22"/>
              </w:rPr>
              <w:t>Activities</w:t>
            </w:r>
          </w:p>
        </w:tc>
        <w:tc>
          <w:tcPr>
            <w:tcW w:w="1088" w:type="dxa"/>
            <w:tcBorders>
              <w:top w:val="single" w:sz="4" w:space="0" w:color="000000"/>
            </w:tcBorders>
          </w:tcPr>
          <w:p>
            <w:pPr>
              <w:pStyle w:val="TableParagraph"/>
              <w:rPr>
                <w:rFonts w:ascii="Times New Roman"/>
                <w:sz w:val="22"/>
              </w:rPr>
            </w:pPr>
          </w:p>
        </w:tc>
        <w:tc>
          <w:tcPr>
            <w:tcW w:w="1277" w:type="dxa"/>
            <w:tcBorders>
              <w:top w:val="single" w:sz="4" w:space="0" w:color="000000"/>
            </w:tcBorders>
            <w:shd w:val="clear" w:color="auto" w:fill="E4E4E4"/>
          </w:tcPr>
          <w:p>
            <w:pPr>
              <w:pStyle w:val="TableParagraph"/>
              <w:rPr>
                <w:rFonts w:ascii="Times New Roman"/>
                <w:sz w:val="22"/>
              </w:rPr>
            </w:pPr>
          </w:p>
        </w:tc>
      </w:tr>
      <w:tr>
        <w:trPr>
          <w:trHeight w:val="258" w:hRule="atLeast"/>
        </w:trPr>
        <w:tc>
          <w:tcPr>
            <w:tcW w:w="5835" w:type="dxa"/>
          </w:tcPr>
          <w:p>
            <w:pPr>
              <w:pStyle w:val="TableParagraph"/>
              <w:spacing w:line="239" w:lineRule="exact"/>
              <w:ind w:left="50"/>
              <w:rPr>
                <w:sz w:val="22"/>
              </w:rPr>
            </w:pPr>
            <w:r>
              <w:rPr>
                <w:sz w:val="22"/>
              </w:rPr>
              <w:t>Bank</w:t>
            </w:r>
            <w:r>
              <w:rPr>
                <w:spacing w:val="-4"/>
                <w:sz w:val="22"/>
              </w:rPr>
              <w:t> </w:t>
            </w:r>
            <w:r>
              <w:rPr>
                <w:sz w:val="22"/>
              </w:rPr>
              <w:t>Interest</w:t>
            </w:r>
            <w:r>
              <w:rPr>
                <w:spacing w:val="-2"/>
                <w:sz w:val="22"/>
              </w:rPr>
              <w:t> received</w:t>
            </w:r>
          </w:p>
        </w:tc>
        <w:tc>
          <w:tcPr>
            <w:tcW w:w="1088" w:type="dxa"/>
            <w:tcBorders>
              <w:bottom w:val="single" w:sz="4" w:space="0" w:color="000000"/>
            </w:tcBorders>
          </w:tcPr>
          <w:p>
            <w:pPr>
              <w:pStyle w:val="TableParagraph"/>
              <w:ind w:right="106"/>
              <w:jc w:val="right"/>
              <w:rPr>
                <w:sz w:val="22"/>
              </w:rPr>
            </w:pPr>
            <w:r>
              <w:rPr>
                <w:spacing w:val="-10"/>
                <w:sz w:val="22"/>
              </w:rPr>
              <w:t>-</w:t>
            </w:r>
          </w:p>
        </w:tc>
        <w:tc>
          <w:tcPr>
            <w:tcW w:w="1277" w:type="dxa"/>
            <w:tcBorders>
              <w:bottom w:val="single" w:sz="4" w:space="0" w:color="000000"/>
            </w:tcBorders>
            <w:shd w:val="clear" w:color="auto" w:fill="E4E4E4"/>
          </w:tcPr>
          <w:p>
            <w:pPr>
              <w:pStyle w:val="TableParagraph"/>
              <w:ind w:right="107"/>
              <w:jc w:val="right"/>
              <w:rPr>
                <w:sz w:val="22"/>
              </w:rPr>
            </w:pPr>
            <w:r>
              <w:rPr>
                <w:spacing w:val="-10"/>
                <w:sz w:val="22"/>
              </w:rPr>
              <w:t>-</w:t>
            </w:r>
          </w:p>
        </w:tc>
      </w:tr>
      <w:tr>
        <w:trPr>
          <w:trHeight w:val="274" w:hRule="atLeast"/>
        </w:trPr>
        <w:tc>
          <w:tcPr>
            <w:tcW w:w="5835" w:type="dxa"/>
          </w:tcPr>
          <w:p>
            <w:pPr>
              <w:pStyle w:val="TableParagraph"/>
              <w:spacing w:line="251" w:lineRule="exact"/>
              <w:ind w:left="50"/>
              <w:rPr>
                <w:b/>
                <w:sz w:val="22"/>
              </w:rPr>
            </w:pPr>
            <w:r>
              <w:rPr>
                <w:b/>
                <w:sz w:val="22"/>
              </w:rPr>
              <w:t>Net</w:t>
            </w:r>
            <w:r>
              <w:rPr>
                <w:b/>
                <w:spacing w:val="-5"/>
                <w:sz w:val="22"/>
              </w:rPr>
              <w:t> </w:t>
            </w:r>
            <w:r>
              <w:rPr>
                <w:b/>
                <w:sz w:val="22"/>
              </w:rPr>
              <w:t>Cash</w:t>
            </w:r>
            <w:r>
              <w:rPr>
                <w:b/>
                <w:spacing w:val="-6"/>
                <w:sz w:val="22"/>
              </w:rPr>
              <w:t> </w:t>
            </w:r>
            <w:r>
              <w:rPr>
                <w:b/>
                <w:sz w:val="22"/>
              </w:rPr>
              <w:t>Flows</w:t>
            </w:r>
            <w:r>
              <w:rPr>
                <w:b/>
                <w:spacing w:val="-3"/>
                <w:sz w:val="22"/>
              </w:rPr>
              <w:t> </w:t>
            </w:r>
            <w:r>
              <w:rPr>
                <w:b/>
                <w:sz w:val="22"/>
              </w:rPr>
              <w:t>from</w:t>
            </w:r>
            <w:r>
              <w:rPr>
                <w:b/>
                <w:spacing w:val="-5"/>
                <w:sz w:val="22"/>
              </w:rPr>
              <w:t> </w:t>
            </w:r>
            <w:r>
              <w:rPr>
                <w:b/>
                <w:sz w:val="22"/>
              </w:rPr>
              <w:t>Financing</w:t>
            </w:r>
            <w:r>
              <w:rPr>
                <w:b/>
                <w:spacing w:val="-3"/>
                <w:sz w:val="22"/>
              </w:rPr>
              <w:t> </w:t>
            </w:r>
            <w:r>
              <w:rPr>
                <w:b/>
                <w:spacing w:val="-2"/>
                <w:sz w:val="22"/>
              </w:rPr>
              <w:t>Activities</w:t>
            </w:r>
          </w:p>
        </w:tc>
        <w:tc>
          <w:tcPr>
            <w:tcW w:w="1088" w:type="dxa"/>
            <w:tcBorders>
              <w:top w:val="single" w:sz="4" w:space="0" w:color="000000"/>
              <w:bottom w:val="single" w:sz="4" w:space="0" w:color="000000"/>
            </w:tcBorders>
          </w:tcPr>
          <w:p>
            <w:pPr>
              <w:pStyle w:val="TableParagraph"/>
              <w:spacing w:line="233" w:lineRule="exact"/>
              <w:ind w:right="107"/>
              <w:jc w:val="right"/>
              <w:rPr>
                <w:b/>
                <w:sz w:val="22"/>
              </w:rPr>
            </w:pPr>
            <w:r>
              <w:rPr>
                <w:b/>
                <w:spacing w:val="-10"/>
                <w:sz w:val="22"/>
              </w:rPr>
              <w:t>-</w:t>
            </w:r>
          </w:p>
        </w:tc>
        <w:tc>
          <w:tcPr>
            <w:tcW w:w="1277" w:type="dxa"/>
            <w:tcBorders>
              <w:top w:val="single" w:sz="4" w:space="0" w:color="000000"/>
              <w:bottom w:val="single" w:sz="4" w:space="0" w:color="000000"/>
            </w:tcBorders>
            <w:shd w:val="clear" w:color="auto" w:fill="E4E4E4"/>
          </w:tcPr>
          <w:p>
            <w:pPr>
              <w:pStyle w:val="TableParagraph"/>
              <w:spacing w:line="233" w:lineRule="exact"/>
              <w:ind w:right="107"/>
              <w:jc w:val="right"/>
              <w:rPr>
                <w:b/>
                <w:sz w:val="22"/>
              </w:rPr>
            </w:pPr>
            <w:r>
              <w:rPr>
                <w:b/>
                <w:spacing w:val="-10"/>
                <w:sz w:val="22"/>
              </w:rPr>
              <w:t>-</w:t>
            </w:r>
          </w:p>
        </w:tc>
      </w:tr>
      <w:tr>
        <w:trPr>
          <w:trHeight w:val="492" w:hRule="atLeast"/>
        </w:trPr>
        <w:tc>
          <w:tcPr>
            <w:tcW w:w="5835" w:type="dxa"/>
          </w:tcPr>
          <w:p>
            <w:pPr>
              <w:pStyle w:val="TableParagraph"/>
              <w:rPr>
                <w:rFonts w:ascii="Times New Roman"/>
                <w:sz w:val="22"/>
              </w:rPr>
            </w:pPr>
          </w:p>
        </w:tc>
        <w:tc>
          <w:tcPr>
            <w:tcW w:w="1088" w:type="dxa"/>
            <w:tcBorders>
              <w:top w:val="single" w:sz="4" w:space="0" w:color="000000"/>
              <w:bottom w:val="single" w:sz="4" w:space="0" w:color="000000"/>
            </w:tcBorders>
          </w:tcPr>
          <w:p>
            <w:pPr>
              <w:pStyle w:val="TableParagraph"/>
              <w:rPr>
                <w:rFonts w:ascii="Times New Roman"/>
                <w:sz w:val="22"/>
              </w:rPr>
            </w:pPr>
          </w:p>
        </w:tc>
        <w:tc>
          <w:tcPr>
            <w:tcW w:w="1277" w:type="dxa"/>
            <w:tcBorders>
              <w:top w:val="single" w:sz="4" w:space="0" w:color="000000"/>
              <w:bottom w:val="single" w:sz="4" w:space="0" w:color="000000"/>
            </w:tcBorders>
            <w:shd w:val="clear" w:color="auto" w:fill="E4E4E4"/>
          </w:tcPr>
          <w:p>
            <w:pPr>
              <w:pStyle w:val="TableParagraph"/>
              <w:rPr>
                <w:rFonts w:ascii="Times New Roman"/>
                <w:sz w:val="22"/>
              </w:rPr>
            </w:pPr>
          </w:p>
        </w:tc>
      </w:tr>
      <w:tr>
        <w:trPr>
          <w:trHeight w:val="631" w:hRule="atLeast"/>
        </w:trPr>
        <w:tc>
          <w:tcPr>
            <w:tcW w:w="5835" w:type="dxa"/>
          </w:tcPr>
          <w:p>
            <w:pPr>
              <w:pStyle w:val="TableParagraph"/>
              <w:ind w:left="50" w:right="357"/>
              <w:rPr>
                <w:b/>
                <w:sz w:val="22"/>
              </w:rPr>
            </w:pPr>
            <w:r>
              <w:rPr>
                <w:b/>
                <w:sz w:val="22"/>
              </w:rPr>
              <w:t>Net</w:t>
            </w:r>
            <w:r>
              <w:rPr>
                <w:b/>
                <w:spacing w:val="-8"/>
                <w:sz w:val="22"/>
              </w:rPr>
              <w:t> </w:t>
            </w:r>
            <w:r>
              <w:rPr>
                <w:b/>
                <w:sz w:val="22"/>
              </w:rPr>
              <w:t>(Decrease)/Increase</w:t>
            </w:r>
            <w:r>
              <w:rPr>
                <w:b/>
                <w:spacing w:val="-7"/>
                <w:sz w:val="22"/>
              </w:rPr>
              <w:t> </w:t>
            </w:r>
            <w:r>
              <w:rPr>
                <w:b/>
                <w:sz w:val="22"/>
              </w:rPr>
              <w:t>in</w:t>
            </w:r>
            <w:r>
              <w:rPr>
                <w:b/>
                <w:spacing w:val="-9"/>
                <w:sz w:val="22"/>
              </w:rPr>
              <w:t> </w:t>
            </w:r>
            <w:r>
              <w:rPr>
                <w:b/>
                <w:sz w:val="22"/>
              </w:rPr>
              <w:t>Cash</w:t>
            </w:r>
            <w:r>
              <w:rPr>
                <w:b/>
                <w:spacing w:val="-9"/>
                <w:sz w:val="22"/>
              </w:rPr>
              <w:t> </w:t>
            </w:r>
            <w:r>
              <w:rPr>
                <w:b/>
                <w:sz w:val="22"/>
              </w:rPr>
              <w:t>and</w:t>
            </w:r>
            <w:r>
              <w:rPr>
                <w:b/>
                <w:spacing w:val="-9"/>
                <w:sz w:val="22"/>
              </w:rPr>
              <w:t> </w:t>
            </w:r>
            <w:r>
              <w:rPr>
                <w:b/>
                <w:sz w:val="22"/>
              </w:rPr>
              <w:t>Cash </w:t>
            </w:r>
            <w:r>
              <w:rPr>
                <w:b/>
                <w:spacing w:val="-2"/>
                <w:sz w:val="22"/>
              </w:rPr>
              <w:t>Equivalents</w:t>
            </w:r>
          </w:p>
        </w:tc>
        <w:tc>
          <w:tcPr>
            <w:tcW w:w="1088" w:type="dxa"/>
            <w:tcBorders>
              <w:top w:val="single" w:sz="4" w:space="0" w:color="000000"/>
            </w:tcBorders>
          </w:tcPr>
          <w:p>
            <w:pPr>
              <w:pStyle w:val="TableParagraph"/>
              <w:spacing w:before="107"/>
              <w:ind w:right="106"/>
              <w:jc w:val="right"/>
              <w:rPr>
                <w:b/>
                <w:sz w:val="22"/>
              </w:rPr>
            </w:pPr>
            <w:r>
              <w:rPr>
                <w:b/>
                <w:spacing w:val="-2"/>
                <w:sz w:val="22"/>
              </w:rPr>
              <w:t>(4,333)</w:t>
            </w:r>
          </w:p>
        </w:tc>
        <w:tc>
          <w:tcPr>
            <w:tcW w:w="1277" w:type="dxa"/>
            <w:tcBorders>
              <w:top w:val="single" w:sz="4" w:space="0" w:color="000000"/>
            </w:tcBorders>
            <w:shd w:val="clear" w:color="auto" w:fill="E4E4E4"/>
          </w:tcPr>
          <w:p>
            <w:pPr>
              <w:pStyle w:val="TableParagraph"/>
              <w:spacing w:before="107"/>
              <w:ind w:right="105"/>
              <w:jc w:val="right"/>
              <w:rPr>
                <w:b/>
                <w:sz w:val="22"/>
              </w:rPr>
            </w:pPr>
            <w:r>
              <w:rPr>
                <w:b/>
                <w:spacing w:val="-2"/>
                <w:sz w:val="22"/>
              </w:rPr>
              <w:t>44,959</w:t>
            </w:r>
          </w:p>
        </w:tc>
      </w:tr>
      <w:tr>
        <w:trPr>
          <w:trHeight w:val="387" w:hRule="atLeast"/>
        </w:trPr>
        <w:tc>
          <w:tcPr>
            <w:tcW w:w="5835" w:type="dxa"/>
          </w:tcPr>
          <w:p>
            <w:pPr>
              <w:pStyle w:val="TableParagraph"/>
              <w:spacing w:line="241" w:lineRule="exact" w:before="127"/>
              <w:ind w:left="50"/>
              <w:rPr>
                <w:sz w:val="22"/>
              </w:rPr>
            </w:pPr>
            <w:r>
              <w:rPr>
                <w:sz w:val="22"/>
              </w:rPr>
              <w:t>Cash</w:t>
            </w:r>
            <w:r>
              <w:rPr>
                <w:spacing w:val="-2"/>
                <w:sz w:val="22"/>
              </w:rPr>
              <w:t> </w:t>
            </w:r>
            <w:r>
              <w:rPr>
                <w:sz w:val="22"/>
              </w:rPr>
              <w:t>and</w:t>
            </w:r>
            <w:r>
              <w:rPr>
                <w:spacing w:val="-2"/>
                <w:sz w:val="22"/>
              </w:rPr>
              <w:t> </w:t>
            </w:r>
            <w:r>
              <w:rPr>
                <w:sz w:val="22"/>
              </w:rPr>
              <w:t>cash</w:t>
            </w:r>
            <w:r>
              <w:rPr>
                <w:spacing w:val="-1"/>
                <w:sz w:val="22"/>
              </w:rPr>
              <w:t> </w:t>
            </w:r>
            <w:r>
              <w:rPr>
                <w:sz w:val="22"/>
              </w:rPr>
              <w:t>equivalents</w:t>
            </w:r>
            <w:r>
              <w:rPr>
                <w:spacing w:val="-6"/>
                <w:sz w:val="22"/>
              </w:rPr>
              <w:t> </w:t>
            </w:r>
            <w:r>
              <w:rPr>
                <w:sz w:val="22"/>
              </w:rPr>
              <w:t>at</w:t>
            </w:r>
            <w:r>
              <w:rPr>
                <w:spacing w:val="-1"/>
                <w:sz w:val="22"/>
              </w:rPr>
              <w:t> </w:t>
            </w:r>
            <w:r>
              <w:rPr>
                <w:sz w:val="22"/>
              </w:rPr>
              <w:t>1</w:t>
            </w:r>
            <w:r>
              <w:rPr>
                <w:spacing w:val="-4"/>
                <w:sz w:val="22"/>
              </w:rPr>
              <w:t> </w:t>
            </w:r>
            <w:r>
              <w:rPr>
                <w:spacing w:val="-2"/>
                <w:sz w:val="22"/>
              </w:rPr>
              <w:t>January</w:t>
            </w:r>
          </w:p>
        </w:tc>
        <w:tc>
          <w:tcPr>
            <w:tcW w:w="1088" w:type="dxa"/>
            <w:tcBorders>
              <w:bottom w:val="single" w:sz="4" w:space="0" w:color="000000"/>
            </w:tcBorders>
          </w:tcPr>
          <w:p>
            <w:pPr>
              <w:pStyle w:val="TableParagraph"/>
              <w:spacing w:before="127"/>
              <w:ind w:right="105"/>
              <w:jc w:val="right"/>
              <w:rPr>
                <w:sz w:val="22"/>
              </w:rPr>
            </w:pPr>
            <w:r>
              <w:rPr>
                <w:spacing w:val="-2"/>
                <w:sz w:val="22"/>
              </w:rPr>
              <w:t>56,634</w:t>
            </w:r>
          </w:p>
        </w:tc>
        <w:tc>
          <w:tcPr>
            <w:tcW w:w="1277" w:type="dxa"/>
            <w:tcBorders>
              <w:bottom w:val="single" w:sz="4" w:space="0" w:color="000000"/>
            </w:tcBorders>
            <w:shd w:val="clear" w:color="auto" w:fill="E4E4E4"/>
          </w:tcPr>
          <w:p>
            <w:pPr>
              <w:pStyle w:val="TableParagraph"/>
              <w:spacing w:before="127"/>
              <w:ind w:right="103"/>
              <w:jc w:val="right"/>
              <w:rPr>
                <w:sz w:val="22"/>
              </w:rPr>
            </w:pPr>
            <w:r>
              <w:rPr>
                <w:spacing w:val="-2"/>
                <w:sz w:val="22"/>
              </w:rPr>
              <w:t>11,675</w:t>
            </w:r>
          </w:p>
        </w:tc>
      </w:tr>
      <w:tr>
        <w:trPr>
          <w:trHeight w:val="297" w:hRule="atLeast"/>
        </w:trPr>
        <w:tc>
          <w:tcPr>
            <w:tcW w:w="5835" w:type="dxa"/>
          </w:tcPr>
          <w:p>
            <w:pPr>
              <w:pStyle w:val="TableParagraph"/>
              <w:spacing w:before="22"/>
              <w:ind w:left="50"/>
              <w:rPr>
                <w:b/>
                <w:sz w:val="22"/>
              </w:rPr>
            </w:pPr>
            <w:r>
              <w:rPr>
                <w:b/>
                <w:sz w:val="22"/>
              </w:rPr>
              <w:t>Cash</w:t>
            </w:r>
            <w:r>
              <w:rPr>
                <w:b/>
                <w:spacing w:val="-4"/>
                <w:sz w:val="22"/>
              </w:rPr>
              <w:t> </w:t>
            </w:r>
            <w:r>
              <w:rPr>
                <w:b/>
                <w:sz w:val="22"/>
              </w:rPr>
              <w:t>and</w:t>
            </w:r>
            <w:r>
              <w:rPr>
                <w:b/>
                <w:spacing w:val="-3"/>
                <w:sz w:val="22"/>
              </w:rPr>
              <w:t> </w:t>
            </w:r>
            <w:r>
              <w:rPr>
                <w:b/>
                <w:sz w:val="22"/>
              </w:rPr>
              <w:t>cash</w:t>
            </w:r>
            <w:r>
              <w:rPr>
                <w:b/>
                <w:spacing w:val="-2"/>
                <w:sz w:val="22"/>
              </w:rPr>
              <w:t> </w:t>
            </w:r>
            <w:r>
              <w:rPr>
                <w:b/>
                <w:sz w:val="22"/>
              </w:rPr>
              <w:t>equivalents</w:t>
            </w:r>
            <w:r>
              <w:rPr>
                <w:b/>
                <w:spacing w:val="-2"/>
                <w:sz w:val="22"/>
              </w:rPr>
              <w:t> </w:t>
            </w:r>
            <w:r>
              <w:rPr>
                <w:b/>
                <w:sz w:val="22"/>
              </w:rPr>
              <w:t>at</w:t>
            </w:r>
            <w:r>
              <w:rPr>
                <w:b/>
                <w:spacing w:val="-4"/>
                <w:sz w:val="22"/>
              </w:rPr>
              <w:t> </w:t>
            </w:r>
            <w:r>
              <w:rPr>
                <w:b/>
                <w:sz w:val="22"/>
              </w:rPr>
              <w:t>31</w:t>
            </w:r>
            <w:r>
              <w:rPr>
                <w:b/>
                <w:spacing w:val="-3"/>
                <w:sz w:val="22"/>
              </w:rPr>
              <w:t> </w:t>
            </w:r>
            <w:r>
              <w:rPr>
                <w:b/>
                <w:spacing w:val="-2"/>
                <w:sz w:val="22"/>
              </w:rPr>
              <w:t>December</w:t>
            </w:r>
          </w:p>
        </w:tc>
        <w:tc>
          <w:tcPr>
            <w:tcW w:w="1088" w:type="dxa"/>
            <w:tcBorders>
              <w:top w:val="single" w:sz="4" w:space="0" w:color="000000"/>
              <w:bottom w:val="double" w:sz="4" w:space="0" w:color="000000"/>
            </w:tcBorders>
          </w:tcPr>
          <w:p>
            <w:pPr>
              <w:pStyle w:val="TableParagraph"/>
              <w:spacing w:line="233" w:lineRule="exact"/>
              <w:ind w:right="105"/>
              <w:jc w:val="right"/>
              <w:rPr>
                <w:b/>
                <w:sz w:val="22"/>
              </w:rPr>
            </w:pPr>
            <w:r>
              <w:rPr>
                <w:b/>
                <w:spacing w:val="-2"/>
                <w:sz w:val="22"/>
              </w:rPr>
              <w:t>52,301</w:t>
            </w:r>
          </w:p>
        </w:tc>
        <w:tc>
          <w:tcPr>
            <w:tcW w:w="1277" w:type="dxa"/>
            <w:tcBorders>
              <w:top w:val="single" w:sz="4" w:space="0" w:color="000000"/>
              <w:bottom w:val="double" w:sz="4" w:space="0" w:color="000000"/>
            </w:tcBorders>
            <w:shd w:val="clear" w:color="auto" w:fill="E4E4E4"/>
          </w:tcPr>
          <w:p>
            <w:pPr>
              <w:pStyle w:val="TableParagraph"/>
              <w:spacing w:line="233" w:lineRule="exact"/>
              <w:ind w:right="105"/>
              <w:jc w:val="right"/>
              <w:rPr>
                <w:b/>
                <w:sz w:val="22"/>
              </w:rPr>
            </w:pPr>
            <w:r>
              <w:rPr>
                <w:b/>
                <w:spacing w:val="-2"/>
                <w:sz w:val="22"/>
              </w:rPr>
              <w:t>56,634</w:t>
            </w:r>
          </w:p>
        </w:tc>
      </w:tr>
    </w:tbl>
    <w:p>
      <w:pPr>
        <w:pStyle w:val="TableParagraph"/>
        <w:spacing w:after="0" w:line="233" w:lineRule="exact"/>
        <w:jc w:val="right"/>
        <w:rPr>
          <w:b/>
          <w:sz w:val="22"/>
        </w:rPr>
        <w:sectPr>
          <w:pgSz w:w="11910" w:h="16850"/>
          <w:pgMar w:header="0" w:footer="811" w:top="1880" w:bottom="1000" w:left="283" w:right="992"/>
        </w:sectPr>
      </w:pPr>
    </w:p>
    <w:p>
      <w:pPr>
        <w:spacing w:before="78"/>
        <w:ind w:left="1702" w:right="0" w:firstLine="0"/>
        <w:jc w:val="left"/>
        <w:rPr>
          <w:b/>
          <w:sz w:val="24"/>
        </w:rPr>
      </w:pPr>
      <w:r>
        <w:rPr>
          <w:b/>
          <w:sz w:val="24"/>
        </w:rPr>
        <w:t>National</w:t>
      </w:r>
      <w:r>
        <w:rPr>
          <w:b/>
          <w:spacing w:val="-2"/>
          <w:sz w:val="24"/>
        </w:rPr>
        <w:t> </w:t>
      </w:r>
      <w:r>
        <w:rPr>
          <w:b/>
          <w:sz w:val="24"/>
        </w:rPr>
        <w:t>Disability</w:t>
      </w:r>
      <w:r>
        <w:rPr>
          <w:b/>
          <w:spacing w:val="-2"/>
          <w:sz w:val="24"/>
        </w:rPr>
        <w:t> Authority</w:t>
      </w:r>
    </w:p>
    <w:p>
      <w:pPr>
        <w:pStyle w:val="BodyText"/>
        <w:spacing w:before="69"/>
        <w:rPr>
          <w:b/>
          <w:sz w:val="24"/>
        </w:rPr>
      </w:pPr>
    </w:p>
    <w:p>
      <w:pPr>
        <w:spacing w:before="1"/>
        <w:ind w:left="1702" w:right="0" w:firstLine="0"/>
        <w:jc w:val="left"/>
        <w:rPr>
          <w:b/>
          <w:sz w:val="24"/>
        </w:rPr>
      </w:pPr>
      <w:r>
        <w:rPr>
          <w:b/>
          <w:sz w:val="24"/>
        </w:rPr>
        <w:t>NOTES</w:t>
      </w:r>
      <w:r>
        <w:rPr>
          <w:b/>
          <w:spacing w:val="-4"/>
          <w:sz w:val="24"/>
        </w:rPr>
        <w:t> </w:t>
      </w:r>
      <w:r>
        <w:rPr>
          <w:b/>
          <w:sz w:val="24"/>
        </w:rPr>
        <w:t>TO</w:t>
      </w:r>
      <w:r>
        <w:rPr>
          <w:b/>
          <w:spacing w:val="-2"/>
          <w:sz w:val="24"/>
        </w:rPr>
        <w:t> </w:t>
      </w:r>
      <w:r>
        <w:rPr>
          <w:b/>
          <w:sz w:val="24"/>
        </w:rPr>
        <w:t>THE</w:t>
      </w:r>
      <w:r>
        <w:rPr>
          <w:b/>
          <w:spacing w:val="-4"/>
          <w:sz w:val="24"/>
        </w:rPr>
        <w:t> </w:t>
      </w:r>
      <w:r>
        <w:rPr>
          <w:b/>
          <w:sz w:val="24"/>
        </w:rPr>
        <w:t>FINANCIAL</w:t>
      </w:r>
      <w:r>
        <w:rPr>
          <w:b/>
          <w:spacing w:val="-2"/>
          <w:sz w:val="24"/>
        </w:rPr>
        <w:t> STATEMENTS</w:t>
      </w:r>
    </w:p>
    <w:p>
      <w:pPr>
        <w:spacing w:before="69"/>
        <w:ind w:left="1702" w:right="0" w:firstLine="0"/>
        <w:jc w:val="left"/>
        <w:rPr>
          <w:b/>
          <w:sz w:val="24"/>
        </w:rPr>
      </w:pPr>
      <w:r>
        <w:rPr>
          <w:b/>
          <w:sz w:val="24"/>
        </w:rPr>
        <w:t>For</w:t>
      </w:r>
      <w:r>
        <w:rPr>
          <w:b/>
          <w:spacing w:val="-2"/>
          <w:sz w:val="24"/>
        </w:rPr>
        <w:t> </w:t>
      </w:r>
      <w:r>
        <w:rPr>
          <w:b/>
          <w:sz w:val="24"/>
        </w:rPr>
        <w:t>the</w:t>
      </w:r>
      <w:r>
        <w:rPr>
          <w:b/>
          <w:spacing w:val="-2"/>
          <w:sz w:val="24"/>
        </w:rPr>
        <w:t> </w:t>
      </w:r>
      <w:r>
        <w:rPr>
          <w:b/>
          <w:sz w:val="24"/>
        </w:rPr>
        <w:t>year</w:t>
      </w:r>
      <w:r>
        <w:rPr>
          <w:b/>
          <w:spacing w:val="-3"/>
          <w:sz w:val="24"/>
        </w:rPr>
        <w:t> </w:t>
      </w:r>
      <w:r>
        <w:rPr>
          <w:b/>
          <w:sz w:val="24"/>
        </w:rPr>
        <w:t>ended</w:t>
      </w:r>
      <w:r>
        <w:rPr>
          <w:b/>
          <w:spacing w:val="-3"/>
          <w:sz w:val="24"/>
        </w:rPr>
        <w:t> </w:t>
      </w:r>
      <w:r>
        <w:rPr>
          <w:b/>
          <w:sz w:val="24"/>
        </w:rPr>
        <w:t>31</w:t>
      </w:r>
      <w:r>
        <w:rPr>
          <w:b/>
          <w:spacing w:val="-2"/>
          <w:sz w:val="24"/>
        </w:rPr>
        <w:t> </w:t>
      </w:r>
      <w:r>
        <w:rPr>
          <w:b/>
          <w:sz w:val="24"/>
        </w:rPr>
        <w:t>December</w:t>
      </w:r>
      <w:r>
        <w:rPr>
          <w:b/>
          <w:spacing w:val="-2"/>
          <w:sz w:val="24"/>
        </w:rPr>
        <w:t> </w:t>
      </w:r>
      <w:r>
        <w:rPr>
          <w:b/>
          <w:spacing w:val="-4"/>
          <w:sz w:val="24"/>
        </w:rPr>
        <w:t>2017</w:t>
      </w:r>
    </w:p>
    <w:p>
      <w:pPr>
        <w:pStyle w:val="BodyText"/>
        <w:spacing w:before="140"/>
        <w:rPr>
          <w:b/>
          <w:sz w:val="24"/>
        </w:rPr>
      </w:pPr>
    </w:p>
    <w:p>
      <w:pPr>
        <w:pStyle w:val="ListParagraph"/>
        <w:numPr>
          <w:ilvl w:val="0"/>
          <w:numId w:val="17"/>
        </w:numPr>
        <w:tabs>
          <w:tab w:pos="2060" w:val="left" w:leader="none"/>
        </w:tabs>
        <w:spacing w:line="240" w:lineRule="auto" w:before="0" w:after="0"/>
        <w:ind w:left="2060" w:right="0" w:hanging="358"/>
        <w:jc w:val="both"/>
        <w:rPr>
          <w:b/>
          <w:sz w:val="24"/>
        </w:rPr>
      </w:pPr>
      <w:r>
        <w:rPr>
          <w:b/>
          <w:sz w:val="24"/>
        </w:rPr>
        <w:t>Accounting</w:t>
      </w:r>
      <w:r>
        <w:rPr>
          <w:b/>
          <w:spacing w:val="-8"/>
          <w:sz w:val="24"/>
        </w:rPr>
        <w:t> </w:t>
      </w:r>
      <w:r>
        <w:rPr>
          <w:b/>
          <w:spacing w:val="-2"/>
          <w:sz w:val="24"/>
        </w:rPr>
        <w:t>Policies</w:t>
      </w:r>
    </w:p>
    <w:p>
      <w:pPr>
        <w:spacing w:line="300" w:lineRule="auto" w:before="69"/>
        <w:ind w:left="1702" w:right="989" w:firstLine="0"/>
        <w:jc w:val="both"/>
        <w:rPr>
          <w:sz w:val="24"/>
        </w:rPr>
      </w:pPr>
      <w:r>
        <w:rPr>
          <w:sz w:val="24"/>
        </w:rPr>
        <w:t>The basis of accounting and significant accounting policies adopted by National Disability Authority (NDA/Authority) are set out below. They have all been applied consistently throughout</w:t>
      </w:r>
      <w:r>
        <w:rPr>
          <w:spacing w:val="-2"/>
          <w:sz w:val="24"/>
        </w:rPr>
        <w:t> </w:t>
      </w:r>
      <w:r>
        <w:rPr>
          <w:sz w:val="24"/>
        </w:rPr>
        <w:t>the</w:t>
      </w:r>
      <w:r>
        <w:rPr>
          <w:spacing w:val="-1"/>
          <w:sz w:val="24"/>
        </w:rPr>
        <w:t> </w:t>
      </w:r>
      <w:r>
        <w:rPr>
          <w:sz w:val="24"/>
        </w:rPr>
        <w:t>year</w:t>
      </w:r>
      <w:r>
        <w:rPr>
          <w:spacing w:val="-2"/>
          <w:sz w:val="24"/>
        </w:rPr>
        <w:t> </w:t>
      </w:r>
      <w:r>
        <w:rPr>
          <w:sz w:val="24"/>
        </w:rPr>
        <w:t>and for</w:t>
      </w:r>
      <w:r>
        <w:rPr>
          <w:spacing w:val="-5"/>
          <w:sz w:val="24"/>
        </w:rPr>
        <w:t> </w:t>
      </w:r>
      <w:r>
        <w:rPr>
          <w:sz w:val="24"/>
        </w:rPr>
        <w:t>the</w:t>
      </w:r>
      <w:r>
        <w:rPr>
          <w:spacing w:val="-1"/>
          <w:sz w:val="24"/>
        </w:rPr>
        <w:t> </w:t>
      </w:r>
      <w:r>
        <w:rPr>
          <w:sz w:val="24"/>
        </w:rPr>
        <w:t>preceding</w:t>
      </w:r>
      <w:r>
        <w:rPr>
          <w:spacing w:val="-2"/>
          <w:sz w:val="24"/>
        </w:rPr>
        <w:t> </w:t>
      </w:r>
      <w:r>
        <w:rPr>
          <w:sz w:val="24"/>
        </w:rPr>
        <w:t>year.</w:t>
      </w:r>
      <w:r>
        <w:rPr>
          <w:spacing w:val="-1"/>
          <w:sz w:val="24"/>
        </w:rPr>
        <w:t> </w:t>
      </w:r>
      <w:r>
        <w:rPr>
          <w:sz w:val="24"/>
        </w:rPr>
        <w:t>The</w:t>
      </w:r>
      <w:r>
        <w:rPr>
          <w:spacing w:val="-1"/>
          <w:sz w:val="24"/>
        </w:rPr>
        <w:t> </w:t>
      </w:r>
      <w:r>
        <w:rPr>
          <w:sz w:val="24"/>
        </w:rPr>
        <w:t>financial statements are presented in Euro (€).</w:t>
      </w:r>
    </w:p>
    <w:p>
      <w:pPr>
        <w:pStyle w:val="BodyText"/>
        <w:spacing w:before="71"/>
        <w:rPr>
          <w:sz w:val="24"/>
        </w:rPr>
      </w:pPr>
    </w:p>
    <w:p>
      <w:pPr>
        <w:pStyle w:val="ListParagraph"/>
        <w:numPr>
          <w:ilvl w:val="1"/>
          <w:numId w:val="17"/>
        </w:numPr>
        <w:tabs>
          <w:tab w:pos="1986" w:val="left" w:leader="none"/>
        </w:tabs>
        <w:spacing w:line="240" w:lineRule="auto" w:before="0" w:after="0"/>
        <w:ind w:left="1986" w:right="0" w:hanging="284"/>
        <w:jc w:val="both"/>
        <w:rPr>
          <w:b/>
          <w:sz w:val="24"/>
        </w:rPr>
      </w:pPr>
      <w:r>
        <w:rPr>
          <w:b/>
          <w:sz w:val="24"/>
        </w:rPr>
        <w:t>General</w:t>
      </w:r>
      <w:r>
        <w:rPr>
          <w:b/>
          <w:spacing w:val="-3"/>
          <w:sz w:val="24"/>
        </w:rPr>
        <w:t> </w:t>
      </w:r>
      <w:r>
        <w:rPr>
          <w:b/>
          <w:spacing w:val="-2"/>
          <w:sz w:val="24"/>
        </w:rPr>
        <w:t>Information</w:t>
      </w:r>
    </w:p>
    <w:p>
      <w:pPr>
        <w:spacing w:line="300" w:lineRule="auto" w:before="70"/>
        <w:ind w:left="1702" w:right="991" w:firstLine="0"/>
        <w:jc w:val="both"/>
        <w:rPr>
          <w:sz w:val="24"/>
        </w:rPr>
      </w:pPr>
      <w:r>
        <w:rPr>
          <w:sz w:val="24"/>
        </w:rPr>
        <w:t>The National Disability Authority was set up under section 6 of the National Disability</w:t>
      </w:r>
      <w:r>
        <w:rPr>
          <w:spacing w:val="-9"/>
          <w:sz w:val="24"/>
        </w:rPr>
        <w:t> </w:t>
      </w:r>
      <w:r>
        <w:rPr>
          <w:sz w:val="24"/>
        </w:rPr>
        <w:t>Act</w:t>
      </w:r>
      <w:r>
        <w:rPr>
          <w:spacing w:val="-9"/>
          <w:sz w:val="24"/>
        </w:rPr>
        <w:t> </w:t>
      </w:r>
      <w:r>
        <w:rPr>
          <w:sz w:val="24"/>
        </w:rPr>
        <w:t>1999,</w:t>
      </w:r>
      <w:r>
        <w:rPr>
          <w:spacing w:val="-9"/>
          <w:sz w:val="24"/>
        </w:rPr>
        <w:t> </w:t>
      </w:r>
      <w:r>
        <w:rPr>
          <w:sz w:val="24"/>
        </w:rPr>
        <w:t>with</w:t>
      </w:r>
      <w:r>
        <w:rPr>
          <w:spacing w:val="-9"/>
          <w:sz w:val="24"/>
        </w:rPr>
        <w:t> </w:t>
      </w:r>
      <w:r>
        <w:rPr>
          <w:sz w:val="24"/>
        </w:rPr>
        <w:t>a</w:t>
      </w:r>
      <w:r>
        <w:rPr>
          <w:spacing w:val="-8"/>
          <w:sz w:val="24"/>
        </w:rPr>
        <w:t> </w:t>
      </w:r>
      <w:r>
        <w:rPr>
          <w:sz w:val="24"/>
        </w:rPr>
        <w:t>head</w:t>
      </w:r>
      <w:r>
        <w:rPr>
          <w:spacing w:val="-9"/>
          <w:sz w:val="24"/>
        </w:rPr>
        <w:t> </w:t>
      </w:r>
      <w:r>
        <w:rPr>
          <w:sz w:val="24"/>
        </w:rPr>
        <w:t>office</w:t>
      </w:r>
      <w:r>
        <w:rPr>
          <w:spacing w:val="-9"/>
          <w:sz w:val="24"/>
        </w:rPr>
        <w:t> </w:t>
      </w:r>
      <w:r>
        <w:rPr>
          <w:sz w:val="24"/>
        </w:rPr>
        <w:t>at</w:t>
      </w:r>
      <w:r>
        <w:rPr>
          <w:spacing w:val="-9"/>
          <w:sz w:val="24"/>
        </w:rPr>
        <w:t> </w:t>
      </w:r>
      <w:r>
        <w:rPr>
          <w:sz w:val="24"/>
        </w:rPr>
        <w:t>25</w:t>
      </w:r>
      <w:r>
        <w:rPr>
          <w:spacing w:val="-9"/>
          <w:sz w:val="24"/>
        </w:rPr>
        <w:t> </w:t>
      </w:r>
      <w:r>
        <w:rPr>
          <w:sz w:val="24"/>
        </w:rPr>
        <w:t>Clyde</w:t>
      </w:r>
      <w:r>
        <w:rPr>
          <w:spacing w:val="-11"/>
          <w:sz w:val="24"/>
        </w:rPr>
        <w:t> </w:t>
      </w:r>
      <w:r>
        <w:rPr>
          <w:sz w:val="24"/>
        </w:rPr>
        <w:t>Road,</w:t>
      </w:r>
      <w:r>
        <w:rPr>
          <w:spacing w:val="-9"/>
          <w:sz w:val="24"/>
        </w:rPr>
        <w:t> </w:t>
      </w:r>
      <w:r>
        <w:rPr>
          <w:sz w:val="24"/>
        </w:rPr>
        <w:t>Dublin</w:t>
      </w:r>
      <w:r>
        <w:rPr>
          <w:spacing w:val="-9"/>
          <w:sz w:val="24"/>
        </w:rPr>
        <w:t> </w:t>
      </w:r>
      <w:r>
        <w:rPr>
          <w:sz w:val="24"/>
        </w:rPr>
        <w:t>4</w:t>
      </w:r>
      <w:r>
        <w:rPr>
          <w:spacing w:val="-9"/>
          <w:sz w:val="24"/>
        </w:rPr>
        <w:t> </w:t>
      </w:r>
      <w:r>
        <w:rPr>
          <w:sz w:val="24"/>
        </w:rPr>
        <w:t>on</w:t>
      </w:r>
      <w:r>
        <w:rPr>
          <w:spacing w:val="-10"/>
          <w:sz w:val="24"/>
        </w:rPr>
        <w:t> </w:t>
      </w:r>
      <w:r>
        <w:rPr>
          <w:sz w:val="24"/>
        </w:rPr>
        <w:t>12</w:t>
      </w:r>
      <w:r>
        <w:rPr>
          <w:spacing w:val="-9"/>
          <w:sz w:val="24"/>
        </w:rPr>
        <w:t> </w:t>
      </w:r>
      <w:r>
        <w:rPr>
          <w:sz w:val="24"/>
        </w:rPr>
        <w:t>June</w:t>
      </w:r>
      <w:r>
        <w:rPr>
          <w:spacing w:val="-9"/>
          <w:sz w:val="24"/>
        </w:rPr>
        <w:t> </w:t>
      </w:r>
      <w:r>
        <w:rPr>
          <w:sz w:val="24"/>
        </w:rPr>
        <w:t>2000 on the dissolution of the former organisation, the National Rehabilitation Board.</w:t>
      </w:r>
    </w:p>
    <w:p>
      <w:pPr>
        <w:pStyle w:val="BodyText"/>
        <w:spacing w:before="67"/>
        <w:rPr>
          <w:sz w:val="24"/>
        </w:rPr>
      </w:pPr>
    </w:p>
    <w:p>
      <w:pPr>
        <w:spacing w:line="300" w:lineRule="auto" w:before="0"/>
        <w:ind w:left="1702" w:right="990" w:firstLine="0"/>
        <w:jc w:val="both"/>
        <w:rPr>
          <w:sz w:val="24"/>
        </w:rPr>
      </w:pPr>
      <w:r>
        <w:rPr>
          <w:sz w:val="24"/>
        </w:rPr>
        <w:t>The principal function of</w:t>
      </w:r>
      <w:r>
        <w:rPr>
          <w:spacing w:val="-3"/>
          <w:sz w:val="24"/>
        </w:rPr>
        <w:t> </w:t>
      </w:r>
      <w:r>
        <w:rPr>
          <w:sz w:val="24"/>
        </w:rPr>
        <w:t>the National Disability</w:t>
      </w:r>
      <w:r>
        <w:rPr>
          <w:spacing w:val="-2"/>
          <w:sz w:val="24"/>
        </w:rPr>
        <w:t> </w:t>
      </w:r>
      <w:r>
        <w:rPr>
          <w:sz w:val="24"/>
        </w:rPr>
        <w:t>Authority (NDA)</w:t>
      </w:r>
      <w:r>
        <w:rPr>
          <w:spacing w:val="-1"/>
          <w:sz w:val="24"/>
        </w:rPr>
        <w:t> </w:t>
      </w:r>
      <w:r>
        <w:rPr>
          <w:sz w:val="24"/>
        </w:rPr>
        <w:t>is</w:t>
      </w:r>
      <w:r>
        <w:rPr>
          <w:spacing w:val="-1"/>
          <w:sz w:val="24"/>
        </w:rPr>
        <w:t> </w:t>
      </w:r>
      <w:r>
        <w:rPr>
          <w:sz w:val="24"/>
        </w:rPr>
        <w:t>to</w:t>
      </w:r>
      <w:r>
        <w:rPr>
          <w:spacing w:val="-1"/>
          <w:sz w:val="24"/>
        </w:rPr>
        <w:t> </w:t>
      </w:r>
      <w:r>
        <w:rPr>
          <w:sz w:val="24"/>
        </w:rPr>
        <w:t>advise the Minister</w:t>
      </w:r>
      <w:r>
        <w:rPr>
          <w:spacing w:val="-5"/>
          <w:sz w:val="24"/>
        </w:rPr>
        <w:t> </w:t>
      </w:r>
      <w:r>
        <w:rPr>
          <w:sz w:val="24"/>
        </w:rPr>
        <w:t>for</w:t>
      </w:r>
      <w:r>
        <w:rPr>
          <w:spacing w:val="-5"/>
          <w:sz w:val="24"/>
        </w:rPr>
        <w:t> </w:t>
      </w:r>
      <w:r>
        <w:rPr>
          <w:sz w:val="24"/>
        </w:rPr>
        <w:t>Justice</w:t>
      </w:r>
      <w:r>
        <w:rPr>
          <w:spacing w:val="-5"/>
          <w:sz w:val="24"/>
        </w:rPr>
        <w:t> </w:t>
      </w:r>
      <w:r>
        <w:rPr>
          <w:sz w:val="24"/>
        </w:rPr>
        <w:t>and</w:t>
      </w:r>
      <w:r>
        <w:rPr>
          <w:spacing w:val="-5"/>
          <w:sz w:val="24"/>
        </w:rPr>
        <w:t> </w:t>
      </w:r>
      <w:r>
        <w:rPr>
          <w:sz w:val="24"/>
        </w:rPr>
        <w:t>Equality</w:t>
      </w:r>
      <w:r>
        <w:rPr>
          <w:spacing w:val="-5"/>
          <w:sz w:val="24"/>
        </w:rPr>
        <w:t> </w:t>
      </w:r>
      <w:r>
        <w:rPr>
          <w:sz w:val="24"/>
        </w:rPr>
        <w:t>regarding</w:t>
      </w:r>
      <w:r>
        <w:rPr>
          <w:spacing w:val="-5"/>
          <w:sz w:val="24"/>
        </w:rPr>
        <w:t> </w:t>
      </w:r>
      <w:r>
        <w:rPr>
          <w:sz w:val="24"/>
        </w:rPr>
        <w:t>issues</w:t>
      </w:r>
      <w:r>
        <w:rPr>
          <w:spacing w:val="-6"/>
          <w:sz w:val="24"/>
        </w:rPr>
        <w:t> </w:t>
      </w:r>
      <w:r>
        <w:rPr>
          <w:sz w:val="24"/>
        </w:rPr>
        <w:t>of</w:t>
      </w:r>
      <w:r>
        <w:rPr>
          <w:spacing w:val="-5"/>
          <w:sz w:val="24"/>
        </w:rPr>
        <w:t> </w:t>
      </w:r>
      <w:r>
        <w:rPr>
          <w:sz w:val="24"/>
        </w:rPr>
        <w:t>policy</w:t>
      </w:r>
      <w:r>
        <w:rPr>
          <w:spacing w:val="-5"/>
          <w:sz w:val="24"/>
        </w:rPr>
        <w:t> </w:t>
      </w:r>
      <w:r>
        <w:rPr>
          <w:sz w:val="24"/>
        </w:rPr>
        <w:t>and</w:t>
      </w:r>
      <w:r>
        <w:rPr>
          <w:spacing w:val="-5"/>
          <w:sz w:val="24"/>
        </w:rPr>
        <w:t> </w:t>
      </w:r>
      <w:r>
        <w:rPr>
          <w:sz w:val="24"/>
        </w:rPr>
        <w:t>practice</w:t>
      </w:r>
      <w:r>
        <w:rPr>
          <w:spacing w:val="-5"/>
          <w:sz w:val="24"/>
        </w:rPr>
        <w:t> </w:t>
      </w:r>
      <w:r>
        <w:rPr>
          <w:sz w:val="24"/>
        </w:rPr>
        <w:t>relevant</w:t>
      </w:r>
      <w:r>
        <w:rPr>
          <w:spacing w:val="-6"/>
          <w:sz w:val="24"/>
        </w:rPr>
        <w:t> </w:t>
      </w:r>
      <w:r>
        <w:rPr>
          <w:sz w:val="24"/>
        </w:rPr>
        <w:t>to the lives of persons with disabilities.</w:t>
      </w:r>
    </w:p>
    <w:p>
      <w:pPr>
        <w:pStyle w:val="BodyText"/>
        <w:spacing w:before="70"/>
        <w:rPr>
          <w:sz w:val="24"/>
        </w:rPr>
      </w:pPr>
    </w:p>
    <w:p>
      <w:pPr>
        <w:spacing w:line="300" w:lineRule="auto" w:before="1"/>
        <w:ind w:left="1702" w:right="993" w:firstLine="0"/>
        <w:jc w:val="both"/>
        <w:rPr>
          <w:sz w:val="24"/>
        </w:rPr>
      </w:pPr>
      <w:r>
        <w:rPr>
          <w:sz w:val="24"/>
        </w:rPr>
        <w:t>National Disability Authority’s particular functions as set out in section 8 of the National Disability Act 1999 include:</w:t>
      </w:r>
    </w:p>
    <w:p>
      <w:pPr>
        <w:pStyle w:val="ListParagraph"/>
        <w:numPr>
          <w:ilvl w:val="2"/>
          <w:numId w:val="17"/>
        </w:numPr>
        <w:tabs>
          <w:tab w:pos="2422" w:val="left" w:leader="none"/>
        </w:tabs>
        <w:spacing w:line="240" w:lineRule="auto" w:before="1" w:after="0"/>
        <w:ind w:left="2422" w:right="993" w:hanging="360"/>
        <w:jc w:val="both"/>
        <w:rPr>
          <w:i/>
          <w:sz w:val="24"/>
        </w:rPr>
      </w:pPr>
      <w:r>
        <w:rPr>
          <w:i/>
          <w:sz w:val="24"/>
        </w:rPr>
        <w:t>To</w:t>
      </w:r>
      <w:r>
        <w:rPr>
          <w:i/>
          <w:spacing w:val="-15"/>
          <w:sz w:val="24"/>
        </w:rPr>
        <w:t> </w:t>
      </w:r>
      <w:r>
        <w:rPr>
          <w:i/>
          <w:sz w:val="24"/>
        </w:rPr>
        <w:t>act</w:t>
      </w:r>
      <w:r>
        <w:rPr>
          <w:i/>
          <w:spacing w:val="-15"/>
          <w:sz w:val="24"/>
        </w:rPr>
        <w:t> </w:t>
      </w:r>
      <w:r>
        <w:rPr>
          <w:i/>
          <w:sz w:val="24"/>
        </w:rPr>
        <w:t>as</w:t>
      </w:r>
      <w:r>
        <w:rPr>
          <w:i/>
          <w:spacing w:val="-16"/>
          <w:sz w:val="24"/>
        </w:rPr>
        <w:t> </w:t>
      </w:r>
      <w:r>
        <w:rPr>
          <w:i/>
          <w:sz w:val="24"/>
        </w:rPr>
        <w:t>a</w:t>
      </w:r>
      <w:r>
        <w:rPr>
          <w:i/>
          <w:spacing w:val="-12"/>
          <w:sz w:val="24"/>
        </w:rPr>
        <w:t> </w:t>
      </w:r>
      <w:r>
        <w:rPr>
          <w:i/>
          <w:sz w:val="24"/>
        </w:rPr>
        <w:t>central,</w:t>
      </w:r>
      <w:r>
        <w:rPr>
          <w:i/>
          <w:spacing w:val="-14"/>
          <w:sz w:val="24"/>
        </w:rPr>
        <w:t> </w:t>
      </w:r>
      <w:r>
        <w:rPr>
          <w:i/>
          <w:sz w:val="24"/>
        </w:rPr>
        <w:t>national</w:t>
      </w:r>
      <w:r>
        <w:rPr>
          <w:i/>
          <w:spacing w:val="-14"/>
          <w:sz w:val="24"/>
        </w:rPr>
        <w:t> </w:t>
      </w:r>
      <w:r>
        <w:rPr>
          <w:i/>
          <w:sz w:val="24"/>
        </w:rPr>
        <w:t>body</w:t>
      </w:r>
      <w:r>
        <w:rPr>
          <w:i/>
          <w:spacing w:val="-14"/>
          <w:sz w:val="24"/>
        </w:rPr>
        <w:t> </w:t>
      </w:r>
      <w:r>
        <w:rPr>
          <w:i/>
          <w:sz w:val="24"/>
        </w:rPr>
        <w:t>which</w:t>
      </w:r>
      <w:r>
        <w:rPr>
          <w:i/>
          <w:spacing w:val="-15"/>
          <w:sz w:val="24"/>
        </w:rPr>
        <w:t> </w:t>
      </w:r>
      <w:r>
        <w:rPr>
          <w:i/>
          <w:sz w:val="24"/>
        </w:rPr>
        <w:t>will</w:t>
      </w:r>
      <w:r>
        <w:rPr>
          <w:i/>
          <w:spacing w:val="-14"/>
          <w:sz w:val="24"/>
        </w:rPr>
        <w:t> </w:t>
      </w:r>
      <w:r>
        <w:rPr>
          <w:i/>
          <w:sz w:val="24"/>
        </w:rPr>
        <w:t>assist</w:t>
      </w:r>
      <w:r>
        <w:rPr>
          <w:i/>
          <w:spacing w:val="-16"/>
          <w:sz w:val="24"/>
        </w:rPr>
        <w:t> </w:t>
      </w:r>
      <w:r>
        <w:rPr>
          <w:i/>
          <w:sz w:val="24"/>
        </w:rPr>
        <w:t>the</w:t>
      </w:r>
      <w:r>
        <w:rPr>
          <w:i/>
          <w:spacing w:val="-14"/>
          <w:sz w:val="24"/>
        </w:rPr>
        <w:t> </w:t>
      </w:r>
      <w:r>
        <w:rPr>
          <w:i/>
          <w:sz w:val="24"/>
        </w:rPr>
        <w:t>Minister</w:t>
      </w:r>
      <w:r>
        <w:rPr>
          <w:i/>
          <w:spacing w:val="-15"/>
          <w:sz w:val="24"/>
        </w:rPr>
        <w:t> </w:t>
      </w:r>
      <w:r>
        <w:rPr>
          <w:i/>
          <w:sz w:val="24"/>
        </w:rPr>
        <w:t>in</w:t>
      </w:r>
      <w:r>
        <w:rPr>
          <w:i/>
          <w:spacing w:val="-14"/>
          <w:sz w:val="24"/>
        </w:rPr>
        <w:t> </w:t>
      </w:r>
      <w:r>
        <w:rPr>
          <w:i/>
          <w:sz w:val="24"/>
        </w:rPr>
        <w:t>the</w:t>
      </w:r>
      <w:r>
        <w:rPr>
          <w:i/>
          <w:spacing w:val="-14"/>
          <w:sz w:val="24"/>
        </w:rPr>
        <w:t> </w:t>
      </w:r>
      <w:r>
        <w:rPr>
          <w:i/>
          <w:sz w:val="24"/>
        </w:rPr>
        <w:t>coordination</w:t>
      </w:r>
      <w:r>
        <w:rPr>
          <w:i/>
          <w:sz w:val="24"/>
        </w:rPr>
        <w:t> and development of policy in relation to persons with disabilities.</w:t>
      </w:r>
    </w:p>
    <w:p>
      <w:pPr>
        <w:pStyle w:val="ListParagraph"/>
        <w:numPr>
          <w:ilvl w:val="2"/>
          <w:numId w:val="17"/>
        </w:numPr>
        <w:tabs>
          <w:tab w:pos="2422" w:val="left" w:leader="none"/>
        </w:tabs>
        <w:spacing w:line="240" w:lineRule="auto" w:before="0" w:after="0"/>
        <w:ind w:left="2422" w:right="985" w:hanging="360"/>
        <w:jc w:val="both"/>
        <w:rPr>
          <w:i/>
          <w:sz w:val="24"/>
        </w:rPr>
      </w:pPr>
      <w:r>
        <w:rPr>
          <w:i/>
          <w:sz w:val="24"/>
        </w:rPr>
        <w:t>To undertake, commission or collaborate in research projects and activities on</w:t>
      </w:r>
      <w:r>
        <w:rPr>
          <w:i/>
          <w:sz w:val="24"/>
        </w:rPr>
        <w:t> issues relating to disability and to assist in the development of statistical information</w:t>
      </w:r>
      <w:r>
        <w:rPr>
          <w:i/>
          <w:spacing w:val="-11"/>
          <w:sz w:val="24"/>
        </w:rPr>
        <w:t> </w:t>
      </w:r>
      <w:r>
        <w:rPr>
          <w:i/>
          <w:sz w:val="24"/>
        </w:rPr>
        <w:t>appropriate</w:t>
      </w:r>
      <w:r>
        <w:rPr>
          <w:i/>
          <w:spacing w:val="-13"/>
          <w:sz w:val="24"/>
        </w:rPr>
        <w:t> </w:t>
      </w:r>
      <w:r>
        <w:rPr>
          <w:i/>
          <w:sz w:val="24"/>
        </w:rPr>
        <w:t>for</w:t>
      </w:r>
      <w:r>
        <w:rPr>
          <w:i/>
          <w:spacing w:val="-12"/>
          <w:sz w:val="24"/>
        </w:rPr>
        <w:t> </w:t>
      </w:r>
      <w:r>
        <w:rPr>
          <w:i/>
          <w:sz w:val="24"/>
        </w:rPr>
        <w:t>the</w:t>
      </w:r>
      <w:r>
        <w:rPr>
          <w:i/>
          <w:spacing w:val="-11"/>
          <w:sz w:val="24"/>
        </w:rPr>
        <w:t> </w:t>
      </w:r>
      <w:r>
        <w:rPr>
          <w:i/>
          <w:sz w:val="24"/>
        </w:rPr>
        <w:t>planning,</w:t>
      </w:r>
      <w:r>
        <w:rPr>
          <w:i/>
          <w:spacing w:val="-11"/>
          <w:sz w:val="24"/>
        </w:rPr>
        <w:t> </w:t>
      </w:r>
      <w:r>
        <w:rPr>
          <w:i/>
          <w:sz w:val="24"/>
        </w:rPr>
        <w:t>delivery</w:t>
      </w:r>
      <w:r>
        <w:rPr>
          <w:i/>
          <w:spacing w:val="-12"/>
          <w:sz w:val="24"/>
        </w:rPr>
        <w:t> </w:t>
      </w:r>
      <w:r>
        <w:rPr>
          <w:i/>
          <w:sz w:val="24"/>
        </w:rPr>
        <w:t>and</w:t>
      </w:r>
      <w:r>
        <w:rPr>
          <w:i/>
          <w:spacing w:val="-13"/>
          <w:sz w:val="24"/>
        </w:rPr>
        <w:t> </w:t>
      </w:r>
      <w:r>
        <w:rPr>
          <w:i/>
          <w:sz w:val="24"/>
        </w:rPr>
        <w:t>monitoring</w:t>
      </w:r>
      <w:r>
        <w:rPr>
          <w:i/>
          <w:spacing w:val="-13"/>
          <w:sz w:val="24"/>
        </w:rPr>
        <w:t> </w:t>
      </w:r>
      <w:r>
        <w:rPr>
          <w:i/>
          <w:sz w:val="24"/>
        </w:rPr>
        <w:t>of</w:t>
      </w:r>
      <w:r>
        <w:rPr>
          <w:i/>
          <w:spacing w:val="-11"/>
          <w:sz w:val="24"/>
        </w:rPr>
        <w:t> </w:t>
      </w:r>
      <w:r>
        <w:rPr>
          <w:i/>
          <w:sz w:val="24"/>
        </w:rPr>
        <w:t>programmes and services for people with disabilities.</w:t>
      </w:r>
    </w:p>
    <w:p>
      <w:pPr>
        <w:pStyle w:val="ListParagraph"/>
        <w:numPr>
          <w:ilvl w:val="2"/>
          <w:numId w:val="17"/>
        </w:numPr>
        <w:tabs>
          <w:tab w:pos="2422" w:val="left" w:leader="none"/>
        </w:tabs>
        <w:spacing w:line="240" w:lineRule="auto" w:before="0" w:after="0"/>
        <w:ind w:left="2422" w:right="988" w:hanging="360"/>
        <w:jc w:val="both"/>
        <w:rPr>
          <w:i/>
          <w:sz w:val="24"/>
        </w:rPr>
      </w:pPr>
      <w:r>
        <w:rPr>
          <w:i/>
          <w:sz w:val="24"/>
        </w:rPr>
        <w:t>To advise the Minister on appropriate standards for programmes and services</w:t>
      </w:r>
      <w:r>
        <w:rPr>
          <w:i/>
          <w:sz w:val="24"/>
        </w:rPr>
        <w:t> provided or to be provided to persons with disabilities and to act as an advisory body</w:t>
      </w:r>
      <w:r>
        <w:rPr>
          <w:i/>
          <w:spacing w:val="-12"/>
          <w:sz w:val="24"/>
        </w:rPr>
        <w:t> </w:t>
      </w:r>
      <w:r>
        <w:rPr>
          <w:i/>
          <w:sz w:val="24"/>
        </w:rPr>
        <w:t>with</w:t>
      </w:r>
      <w:r>
        <w:rPr>
          <w:i/>
          <w:spacing w:val="-10"/>
          <w:sz w:val="24"/>
        </w:rPr>
        <w:t> </w:t>
      </w:r>
      <w:r>
        <w:rPr>
          <w:i/>
          <w:sz w:val="24"/>
        </w:rPr>
        <w:t>regard</w:t>
      </w:r>
      <w:r>
        <w:rPr>
          <w:i/>
          <w:spacing w:val="-11"/>
          <w:sz w:val="24"/>
        </w:rPr>
        <w:t> </w:t>
      </w:r>
      <w:r>
        <w:rPr>
          <w:i/>
          <w:sz w:val="24"/>
        </w:rPr>
        <w:t>to</w:t>
      </w:r>
      <w:r>
        <w:rPr>
          <w:i/>
          <w:spacing w:val="-12"/>
          <w:sz w:val="24"/>
        </w:rPr>
        <w:t> </w:t>
      </w:r>
      <w:r>
        <w:rPr>
          <w:i/>
          <w:sz w:val="24"/>
        </w:rPr>
        <w:t>the</w:t>
      </w:r>
      <w:r>
        <w:rPr>
          <w:i/>
          <w:spacing w:val="-10"/>
          <w:sz w:val="24"/>
        </w:rPr>
        <w:t> </w:t>
      </w:r>
      <w:r>
        <w:rPr>
          <w:i/>
          <w:sz w:val="24"/>
        </w:rPr>
        <w:t>development</w:t>
      </w:r>
      <w:r>
        <w:rPr>
          <w:i/>
          <w:spacing w:val="-8"/>
          <w:sz w:val="24"/>
        </w:rPr>
        <w:t> </w:t>
      </w:r>
      <w:r>
        <w:rPr>
          <w:i/>
          <w:sz w:val="24"/>
        </w:rPr>
        <w:t>of</w:t>
      </w:r>
      <w:r>
        <w:rPr>
          <w:i/>
          <w:spacing w:val="-12"/>
          <w:sz w:val="24"/>
        </w:rPr>
        <w:t> </w:t>
      </w:r>
      <w:r>
        <w:rPr>
          <w:i/>
          <w:sz w:val="24"/>
        </w:rPr>
        <w:t>general</w:t>
      </w:r>
      <w:r>
        <w:rPr>
          <w:i/>
          <w:spacing w:val="-10"/>
          <w:sz w:val="24"/>
        </w:rPr>
        <w:t> </w:t>
      </w:r>
      <w:r>
        <w:rPr>
          <w:i/>
          <w:sz w:val="24"/>
        </w:rPr>
        <w:t>and</w:t>
      </w:r>
      <w:r>
        <w:rPr>
          <w:i/>
          <w:spacing w:val="-10"/>
          <w:sz w:val="24"/>
        </w:rPr>
        <w:t> </w:t>
      </w:r>
      <w:r>
        <w:rPr>
          <w:i/>
          <w:sz w:val="24"/>
        </w:rPr>
        <w:t>specific</w:t>
      </w:r>
      <w:r>
        <w:rPr>
          <w:i/>
          <w:spacing w:val="-11"/>
          <w:sz w:val="24"/>
        </w:rPr>
        <w:t> </w:t>
      </w:r>
      <w:r>
        <w:rPr>
          <w:i/>
          <w:sz w:val="24"/>
        </w:rPr>
        <w:t>standards</w:t>
      </w:r>
      <w:r>
        <w:rPr>
          <w:i/>
          <w:spacing w:val="-12"/>
          <w:sz w:val="24"/>
        </w:rPr>
        <w:t> </w:t>
      </w:r>
      <w:r>
        <w:rPr>
          <w:i/>
          <w:sz w:val="24"/>
        </w:rPr>
        <w:t>in</w:t>
      </w:r>
      <w:r>
        <w:rPr>
          <w:i/>
          <w:spacing w:val="-10"/>
          <w:sz w:val="24"/>
        </w:rPr>
        <w:t> </w:t>
      </w:r>
      <w:r>
        <w:rPr>
          <w:i/>
          <w:sz w:val="24"/>
        </w:rPr>
        <w:t>relation to such programmes and services.</w:t>
      </w:r>
    </w:p>
    <w:p>
      <w:pPr>
        <w:pStyle w:val="ListParagraph"/>
        <w:numPr>
          <w:ilvl w:val="2"/>
          <w:numId w:val="17"/>
        </w:numPr>
        <w:tabs>
          <w:tab w:pos="2422" w:val="left" w:leader="none"/>
        </w:tabs>
        <w:spacing w:line="240" w:lineRule="auto" w:before="0" w:after="0"/>
        <w:ind w:left="2422" w:right="992" w:hanging="360"/>
        <w:jc w:val="both"/>
        <w:rPr>
          <w:i/>
          <w:sz w:val="24"/>
        </w:rPr>
      </w:pPr>
      <w:r>
        <w:rPr>
          <w:i/>
          <w:sz w:val="24"/>
        </w:rPr>
        <w:t>To monitor the implementation of standards and codes of practice in</w:t>
      </w:r>
      <w:r>
        <w:rPr>
          <w:i/>
          <w:sz w:val="24"/>
        </w:rPr>
        <w:t> programmes and services provided to persons with disabilities and to report to the Minister thereon.</w:t>
      </w:r>
    </w:p>
    <w:p>
      <w:pPr>
        <w:pStyle w:val="ListParagraph"/>
        <w:numPr>
          <w:ilvl w:val="2"/>
          <w:numId w:val="17"/>
        </w:numPr>
        <w:tabs>
          <w:tab w:pos="2422" w:val="left" w:leader="none"/>
        </w:tabs>
        <w:spacing w:line="240" w:lineRule="auto" w:before="0" w:after="0"/>
        <w:ind w:left="2422" w:right="989" w:hanging="360"/>
        <w:jc w:val="both"/>
        <w:rPr>
          <w:i/>
          <w:sz w:val="24"/>
        </w:rPr>
      </w:pPr>
      <w:r>
        <w:rPr>
          <w:i/>
          <w:sz w:val="24"/>
        </w:rPr>
        <w:t>To liaise with other bodies, both corporate and unincorporated, involved in the</w:t>
      </w:r>
      <w:r>
        <w:rPr>
          <w:i/>
          <w:sz w:val="24"/>
        </w:rPr>
        <w:t> provision of services to persons with disabilities and to facilitate and support the development</w:t>
      </w:r>
      <w:r>
        <w:rPr>
          <w:i/>
          <w:spacing w:val="-6"/>
          <w:sz w:val="24"/>
        </w:rPr>
        <w:t> </w:t>
      </w:r>
      <w:r>
        <w:rPr>
          <w:i/>
          <w:sz w:val="24"/>
        </w:rPr>
        <w:t>and</w:t>
      </w:r>
      <w:r>
        <w:rPr>
          <w:i/>
          <w:spacing w:val="-8"/>
          <w:sz w:val="24"/>
        </w:rPr>
        <w:t> </w:t>
      </w:r>
      <w:r>
        <w:rPr>
          <w:i/>
          <w:sz w:val="24"/>
        </w:rPr>
        <w:t>implementation</w:t>
      </w:r>
      <w:r>
        <w:rPr>
          <w:i/>
          <w:spacing w:val="-6"/>
          <w:sz w:val="24"/>
        </w:rPr>
        <w:t> </w:t>
      </w:r>
      <w:r>
        <w:rPr>
          <w:i/>
          <w:sz w:val="24"/>
        </w:rPr>
        <w:t>of</w:t>
      </w:r>
      <w:r>
        <w:rPr>
          <w:i/>
          <w:spacing w:val="-6"/>
          <w:sz w:val="24"/>
        </w:rPr>
        <w:t> </w:t>
      </w:r>
      <w:r>
        <w:rPr>
          <w:i/>
          <w:sz w:val="24"/>
        </w:rPr>
        <w:t>appropriate</w:t>
      </w:r>
      <w:r>
        <w:rPr>
          <w:i/>
          <w:spacing w:val="-8"/>
          <w:sz w:val="24"/>
        </w:rPr>
        <w:t> </w:t>
      </w:r>
      <w:r>
        <w:rPr>
          <w:i/>
          <w:sz w:val="24"/>
        </w:rPr>
        <w:t>standards</w:t>
      </w:r>
      <w:r>
        <w:rPr>
          <w:i/>
          <w:spacing w:val="-8"/>
          <w:sz w:val="24"/>
        </w:rPr>
        <w:t> </w:t>
      </w:r>
      <w:r>
        <w:rPr>
          <w:i/>
          <w:sz w:val="24"/>
        </w:rPr>
        <w:t>for</w:t>
      </w:r>
      <w:r>
        <w:rPr>
          <w:i/>
          <w:spacing w:val="-7"/>
          <w:sz w:val="24"/>
        </w:rPr>
        <w:t> </w:t>
      </w:r>
      <w:r>
        <w:rPr>
          <w:i/>
          <w:sz w:val="24"/>
        </w:rPr>
        <w:t>programmes</w:t>
      </w:r>
      <w:r>
        <w:rPr>
          <w:i/>
          <w:spacing w:val="-7"/>
          <w:sz w:val="24"/>
        </w:rPr>
        <w:t> </w:t>
      </w:r>
      <w:r>
        <w:rPr>
          <w:i/>
          <w:sz w:val="24"/>
        </w:rPr>
        <w:t>and services for persons with disabilities.</w:t>
      </w:r>
    </w:p>
    <w:p>
      <w:pPr>
        <w:pStyle w:val="ListParagraph"/>
        <w:spacing w:after="0" w:line="240" w:lineRule="auto"/>
        <w:jc w:val="both"/>
        <w:rPr>
          <w:i/>
          <w:sz w:val="24"/>
        </w:rPr>
        <w:sectPr>
          <w:pgSz w:w="11910" w:h="16850"/>
          <w:pgMar w:header="0" w:footer="811" w:top="1880" w:bottom="1000" w:left="283" w:right="992"/>
        </w:sectPr>
      </w:pPr>
    </w:p>
    <w:p>
      <w:pPr>
        <w:pStyle w:val="ListParagraph"/>
        <w:numPr>
          <w:ilvl w:val="2"/>
          <w:numId w:val="17"/>
        </w:numPr>
        <w:tabs>
          <w:tab w:pos="2422" w:val="left" w:leader="none"/>
        </w:tabs>
        <w:spacing w:line="240" w:lineRule="auto" w:before="79" w:after="0"/>
        <w:ind w:left="2422" w:right="987" w:hanging="360"/>
        <w:jc w:val="both"/>
        <w:rPr>
          <w:i/>
          <w:sz w:val="24"/>
        </w:rPr>
      </w:pPr>
      <w:r>
        <w:rPr>
          <w:i/>
          <w:sz w:val="24"/>
        </w:rPr>
        <w:t>To prepare codes of practice for the purpose of achieving the aim of good</w:t>
      </w:r>
      <w:r>
        <w:rPr>
          <w:i/>
          <w:sz w:val="24"/>
        </w:rPr>
        <w:t> standards</w:t>
      </w:r>
      <w:r>
        <w:rPr>
          <w:i/>
          <w:spacing w:val="-9"/>
          <w:sz w:val="24"/>
        </w:rPr>
        <w:t> </w:t>
      </w:r>
      <w:r>
        <w:rPr>
          <w:i/>
          <w:sz w:val="24"/>
        </w:rPr>
        <w:t>and</w:t>
      </w:r>
      <w:r>
        <w:rPr>
          <w:i/>
          <w:spacing w:val="-7"/>
          <w:sz w:val="24"/>
        </w:rPr>
        <w:t> </w:t>
      </w:r>
      <w:r>
        <w:rPr>
          <w:i/>
          <w:sz w:val="24"/>
        </w:rPr>
        <w:t>quality</w:t>
      </w:r>
      <w:r>
        <w:rPr>
          <w:i/>
          <w:spacing w:val="-9"/>
          <w:sz w:val="24"/>
        </w:rPr>
        <w:t> </w:t>
      </w:r>
      <w:r>
        <w:rPr>
          <w:i/>
          <w:sz w:val="24"/>
        </w:rPr>
        <w:t>in</w:t>
      </w:r>
      <w:r>
        <w:rPr>
          <w:i/>
          <w:spacing w:val="-7"/>
          <w:sz w:val="24"/>
        </w:rPr>
        <w:t> </w:t>
      </w:r>
      <w:r>
        <w:rPr>
          <w:i/>
          <w:sz w:val="24"/>
        </w:rPr>
        <w:t>the</w:t>
      </w:r>
      <w:r>
        <w:rPr>
          <w:i/>
          <w:spacing w:val="-7"/>
          <w:sz w:val="24"/>
        </w:rPr>
        <w:t> </w:t>
      </w:r>
      <w:r>
        <w:rPr>
          <w:i/>
          <w:sz w:val="24"/>
        </w:rPr>
        <w:t>provision</w:t>
      </w:r>
      <w:r>
        <w:rPr>
          <w:i/>
          <w:spacing w:val="-10"/>
          <w:sz w:val="24"/>
        </w:rPr>
        <w:t> </w:t>
      </w:r>
      <w:r>
        <w:rPr>
          <w:i/>
          <w:sz w:val="24"/>
        </w:rPr>
        <w:t>of</w:t>
      </w:r>
      <w:r>
        <w:rPr>
          <w:i/>
          <w:spacing w:val="-8"/>
          <w:sz w:val="24"/>
        </w:rPr>
        <w:t> </w:t>
      </w:r>
      <w:r>
        <w:rPr>
          <w:i/>
          <w:sz w:val="24"/>
        </w:rPr>
        <w:t>programmes</w:t>
      </w:r>
      <w:r>
        <w:rPr>
          <w:i/>
          <w:spacing w:val="-11"/>
          <w:sz w:val="24"/>
        </w:rPr>
        <w:t> </w:t>
      </w:r>
      <w:r>
        <w:rPr>
          <w:i/>
          <w:sz w:val="24"/>
        </w:rPr>
        <w:t>and</w:t>
      </w:r>
      <w:r>
        <w:rPr>
          <w:i/>
          <w:spacing w:val="-7"/>
          <w:sz w:val="24"/>
        </w:rPr>
        <w:t> </w:t>
      </w:r>
      <w:r>
        <w:rPr>
          <w:i/>
          <w:sz w:val="24"/>
        </w:rPr>
        <w:t>services</w:t>
      </w:r>
      <w:r>
        <w:rPr>
          <w:i/>
          <w:spacing w:val="-9"/>
          <w:sz w:val="24"/>
        </w:rPr>
        <w:t> </w:t>
      </w:r>
      <w:r>
        <w:rPr>
          <w:i/>
          <w:sz w:val="24"/>
        </w:rPr>
        <w:t>provided</w:t>
      </w:r>
      <w:r>
        <w:rPr>
          <w:i/>
          <w:spacing w:val="-10"/>
          <w:sz w:val="24"/>
        </w:rPr>
        <w:t> </w:t>
      </w:r>
      <w:r>
        <w:rPr>
          <w:i/>
          <w:sz w:val="24"/>
        </w:rPr>
        <w:t>or</w:t>
      </w:r>
      <w:r>
        <w:rPr>
          <w:i/>
          <w:spacing w:val="-8"/>
          <w:sz w:val="24"/>
        </w:rPr>
        <w:t> </w:t>
      </w:r>
      <w:r>
        <w:rPr>
          <w:i/>
          <w:sz w:val="24"/>
        </w:rPr>
        <w:t>to be provided to persons with disabilities.</w:t>
      </w:r>
    </w:p>
    <w:p>
      <w:pPr>
        <w:pStyle w:val="ListParagraph"/>
        <w:numPr>
          <w:ilvl w:val="2"/>
          <w:numId w:val="17"/>
        </w:numPr>
        <w:tabs>
          <w:tab w:pos="2422" w:val="left" w:leader="none"/>
        </w:tabs>
        <w:spacing w:line="240" w:lineRule="auto" w:before="0" w:after="0"/>
        <w:ind w:left="2422" w:right="989" w:hanging="360"/>
        <w:jc w:val="both"/>
        <w:rPr>
          <w:i/>
          <w:sz w:val="24"/>
        </w:rPr>
      </w:pPr>
      <w:r>
        <w:rPr>
          <w:i/>
          <w:sz w:val="24"/>
        </w:rPr>
        <w:t>To recognise the achievement of good standards and quality in the provision of</w:t>
      </w:r>
      <w:r>
        <w:rPr>
          <w:i/>
          <w:sz w:val="24"/>
        </w:rPr>
        <w:t> programmes and services to persons with disabilities, including through the provision of a disability equality awards system.</w:t>
      </w:r>
    </w:p>
    <w:p>
      <w:pPr>
        <w:pStyle w:val="ListParagraph"/>
        <w:numPr>
          <w:ilvl w:val="2"/>
          <w:numId w:val="17"/>
        </w:numPr>
        <w:tabs>
          <w:tab w:pos="2421" w:val="left" w:leader="none"/>
        </w:tabs>
        <w:spacing w:line="240" w:lineRule="auto" w:before="0" w:after="0"/>
        <w:ind w:left="2421" w:right="0" w:hanging="359"/>
        <w:jc w:val="both"/>
        <w:rPr>
          <w:i/>
          <w:sz w:val="24"/>
        </w:rPr>
      </w:pPr>
      <w:r>
        <w:rPr>
          <w:i/>
          <w:sz w:val="24"/>
        </w:rPr>
        <w:t>To</w:t>
      </w:r>
      <w:r>
        <w:rPr>
          <w:i/>
          <w:spacing w:val="-2"/>
          <w:sz w:val="24"/>
        </w:rPr>
        <w:t> </w:t>
      </w:r>
      <w:r>
        <w:rPr>
          <w:i/>
          <w:sz w:val="24"/>
        </w:rPr>
        <w:t>prepare</w:t>
      </w:r>
      <w:r>
        <w:rPr>
          <w:i/>
          <w:spacing w:val="-2"/>
          <w:sz w:val="24"/>
        </w:rPr>
        <w:t> </w:t>
      </w:r>
      <w:r>
        <w:rPr>
          <w:i/>
          <w:sz w:val="24"/>
        </w:rPr>
        <w:t>strategic</w:t>
      </w:r>
      <w:r>
        <w:rPr>
          <w:i/>
          <w:spacing w:val="-1"/>
          <w:sz w:val="24"/>
        </w:rPr>
        <w:t> </w:t>
      </w:r>
      <w:r>
        <w:rPr>
          <w:i/>
          <w:spacing w:val="-2"/>
          <w:sz w:val="24"/>
        </w:rPr>
        <w:t>plans.</w:t>
      </w:r>
    </w:p>
    <w:p>
      <w:pPr>
        <w:spacing w:before="120"/>
        <w:ind w:left="1702" w:right="0" w:firstLine="0"/>
        <w:jc w:val="both"/>
        <w:rPr>
          <w:sz w:val="24"/>
        </w:rPr>
      </w:pPr>
      <w:r>
        <w:rPr>
          <w:sz w:val="24"/>
        </w:rPr>
        <w:t>Additional</w:t>
      </w:r>
      <w:r>
        <w:rPr>
          <w:spacing w:val="-1"/>
          <w:sz w:val="24"/>
        </w:rPr>
        <w:t> </w:t>
      </w:r>
      <w:r>
        <w:rPr>
          <w:sz w:val="24"/>
        </w:rPr>
        <w:t>functions</w:t>
      </w:r>
      <w:r>
        <w:rPr>
          <w:spacing w:val="-3"/>
          <w:sz w:val="24"/>
        </w:rPr>
        <w:t> </w:t>
      </w:r>
      <w:r>
        <w:rPr>
          <w:sz w:val="24"/>
        </w:rPr>
        <w:t>of</w:t>
      </w:r>
      <w:r>
        <w:rPr>
          <w:spacing w:val="-1"/>
          <w:sz w:val="24"/>
        </w:rPr>
        <w:t> </w:t>
      </w:r>
      <w:r>
        <w:rPr>
          <w:sz w:val="24"/>
        </w:rPr>
        <w:t>the</w:t>
      </w:r>
      <w:r>
        <w:rPr>
          <w:spacing w:val="-1"/>
          <w:sz w:val="24"/>
        </w:rPr>
        <w:t> </w:t>
      </w:r>
      <w:r>
        <w:rPr>
          <w:sz w:val="24"/>
        </w:rPr>
        <w:t>Authority</w:t>
      </w:r>
      <w:r>
        <w:rPr>
          <w:spacing w:val="-1"/>
          <w:sz w:val="24"/>
        </w:rPr>
        <w:t> </w:t>
      </w:r>
      <w:r>
        <w:rPr>
          <w:sz w:val="24"/>
        </w:rPr>
        <w:t>under</w:t>
      </w:r>
      <w:r>
        <w:rPr>
          <w:spacing w:val="-1"/>
          <w:sz w:val="24"/>
        </w:rPr>
        <w:t> </w:t>
      </w:r>
      <w:r>
        <w:rPr>
          <w:sz w:val="24"/>
        </w:rPr>
        <w:t>the</w:t>
      </w:r>
      <w:r>
        <w:rPr>
          <w:spacing w:val="-2"/>
          <w:sz w:val="24"/>
        </w:rPr>
        <w:t> </w:t>
      </w:r>
      <w:r>
        <w:rPr>
          <w:sz w:val="24"/>
        </w:rPr>
        <w:t>Disability</w:t>
      </w:r>
      <w:r>
        <w:rPr>
          <w:spacing w:val="-1"/>
          <w:sz w:val="24"/>
        </w:rPr>
        <w:t> </w:t>
      </w:r>
      <w:r>
        <w:rPr>
          <w:sz w:val="24"/>
        </w:rPr>
        <w:t>Act</w:t>
      </w:r>
      <w:r>
        <w:rPr>
          <w:spacing w:val="-1"/>
          <w:sz w:val="24"/>
        </w:rPr>
        <w:t> </w:t>
      </w:r>
      <w:r>
        <w:rPr>
          <w:sz w:val="24"/>
        </w:rPr>
        <w:t>2005</w:t>
      </w:r>
      <w:r>
        <w:rPr>
          <w:spacing w:val="-1"/>
          <w:sz w:val="24"/>
        </w:rPr>
        <w:t> </w:t>
      </w:r>
      <w:r>
        <w:rPr>
          <w:spacing w:val="-2"/>
          <w:sz w:val="24"/>
        </w:rPr>
        <w:t>include:</w:t>
      </w:r>
    </w:p>
    <w:p>
      <w:pPr>
        <w:pStyle w:val="ListParagraph"/>
        <w:numPr>
          <w:ilvl w:val="2"/>
          <w:numId w:val="17"/>
        </w:numPr>
        <w:tabs>
          <w:tab w:pos="2422" w:val="left" w:leader="none"/>
        </w:tabs>
        <w:spacing w:line="240" w:lineRule="auto" w:before="119" w:after="0"/>
        <w:ind w:left="2422" w:right="990" w:hanging="360"/>
        <w:jc w:val="both"/>
        <w:rPr>
          <w:i/>
          <w:sz w:val="24"/>
        </w:rPr>
      </w:pPr>
      <w:r>
        <w:rPr>
          <w:i/>
          <w:sz w:val="24"/>
        </w:rPr>
        <w:t>To prepare codes of practice relating to the accessibility of public buildings,</w:t>
      </w:r>
      <w:r>
        <w:rPr>
          <w:i/>
          <w:sz w:val="24"/>
        </w:rPr>
        <w:t> services, information and heritage sites and to the employment of people with disabilities in the public sector at the request of the</w:t>
      </w:r>
      <w:r>
        <w:rPr>
          <w:i/>
          <w:spacing w:val="-2"/>
          <w:sz w:val="24"/>
        </w:rPr>
        <w:t> </w:t>
      </w:r>
      <w:r>
        <w:rPr>
          <w:i/>
          <w:sz w:val="24"/>
        </w:rPr>
        <w:t>Minister (Part 3) to monitor compliance</w:t>
      </w:r>
      <w:r>
        <w:rPr>
          <w:i/>
          <w:spacing w:val="-13"/>
          <w:sz w:val="24"/>
        </w:rPr>
        <w:t> </w:t>
      </w:r>
      <w:r>
        <w:rPr>
          <w:i/>
          <w:sz w:val="24"/>
        </w:rPr>
        <w:t>with</w:t>
      </w:r>
      <w:r>
        <w:rPr>
          <w:i/>
          <w:spacing w:val="-13"/>
          <w:sz w:val="24"/>
        </w:rPr>
        <w:t> </w:t>
      </w:r>
      <w:r>
        <w:rPr>
          <w:i/>
          <w:sz w:val="24"/>
        </w:rPr>
        <w:t>statutory</w:t>
      </w:r>
      <w:r>
        <w:rPr>
          <w:i/>
          <w:spacing w:val="-15"/>
          <w:sz w:val="24"/>
        </w:rPr>
        <w:t> </w:t>
      </w:r>
      <w:r>
        <w:rPr>
          <w:i/>
          <w:sz w:val="24"/>
        </w:rPr>
        <w:t>targets</w:t>
      </w:r>
      <w:r>
        <w:rPr>
          <w:i/>
          <w:spacing w:val="-14"/>
          <w:sz w:val="24"/>
        </w:rPr>
        <w:t> </w:t>
      </w:r>
      <w:r>
        <w:rPr>
          <w:i/>
          <w:sz w:val="24"/>
        </w:rPr>
        <w:t>for</w:t>
      </w:r>
      <w:r>
        <w:rPr>
          <w:i/>
          <w:spacing w:val="-14"/>
          <w:sz w:val="24"/>
        </w:rPr>
        <w:t> </w:t>
      </w:r>
      <w:r>
        <w:rPr>
          <w:i/>
          <w:sz w:val="24"/>
        </w:rPr>
        <w:t>recruitment</w:t>
      </w:r>
      <w:r>
        <w:rPr>
          <w:i/>
          <w:spacing w:val="-13"/>
          <w:sz w:val="24"/>
        </w:rPr>
        <w:t> </w:t>
      </w:r>
      <w:r>
        <w:rPr>
          <w:i/>
          <w:sz w:val="24"/>
        </w:rPr>
        <w:t>and</w:t>
      </w:r>
      <w:r>
        <w:rPr>
          <w:i/>
          <w:spacing w:val="-15"/>
          <w:sz w:val="24"/>
        </w:rPr>
        <w:t> </w:t>
      </w:r>
      <w:r>
        <w:rPr>
          <w:i/>
          <w:sz w:val="24"/>
        </w:rPr>
        <w:t>employment</w:t>
      </w:r>
      <w:r>
        <w:rPr>
          <w:i/>
          <w:spacing w:val="-16"/>
          <w:sz w:val="24"/>
        </w:rPr>
        <w:t> </w:t>
      </w:r>
      <w:r>
        <w:rPr>
          <w:i/>
          <w:sz w:val="24"/>
        </w:rPr>
        <w:t>of</w:t>
      </w:r>
      <w:r>
        <w:rPr>
          <w:i/>
          <w:spacing w:val="-13"/>
          <w:sz w:val="24"/>
        </w:rPr>
        <w:t> </w:t>
      </w:r>
      <w:r>
        <w:rPr>
          <w:i/>
          <w:sz w:val="24"/>
        </w:rPr>
        <w:t>people</w:t>
      </w:r>
      <w:r>
        <w:rPr>
          <w:i/>
          <w:spacing w:val="-15"/>
          <w:sz w:val="24"/>
        </w:rPr>
        <w:t> </w:t>
      </w:r>
      <w:r>
        <w:rPr>
          <w:i/>
          <w:sz w:val="24"/>
        </w:rPr>
        <w:t>with disabilities in the public sector, recommend actions to be taken where these targets are not being met, and prepare codes of practice where requested (Part </w:t>
      </w:r>
      <w:r>
        <w:rPr>
          <w:i/>
          <w:spacing w:val="-4"/>
          <w:sz w:val="24"/>
        </w:rPr>
        <w:t>5).</w:t>
      </w:r>
    </w:p>
    <w:p>
      <w:pPr>
        <w:pStyle w:val="ListParagraph"/>
        <w:numPr>
          <w:ilvl w:val="2"/>
          <w:numId w:val="17"/>
        </w:numPr>
        <w:tabs>
          <w:tab w:pos="2422" w:val="left" w:leader="none"/>
        </w:tabs>
        <w:spacing w:line="240" w:lineRule="auto" w:before="1" w:after="0"/>
        <w:ind w:left="2422" w:right="991" w:hanging="360"/>
        <w:jc w:val="both"/>
        <w:rPr>
          <w:i/>
          <w:sz w:val="24"/>
        </w:rPr>
      </w:pPr>
      <w:r>
        <w:rPr>
          <w:i/>
          <w:sz w:val="24"/>
        </w:rPr>
        <w:t>To establish and operate a Centre for Excellence in Universal Design in relation</w:t>
      </w:r>
      <w:r>
        <w:rPr>
          <w:i/>
          <w:sz w:val="24"/>
        </w:rPr>
        <w:t> to</w:t>
      </w:r>
      <w:r>
        <w:rPr>
          <w:i/>
          <w:spacing w:val="-9"/>
          <w:sz w:val="24"/>
        </w:rPr>
        <w:t> </w:t>
      </w:r>
      <w:r>
        <w:rPr>
          <w:i/>
          <w:sz w:val="24"/>
        </w:rPr>
        <w:t>the</w:t>
      </w:r>
      <w:r>
        <w:rPr>
          <w:i/>
          <w:spacing w:val="-8"/>
          <w:sz w:val="24"/>
        </w:rPr>
        <w:t> </w:t>
      </w:r>
      <w:r>
        <w:rPr>
          <w:i/>
          <w:sz w:val="24"/>
        </w:rPr>
        <w:t>built</w:t>
      </w:r>
      <w:r>
        <w:rPr>
          <w:i/>
          <w:spacing w:val="-9"/>
          <w:sz w:val="24"/>
        </w:rPr>
        <w:t> </w:t>
      </w:r>
      <w:r>
        <w:rPr>
          <w:i/>
          <w:sz w:val="24"/>
        </w:rPr>
        <w:t>environment,</w:t>
      </w:r>
      <w:r>
        <w:rPr>
          <w:i/>
          <w:spacing w:val="-11"/>
          <w:sz w:val="24"/>
        </w:rPr>
        <w:t> </w:t>
      </w:r>
      <w:r>
        <w:rPr>
          <w:i/>
          <w:sz w:val="24"/>
        </w:rPr>
        <w:t>products,</w:t>
      </w:r>
      <w:r>
        <w:rPr>
          <w:i/>
          <w:spacing w:val="-8"/>
          <w:sz w:val="24"/>
        </w:rPr>
        <w:t> </w:t>
      </w:r>
      <w:r>
        <w:rPr>
          <w:i/>
          <w:sz w:val="24"/>
        </w:rPr>
        <w:t>services</w:t>
      </w:r>
      <w:r>
        <w:rPr>
          <w:i/>
          <w:spacing w:val="-10"/>
          <w:sz w:val="24"/>
        </w:rPr>
        <w:t> </w:t>
      </w:r>
      <w:r>
        <w:rPr>
          <w:i/>
          <w:sz w:val="24"/>
        </w:rPr>
        <w:t>and</w:t>
      </w:r>
      <w:r>
        <w:rPr>
          <w:i/>
          <w:spacing w:val="-8"/>
          <w:sz w:val="24"/>
        </w:rPr>
        <w:t> </w:t>
      </w:r>
      <w:r>
        <w:rPr>
          <w:i/>
          <w:sz w:val="24"/>
        </w:rPr>
        <w:t>information</w:t>
      </w:r>
      <w:r>
        <w:rPr>
          <w:i/>
          <w:spacing w:val="-9"/>
          <w:sz w:val="24"/>
        </w:rPr>
        <w:t> </w:t>
      </w:r>
      <w:r>
        <w:rPr>
          <w:i/>
          <w:sz w:val="24"/>
        </w:rPr>
        <w:t>technology</w:t>
      </w:r>
      <w:r>
        <w:rPr>
          <w:i/>
          <w:spacing w:val="-9"/>
          <w:sz w:val="24"/>
        </w:rPr>
        <w:t> </w:t>
      </w:r>
      <w:r>
        <w:rPr>
          <w:i/>
          <w:sz w:val="24"/>
        </w:rPr>
        <w:t>which</w:t>
      </w:r>
      <w:r>
        <w:rPr>
          <w:i/>
          <w:spacing w:val="-11"/>
          <w:sz w:val="24"/>
        </w:rPr>
        <w:t> </w:t>
      </w:r>
      <w:r>
        <w:rPr>
          <w:i/>
          <w:sz w:val="24"/>
        </w:rPr>
        <w:t>will promote</w:t>
      </w:r>
      <w:r>
        <w:rPr>
          <w:i/>
          <w:spacing w:val="-11"/>
          <w:sz w:val="24"/>
        </w:rPr>
        <w:t> </w:t>
      </w:r>
      <w:r>
        <w:rPr>
          <w:i/>
          <w:sz w:val="24"/>
        </w:rPr>
        <w:t>the</w:t>
      </w:r>
      <w:r>
        <w:rPr>
          <w:i/>
          <w:spacing w:val="-11"/>
          <w:sz w:val="24"/>
        </w:rPr>
        <w:t> </w:t>
      </w:r>
      <w:r>
        <w:rPr>
          <w:i/>
          <w:sz w:val="24"/>
        </w:rPr>
        <w:t>principles</w:t>
      </w:r>
      <w:r>
        <w:rPr>
          <w:i/>
          <w:spacing w:val="-13"/>
          <w:sz w:val="24"/>
        </w:rPr>
        <w:t> </w:t>
      </w:r>
      <w:r>
        <w:rPr>
          <w:i/>
          <w:sz w:val="24"/>
        </w:rPr>
        <w:t>of</w:t>
      </w:r>
      <w:r>
        <w:rPr>
          <w:i/>
          <w:spacing w:val="-11"/>
          <w:sz w:val="24"/>
        </w:rPr>
        <w:t> </w:t>
      </w:r>
      <w:r>
        <w:rPr>
          <w:i/>
          <w:sz w:val="24"/>
        </w:rPr>
        <w:t>universal</w:t>
      </w:r>
      <w:r>
        <w:rPr>
          <w:i/>
          <w:spacing w:val="-11"/>
          <w:sz w:val="24"/>
        </w:rPr>
        <w:t> </w:t>
      </w:r>
      <w:r>
        <w:rPr>
          <w:i/>
          <w:sz w:val="24"/>
        </w:rPr>
        <w:t>design</w:t>
      </w:r>
      <w:r>
        <w:rPr>
          <w:i/>
          <w:spacing w:val="-11"/>
          <w:sz w:val="24"/>
        </w:rPr>
        <w:t> </w:t>
      </w:r>
      <w:r>
        <w:rPr>
          <w:i/>
          <w:sz w:val="24"/>
        </w:rPr>
        <w:t>so</w:t>
      </w:r>
      <w:r>
        <w:rPr>
          <w:i/>
          <w:spacing w:val="-11"/>
          <w:sz w:val="24"/>
        </w:rPr>
        <w:t> </w:t>
      </w:r>
      <w:r>
        <w:rPr>
          <w:i/>
          <w:sz w:val="24"/>
        </w:rPr>
        <w:t>that</w:t>
      </w:r>
      <w:r>
        <w:rPr>
          <w:i/>
          <w:spacing w:val="-12"/>
          <w:sz w:val="24"/>
        </w:rPr>
        <w:t> </w:t>
      </w:r>
      <w:r>
        <w:rPr>
          <w:i/>
          <w:sz w:val="24"/>
        </w:rPr>
        <w:t>each</w:t>
      </w:r>
      <w:r>
        <w:rPr>
          <w:i/>
          <w:spacing w:val="-12"/>
          <w:sz w:val="24"/>
        </w:rPr>
        <w:t> </w:t>
      </w:r>
      <w:r>
        <w:rPr>
          <w:i/>
          <w:sz w:val="24"/>
        </w:rPr>
        <w:t>of</w:t>
      </w:r>
      <w:r>
        <w:rPr>
          <w:i/>
          <w:spacing w:val="-11"/>
          <w:sz w:val="24"/>
        </w:rPr>
        <w:t> </w:t>
      </w:r>
      <w:r>
        <w:rPr>
          <w:i/>
          <w:sz w:val="24"/>
        </w:rPr>
        <w:t>these</w:t>
      </w:r>
      <w:r>
        <w:rPr>
          <w:i/>
          <w:spacing w:val="-12"/>
          <w:sz w:val="24"/>
        </w:rPr>
        <w:t> </w:t>
      </w:r>
      <w:r>
        <w:rPr>
          <w:i/>
          <w:sz w:val="24"/>
        </w:rPr>
        <w:t>may</w:t>
      </w:r>
      <w:r>
        <w:rPr>
          <w:i/>
          <w:spacing w:val="-10"/>
          <w:sz w:val="24"/>
        </w:rPr>
        <w:t> </w:t>
      </w:r>
      <w:r>
        <w:rPr>
          <w:i/>
          <w:sz w:val="24"/>
        </w:rPr>
        <w:t>be</w:t>
      </w:r>
      <w:r>
        <w:rPr>
          <w:i/>
          <w:spacing w:val="-11"/>
          <w:sz w:val="24"/>
        </w:rPr>
        <w:t> </w:t>
      </w:r>
      <w:r>
        <w:rPr>
          <w:i/>
          <w:sz w:val="24"/>
        </w:rPr>
        <w:t>accessed, understood</w:t>
      </w:r>
      <w:r>
        <w:rPr>
          <w:i/>
          <w:spacing w:val="-13"/>
          <w:sz w:val="24"/>
        </w:rPr>
        <w:t> </w:t>
      </w:r>
      <w:r>
        <w:rPr>
          <w:i/>
          <w:sz w:val="24"/>
        </w:rPr>
        <w:t>and</w:t>
      </w:r>
      <w:r>
        <w:rPr>
          <w:i/>
          <w:spacing w:val="-13"/>
          <w:sz w:val="24"/>
        </w:rPr>
        <w:t> </w:t>
      </w:r>
      <w:r>
        <w:rPr>
          <w:i/>
          <w:sz w:val="24"/>
        </w:rPr>
        <w:t>used</w:t>
      </w:r>
      <w:r>
        <w:rPr>
          <w:i/>
          <w:spacing w:val="-15"/>
          <w:sz w:val="24"/>
        </w:rPr>
        <w:t> </w:t>
      </w:r>
      <w:r>
        <w:rPr>
          <w:i/>
          <w:sz w:val="24"/>
        </w:rPr>
        <w:t>to</w:t>
      </w:r>
      <w:r>
        <w:rPr>
          <w:i/>
          <w:spacing w:val="-13"/>
          <w:sz w:val="24"/>
        </w:rPr>
        <w:t> </w:t>
      </w:r>
      <w:r>
        <w:rPr>
          <w:i/>
          <w:sz w:val="24"/>
        </w:rPr>
        <w:t>the</w:t>
      </w:r>
      <w:r>
        <w:rPr>
          <w:i/>
          <w:spacing w:val="-14"/>
          <w:sz w:val="24"/>
        </w:rPr>
        <w:t> </w:t>
      </w:r>
      <w:r>
        <w:rPr>
          <w:i/>
          <w:sz w:val="24"/>
        </w:rPr>
        <w:t>greatest</w:t>
      </w:r>
      <w:r>
        <w:rPr>
          <w:i/>
          <w:spacing w:val="-14"/>
          <w:sz w:val="24"/>
        </w:rPr>
        <w:t> </w:t>
      </w:r>
      <w:r>
        <w:rPr>
          <w:i/>
          <w:sz w:val="24"/>
        </w:rPr>
        <w:t>practicable</w:t>
      </w:r>
      <w:r>
        <w:rPr>
          <w:i/>
          <w:spacing w:val="-13"/>
          <w:sz w:val="24"/>
        </w:rPr>
        <w:t> </w:t>
      </w:r>
      <w:r>
        <w:rPr>
          <w:i/>
          <w:sz w:val="24"/>
        </w:rPr>
        <w:t>extent</w:t>
      </w:r>
      <w:r>
        <w:rPr>
          <w:i/>
          <w:spacing w:val="-15"/>
          <w:sz w:val="24"/>
        </w:rPr>
        <w:t> </w:t>
      </w:r>
      <w:r>
        <w:rPr>
          <w:i/>
          <w:sz w:val="24"/>
        </w:rPr>
        <w:t>by</w:t>
      </w:r>
      <w:r>
        <w:rPr>
          <w:i/>
          <w:spacing w:val="-15"/>
          <w:sz w:val="24"/>
        </w:rPr>
        <w:t> </w:t>
      </w:r>
      <w:r>
        <w:rPr>
          <w:i/>
          <w:sz w:val="24"/>
        </w:rPr>
        <w:t>people</w:t>
      </w:r>
      <w:r>
        <w:rPr>
          <w:i/>
          <w:spacing w:val="-15"/>
          <w:sz w:val="24"/>
        </w:rPr>
        <w:t> </w:t>
      </w:r>
      <w:r>
        <w:rPr>
          <w:i/>
          <w:sz w:val="24"/>
        </w:rPr>
        <w:t>with</w:t>
      </w:r>
      <w:r>
        <w:rPr>
          <w:i/>
          <w:spacing w:val="-16"/>
          <w:sz w:val="24"/>
        </w:rPr>
        <w:t> </w:t>
      </w:r>
      <w:r>
        <w:rPr>
          <w:i/>
          <w:sz w:val="24"/>
        </w:rPr>
        <w:t>disabilities:</w:t>
      </w:r>
    </w:p>
    <w:p>
      <w:pPr>
        <w:spacing w:before="121"/>
        <w:ind w:left="2059" w:right="0" w:firstLine="0"/>
        <w:jc w:val="both"/>
        <w:rPr>
          <w:i/>
          <w:sz w:val="24"/>
        </w:rPr>
      </w:pPr>
      <w:r>
        <w:rPr>
          <w:i/>
          <w:sz w:val="24"/>
        </w:rPr>
        <w:t>In</w:t>
      </w:r>
      <w:r>
        <w:rPr>
          <w:i/>
          <w:spacing w:val="-5"/>
          <w:sz w:val="24"/>
        </w:rPr>
        <w:t> </w:t>
      </w:r>
      <w:r>
        <w:rPr>
          <w:i/>
          <w:sz w:val="24"/>
        </w:rPr>
        <w:t>the</w:t>
      </w:r>
      <w:r>
        <w:rPr>
          <w:i/>
          <w:spacing w:val="-2"/>
          <w:sz w:val="24"/>
        </w:rPr>
        <w:t> </w:t>
      </w:r>
      <w:r>
        <w:rPr>
          <w:i/>
          <w:sz w:val="24"/>
        </w:rPr>
        <w:t>most</w:t>
      </w:r>
      <w:r>
        <w:rPr>
          <w:i/>
          <w:spacing w:val="-2"/>
          <w:sz w:val="24"/>
        </w:rPr>
        <w:t> </w:t>
      </w:r>
      <w:r>
        <w:rPr>
          <w:i/>
          <w:sz w:val="24"/>
        </w:rPr>
        <w:t>independent</w:t>
      </w:r>
      <w:r>
        <w:rPr>
          <w:i/>
          <w:spacing w:val="-2"/>
          <w:sz w:val="24"/>
        </w:rPr>
        <w:t> </w:t>
      </w:r>
      <w:r>
        <w:rPr>
          <w:i/>
          <w:sz w:val="24"/>
        </w:rPr>
        <w:t>and</w:t>
      </w:r>
      <w:r>
        <w:rPr>
          <w:i/>
          <w:spacing w:val="-2"/>
          <w:sz w:val="24"/>
        </w:rPr>
        <w:t> </w:t>
      </w:r>
      <w:r>
        <w:rPr>
          <w:i/>
          <w:sz w:val="24"/>
        </w:rPr>
        <w:t>natural</w:t>
      </w:r>
      <w:r>
        <w:rPr>
          <w:i/>
          <w:spacing w:val="-2"/>
          <w:sz w:val="24"/>
        </w:rPr>
        <w:t> </w:t>
      </w:r>
      <w:r>
        <w:rPr>
          <w:i/>
          <w:sz w:val="24"/>
        </w:rPr>
        <w:t>manner,</w:t>
      </w:r>
      <w:r>
        <w:rPr>
          <w:i/>
          <w:spacing w:val="-2"/>
          <w:sz w:val="24"/>
        </w:rPr>
        <w:t> </w:t>
      </w:r>
      <w:r>
        <w:rPr>
          <w:i/>
          <w:spacing w:val="-5"/>
          <w:sz w:val="24"/>
        </w:rPr>
        <w:t>and</w:t>
      </w:r>
    </w:p>
    <w:p>
      <w:pPr>
        <w:spacing w:before="118"/>
        <w:ind w:left="2415" w:right="993" w:hanging="356"/>
        <w:jc w:val="both"/>
        <w:rPr>
          <w:i/>
          <w:sz w:val="24"/>
        </w:rPr>
      </w:pPr>
      <w:r>
        <w:rPr>
          <w:i/>
          <w:sz w:val="24"/>
        </w:rPr>
        <w:t>In the widest possible range of situations without the need for adaptation,</w:t>
      </w:r>
      <w:r>
        <w:rPr>
          <w:i/>
          <w:sz w:val="24"/>
        </w:rPr>
        <w:t> modification, assistive devices or specialised solution (Part 6).</w:t>
      </w:r>
    </w:p>
    <w:p>
      <w:pPr>
        <w:pStyle w:val="BodyText"/>
        <w:spacing w:before="190"/>
        <w:rPr>
          <w:i/>
          <w:sz w:val="24"/>
        </w:rPr>
      </w:pPr>
    </w:p>
    <w:p>
      <w:pPr>
        <w:pStyle w:val="ListParagraph"/>
        <w:numPr>
          <w:ilvl w:val="1"/>
          <w:numId w:val="17"/>
        </w:numPr>
        <w:tabs>
          <w:tab w:pos="2000" w:val="left" w:leader="none"/>
        </w:tabs>
        <w:spacing w:line="240" w:lineRule="auto" w:before="0" w:after="0"/>
        <w:ind w:left="2000" w:right="0" w:hanging="298"/>
        <w:jc w:val="both"/>
        <w:rPr>
          <w:b/>
          <w:sz w:val="24"/>
        </w:rPr>
      </w:pPr>
      <w:r>
        <w:rPr>
          <w:b/>
          <w:sz w:val="24"/>
        </w:rPr>
        <w:t>Statement</w:t>
      </w:r>
      <w:r>
        <w:rPr>
          <w:b/>
          <w:spacing w:val="-1"/>
          <w:sz w:val="24"/>
        </w:rPr>
        <w:t> </w:t>
      </w:r>
      <w:r>
        <w:rPr>
          <w:b/>
          <w:sz w:val="24"/>
        </w:rPr>
        <w:t>of</w:t>
      </w:r>
      <w:r>
        <w:rPr>
          <w:b/>
          <w:spacing w:val="-2"/>
          <w:sz w:val="24"/>
        </w:rPr>
        <w:t> Compliance</w:t>
      </w:r>
    </w:p>
    <w:p>
      <w:pPr>
        <w:spacing w:line="300" w:lineRule="auto" w:before="69"/>
        <w:ind w:left="1702" w:right="989" w:firstLine="0"/>
        <w:jc w:val="both"/>
        <w:rPr>
          <w:sz w:val="24"/>
        </w:rPr>
      </w:pPr>
      <w:r>
        <w:rPr>
          <w:sz w:val="24"/>
        </w:rPr>
        <w:t>The</w:t>
      </w:r>
      <w:r>
        <w:rPr>
          <w:spacing w:val="-10"/>
          <w:sz w:val="24"/>
        </w:rPr>
        <w:t> </w:t>
      </w:r>
      <w:r>
        <w:rPr>
          <w:sz w:val="24"/>
        </w:rPr>
        <w:t>financial</w:t>
      </w:r>
      <w:r>
        <w:rPr>
          <w:spacing w:val="-12"/>
          <w:sz w:val="24"/>
        </w:rPr>
        <w:t> </w:t>
      </w:r>
      <w:r>
        <w:rPr>
          <w:sz w:val="24"/>
        </w:rPr>
        <w:t>statements</w:t>
      </w:r>
      <w:r>
        <w:rPr>
          <w:spacing w:val="-11"/>
          <w:sz w:val="24"/>
        </w:rPr>
        <w:t> </w:t>
      </w:r>
      <w:r>
        <w:rPr>
          <w:sz w:val="24"/>
        </w:rPr>
        <w:t>of</w:t>
      </w:r>
      <w:r>
        <w:rPr>
          <w:spacing w:val="-11"/>
          <w:sz w:val="24"/>
        </w:rPr>
        <w:t> </w:t>
      </w:r>
      <w:r>
        <w:rPr>
          <w:sz w:val="24"/>
        </w:rPr>
        <w:t>the</w:t>
      </w:r>
      <w:r>
        <w:rPr>
          <w:spacing w:val="-11"/>
          <w:sz w:val="24"/>
        </w:rPr>
        <w:t> </w:t>
      </w:r>
      <w:r>
        <w:rPr>
          <w:sz w:val="24"/>
        </w:rPr>
        <w:t>National</w:t>
      </w:r>
      <w:r>
        <w:rPr>
          <w:spacing w:val="-12"/>
          <w:sz w:val="24"/>
        </w:rPr>
        <w:t> </w:t>
      </w:r>
      <w:r>
        <w:rPr>
          <w:sz w:val="24"/>
        </w:rPr>
        <w:t>Disability</w:t>
      </w:r>
      <w:r>
        <w:rPr>
          <w:spacing w:val="-12"/>
          <w:sz w:val="24"/>
        </w:rPr>
        <w:t> </w:t>
      </w:r>
      <w:r>
        <w:rPr>
          <w:sz w:val="24"/>
        </w:rPr>
        <w:t>Authority</w:t>
      </w:r>
      <w:r>
        <w:rPr>
          <w:spacing w:val="-13"/>
          <w:sz w:val="24"/>
        </w:rPr>
        <w:t> </w:t>
      </w:r>
      <w:r>
        <w:rPr>
          <w:sz w:val="24"/>
        </w:rPr>
        <w:t>for</w:t>
      </w:r>
      <w:r>
        <w:rPr>
          <w:spacing w:val="-10"/>
          <w:sz w:val="24"/>
        </w:rPr>
        <w:t> </w:t>
      </w:r>
      <w:r>
        <w:rPr>
          <w:sz w:val="24"/>
        </w:rPr>
        <w:t>the</w:t>
      </w:r>
      <w:r>
        <w:rPr>
          <w:spacing w:val="-13"/>
          <w:sz w:val="24"/>
        </w:rPr>
        <w:t> </w:t>
      </w:r>
      <w:r>
        <w:rPr>
          <w:sz w:val="24"/>
        </w:rPr>
        <w:t>year</w:t>
      </w:r>
      <w:r>
        <w:rPr>
          <w:spacing w:val="-12"/>
          <w:sz w:val="24"/>
        </w:rPr>
        <w:t> </w:t>
      </w:r>
      <w:r>
        <w:rPr>
          <w:sz w:val="24"/>
        </w:rPr>
        <w:t>ended</w:t>
      </w:r>
      <w:r>
        <w:rPr>
          <w:spacing w:val="-10"/>
          <w:sz w:val="24"/>
        </w:rPr>
        <w:t> </w:t>
      </w:r>
      <w:r>
        <w:rPr>
          <w:sz w:val="24"/>
        </w:rPr>
        <w:t>31 December 2017 have been prepared in accordance with FRS 102, the financial reporting standard applicable in the UK and Ireland issued by the Financial Reporting Council (FRC), as promulgated by Chartered Accountants Ireland.</w:t>
      </w:r>
    </w:p>
    <w:p>
      <w:pPr>
        <w:pStyle w:val="BodyText"/>
        <w:spacing w:before="71"/>
        <w:rPr>
          <w:sz w:val="24"/>
        </w:rPr>
      </w:pPr>
    </w:p>
    <w:p>
      <w:pPr>
        <w:pStyle w:val="ListParagraph"/>
        <w:numPr>
          <w:ilvl w:val="1"/>
          <w:numId w:val="17"/>
        </w:numPr>
        <w:tabs>
          <w:tab w:pos="1980" w:val="left" w:leader="none"/>
        </w:tabs>
        <w:spacing w:line="240" w:lineRule="auto" w:before="0" w:after="0"/>
        <w:ind w:left="1980" w:right="0" w:hanging="278"/>
        <w:jc w:val="both"/>
        <w:rPr>
          <w:b/>
          <w:sz w:val="24"/>
        </w:rPr>
      </w:pPr>
      <w:r>
        <w:rPr>
          <w:b/>
          <w:sz w:val="24"/>
        </w:rPr>
        <w:t>Basis</w:t>
      </w:r>
      <w:r>
        <w:rPr>
          <w:b/>
          <w:spacing w:val="-1"/>
          <w:sz w:val="24"/>
        </w:rPr>
        <w:t> </w:t>
      </w:r>
      <w:r>
        <w:rPr>
          <w:b/>
          <w:sz w:val="24"/>
        </w:rPr>
        <w:t>of</w:t>
      </w:r>
      <w:r>
        <w:rPr>
          <w:b/>
          <w:spacing w:val="-1"/>
          <w:sz w:val="24"/>
        </w:rPr>
        <w:t> </w:t>
      </w:r>
      <w:r>
        <w:rPr>
          <w:b/>
          <w:spacing w:val="-2"/>
          <w:sz w:val="24"/>
        </w:rPr>
        <w:t>Preparation</w:t>
      </w:r>
    </w:p>
    <w:p>
      <w:pPr>
        <w:spacing w:line="300" w:lineRule="auto" w:before="70"/>
        <w:ind w:left="1702" w:right="988" w:firstLine="0"/>
        <w:jc w:val="both"/>
        <w:rPr>
          <w:sz w:val="24"/>
        </w:rPr>
      </w:pPr>
      <w:r>
        <w:rPr>
          <w:sz w:val="24"/>
        </w:rPr>
        <w:t>The financial statements have been prepared using the accruals method of accounting, except as indicated below and in accordance with FRS 102 under the historical cost convention. Financial Reporting Standards recommended by recognised accountancy bodies are adopted as they become operative. The financial statements are in the form approved by the Minister for Justice and Equality.</w:t>
      </w:r>
      <w:r>
        <w:rPr>
          <w:spacing w:val="-17"/>
          <w:sz w:val="24"/>
        </w:rPr>
        <w:t> </w:t>
      </w:r>
      <w:r>
        <w:rPr>
          <w:sz w:val="24"/>
        </w:rPr>
        <w:t>The</w:t>
      </w:r>
      <w:r>
        <w:rPr>
          <w:spacing w:val="-17"/>
          <w:sz w:val="24"/>
        </w:rPr>
        <w:t> </w:t>
      </w:r>
      <w:r>
        <w:rPr>
          <w:sz w:val="24"/>
        </w:rPr>
        <w:t>following</w:t>
      </w:r>
      <w:r>
        <w:rPr>
          <w:spacing w:val="-16"/>
          <w:sz w:val="24"/>
        </w:rPr>
        <w:t> </w:t>
      </w:r>
      <w:r>
        <w:rPr>
          <w:sz w:val="24"/>
        </w:rPr>
        <w:t>accounting</w:t>
      </w:r>
      <w:r>
        <w:rPr>
          <w:spacing w:val="-17"/>
          <w:sz w:val="24"/>
        </w:rPr>
        <w:t> </w:t>
      </w:r>
      <w:r>
        <w:rPr>
          <w:sz w:val="24"/>
        </w:rPr>
        <w:t>policies</w:t>
      </w:r>
      <w:r>
        <w:rPr>
          <w:spacing w:val="-17"/>
          <w:sz w:val="24"/>
        </w:rPr>
        <w:t> </w:t>
      </w:r>
      <w:r>
        <w:rPr>
          <w:sz w:val="24"/>
        </w:rPr>
        <w:t>have</w:t>
      </w:r>
      <w:r>
        <w:rPr>
          <w:spacing w:val="-17"/>
          <w:sz w:val="24"/>
        </w:rPr>
        <w:t> </w:t>
      </w:r>
      <w:r>
        <w:rPr>
          <w:sz w:val="24"/>
        </w:rPr>
        <w:t>been</w:t>
      </w:r>
      <w:r>
        <w:rPr>
          <w:spacing w:val="-16"/>
          <w:sz w:val="24"/>
        </w:rPr>
        <w:t> </w:t>
      </w:r>
      <w:r>
        <w:rPr>
          <w:sz w:val="24"/>
        </w:rPr>
        <w:t>applied</w:t>
      </w:r>
      <w:r>
        <w:rPr>
          <w:spacing w:val="-17"/>
          <w:sz w:val="24"/>
        </w:rPr>
        <w:t> </w:t>
      </w:r>
      <w:r>
        <w:rPr>
          <w:sz w:val="24"/>
        </w:rPr>
        <w:t>consistently</w:t>
      </w:r>
      <w:r>
        <w:rPr>
          <w:spacing w:val="-17"/>
          <w:sz w:val="24"/>
        </w:rPr>
        <w:t> </w:t>
      </w:r>
      <w:r>
        <w:rPr>
          <w:sz w:val="24"/>
        </w:rPr>
        <w:t>in</w:t>
      </w:r>
      <w:r>
        <w:rPr>
          <w:spacing w:val="-16"/>
          <w:sz w:val="24"/>
        </w:rPr>
        <w:t> </w:t>
      </w:r>
      <w:r>
        <w:rPr>
          <w:sz w:val="24"/>
        </w:rPr>
        <w:t>dealing with items which are considered material in relation to the National Disability Authority’s financial statements.</w:t>
      </w:r>
    </w:p>
    <w:p>
      <w:pPr>
        <w:spacing w:after="0" w:line="300" w:lineRule="auto"/>
        <w:jc w:val="both"/>
        <w:rPr>
          <w:sz w:val="24"/>
        </w:rPr>
        <w:sectPr>
          <w:pgSz w:w="11910" w:h="16850"/>
          <w:pgMar w:header="0" w:footer="811" w:top="1880" w:bottom="1000" w:left="283" w:right="992"/>
        </w:sectPr>
      </w:pPr>
    </w:p>
    <w:p>
      <w:pPr>
        <w:pStyle w:val="ListParagraph"/>
        <w:numPr>
          <w:ilvl w:val="1"/>
          <w:numId w:val="17"/>
        </w:numPr>
        <w:tabs>
          <w:tab w:pos="2000" w:val="left" w:leader="none"/>
        </w:tabs>
        <w:spacing w:line="240" w:lineRule="auto" w:before="78" w:after="0"/>
        <w:ind w:left="2000" w:right="0" w:hanging="298"/>
        <w:jc w:val="both"/>
        <w:rPr>
          <w:b/>
          <w:sz w:val="24"/>
        </w:rPr>
      </w:pPr>
      <w:r>
        <w:rPr>
          <w:b/>
          <w:spacing w:val="-2"/>
          <w:sz w:val="24"/>
        </w:rPr>
        <w:t>Revenue</w:t>
      </w:r>
    </w:p>
    <w:p>
      <w:pPr>
        <w:spacing w:before="70"/>
        <w:ind w:left="1702" w:right="0" w:firstLine="0"/>
        <w:jc w:val="both"/>
        <w:rPr>
          <w:sz w:val="24"/>
        </w:rPr>
      </w:pPr>
      <w:r>
        <w:rPr>
          <w:sz w:val="24"/>
          <w:u w:val="single"/>
        </w:rPr>
        <w:t>Oireachtas</w:t>
      </w:r>
      <w:r>
        <w:rPr>
          <w:spacing w:val="-2"/>
          <w:sz w:val="24"/>
          <w:u w:val="single"/>
        </w:rPr>
        <w:t> Grants</w:t>
      </w:r>
    </w:p>
    <w:p>
      <w:pPr>
        <w:spacing w:line="300" w:lineRule="auto" w:before="69"/>
        <w:ind w:left="1702" w:right="986" w:firstLine="0"/>
        <w:jc w:val="both"/>
        <w:rPr>
          <w:sz w:val="24"/>
        </w:rPr>
      </w:pPr>
      <w:r>
        <w:rPr>
          <w:sz w:val="24"/>
        </w:rPr>
        <w:t>The NDA receives a grant annually from the Department of Justice and Equality as provided in the National Disability Authority Act 1999. Revenue is generally recognised</w:t>
      </w:r>
      <w:r>
        <w:rPr>
          <w:spacing w:val="-2"/>
          <w:sz w:val="24"/>
        </w:rPr>
        <w:t> </w:t>
      </w:r>
      <w:r>
        <w:rPr>
          <w:sz w:val="24"/>
        </w:rPr>
        <w:t>on</w:t>
      </w:r>
      <w:r>
        <w:rPr>
          <w:spacing w:val="-2"/>
          <w:sz w:val="24"/>
        </w:rPr>
        <w:t> </w:t>
      </w:r>
      <w:r>
        <w:rPr>
          <w:sz w:val="24"/>
        </w:rPr>
        <w:t>an</w:t>
      </w:r>
      <w:r>
        <w:rPr>
          <w:spacing w:val="-4"/>
          <w:sz w:val="24"/>
        </w:rPr>
        <w:t> </w:t>
      </w:r>
      <w:r>
        <w:rPr>
          <w:sz w:val="24"/>
        </w:rPr>
        <w:t>accruals</w:t>
      </w:r>
      <w:r>
        <w:rPr>
          <w:spacing w:val="-4"/>
          <w:sz w:val="24"/>
        </w:rPr>
        <w:t> </w:t>
      </w:r>
      <w:r>
        <w:rPr>
          <w:sz w:val="24"/>
        </w:rPr>
        <w:t>basis;</w:t>
      </w:r>
      <w:r>
        <w:rPr>
          <w:spacing w:val="-2"/>
          <w:sz w:val="24"/>
        </w:rPr>
        <w:t> </w:t>
      </w:r>
      <w:r>
        <w:rPr>
          <w:sz w:val="24"/>
        </w:rPr>
        <w:t>one</w:t>
      </w:r>
      <w:r>
        <w:rPr>
          <w:spacing w:val="-2"/>
          <w:sz w:val="24"/>
        </w:rPr>
        <w:t> </w:t>
      </w:r>
      <w:r>
        <w:rPr>
          <w:sz w:val="24"/>
        </w:rPr>
        <w:t>exception</w:t>
      </w:r>
      <w:r>
        <w:rPr>
          <w:spacing w:val="-2"/>
          <w:sz w:val="24"/>
        </w:rPr>
        <w:t> </w:t>
      </w:r>
      <w:r>
        <w:rPr>
          <w:sz w:val="24"/>
        </w:rPr>
        <w:t>to</w:t>
      </w:r>
      <w:r>
        <w:rPr>
          <w:spacing w:val="-1"/>
          <w:sz w:val="24"/>
        </w:rPr>
        <w:t> </w:t>
      </w:r>
      <w:r>
        <w:rPr>
          <w:sz w:val="24"/>
        </w:rPr>
        <w:t>this</w:t>
      </w:r>
      <w:r>
        <w:rPr>
          <w:spacing w:val="-4"/>
          <w:sz w:val="24"/>
        </w:rPr>
        <w:t> </w:t>
      </w:r>
      <w:r>
        <w:rPr>
          <w:sz w:val="24"/>
        </w:rPr>
        <w:t>is</w:t>
      </w:r>
      <w:r>
        <w:rPr>
          <w:spacing w:val="-4"/>
          <w:sz w:val="24"/>
        </w:rPr>
        <w:t> </w:t>
      </w:r>
      <w:r>
        <w:rPr>
          <w:sz w:val="24"/>
        </w:rPr>
        <w:t>in</w:t>
      </w:r>
      <w:r>
        <w:rPr>
          <w:spacing w:val="-2"/>
          <w:sz w:val="24"/>
        </w:rPr>
        <w:t> </w:t>
      </w:r>
      <w:r>
        <w:rPr>
          <w:sz w:val="24"/>
        </w:rPr>
        <w:t>the</w:t>
      </w:r>
      <w:r>
        <w:rPr>
          <w:spacing w:val="-2"/>
          <w:sz w:val="24"/>
        </w:rPr>
        <w:t> </w:t>
      </w:r>
      <w:r>
        <w:rPr>
          <w:sz w:val="24"/>
        </w:rPr>
        <w:t>case</w:t>
      </w:r>
      <w:r>
        <w:rPr>
          <w:spacing w:val="-2"/>
          <w:sz w:val="24"/>
        </w:rPr>
        <w:t> </w:t>
      </w:r>
      <w:r>
        <w:rPr>
          <w:sz w:val="24"/>
        </w:rPr>
        <w:t>of</w:t>
      </w:r>
      <w:r>
        <w:rPr>
          <w:spacing w:val="-2"/>
          <w:sz w:val="24"/>
        </w:rPr>
        <w:t> </w:t>
      </w:r>
      <w:r>
        <w:rPr>
          <w:sz w:val="24"/>
        </w:rPr>
        <w:t>Oireachtas Grants, which are recognised on a cash receipts basis.</w:t>
      </w:r>
    </w:p>
    <w:p>
      <w:pPr>
        <w:pStyle w:val="BodyText"/>
        <w:spacing w:before="70"/>
        <w:rPr>
          <w:sz w:val="24"/>
        </w:rPr>
      </w:pPr>
    </w:p>
    <w:p>
      <w:pPr>
        <w:pStyle w:val="ListParagraph"/>
        <w:numPr>
          <w:ilvl w:val="1"/>
          <w:numId w:val="17"/>
        </w:numPr>
        <w:tabs>
          <w:tab w:pos="1991" w:val="left" w:leader="none"/>
        </w:tabs>
        <w:spacing w:line="240" w:lineRule="auto" w:before="0" w:after="0"/>
        <w:ind w:left="1991" w:right="0" w:hanging="289"/>
        <w:jc w:val="both"/>
        <w:rPr>
          <w:b/>
          <w:sz w:val="24"/>
        </w:rPr>
      </w:pPr>
      <w:r>
        <w:rPr>
          <w:b/>
          <w:sz w:val="24"/>
        </w:rPr>
        <w:t>Property,</w:t>
      </w:r>
      <w:r>
        <w:rPr>
          <w:b/>
          <w:spacing w:val="-2"/>
          <w:sz w:val="24"/>
        </w:rPr>
        <w:t> </w:t>
      </w:r>
      <w:r>
        <w:rPr>
          <w:b/>
          <w:sz w:val="24"/>
        </w:rPr>
        <w:t>Plant</w:t>
      </w:r>
      <w:r>
        <w:rPr>
          <w:b/>
          <w:spacing w:val="-1"/>
          <w:sz w:val="24"/>
        </w:rPr>
        <w:t> </w:t>
      </w:r>
      <w:r>
        <w:rPr>
          <w:b/>
          <w:sz w:val="24"/>
        </w:rPr>
        <w:t>and</w:t>
      </w:r>
      <w:r>
        <w:rPr>
          <w:b/>
          <w:spacing w:val="-2"/>
          <w:sz w:val="24"/>
        </w:rPr>
        <w:t> Equipment</w:t>
      </w:r>
    </w:p>
    <w:p>
      <w:pPr>
        <w:spacing w:line="300" w:lineRule="auto" w:before="71"/>
        <w:ind w:left="1702" w:right="985" w:firstLine="0"/>
        <w:jc w:val="both"/>
        <w:rPr>
          <w:sz w:val="24"/>
        </w:rPr>
      </w:pPr>
      <w:r>
        <w:rPr>
          <w:sz w:val="24"/>
        </w:rPr>
        <w:t>Property, plant and equipment are stated at cost less accumulated depreciation, adjusted for any provision for impairment. Depreciation is provided on all property, plant and equipment, other than premises, at rates estimated to write off the cost less the estimated residual value of each asset on a straight-line basis over their estimated useful lives, as follows:</w:t>
      </w:r>
    </w:p>
    <w:p>
      <w:pPr>
        <w:pStyle w:val="ListParagraph"/>
        <w:numPr>
          <w:ilvl w:val="0"/>
          <w:numId w:val="18"/>
        </w:numPr>
        <w:tabs>
          <w:tab w:pos="2496" w:val="left" w:leader="none"/>
          <w:tab w:pos="6022" w:val="left" w:leader="none"/>
        </w:tabs>
        <w:spacing w:line="240" w:lineRule="auto" w:before="0" w:after="0"/>
        <w:ind w:left="2496" w:right="0" w:hanging="434"/>
        <w:jc w:val="left"/>
        <w:rPr>
          <w:sz w:val="24"/>
        </w:rPr>
      </w:pPr>
      <w:r>
        <w:rPr>
          <w:sz w:val="24"/>
        </w:rPr>
        <w:t>Freehold </w:t>
      </w:r>
      <w:r>
        <w:rPr>
          <w:spacing w:val="-2"/>
          <w:sz w:val="24"/>
        </w:rPr>
        <w:t>Premises</w:t>
      </w:r>
      <w:r>
        <w:rPr>
          <w:sz w:val="24"/>
        </w:rPr>
        <w:tab/>
        <w:t>2.5%</w:t>
      </w:r>
      <w:r>
        <w:rPr>
          <w:spacing w:val="-2"/>
          <w:sz w:val="24"/>
        </w:rPr>
        <w:t> </w:t>
      </w:r>
      <w:r>
        <w:rPr>
          <w:sz w:val="24"/>
        </w:rPr>
        <w:t>per</w:t>
      </w:r>
      <w:r>
        <w:rPr>
          <w:spacing w:val="-2"/>
          <w:sz w:val="24"/>
        </w:rPr>
        <w:t> </w:t>
      </w:r>
      <w:r>
        <w:rPr>
          <w:sz w:val="24"/>
        </w:rPr>
        <w:t>annum</w:t>
      </w:r>
      <w:r>
        <w:rPr>
          <w:spacing w:val="-1"/>
          <w:sz w:val="24"/>
        </w:rPr>
        <w:t> </w:t>
      </w:r>
      <w:r>
        <w:rPr>
          <w:sz w:val="24"/>
        </w:rPr>
        <w:t>(Reducing </w:t>
      </w:r>
      <w:r>
        <w:rPr>
          <w:spacing w:val="-2"/>
          <w:sz w:val="24"/>
        </w:rPr>
        <w:t>balance)</w:t>
      </w:r>
    </w:p>
    <w:p>
      <w:pPr>
        <w:pStyle w:val="ListParagraph"/>
        <w:numPr>
          <w:ilvl w:val="0"/>
          <w:numId w:val="18"/>
        </w:numPr>
        <w:tabs>
          <w:tab w:pos="2493" w:val="left" w:leader="none"/>
          <w:tab w:pos="6022" w:val="left" w:leader="none"/>
        </w:tabs>
        <w:spacing w:line="240" w:lineRule="auto" w:before="70" w:after="0"/>
        <w:ind w:left="2493" w:right="0" w:hanging="431"/>
        <w:jc w:val="left"/>
        <w:rPr>
          <w:sz w:val="24"/>
        </w:rPr>
      </w:pPr>
      <w:r>
        <w:rPr>
          <w:sz w:val="24"/>
        </w:rPr>
        <w:t>Fixtures</w:t>
      </w:r>
      <w:r>
        <w:rPr>
          <w:spacing w:val="-2"/>
          <w:sz w:val="24"/>
        </w:rPr>
        <w:t> </w:t>
      </w:r>
      <w:r>
        <w:rPr>
          <w:sz w:val="24"/>
        </w:rPr>
        <w:t>and</w:t>
      </w:r>
      <w:r>
        <w:rPr>
          <w:spacing w:val="-1"/>
          <w:sz w:val="24"/>
        </w:rPr>
        <w:t> </w:t>
      </w:r>
      <w:r>
        <w:rPr>
          <w:sz w:val="24"/>
        </w:rPr>
        <w:t>Fittings,</w:t>
      </w:r>
      <w:r>
        <w:rPr>
          <w:spacing w:val="-1"/>
          <w:sz w:val="24"/>
        </w:rPr>
        <w:t> </w:t>
      </w:r>
      <w:r>
        <w:rPr>
          <w:spacing w:val="-2"/>
          <w:sz w:val="24"/>
        </w:rPr>
        <w:t>Equipment</w:t>
      </w:r>
      <w:r>
        <w:rPr>
          <w:sz w:val="24"/>
        </w:rPr>
        <w:tab/>
        <w:t>10%</w:t>
      </w:r>
      <w:r>
        <w:rPr>
          <w:spacing w:val="-1"/>
          <w:sz w:val="24"/>
        </w:rPr>
        <w:t> </w:t>
      </w:r>
      <w:r>
        <w:rPr>
          <w:sz w:val="24"/>
        </w:rPr>
        <w:t>per</w:t>
      </w:r>
      <w:r>
        <w:rPr>
          <w:spacing w:val="-2"/>
          <w:sz w:val="24"/>
        </w:rPr>
        <w:t> </w:t>
      </w:r>
      <w:r>
        <w:rPr>
          <w:sz w:val="24"/>
        </w:rPr>
        <w:t>annum</w:t>
      </w:r>
      <w:r>
        <w:rPr>
          <w:spacing w:val="-1"/>
          <w:sz w:val="24"/>
        </w:rPr>
        <w:t> </w:t>
      </w:r>
      <w:r>
        <w:rPr>
          <w:sz w:val="24"/>
        </w:rPr>
        <w:t>(Straight</w:t>
      </w:r>
      <w:r>
        <w:rPr>
          <w:spacing w:val="-3"/>
          <w:sz w:val="24"/>
        </w:rPr>
        <w:t> </w:t>
      </w:r>
      <w:r>
        <w:rPr>
          <w:spacing w:val="-2"/>
          <w:sz w:val="24"/>
        </w:rPr>
        <w:t>line)</w:t>
      </w:r>
    </w:p>
    <w:p>
      <w:pPr>
        <w:pStyle w:val="ListParagraph"/>
        <w:numPr>
          <w:ilvl w:val="0"/>
          <w:numId w:val="18"/>
        </w:numPr>
        <w:tabs>
          <w:tab w:pos="2492" w:val="left" w:leader="none"/>
        </w:tabs>
        <w:spacing w:line="240" w:lineRule="auto" w:before="67" w:after="0"/>
        <w:ind w:left="2492" w:right="0" w:hanging="430"/>
        <w:jc w:val="left"/>
        <w:rPr>
          <w:sz w:val="24"/>
        </w:rPr>
      </w:pPr>
      <w:r>
        <w:rPr>
          <w:sz w:val="24"/>
        </w:rPr>
        <w:t>Computer hardware and</w:t>
      </w:r>
      <w:r>
        <w:rPr>
          <w:spacing w:val="-3"/>
          <w:sz w:val="24"/>
        </w:rPr>
        <w:t> </w:t>
      </w:r>
      <w:r>
        <w:rPr>
          <w:sz w:val="24"/>
        </w:rPr>
        <w:t>software</w:t>
      </w:r>
      <w:r>
        <w:rPr>
          <w:spacing w:val="26"/>
          <w:sz w:val="24"/>
        </w:rPr>
        <w:t>  </w:t>
      </w:r>
      <w:r>
        <w:rPr>
          <w:sz w:val="24"/>
        </w:rPr>
        <w:t>20% per</w:t>
      </w:r>
      <w:r>
        <w:rPr>
          <w:spacing w:val="-2"/>
          <w:sz w:val="24"/>
        </w:rPr>
        <w:t> </w:t>
      </w:r>
      <w:r>
        <w:rPr>
          <w:sz w:val="24"/>
        </w:rPr>
        <w:t>annum</w:t>
      </w:r>
      <w:r>
        <w:rPr>
          <w:spacing w:val="-1"/>
          <w:sz w:val="24"/>
        </w:rPr>
        <w:t> </w:t>
      </w:r>
      <w:r>
        <w:rPr>
          <w:sz w:val="24"/>
        </w:rPr>
        <w:t>(Straight</w:t>
      </w:r>
      <w:r>
        <w:rPr>
          <w:spacing w:val="-3"/>
          <w:sz w:val="24"/>
        </w:rPr>
        <w:t> </w:t>
      </w:r>
      <w:r>
        <w:rPr>
          <w:spacing w:val="-2"/>
          <w:sz w:val="24"/>
        </w:rPr>
        <w:t>line)</w:t>
      </w:r>
    </w:p>
    <w:p>
      <w:pPr>
        <w:pStyle w:val="BodyText"/>
        <w:spacing w:before="140"/>
        <w:rPr>
          <w:sz w:val="24"/>
        </w:rPr>
      </w:pPr>
    </w:p>
    <w:p>
      <w:pPr>
        <w:spacing w:line="300" w:lineRule="auto" w:before="0"/>
        <w:ind w:left="1702" w:right="988" w:firstLine="0"/>
        <w:jc w:val="both"/>
        <w:rPr>
          <w:sz w:val="24"/>
        </w:rPr>
      </w:pPr>
      <w:r>
        <w:rPr>
          <w:sz w:val="24"/>
        </w:rPr>
        <w:t>Residual value represents the estimated amount which would currently be obtained from disposal of an asset, after deducting estimated costs of disposal, if the asset were already of an age and in the condition expected at the end of its useful life.</w:t>
      </w:r>
    </w:p>
    <w:p>
      <w:pPr>
        <w:pStyle w:val="BodyText"/>
        <w:spacing w:before="70"/>
        <w:rPr>
          <w:sz w:val="24"/>
        </w:rPr>
      </w:pPr>
    </w:p>
    <w:p>
      <w:pPr>
        <w:spacing w:line="300" w:lineRule="auto" w:before="0"/>
        <w:ind w:left="1702" w:right="991" w:firstLine="0"/>
        <w:jc w:val="both"/>
        <w:rPr>
          <w:sz w:val="24"/>
        </w:rPr>
      </w:pPr>
      <w:r>
        <w:rPr>
          <w:sz w:val="24"/>
        </w:rPr>
        <w:t>If</w:t>
      </w:r>
      <w:r>
        <w:rPr>
          <w:spacing w:val="-9"/>
          <w:sz w:val="24"/>
        </w:rPr>
        <w:t> </w:t>
      </w:r>
      <w:r>
        <w:rPr>
          <w:sz w:val="24"/>
        </w:rPr>
        <w:t>there</w:t>
      </w:r>
      <w:r>
        <w:rPr>
          <w:spacing w:val="-9"/>
          <w:sz w:val="24"/>
        </w:rPr>
        <w:t> </w:t>
      </w:r>
      <w:r>
        <w:rPr>
          <w:sz w:val="24"/>
        </w:rPr>
        <w:t>is</w:t>
      </w:r>
      <w:r>
        <w:rPr>
          <w:spacing w:val="-10"/>
          <w:sz w:val="24"/>
        </w:rPr>
        <w:t> </w:t>
      </w:r>
      <w:r>
        <w:rPr>
          <w:sz w:val="24"/>
        </w:rPr>
        <w:t>objective</w:t>
      </w:r>
      <w:r>
        <w:rPr>
          <w:spacing w:val="-9"/>
          <w:sz w:val="24"/>
        </w:rPr>
        <w:t> </w:t>
      </w:r>
      <w:r>
        <w:rPr>
          <w:sz w:val="24"/>
        </w:rPr>
        <w:t>evidence</w:t>
      </w:r>
      <w:r>
        <w:rPr>
          <w:spacing w:val="-9"/>
          <w:sz w:val="24"/>
        </w:rPr>
        <w:t> </w:t>
      </w:r>
      <w:r>
        <w:rPr>
          <w:sz w:val="24"/>
        </w:rPr>
        <w:t>of</w:t>
      </w:r>
      <w:r>
        <w:rPr>
          <w:spacing w:val="-10"/>
          <w:sz w:val="24"/>
        </w:rPr>
        <w:t> </w:t>
      </w:r>
      <w:r>
        <w:rPr>
          <w:sz w:val="24"/>
        </w:rPr>
        <w:t>impairment</w:t>
      </w:r>
      <w:r>
        <w:rPr>
          <w:spacing w:val="-10"/>
          <w:sz w:val="24"/>
        </w:rPr>
        <w:t> </w:t>
      </w:r>
      <w:r>
        <w:rPr>
          <w:sz w:val="24"/>
        </w:rPr>
        <w:t>of</w:t>
      </w:r>
      <w:r>
        <w:rPr>
          <w:spacing w:val="-10"/>
          <w:sz w:val="24"/>
        </w:rPr>
        <w:t> </w:t>
      </w:r>
      <w:r>
        <w:rPr>
          <w:sz w:val="24"/>
        </w:rPr>
        <w:t>the</w:t>
      </w:r>
      <w:r>
        <w:rPr>
          <w:spacing w:val="-12"/>
          <w:sz w:val="24"/>
        </w:rPr>
        <w:t> </w:t>
      </w:r>
      <w:r>
        <w:rPr>
          <w:sz w:val="24"/>
        </w:rPr>
        <w:t>value</w:t>
      </w:r>
      <w:r>
        <w:rPr>
          <w:spacing w:val="-9"/>
          <w:sz w:val="24"/>
        </w:rPr>
        <w:t> </w:t>
      </w:r>
      <w:r>
        <w:rPr>
          <w:sz w:val="24"/>
        </w:rPr>
        <w:t>of</w:t>
      </w:r>
      <w:r>
        <w:rPr>
          <w:spacing w:val="-10"/>
          <w:sz w:val="24"/>
        </w:rPr>
        <w:t> </w:t>
      </w:r>
      <w:r>
        <w:rPr>
          <w:sz w:val="24"/>
        </w:rPr>
        <w:t>an</w:t>
      </w:r>
      <w:r>
        <w:rPr>
          <w:spacing w:val="-8"/>
          <w:sz w:val="24"/>
        </w:rPr>
        <w:t> </w:t>
      </w:r>
      <w:r>
        <w:rPr>
          <w:sz w:val="24"/>
        </w:rPr>
        <w:t>asset,</w:t>
      </w:r>
      <w:r>
        <w:rPr>
          <w:spacing w:val="-9"/>
          <w:sz w:val="24"/>
        </w:rPr>
        <w:t> </w:t>
      </w:r>
      <w:r>
        <w:rPr>
          <w:sz w:val="24"/>
        </w:rPr>
        <w:t>an</w:t>
      </w:r>
      <w:r>
        <w:rPr>
          <w:spacing w:val="-8"/>
          <w:sz w:val="24"/>
        </w:rPr>
        <w:t> </w:t>
      </w:r>
      <w:r>
        <w:rPr>
          <w:sz w:val="24"/>
        </w:rPr>
        <w:t>impairment loss is recognised in the Statement of Income and Expenditure and Retained Revenue Reserves in the year.</w:t>
      </w:r>
    </w:p>
    <w:p>
      <w:pPr>
        <w:pStyle w:val="BodyText"/>
        <w:spacing w:before="70"/>
        <w:rPr>
          <w:sz w:val="24"/>
        </w:rPr>
      </w:pPr>
    </w:p>
    <w:p>
      <w:pPr>
        <w:pStyle w:val="ListParagraph"/>
        <w:numPr>
          <w:ilvl w:val="1"/>
          <w:numId w:val="17"/>
        </w:numPr>
        <w:tabs>
          <w:tab w:pos="1931" w:val="left" w:leader="none"/>
        </w:tabs>
        <w:spacing w:line="240" w:lineRule="auto" w:before="0" w:after="0"/>
        <w:ind w:left="1931" w:right="0" w:hanging="229"/>
        <w:jc w:val="both"/>
        <w:rPr>
          <w:b/>
          <w:sz w:val="24"/>
        </w:rPr>
      </w:pPr>
      <w:r>
        <w:rPr>
          <w:b/>
          <w:sz w:val="24"/>
        </w:rPr>
        <w:t>Capital</w:t>
      </w:r>
      <w:r>
        <w:rPr>
          <w:b/>
          <w:spacing w:val="-2"/>
          <w:sz w:val="24"/>
        </w:rPr>
        <w:t> Account</w:t>
      </w:r>
    </w:p>
    <w:p>
      <w:pPr>
        <w:spacing w:line="300" w:lineRule="auto" w:before="70"/>
        <w:ind w:left="1702" w:right="990" w:firstLine="0"/>
        <w:jc w:val="both"/>
        <w:rPr>
          <w:sz w:val="24"/>
        </w:rPr>
      </w:pPr>
      <w:r>
        <w:rPr>
          <w:sz w:val="24"/>
        </w:rPr>
        <w:t>The</w:t>
      </w:r>
      <w:r>
        <w:rPr>
          <w:spacing w:val="-3"/>
          <w:sz w:val="24"/>
        </w:rPr>
        <w:t> </w:t>
      </w:r>
      <w:r>
        <w:rPr>
          <w:sz w:val="24"/>
        </w:rPr>
        <w:t>Capital</w:t>
      </w:r>
      <w:r>
        <w:rPr>
          <w:spacing w:val="-3"/>
          <w:sz w:val="24"/>
        </w:rPr>
        <w:t> </w:t>
      </w:r>
      <w:r>
        <w:rPr>
          <w:sz w:val="24"/>
        </w:rPr>
        <w:t>Account</w:t>
      </w:r>
      <w:r>
        <w:rPr>
          <w:spacing w:val="-3"/>
          <w:sz w:val="24"/>
        </w:rPr>
        <w:t> </w:t>
      </w:r>
      <w:r>
        <w:rPr>
          <w:sz w:val="24"/>
        </w:rPr>
        <w:t>represents</w:t>
      </w:r>
      <w:r>
        <w:rPr>
          <w:spacing w:val="-5"/>
          <w:sz w:val="24"/>
        </w:rPr>
        <w:t> </w:t>
      </w:r>
      <w:r>
        <w:rPr>
          <w:sz w:val="24"/>
        </w:rPr>
        <w:t>the</w:t>
      </w:r>
      <w:r>
        <w:rPr>
          <w:spacing w:val="-3"/>
          <w:sz w:val="24"/>
        </w:rPr>
        <w:t> </w:t>
      </w:r>
      <w:r>
        <w:rPr>
          <w:sz w:val="24"/>
        </w:rPr>
        <w:t>unamortised</w:t>
      </w:r>
      <w:r>
        <w:rPr>
          <w:spacing w:val="-3"/>
          <w:sz w:val="24"/>
        </w:rPr>
        <w:t> </w:t>
      </w:r>
      <w:r>
        <w:rPr>
          <w:sz w:val="24"/>
        </w:rPr>
        <w:t>value</w:t>
      </w:r>
      <w:r>
        <w:rPr>
          <w:spacing w:val="-3"/>
          <w:sz w:val="24"/>
        </w:rPr>
        <w:t> </w:t>
      </w:r>
      <w:r>
        <w:rPr>
          <w:sz w:val="24"/>
        </w:rPr>
        <w:t>of</w:t>
      </w:r>
      <w:r>
        <w:rPr>
          <w:spacing w:val="-3"/>
          <w:sz w:val="24"/>
        </w:rPr>
        <w:t> </w:t>
      </w:r>
      <w:r>
        <w:rPr>
          <w:sz w:val="24"/>
        </w:rPr>
        <w:t>income</w:t>
      </w:r>
      <w:r>
        <w:rPr>
          <w:spacing w:val="-3"/>
          <w:sz w:val="24"/>
        </w:rPr>
        <w:t> </w:t>
      </w:r>
      <w:r>
        <w:rPr>
          <w:sz w:val="24"/>
        </w:rPr>
        <w:t>used</w:t>
      </w:r>
      <w:r>
        <w:rPr>
          <w:spacing w:val="-3"/>
          <w:sz w:val="24"/>
        </w:rPr>
        <w:t> </w:t>
      </w:r>
      <w:r>
        <w:rPr>
          <w:sz w:val="24"/>
        </w:rPr>
        <w:t>for</w:t>
      </w:r>
      <w:r>
        <w:rPr>
          <w:spacing w:val="-5"/>
          <w:sz w:val="24"/>
        </w:rPr>
        <w:t> </w:t>
      </w:r>
      <w:r>
        <w:rPr>
          <w:sz w:val="24"/>
        </w:rPr>
        <w:t>capital purposes (i.e. acquisitions).</w:t>
      </w:r>
    </w:p>
    <w:p>
      <w:pPr>
        <w:pStyle w:val="BodyText"/>
        <w:spacing w:before="70"/>
        <w:rPr>
          <w:sz w:val="24"/>
        </w:rPr>
      </w:pPr>
    </w:p>
    <w:p>
      <w:pPr>
        <w:pStyle w:val="ListParagraph"/>
        <w:numPr>
          <w:ilvl w:val="1"/>
          <w:numId w:val="17"/>
        </w:numPr>
        <w:tabs>
          <w:tab w:pos="1989" w:val="left" w:leader="none"/>
        </w:tabs>
        <w:spacing w:line="240" w:lineRule="auto" w:before="0" w:after="0"/>
        <w:ind w:left="1989" w:right="0" w:hanging="287"/>
        <w:jc w:val="both"/>
        <w:rPr>
          <w:b/>
          <w:sz w:val="24"/>
        </w:rPr>
      </w:pPr>
      <w:r>
        <w:rPr>
          <w:b/>
          <w:spacing w:val="-2"/>
          <w:sz w:val="24"/>
        </w:rPr>
        <w:t>Receivables</w:t>
      </w:r>
    </w:p>
    <w:p>
      <w:pPr>
        <w:spacing w:line="300" w:lineRule="auto" w:before="70"/>
        <w:ind w:left="1702" w:right="990" w:firstLine="0"/>
        <w:jc w:val="both"/>
        <w:rPr>
          <w:sz w:val="24"/>
        </w:rPr>
      </w:pPr>
      <w:r>
        <w:rPr>
          <w:sz w:val="24"/>
        </w:rPr>
        <w:t>Receivables are recognised at fair value, less a provision for doubtful debts. The provision for doubtful debts is a specific provision, and is established when there is objective evidence that the NDA will not be able to collect all amounts owed to it. All movements in the provision for doubtful debts are recognised in the Statement of Income and Expenditure and Retained Revenue Reserves.</w:t>
      </w:r>
    </w:p>
    <w:p>
      <w:pPr>
        <w:spacing w:after="0" w:line="300" w:lineRule="auto"/>
        <w:jc w:val="both"/>
        <w:rPr>
          <w:sz w:val="24"/>
        </w:rPr>
        <w:sectPr>
          <w:pgSz w:w="11910" w:h="16850"/>
          <w:pgMar w:header="0" w:footer="811" w:top="1880" w:bottom="1000" w:left="283" w:right="992"/>
        </w:sectPr>
      </w:pPr>
    </w:p>
    <w:p>
      <w:pPr>
        <w:pStyle w:val="ListParagraph"/>
        <w:numPr>
          <w:ilvl w:val="1"/>
          <w:numId w:val="17"/>
        </w:numPr>
        <w:tabs>
          <w:tab w:pos="2000" w:val="left" w:leader="none"/>
        </w:tabs>
        <w:spacing w:line="240" w:lineRule="auto" w:before="78" w:after="0"/>
        <w:ind w:left="2000" w:right="0" w:hanging="298"/>
        <w:jc w:val="both"/>
        <w:rPr>
          <w:b/>
          <w:sz w:val="24"/>
        </w:rPr>
      </w:pPr>
      <w:r>
        <w:rPr>
          <w:b/>
          <w:sz w:val="24"/>
        </w:rPr>
        <w:t>Employee</w:t>
      </w:r>
      <w:r>
        <w:rPr>
          <w:b/>
          <w:spacing w:val="-8"/>
          <w:sz w:val="24"/>
        </w:rPr>
        <w:t> </w:t>
      </w:r>
      <w:r>
        <w:rPr>
          <w:b/>
          <w:spacing w:val="-2"/>
          <w:sz w:val="24"/>
        </w:rPr>
        <w:t>Benefits</w:t>
      </w:r>
    </w:p>
    <w:p>
      <w:pPr>
        <w:spacing w:before="70"/>
        <w:ind w:left="1702" w:right="0" w:firstLine="0"/>
        <w:jc w:val="both"/>
        <w:rPr>
          <w:sz w:val="24"/>
        </w:rPr>
      </w:pPr>
      <w:r>
        <w:rPr>
          <w:sz w:val="24"/>
          <w:u w:val="single"/>
        </w:rPr>
        <w:t>Short-term</w:t>
      </w:r>
      <w:r>
        <w:rPr>
          <w:spacing w:val="-2"/>
          <w:sz w:val="24"/>
          <w:u w:val="single"/>
        </w:rPr>
        <w:t> Benefits</w:t>
      </w:r>
    </w:p>
    <w:p>
      <w:pPr>
        <w:spacing w:line="300" w:lineRule="auto" w:before="69"/>
        <w:ind w:left="1702" w:right="987" w:firstLine="0"/>
        <w:jc w:val="both"/>
        <w:rPr>
          <w:sz w:val="24"/>
        </w:rPr>
      </w:pPr>
      <w:r>
        <w:rPr>
          <w:sz w:val="24"/>
        </w:rPr>
        <w:t>Short-term benefits</w:t>
      </w:r>
      <w:r>
        <w:rPr>
          <w:spacing w:val="-2"/>
          <w:sz w:val="24"/>
        </w:rPr>
        <w:t> </w:t>
      </w:r>
      <w:r>
        <w:rPr>
          <w:sz w:val="24"/>
        </w:rPr>
        <w:t>such as holiday pay are recognised as an expense in the year, and</w:t>
      </w:r>
      <w:r>
        <w:rPr>
          <w:spacing w:val="-5"/>
          <w:sz w:val="24"/>
        </w:rPr>
        <w:t> </w:t>
      </w:r>
      <w:r>
        <w:rPr>
          <w:sz w:val="24"/>
        </w:rPr>
        <w:t>benefits</w:t>
      </w:r>
      <w:r>
        <w:rPr>
          <w:spacing w:val="-7"/>
          <w:sz w:val="24"/>
        </w:rPr>
        <w:t> </w:t>
      </w:r>
      <w:r>
        <w:rPr>
          <w:sz w:val="24"/>
        </w:rPr>
        <w:t>that</w:t>
      </w:r>
      <w:r>
        <w:rPr>
          <w:spacing w:val="-8"/>
          <w:sz w:val="24"/>
        </w:rPr>
        <w:t> </w:t>
      </w:r>
      <w:r>
        <w:rPr>
          <w:sz w:val="24"/>
        </w:rPr>
        <w:t>are</w:t>
      </w:r>
      <w:r>
        <w:rPr>
          <w:spacing w:val="-8"/>
          <w:sz w:val="24"/>
        </w:rPr>
        <w:t> </w:t>
      </w:r>
      <w:r>
        <w:rPr>
          <w:sz w:val="24"/>
        </w:rPr>
        <w:t>accrued</w:t>
      </w:r>
      <w:r>
        <w:rPr>
          <w:spacing w:val="-5"/>
          <w:sz w:val="24"/>
        </w:rPr>
        <w:t> </w:t>
      </w:r>
      <w:r>
        <w:rPr>
          <w:sz w:val="24"/>
        </w:rPr>
        <w:t>at</w:t>
      </w:r>
      <w:r>
        <w:rPr>
          <w:spacing w:val="-5"/>
          <w:sz w:val="24"/>
        </w:rPr>
        <w:t> </w:t>
      </w:r>
      <w:r>
        <w:rPr>
          <w:sz w:val="24"/>
        </w:rPr>
        <w:t>year-end</w:t>
      </w:r>
      <w:r>
        <w:rPr>
          <w:spacing w:val="-7"/>
          <w:sz w:val="24"/>
        </w:rPr>
        <w:t> </w:t>
      </w:r>
      <w:r>
        <w:rPr>
          <w:sz w:val="24"/>
        </w:rPr>
        <w:t>are</w:t>
      </w:r>
      <w:r>
        <w:rPr>
          <w:spacing w:val="-8"/>
          <w:sz w:val="24"/>
        </w:rPr>
        <w:t> </w:t>
      </w:r>
      <w:r>
        <w:rPr>
          <w:sz w:val="24"/>
        </w:rPr>
        <w:t>included</w:t>
      </w:r>
      <w:r>
        <w:rPr>
          <w:spacing w:val="-5"/>
          <w:sz w:val="24"/>
        </w:rPr>
        <w:t> </w:t>
      </w:r>
      <w:r>
        <w:rPr>
          <w:sz w:val="24"/>
        </w:rPr>
        <w:t>in</w:t>
      </w:r>
      <w:r>
        <w:rPr>
          <w:spacing w:val="-5"/>
          <w:sz w:val="24"/>
        </w:rPr>
        <w:t> </w:t>
      </w:r>
      <w:r>
        <w:rPr>
          <w:sz w:val="24"/>
        </w:rPr>
        <w:t>the</w:t>
      </w:r>
      <w:r>
        <w:rPr>
          <w:spacing w:val="-8"/>
          <w:sz w:val="24"/>
        </w:rPr>
        <w:t> </w:t>
      </w:r>
      <w:r>
        <w:rPr>
          <w:sz w:val="24"/>
        </w:rPr>
        <w:t>Payables</w:t>
      </w:r>
      <w:r>
        <w:rPr>
          <w:spacing w:val="-6"/>
          <w:sz w:val="24"/>
        </w:rPr>
        <w:t> </w:t>
      </w:r>
      <w:r>
        <w:rPr>
          <w:sz w:val="24"/>
        </w:rPr>
        <w:t>figure</w:t>
      </w:r>
      <w:r>
        <w:rPr>
          <w:spacing w:val="-5"/>
          <w:sz w:val="24"/>
        </w:rPr>
        <w:t> </w:t>
      </w:r>
      <w:r>
        <w:rPr>
          <w:sz w:val="24"/>
        </w:rPr>
        <w:t>in</w:t>
      </w:r>
      <w:r>
        <w:rPr>
          <w:spacing w:val="-5"/>
          <w:sz w:val="24"/>
        </w:rPr>
        <w:t> </w:t>
      </w:r>
      <w:r>
        <w:rPr>
          <w:sz w:val="24"/>
        </w:rPr>
        <w:t>the Statement of Financial Position.</w:t>
      </w:r>
    </w:p>
    <w:p>
      <w:pPr>
        <w:pStyle w:val="BodyText"/>
        <w:spacing w:before="70"/>
        <w:rPr>
          <w:sz w:val="24"/>
        </w:rPr>
      </w:pPr>
    </w:p>
    <w:p>
      <w:pPr>
        <w:spacing w:before="0"/>
        <w:ind w:left="1702" w:right="0" w:firstLine="0"/>
        <w:jc w:val="both"/>
        <w:rPr>
          <w:sz w:val="24"/>
        </w:rPr>
      </w:pPr>
      <w:r>
        <w:rPr>
          <w:sz w:val="24"/>
          <w:u w:val="single"/>
        </w:rPr>
        <w:t>Retirement</w:t>
      </w:r>
      <w:r>
        <w:rPr>
          <w:spacing w:val="-2"/>
          <w:sz w:val="24"/>
          <w:u w:val="single"/>
        </w:rPr>
        <w:t> Benefits</w:t>
      </w:r>
    </w:p>
    <w:p>
      <w:pPr>
        <w:spacing w:line="300" w:lineRule="auto" w:before="70"/>
        <w:ind w:left="1702" w:right="987" w:firstLine="0"/>
        <w:jc w:val="both"/>
        <w:rPr>
          <w:sz w:val="24"/>
        </w:rPr>
      </w:pPr>
      <w:r>
        <w:rPr>
          <w:sz w:val="24"/>
        </w:rPr>
        <w:t>The NDA operates a defined benefit superannuation scheme for staff funded annually on a pay as you go basis from monies provided by the Department of Justice and from staff contributions which are held by the Department on behalf of</w:t>
      </w:r>
      <w:r>
        <w:rPr>
          <w:spacing w:val="-6"/>
          <w:sz w:val="24"/>
        </w:rPr>
        <w:t> </w:t>
      </w:r>
      <w:r>
        <w:rPr>
          <w:sz w:val="24"/>
        </w:rPr>
        <w:t>the</w:t>
      </w:r>
      <w:r>
        <w:rPr>
          <w:spacing w:val="-6"/>
          <w:sz w:val="24"/>
        </w:rPr>
        <w:t> </w:t>
      </w:r>
      <w:r>
        <w:rPr>
          <w:sz w:val="24"/>
        </w:rPr>
        <w:t>NDA</w:t>
      </w:r>
      <w:r>
        <w:rPr>
          <w:spacing w:val="-7"/>
          <w:sz w:val="24"/>
        </w:rPr>
        <w:t> </w:t>
      </w:r>
      <w:r>
        <w:rPr>
          <w:sz w:val="24"/>
        </w:rPr>
        <w:t>and</w:t>
      </w:r>
      <w:r>
        <w:rPr>
          <w:spacing w:val="-7"/>
          <w:sz w:val="24"/>
        </w:rPr>
        <w:t> </w:t>
      </w:r>
      <w:r>
        <w:rPr>
          <w:sz w:val="24"/>
        </w:rPr>
        <w:t>credited</w:t>
      </w:r>
      <w:r>
        <w:rPr>
          <w:spacing w:val="-8"/>
          <w:sz w:val="24"/>
        </w:rPr>
        <w:t> </w:t>
      </w:r>
      <w:r>
        <w:rPr>
          <w:sz w:val="24"/>
        </w:rPr>
        <w:t>to</w:t>
      </w:r>
      <w:r>
        <w:rPr>
          <w:spacing w:val="-7"/>
          <w:sz w:val="24"/>
        </w:rPr>
        <w:t> </w:t>
      </w:r>
      <w:r>
        <w:rPr>
          <w:sz w:val="24"/>
        </w:rPr>
        <w:t>a</w:t>
      </w:r>
      <w:r>
        <w:rPr>
          <w:spacing w:val="-7"/>
          <w:sz w:val="24"/>
        </w:rPr>
        <w:t> </w:t>
      </w:r>
      <w:r>
        <w:rPr>
          <w:sz w:val="24"/>
        </w:rPr>
        <w:t>suspense</w:t>
      </w:r>
      <w:r>
        <w:rPr>
          <w:spacing w:val="-5"/>
          <w:sz w:val="24"/>
        </w:rPr>
        <w:t> </w:t>
      </w:r>
      <w:r>
        <w:rPr>
          <w:sz w:val="24"/>
        </w:rPr>
        <w:t>account</w:t>
      </w:r>
      <w:r>
        <w:rPr>
          <w:spacing w:val="-6"/>
          <w:sz w:val="24"/>
        </w:rPr>
        <w:t> </w:t>
      </w:r>
      <w:r>
        <w:rPr>
          <w:sz w:val="24"/>
        </w:rPr>
        <w:t>on</w:t>
      </w:r>
      <w:r>
        <w:rPr>
          <w:spacing w:val="-5"/>
          <w:sz w:val="24"/>
        </w:rPr>
        <w:t> </w:t>
      </w:r>
      <w:r>
        <w:rPr>
          <w:sz w:val="24"/>
        </w:rPr>
        <w:t>the</w:t>
      </w:r>
      <w:r>
        <w:rPr>
          <w:spacing w:val="-6"/>
          <w:sz w:val="24"/>
        </w:rPr>
        <w:t> </w:t>
      </w:r>
      <w:r>
        <w:rPr>
          <w:sz w:val="24"/>
        </w:rPr>
        <w:t>Departments</w:t>
      </w:r>
      <w:r>
        <w:rPr>
          <w:spacing w:val="-7"/>
          <w:sz w:val="24"/>
        </w:rPr>
        <w:t> </w:t>
      </w:r>
      <w:r>
        <w:rPr>
          <w:sz w:val="24"/>
        </w:rPr>
        <w:t>Vote</w:t>
      </w:r>
      <w:r>
        <w:rPr>
          <w:spacing w:val="-5"/>
          <w:sz w:val="24"/>
        </w:rPr>
        <w:t> </w:t>
      </w:r>
      <w:r>
        <w:rPr>
          <w:sz w:val="24"/>
        </w:rPr>
        <w:t>ledger. Lump sum entitlements to retiring staff are paid from the suspense account whereas</w:t>
      </w:r>
      <w:r>
        <w:rPr>
          <w:spacing w:val="-17"/>
          <w:sz w:val="24"/>
        </w:rPr>
        <w:t> </w:t>
      </w:r>
      <w:r>
        <w:rPr>
          <w:sz w:val="24"/>
        </w:rPr>
        <w:t>monthly</w:t>
      </w:r>
      <w:r>
        <w:rPr>
          <w:spacing w:val="-13"/>
          <w:sz w:val="24"/>
        </w:rPr>
        <w:t> </w:t>
      </w:r>
      <w:r>
        <w:rPr>
          <w:sz w:val="24"/>
        </w:rPr>
        <w:t>pension</w:t>
      </w:r>
      <w:r>
        <w:rPr>
          <w:spacing w:val="-13"/>
          <w:sz w:val="24"/>
        </w:rPr>
        <w:t> </w:t>
      </w:r>
      <w:r>
        <w:rPr>
          <w:sz w:val="24"/>
        </w:rPr>
        <w:t>payments</w:t>
      </w:r>
      <w:r>
        <w:rPr>
          <w:spacing w:val="-14"/>
          <w:sz w:val="24"/>
        </w:rPr>
        <w:t> </w:t>
      </w:r>
      <w:r>
        <w:rPr>
          <w:sz w:val="24"/>
        </w:rPr>
        <w:t>to</w:t>
      </w:r>
      <w:r>
        <w:rPr>
          <w:spacing w:val="-14"/>
          <w:sz w:val="24"/>
        </w:rPr>
        <w:t> </w:t>
      </w:r>
      <w:r>
        <w:rPr>
          <w:sz w:val="24"/>
        </w:rPr>
        <w:t>retired</w:t>
      </w:r>
      <w:r>
        <w:rPr>
          <w:spacing w:val="-15"/>
          <w:sz w:val="24"/>
        </w:rPr>
        <w:t> </w:t>
      </w:r>
      <w:r>
        <w:rPr>
          <w:sz w:val="24"/>
        </w:rPr>
        <w:t>staff</w:t>
      </w:r>
      <w:r>
        <w:rPr>
          <w:spacing w:val="-13"/>
          <w:sz w:val="24"/>
        </w:rPr>
        <w:t> </w:t>
      </w:r>
      <w:r>
        <w:rPr>
          <w:sz w:val="24"/>
        </w:rPr>
        <w:t>are</w:t>
      </w:r>
      <w:r>
        <w:rPr>
          <w:spacing w:val="-15"/>
          <w:sz w:val="24"/>
        </w:rPr>
        <w:t> </w:t>
      </w:r>
      <w:r>
        <w:rPr>
          <w:sz w:val="24"/>
        </w:rPr>
        <w:t>paid</w:t>
      </w:r>
      <w:r>
        <w:rPr>
          <w:spacing w:val="-15"/>
          <w:sz w:val="24"/>
        </w:rPr>
        <w:t> </w:t>
      </w:r>
      <w:r>
        <w:rPr>
          <w:sz w:val="24"/>
        </w:rPr>
        <w:t>out</w:t>
      </w:r>
      <w:r>
        <w:rPr>
          <w:spacing w:val="-14"/>
          <w:sz w:val="24"/>
        </w:rPr>
        <w:t> </w:t>
      </w:r>
      <w:r>
        <w:rPr>
          <w:sz w:val="24"/>
        </w:rPr>
        <w:t>of</w:t>
      </w:r>
      <w:r>
        <w:rPr>
          <w:spacing w:val="-13"/>
          <w:sz w:val="24"/>
        </w:rPr>
        <w:t> </w:t>
      </w:r>
      <w:r>
        <w:rPr>
          <w:sz w:val="24"/>
        </w:rPr>
        <w:t>current</w:t>
      </w:r>
      <w:r>
        <w:rPr>
          <w:spacing w:val="-16"/>
          <w:sz w:val="24"/>
        </w:rPr>
        <w:t> </w:t>
      </w:r>
      <w:r>
        <w:rPr>
          <w:spacing w:val="-2"/>
          <w:sz w:val="24"/>
        </w:rPr>
        <w:t>income.</w:t>
      </w:r>
    </w:p>
    <w:p>
      <w:pPr>
        <w:pStyle w:val="BodyText"/>
        <w:spacing w:before="71"/>
        <w:rPr>
          <w:sz w:val="24"/>
        </w:rPr>
      </w:pPr>
    </w:p>
    <w:p>
      <w:pPr>
        <w:spacing w:line="300" w:lineRule="auto" w:before="0"/>
        <w:ind w:left="1702" w:right="986" w:firstLine="0"/>
        <w:jc w:val="both"/>
        <w:rPr>
          <w:sz w:val="24"/>
        </w:rPr>
      </w:pPr>
      <w:r>
        <w:rPr>
          <w:sz w:val="24"/>
        </w:rPr>
        <w:t>Up until the end of 2017, 9 staff came within the Single Public Services Pension Scheme</w:t>
      </w:r>
      <w:r>
        <w:rPr>
          <w:spacing w:val="-17"/>
          <w:sz w:val="24"/>
        </w:rPr>
        <w:t> </w:t>
      </w:r>
      <w:r>
        <w:rPr>
          <w:sz w:val="24"/>
        </w:rPr>
        <w:t>(“Single</w:t>
      </w:r>
      <w:r>
        <w:rPr>
          <w:spacing w:val="-17"/>
          <w:sz w:val="24"/>
        </w:rPr>
        <w:t> </w:t>
      </w:r>
      <w:r>
        <w:rPr>
          <w:sz w:val="24"/>
        </w:rPr>
        <w:t>Scheme”),</w:t>
      </w:r>
      <w:r>
        <w:rPr>
          <w:spacing w:val="-16"/>
          <w:sz w:val="24"/>
        </w:rPr>
        <w:t> </w:t>
      </w:r>
      <w:r>
        <w:rPr>
          <w:sz w:val="24"/>
        </w:rPr>
        <w:t>which</w:t>
      </w:r>
      <w:r>
        <w:rPr>
          <w:spacing w:val="-17"/>
          <w:sz w:val="24"/>
        </w:rPr>
        <w:t> </w:t>
      </w:r>
      <w:r>
        <w:rPr>
          <w:sz w:val="24"/>
        </w:rPr>
        <w:t>is</w:t>
      </w:r>
      <w:r>
        <w:rPr>
          <w:spacing w:val="-17"/>
          <w:sz w:val="24"/>
        </w:rPr>
        <w:t> </w:t>
      </w:r>
      <w:r>
        <w:rPr>
          <w:sz w:val="24"/>
        </w:rPr>
        <w:t>a</w:t>
      </w:r>
      <w:r>
        <w:rPr>
          <w:spacing w:val="-17"/>
          <w:sz w:val="24"/>
        </w:rPr>
        <w:t> </w:t>
      </w:r>
      <w:r>
        <w:rPr>
          <w:sz w:val="24"/>
        </w:rPr>
        <w:t>defined</w:t>
      </w:r>
      <w:r>
        <w:rPr>
          <w:spacing w:val="-16"/>
          <w:sz w:val="24"/>
        </w:rPr>
        <w:t> </w:t>
      </w:r>
      <w:r>
        <w:rPr>
          <w:sz w:val="24"/>
        </w:rPr>
        <w:t>benefit</w:t>
      </w:r>
      <w:r>
        <w:rPr>
          <w:spacing w:val="-17"/>
          <w:sz w:val="24"/>
        </w:rPr>
        <w:t> </w:t>
      </w:r>
      <w:r>
        <w:rPr>
          <w:sz w:val="24"/>
        </w:rPr>
        <w:t>scheme</w:t>
      </w:r>
      <w:r>
        <w:rPr>
          <w:spacing w:val="-17"/>
          <w:sz w:val="24"/>
        </w:rPr>
        <w:t> </w:t>
      </w:r>
      <w:r>
        <w:rPr>
          <w:sz w:val="24"/>
        </w:rPr>
        <w:t>for</w:t>
      </w:r>
      <w:r>
        <w:rPr>
          <w:spacing w:val="-16"/>
          <w:sz w:val="24"/>
        </w:rPr>
        <w:t> </w:t>
      </w:r>
      <w:r>
        <w:rPr>
          <w:sz w:val="24"/>
        </w:rPr>
        <w:t>pensionable</w:t>
      </w:r>
      <w:r>
        <w:rPr>
          <w:spacing w:val="-17"/>
          <w:sz w:val="24"/>
        </w:rPr>
        <w:t> </w:t>
      </w:r>
      <w:r>
        <w:rPr>
          <w:sz w:val="24"/>
        </w:rPr>
        <w:t>public servants appointed on or after 1 January 2013. Single Scheme members contributions</w:t>
      </w:r>
      <w:r>
        <w:rPr>
          <w:spacing w:val="-7"/>
          <w:sz w:val="24"/>
        </w:rPr>
        <w:t> </w:t>
      </w:r>
      <w:r>
        <w:rPr>
          <w:sz w:val="24"/>
        </w:rPr>
        <w:t>are</w:t>
      </w:r>
      <w:r>
        <w:rPr>
          <w:spacing w:val="-5"/>
          <w:sz w:val="24"/>
        </w:rPr>
        <w:t> </w:t>
      </w:r>
      <w:r>
        <w:rPr>
          <w:sz w:val="24"/>
        </w:rPr>
        <w:t>paid</w:t>
      </w:r>
      <w:r>
        <w:rPr>
          <w:spacing w:val="-6"/>
          <w:sz w:val="24"/>
        </w:rPr>
        <w:t> </w:t>
      </w:r>
      <w:r>
        <w:rPr>
          <w:sz w:val="24"/>
        </w:rPr>
        <w:t>over</w:t>
      </w:r>
      <w:r>
        <w:rPr>
          <w:spacing w:val="-4"/>
          <w:sz w:val="24"/>
        </w:rPr>
        <w:t> </w:t>
      </w:r>
      <w:r>
        <w:rPr>
          <w:sz w:val="24"/>
        </w:rPr>
        <w:t>to</w:t>
      </w:r>
      <w:r>
        <w:rPr>
          <w:spacing w:val="-7"/>
          <w:sz w:val="24"/>
        </w:rPr>
        <w:t> </w:t>
      </w:r>
      <w:r>
        <w:rPr>
          <w:sz w:val="24"/>
        </w:rPr>
        <w:t>the</w:t>
      </w:r>
      <w:r>
        <w:rPr>
          <w:spacing w:val="-5"/>
          <w:sz w:val="24"/>
        </w:rPr>
        <w:t> </w:t>
      </w:r>
      <w:r>
        <w:rPr>
          <w:sz w:val="24"/>
        </w:rPr>
        <w:t>Department</w:t>
      </w:r>
      <w:r>
        <w:rPr>
          <w:spacing w:val="-6"/>
          <w:sz w:val="24"/>
        </w:rPr>
        <w:t> </w:t>
      </w:r>
      <w:r>
        <w:rPr>
          <w:sz w:val="24"/>
        </w:rPr>
        <w:t>of</w:t>
      </w:r>
      <w:r>
        <w:rPr>
          <w:spacing w:val="-5"/>
          <w:sz w:val="24"/>
        </w:rPr>
        <w:t> </w:t>
      </w:r>
      <w:r>
        <w:rPr>
          <w:sz w:val="24"/>
        </w:rPr>
        <w:t>Public</w:t>
      </w:r>
      <w:r>
        <w:rPr>
          <w:spacing w:val="-5"/>
          <w:sz w:val="24"/>
        </w:rPr>
        <w:t> </w:t>
      </w:r>
      <w:r>
        <w:rPr>
          <w:sz w:val="24"/>
        </w:rPr>
        <w:t>Expenditure</w:t>
      </w:r>
      <w:r>
        <w:rPr>
          <w:spacing w:val="-4"/>
          <w:sz w:val="24"/>
        </w:rPr>
        <w:t> </w:t>
      </w:r>
      <w:r>
        <w:rPr>
          <w:sz w:val="24"/>
        </w:rPr>
        <w:t>and</w:t>
      </w:r>
      <w:r>
        <w:rPr>
          <w:spacing w:val="-4"/>
          <w:sz w:val="24"/>
        </w:rPr>
        <w:t> </w:t>
      </w:r>
      <w:r>
        <w:rPr>
          <w:spacing w:val="-2"/>
          <w:sz w:val="24"/>
        </w:rPr>
        <w:t>Reform.</w:t>
      </w:r>
    </w:p>
    <w:p>
      <w:pPr>
        <w:pStyle w:val="BodyText"/>
        <w:spacing w:before="68"/>
        <w:rPr>
          <w:sz w:val="24"/>
        </w:rPr>
      </w:pPr>
    </w:p>
    <w:p>
      <w:pPr>
        <w:spacing w:line="300" w:lineRule="auto" w:before="0"/>
        <w:ind w:left="1702" w:right="992" w:firstLine="0"/>
        <w:jc w:val="both"/>
        <w:rPr>
          <w:sz w:val="24"/>
        </w:rPr>
      </w:pPr>
      <w:r>
        <w:rPr>
          <w:sz w:val="24"/>
        </w:rPr>
        <w:t>Pension costs reflect pension benefits earned by employees and former National Rehabilitation Board employees where appropriate, and are shown net of staff pension contributions, which are held by the Department of Justice and Equality on behalf of the NDA. An amount corresponding to the pension charge is recognised as income to the extent that it is recoverable, and offset by grants received in the year to discharge pension payments.</w:t>
      </w:r>
    </w:p>
    <w:p>
      <w:pPr>
        <w:pStyle w:val="BodyText"/>
        <w:spacing w:before="71"/>
        <w:rPr>
          <w:sz w:val="24"/>
        </w:rPr>
      </w:pPr>
    </w:p>
    <w:p>
      <w:pPr>
        <w:spacing w:line="300" w:lineRule="auto" w:before="0"/>
        <w:ind w:left="1702" w:right="988" w:firstLine="0"/>
        <w:jc w:val="both"/>
        <w:rPr>
          <w:sz w:val="24"/>
        </w:rPr>
      </w:pPr>
      <w:r>
        <w:rPr>
          <w:sz w:val="24"/>
        </w:rPr>
        <w:t>Actuarial</w:t>
      </w:r>
      <w:r>
        <w:rPr>
          <w:spacing w:val="-11"/>
          <w:sz w:val="24"/>
        </w:rPr>
        <w:t> </w:t>
      </w:r>
      <w:r>
        <w:rPr>
          <w:sz w:val="24"/>
        </w:rPr>
        <w:t>gains</w:t>
      </w:r>
      <w:r>
        <w:rPr>
          <w:spacing w:val="-10"/>
          <w:sz w:val="24"/>
        </w:rPr>
        <w:t> </w:t>
      </w:r>
      <w:r>
        <w:rPr>
          <w:sz w:val="24"/>
        </w:rPr>
        <w:t>or</w:t>
      </w:r>
      <w:r>
        <w:rPr>
          <w:spacing w:val="-9"/>
          <w:sz w:val="24"/>
        </w:rPr>
        <w:t> </w:t>
      </w:r>
      <w:r>
        <w:rPr>
          <w:sz w:val="24"/>
        </w:rPr>
        <w:t>losses</w:t>
      </w:r>
      <w:r>
        <w:rPr>
          <w:spacing w:val="-10"/>
          <w:sz w:val="24"/>
        </w:rPr>
        <w:t> </w:t>
      </w:r>
      <w:r>
        <w:rPr>
          <w:sz w:val="24"/>
        </w:rPr>
        <w:t>arising</w:t>
      </w:r>
      <w:r>
        <w:rPr>
          <w:spacing w:val="-8"/>
          <w:sz w:val="24"/>
        </w:rPr>
        <w:t> </w:t>
      </w:r>
      <w:r>
        <w:rPr>
          <w:sz w:val="24"/>
        </w:rPr>
        <w:t>on</w:t>
      </w:r>
      <w:r>
        <w:rPr>
          <w:spacing w:val="-10"/>
          <w:sz w:val="24"/>
        </w:rPr>
        <w:t> </w:t>
      </w:r>
      <w:r>
        <w:rPr>
          <w:sz w:val="24"/>
        </w:rPr>
        <w:t>scheme</w:t>
      </w:r>
      <w:r>
        <w:rPr>
          <w:spacing w:val="-9"/>
          <w:sz w:val="24"/>
        </w:rPr>
        <w:t> </w:t>
      </w:r>
      <w:r>
        <w:rPr>
          <w:sz w:val="24"/>
        </w:rPr>
        <w:t>liabilities</w:t>
      </w:r>
      <w:r>
        <w:rPr>
          <w:spacing w:val="-10"/>
          <w:sz w:val="24"/>
        </w:rPr>
        <w:t> </w:t>
      </w:r>
      <w:r>
        <w:rPr>
          <w:sz w:val="24"/>
        </w:rPr>
        <w:t>are</w:t>
      </w:r>
      <w:r>
        <w:rPr>
          <w:spacing w:val="-9"/>
          <w:sz w:val="24"/>
        </w:rPr>
        <w:t> </w:t>
      </w:r>
      <w:r>
        <w:rPr>
          <w:sz w:val="24"/>
        </w:rPr>
        <w:t>reflected</w:t>
      </w:r>
      <w:r>
        <w:rPr>
          <w:spacing w:val="-9"/>
          <w:sz w:val="24"/>
        </w:rPr>
        <w:t> </w:t>
      </w:r>
      <w:r>
        <w:rPr>
          <w:sz w:val="24"/>
        </w:rPr>
        <w:t>in</w:t>
      </w:r>
      <w:r>
        <w:rPr>
          <w:spacing w:val="-9"/>
          <w:sz w:val="24"/>
        </w:rPr>
        <w:t> </w:t>
      </w:r>
      <w:r>
        <w:rPr>
          <w:sz w:val="24"/>
        </w:rPr>
        <w:t>the</w:t>
      </w:r>
      <w:r>
        <w:rPr>
          <w:spacing w:val="-12"/>
          <w:sz w:val="24"/>
        </w:rPr>
        <w:t> </w:t>
      </w:r>
      <w:r>
        <w:rPr>
          <w:sz w:val="24"/>
        </w:rPr>
        <w:t>Statement of Comprehensive Income, and a corresponding adjustment is recognised in the amount recoverable from the Department of Justice and Equality.</w:t>
      </w:r>
    </w:p>
    <w:p>
      <w:pPr>
        <w:pStyle w:val="BodyText"/>
        <w:spacing w:before="70"/>
        <w:rPr>
          <w:sz w:val="24"/>
        </w:rPr>
      </w:pPr>
    </w:p>
    <w:p>
      <w:pPr>
        <w:spacing w:line="300" w:lineRule="auto" w:before="0"/>
        <w:ind w:left="1702" w:right="991" w:firstLine="0"/>
        <w:jc w:val="both"/>
        <w:rPr>
          <w:sz w:val="24"/>
        </w:rPr>
      </w:pPr>
      <w:r>
        <w:rPr>
          <w:sz w:val="24"/>
        </w:rPr>
        <w:t>The financial statements reflect, at fair value, the</w:t>
      </w:r>
      <w:r>
        <w:rPr>
          <w:spacing w:val="-1"/>
          <w:sz w:val="24"/>
        </w:rPr>
        <w:t> </w:t>
      </w:r>
      <w:r>
        <w:rPr>
          <w:sz w:val="24"/>
        </w:rPr>
        <w:t>assets and liabilities arising from the NDA’s pension obligations and any related funding, and recognises the costs of providing pension benefits in the accounting periods in which they are earned by employees. Retirement benefit scheme liabilities are measured on an actuarial basis using the projected unit credit method.</w:t>
      </w:r>
    </w:p>
    <w:p>
      <w:pPr>
        <w:spacing w:after="0" w:line="300" w:lineRule="auto"/>
        <w:jc w:val="both"/>
        <w:rPr>
          <w:sz w:val="24"/>
        </w:rPr>
        <w:sectPr>
          <w:pgSz w:w="11910" w:h="16850"/>
          <w:pgMar w:header="0" w:footer="811" w:top="1880" w:bottom="1000" w:left="283" w:right="992"/>
        </w:sectPr>
      </w:pPr>
    </w:p>
    <w:p>
      <w:pPr>
        <w:pStyle w:val="ListParagraph"/>
        <w:numPr>
          <w:ilvl w:val="1"/>
          <w:numId w:val="17"/>
        </w:numPr>
        <w:tabs>
          <w:tab w:pos="1924" w:val="left" w:leader="none"/>
        </w:tabs>
        <w:spacing w:line="240" w:lineRule="auto" w:before="78" w:after="0"/>
        <w:ind w:left="1924" w:right="0" w:hanging="222"/>
        <w:jc w:val="both"/>
        <w:rPr>
          <w:b/>
          <w:sz w:val="24"/>
        </w:rPr>
      </w:pPr>
      <w:r>
        <w:rPr>
          <w:b/>
          <w:sz w:val="24"/>
        </w:rPr>
        <w:t>Critical</w:t>
      </w:r>
      <w:r>
        <w:rPr>
          <w:b/>
          <w:spacing w:val="-5"/>
          <w:sz w:val="24"/>
        </w:rPr>
        <w:t> </w:t>
      </w:r>
      <w:r>
        <w:rPr>
          <w:b/>
          <w:sz w:val="24"/>
        </w:rPr>
        <w:t>Accounting</w:t>
      </w:r>
      <w:r>
        <w:rPr>
          <w:b/>
          <w:spacing w:val="-2"/>
          <w:sz w:val="24"/>
        </w:rPr>
        <w:t> </w:t>
      </w:r>
      <w:r>
        <w:rPr>
          <w:b/>
          <w:sz w:val="24"/>
        </w:rPr>
        <w:t>Judgements</w:t>
      </w:r>
      <w:r>
        <w:rPr>
          <w:b/>
          <w:spacing w:val="-2"/>
          <w:sz w:val="24"/>
        </w:rPr>
        <w:t> </w:t>
      </w:r>
      <w:r>
        <w:rPr>
          <w:b/>
          <w:sz w:val="24"/>
        </w:rPr>
        <w:t>and</w:t>
      </w:r>
      <w:r>
        <w:rPr>
          <w:b/>
          <w:spacing w:val="-2"/>
          <w:sz w:val="24"/>
        </w:rPr>
        <w:t> Estimates</w:t>
      </w:r>
    </w:p>
    <w:p>
      <w:pPr>
        <w:spacing w:line="300" w:lineRule="auto" w:before="70"/>
        <w:ind w:left="1702" w:right="989" w:firstLine="0"/>
        <w:jc w:val="both"/>
        <w:rPr>
          <w:sz w:val="24"/>
        </w:rPr>
      </w:pPr>
      <w:r>
        <w:rPr>
          <w:sz w:val="24"/>
        </w:rPr>
        <w:t>The preparation of the financial statements requires management to make judgements,</w:t>
      </w:r>
      <w:r>
        <w:rPr>
          <w:spacing w:val="-16"/>
          <w:sz w:val="24"/>
        </w:rPr>
        <w:t> </w:t>
      </w:r>
      <w:r>
        <w:rPr>
          <w:sz w:val="24"/>
        </w:rPr>
        <w:t>estimates</w:t>
      </w:r>
      <w:r>
        <w:rPr>
          <w:spacing w:val="-17"/>
          <w:sz w:val="24"/>
        </w:rPr>
        <w:t> </w:t>
      </w:r>
      <w:r>
        <w:rPr>
          <w:sz w:val="24"/>
        </w:rPr>
        <w:t>and</w:t>
      </w:r>
      <w:r>
        <w:rPr>
          <w:spacing w:val="-15"/>
          <w:sz w:val="24"/>
        </w:rPr>
        <w:t> </w:t>
      </w:r>
      <w:r>
        <w:rPr>
          <w:sz w:val="24"/>
        </w:rPr>
        <w:t>assumptions</w:t>
      </w:r>
      <w:r>
        <w:rPr>
          <w:spacing w:val="-17"/>
          <w:sz w:val="24"/>
        </w:rPr>
        <w:t> </w:t>
      </w:r>
      <w:r>
        <w:rPr>
          <w:sz w:val="24"/>
        </w:rPr>
        <w:t>that</w:t>
      </w:r>
      <w:r>
        <w:rPr>
          <w:spacing w:val="-17"/>
          <w:sz w:val="24"/>
        </w:rPr>
        <w:t> </w:t>
      </w:r>
      <w:r>
        <w:rPr>
          <w:sz w:val="24"/>
        </w:rPr>
        <w:t>affect</w:t>
      </w:r>
      <w:r>
        <w:rPr>
          <w:spacing w:val="-15"/>
          <w:sz w:val="24"/>
        </w:rPr>
        <w:t> </w:t>
      </w:r>
      <w:r>
        <w:rPr>
          <w:sz w:val="24"/>
        </w:rPr>
        <w:t>the</w:t>
      </w:r>
      <w:r>
        <w:rPr>
          <w:spacing w:val="-16"/>
          <w:sz w:val="24"/>
        </w:rPr>
        <w:t> </w:t>
      </w:r>
      <w:r>
        <w:rPr>
          <w:sz w:val="24"/>
        </w:rPr>
        <w:t>amounts</w:t>
      </w:r>
      <w:r>
        <w:rPr>
          <w:spacing w:val="-17"/>
          <w:sz w:val="24"/>
        </w:rPr>
        <w:t> </w:t>
      </w:r>
      <w:r>
        <w:rPr>
          <w:sz w:val="24"/>
        </w:rPr>
        <w:t>reported</w:t>
      </w:r>
      <w:r>
        <w:rPr>
          <w:spacing w:val="-16"/>
          <w:sz w:val="24"/>
        </w:rPr>
        <w:t> </w:t>
      </w:r>
      <w:r>
        <w:rPr>
          <w:sz w:val="24"/>
        </w:rPr>
        <w:t>for</w:t>
      </w:r>
      <w:r>
        <w:rPr>
          <w:spacing w:val="-15"/>
          <w:sz w:val="24"/>
        </w:rPr>
        <w:t> </w:t>
      </w:r>
      <w:r>
        <w:rPr>
          <w:sz w:val="24"/>
        </w:rPr>
        <w:t>assets and liabilities</w:t>
      </w:r>
      <w:r>
        <w:rPr>
          <w:spacing w:val="-1"/>
          <w:sz w:val="24"/>
        </w:rPr>
        <w:t> </w:t>
      </w:r>
      <w:r>
        <w:rPr>
          <w:sz w:val="24"/>
        </w:rPr>
        <w:t>as</w:t>
      </w:r>
      <w:r>
        <w:rPr>
          <w:spacing w:val="-3"/>
          <w:sz w:val="24"/>
        </w:rPr>
        <w:t> </w:t>
      </w:r>
      <w:r>
        <w:rPr>
          <w:sz w:val="24"/>
        </w:rPr>
        <w:t>at</w:t>
      </w:r>
      <w:r>
        <w:rPr>
          <w:spacing w:val="-1"/>
          <w:sz w:val="24"/>
        </w:rPr>
        <w:t> </w:t>
      </w:r>
      <w:r>
        <w:rPr>
          <w:sz w:val="24"/>
        </w:rPr>
        <w:t>the</w:t>
      </w:r>
      <w:r>
        <w:rPr>
          <w:spacing w:val="-1"/>
          <w:sz w:val="24"/>
        </w:rPr>
        <w:t> </w:t>
      </w:r>
      <w:r>
        <w:rPr>
          <w:sz w:val="24"/>
        </w:rPr>
        <w:t>balance sheet</w:t>
      </w:r>
      <w:r>
        <w:rPr>
          <w:spacing w:val="-1"/>
          <w:sz w:val="24"/>
        </w:rPr>
        <w:t> </w:t>
      </w:r>
      <w:r>
        <w:rPr>
          <w:sz w:val="24"/>
        </w:rPr>
        <w:t>date</w:t>
      </w:r>
      <w:r>
        <w:rPr>
          <w:spacing w:val="-3"/>
          <w:sz w:val="24"/>
        </w:rPr>
        <w:t> </w:t>
      </w:r>
      <w:r>
        <w:rPr>
          <w:sz w:val="24"/>
        </w:rPr>
        <w:t>and the</w:t>
      </w:r>
      <w:r>
        <w:rPr>
          <w:spacing w:val="-6"/>
          <w:sz w:val="24"/>
        </w:rPr>
        <w:t> </w:t>
      </w:r>
      <w:r>
        <w:rPr>
          <w:sz w:val="24"/>
        </w:rPr>
        <w:t>amounts</w:t>
      </w:r>
      <w:r>
        <w:rPr>
          <w:spacing w:val="-3"/>
          <w:sz w:val="24"/>
        </w:rPr>
        <w:t> </w:t>
      </w:r>
      <w:r>
        <w:rPr>
          <w:sz w:val="24"/>
        </w:rPr>
        <w:t>reported</w:t>
      </w:r>
      <w:r>
        <w:rPr>
          <w:spacing w:val="-1"/>
          <w:sz w:val="24"/>
        </w:rPr>
        <w:t> </w:t>
      </w:r>
      <w:r>
        <w:rPr>
          <w:sz w:val="24"/>
        </w:rPr>
        <w:t>for</w:t>
      </w:r>
      <w:r>
        <w:rPr>
          <w:spacing w:val="-3"/>
          <w:sz w:val="24"/>
        </w:rPr>
        <w:t> </w:t>
      </w:r>
      <w:r>
        <w:rPr>
          <w:sz w:val="24"/>
        </w:rPr>
        <w:t>revenues and</w:t>
      </w:r>
      <w:r>
        <w:rPr>
          <w:spacing w:val="-17"/>
          <w:sz w:val="24"/>
        </w:rPr>
        <w:t> </w:t>
      </w:r>
      <w:r>
        <w:rPr>
          <w:sz w:val="24"/>
        </w:rPr>
        <w:t>expenses</w:t>
      </w:r>
      <w:r>
        <w:rPr>
          <w:spacing w:val="-17"/>
          <w:sz w:val="24"/>
        </w:rPr>
        <w:t> </w:t>
      </w:r>
      <w:r>
        <w:rPr>
          <w:sz w:val="24"/>
        </w:rPr>
        <w:t>during</w:t>
      </w:r>
      <w:r>
        <w:rPr>
          <w:spacing w:val="-16"/>
          <w:sz w:val="24"/>
        </w:rPr>
        <w:t> </w:t>
      </w:r>
      <w:r>
        <w:rPr>
          <w:sz w:val="24"/>
        </w:rPr>
        <w:t>the</w:t>
      </w:r>
      <w:r>
        <w:rPr>
          <w:spacing w:val="-17"/>
          <w:sz w:val="24"/>
        </w:rPr>
        <w:t> </w:t>
      </w:r>
      <w:r>
        <w:rPr>
          <w:sz w:val="24"/>
        </w:rPr>
        <w:t>year.</w:t>
      </w:r>
      <w:r>
        <w:rPr>
          <w:spacing w:val="-17"/>
          <w:sz w:val="24"/>
        </w:rPr>
        <w:t> </w:t>
      </w:r>
      <w:r>
        <w:rPr>
          <w:sz w:val="24"/>
        </w:rPr>
        <w:t>However,</w:t>
      </w:r>
      <w:r>
        <w:rPr>
          <w:spacing w:val="-17"/>
          <w:sz w:val="24"/>
        </w:rPr>
        <w:t> </w:t>
      </w:r>
      <w:r>
        <w:rPr>
          <w:sz w:val="24"/>
        </w:rPr>
        <w:t>the</w:t>
      </w:r>
      <w:r>
        <w:rPr>
          <w:spacing w:val="-16"/>
          <w:sz w:val="24"/>
        </w:rPr>
        <w:t> </w:t>
      </w:r>
      <w:r>
        <w:rPr>
          <w:sz w:val="24"/>
        </w:rPr>
        <w:t>nature</w:t>
      </w:r>
      <w:r>
        <w:rPr>
          <w:spacing w:val="-17"/>
          <w:sz w:val="24"/>
        </w:rPr>
        <w:t> </w:t>
      </w:r>
      <w:r>
        <w:rPr>
          <w:sz w:val="24"/>
        </w:rPr>
        <w:t>of</w:t>
      </w:r>
      <w:r>
        <w:rPr>
          <w:spacing w:val="-17"/>
          <w:sz w:val="24"/>
        </w:rPr>
        <w:t> </w:t>
      </w:r>
      <w:r>
        <w:rPr>
          <w:sz w:val="24"/>
        </w:rPr>
        <w:t>estimation</w:t>
      </w:r>
      <w:r>
        <w:rPr>
          <w:spacing w:val="-16"/>
          <w:sz w:val="24"/>
        </w:rPr>
        <w:t> </w:t>
      </w:r>
      <w:r>
        <w:rPr>
          <w:sz w:val="24"/>
        </w:rPr>
        <w:t>means</w:t>
      </w:r>
      <w:r>
        <w:rPr>
          <w:spacing w:val="-17"/>
          <w:sz w:val="24"/>
        </w:rPr>
        <w:t> </w:t>
      </w:r>
      <w:r>
        <w:rPr>
          <w:sz w:val="24"/>
        </w:rPr>
        <w:t>that</w:t>
      </w:r>
      <w:r>
        <w:rPr>
          <w:spacing w:val="-17"/>
          <w:sz w:val="24"/>
        </w:rPr>
        <w:t> </w:t>
      </w:r>
      <w:r>
        <w:rPr>
          <w:sz w:val="24"/>
        </w:rPr>
        <w:t>actual outcomes could differ from those estimates. The following judgements have had the most significant effect on amounts recognised in the financial statements.</w:t>
      </w:r>
    </w:p>
    <w:p>
      <w:pPr>
        <w:pStyle w:val="BodyText"/>
        <w:spacing w:before="70"/>
        <w:rPr>
          <w:sz w:val="24"/>
        </w:rPr>
      </w:pPr>
    </w:p>
    <w:p>
      <w:pPr>
        <w:spacing w:before="0"/>
        <w:ind w:left="1702" w:right="0" w:firstLine="0"/>
        <w:jc w:val="both"/>
        <w:rPr>
          <w:sz w:val="24"/>
        </w:rPr>
      </w:pPr>
      <w:r>
        <w:rPr>
          <w:sz w:val="24"/>
          <w:u w:val="single"/>
        </w:rPr>
        <w:t>Depreciation</w:t>
      </w:r>
      <w:r>
        <w:rPr>
          <w:spacing w:val="-2"/>
          <w:sz w:val="24"/>
          <w:u w:val="single"/>
        </w:rPr>
        <w:t> </w:t>
      </w:r>
      <w:r>
        <w:rPr>
          <w:sz w:val="24"/>
          <w:u w:val="single"/>
        </w:rPr>
        <w:t>and</w:t>
      </w:r>
      <w:r>
        <w:rPr>
          <w:spacing w:val="-4"/>
          <w:sz w:val="24"/>
          <w:u w:val="single"/>
        </w:rPr>
        <w:t> </w:t>
      </w:r>
      <w:r>
        <w:rPr>
          <w:sz w:val="24"/>
          <w:u w:val="single"/>
        </w:rPr>
        <w:t>Residual</w:t>
      </w:r>
      <w:r>
        <w:rPr>
          <w:spacing w:val="-1"/>
          <w:sz w:val="24"/>
          <w:u w:val="single"/>
        </w:rPr>
        <w:t> </w:t>
      </w:r>
      <w:r>
        <w:rPr>
          <w:spacing w:val="-2"/>
          <w:sz w:val="24"/>
          <w:u w:val="single"/>
        </w:rPr>
        <w:t>Values</w:t>
      </w:r>
    </w:p>
    <w:p>
      <w:pPr>
        <w:spacing w:line="300" w:lineRule="auto" w:before="70"/>
        <w:ind w:left="1702" w:right="989" w:firstLine="0"/>
        <w:jc w:val="both"/>
        <w:rPr>
          <w:sz w:val="24"/>
        </w:rPr>
      </w:pPr>
      <w:r>
        <w:rPr>
          <w:sz w:val="24"/>
        </w:rPr>
        <w:t>The executive has reviewed the asset lives and associated residual values of all fixed</w:t>
      </w:r>
      <w:r>
        <w:rPr>
          <w:spacing w:val="-7"/>
          <w:sz w:val="24"/>
        </w:rPr>
        <w:t> </w:t>
      </w:r>
      <w:r>
        <w:rPr>
          <w:sz w:val="24"/>
        </w:rPr>
        <w:t>asset</w:t>
      </w:r>
      <w:r>
        <w:rPr>
          <w:spacing w:val="-8"/>
          <w:sz w:val="24"/>
        </w:rPr>
        <w:t> </w:t>
      </w:r>
      <w:r>
        <w:rPr>
          <w:sz w:val="24"/>
        </w:rPr>
        <w:t>classes,</w:t>
      </w:r>
      <w:r>
        <w:rPr>
          <w:spacing w:val="-8"/>
          <w:sz w:val="24"/>
        </w:rPr>
        <w:t> </w:t>
      </w:r>
      <w:r>
        <w:rPr>
          <w:sz w:val="24"/>
        </w:rPr>
        <w:t>and</w:t>
      </w:r>
      <w:r>
        <w:rPr>
          <w:spacing w:val="-7"/>
          <w:sz w:val="24"/>
        </w:rPr>
        <w:t> </w:t>
      </w:r>
      <w:r>
        <w:rPr>
          <w:sz w:val="24"/>
        </w:rPr>
        <w:t>in</w:t>
      </w:r>
      <w:r>
        <w:rPr>
          <w:spacing w:val="-8"/>
          <w:sz w:val="24"/>
        </w:rPr>
        <w:t> </w:t>
      </w:r>
      <w:r>
        <w:rPr>
          <w:sz w:val="24"/>
        </w:rPr>
        <w:t>particular,</w:t>
      </w:r>
      <w:r>
        <w:rPr>
          <w:spacing w:val="-8"/>
          <w:sz w:val="24"/>
        </w:rPr>
        <w:t> </w:t>
      </w:r>
      <w:r>
        <w:rPr>
          <w:sz w:val="24"/>
        </w:rPr>
        <w:t>the</w:t>
      </w:r>
      <w:r>
        <w:rPr>
          <w:spacing w:val="-8"/>
          <w:sz w:val="24"/>
        </w:rPr>
        <w:t> </w:t>
      </w:r>
      <w:r>
        <w:rPr>
          <w:sz w:val="24"/>
        </w:rPr>
        <w:t>useful</w:t>
      </w:r>
      <w:r>
        <w:rPr>
          <w:spacing w:val="-7"/>
          <w:sz w:val="24"/>
        </w:rPr>
        <w:t> </w:t>
      </w:r>
      <w:r>
        <w:rPr>
          <w:sz w:val="24"/>
        </w:rPr>
        <w:t>economic</w:t>
      </w:r>
      <w:r>
        <w:rPr>
          <w:spacing w:val="-7"/>
          <w:sz w:val="24"/>
        </w:rPr>
        <w:t> </w:t>
      </w:r>
      <w:r>
        <w:rPr>
          <w:sz w:val="24"/>
        </w:rPr>
        <w:t>life</w:t>
      </w:r>
      <w:r>
        <w:rPr>
          <w:spacing w:val="-7"/>
          <w:sz w:val="24"/>
        </w:rPr>
        <w:t> </w:t>
      </w:r>
      <w:r>
        <w:rPr>
          <w:sz w:val="24"/>
        </w:rPr>
        <w:t>and</w:t>
      </w:r>
      <w:r>
        <w:rPr>
          <w:spacing w:val="-9"/>
          <w:sz w:val="24"/>
        </w:rPr>
        <w:t> </w:t>
      </w:r>
      <w:r>
        <w:rPr>
          <w:sz w:val="24"/>
        </w:rPr>
        <w:t>residual</w:t>
      </w:r>
      <w:r>
        <w:rPr>
          <w:spacing w:val="-8"/>
          <w:sz w:val="24"/>
        </w:rPr>
        <w:t> </w:t>
      </w:r>
      <w:r>
        <w:rPr>
          <w:sz w:val="24"/>
        </w:rPr>
        <w:t>values</w:t>
      </w:r>
      <w:r>
        <w:rPr>
          <w:spacing w:val="-8"/>
          <w:sz w:val="24"/>
        </w:rPr>
        <w:t> </w:t>
      </w:r>
      <w:r>
        <w:rPr>
          <w:sz w:val="24"/>
        </w:rPr>
        <w:t>of fixtures and fittings, and has concluded that asset lives and residual values are </w:t>
      </w:r>
      <w:r>
        <w:rPr>
          <w:spacing w:val="-2"/>
          <w:sz w:val="24"/>
        </w:rPr>
        <w:t>appropriate.</w:t>
      </w:r>
    </w:p>
    <w:p>
      <w:pPr>
        <w:pStyle w:val="BodyText"/>
        <w:spacing w:before="70"/>
        <w:rPr>
          <w:sz w:val="24"/>
        </w:rPr>
      </w:pPr>
    </w:p>
    <w:p>
      <w:pPr>
        <w:spacing w:before="0"/>
        <w:ind w:left="1702" w:right="0" w:firstLine="0"/>
        <w:jc w:val="both"/>
        <w:rPr>
          <w:sz w:val="24"/>
        </w:rPr>
      </w:pPr>
      <w:r>
        <w:rPr>
          <w:sz w:val="24"/>
          <w:u w:val="single"/>
        </w:rPr>
        <w:t>Retirement</w:t>
      </w:r>
      <w:r>
        <w:rPr>
          <w:spacing w:val="-2"/>
          <w:sz w:val="24"/>
          <w:u w:val="single"/>
        </w:rPr>
        <w:t> </w:t>
      </w:r>
      <w:r>
        <w:rPr>
          <w:sz w:val="24"/>
          <w:u w:val="single"/>
        </w:rPr>
        <w:t>Benefit </w:t>
      </w:r>
      <w:r>
        <w:rPr>
          <w:spacing w:val="-2"/>
          <w:sz w:val="24"/>
          <w:u w:val="single"/>
        </w:rPr>
        <w:t>Obligation</w:t>
      </w:r>
    </w:p>
    <w:p>
      <w:pPr>
        <w:spacing w:line="300" w:lineRule="auto" w:before="67"/>
        <w:ind w:left="1702" w:right="988" w:firstLine="0"/>
        <w:jc w:val="both"/>
        <w:rPr>
          <w:sz w:val="24"/>
        </w:rPr>
      </w:pPr>
      <w:r>
        <w:rPr>
          <w:sz w:val="24"/>
        </w:rPr>
        <w:t>The assumptions underlying the actuarial valuations for which the amounts recognised in the financial statements are determined (including discount rates, rates</w:t>
      </w:r>
      <w:r>
        <w:rPr>
          <w:spacing w:val="-14"/>
          <w:sz w:val="24"/>
        </w:rPr>
        <w:t> </w:t>
      </w:r>
      <w:r>
        <w:rPr>
          <w:sz w:val="24"/>
        </w:rPr>
        <w:t>of</w:t>
      </w:r>
      <w:r>
        <w:rPr>
          <w:spacing w:val="-14"/>
          <w:sz w:val="24"/>
        </w:rPr>
        <w:t> </w:t>
      </w:r>
      <w:r>
        <w:rPr>
          <w:sz w:val="24"/>
        </w:rPr>
        <w:t>increase</w:t>
      </w:r>
      <w:r>
        <w:rPr>
          <w:spacing w:val="-14"/>
          <w:sz w:val="24"/>
        </w:rPr>
        <w:t> </w:t>
      </w:r>
      <w:r>
        <w:rPr>
          <w:sz w:val="24"/>
        </w:rPr>
        <w:t>in</w:t>
      </w:r>
      <w:r>
        <w:rPr>
          <w:spacing w:val="-13"/>
          <w:sz w:val="24"/>
        </w:rPr>
        <w:t> </w:t>
      </w:r>
      <w:r>
        <w:rPr>
          <w:sz w:val="24"/>
        </w:rPr>
        <w:t>future</w:t>
      </w:r>
      <w:r>
        <w:rPr>
          <w:spacing w:val="-13"/>
          <w:sz w:val="24"/>
        </w:rPr>
        <w:t> </w:t>
      </w:r>
      <w:r>
        <w:rPr>
          <w:sz w:val="24"/>
        </w:rPr>
        <w:t>compensation</w:t>
      </w:r>
      <w:r>
        <w:rPr>
          <w:spacing w:val="-14"/>
          <w:sz w:val="24"/>
        </w:rPr>
        <w:t> </w:t>
      </w:r>
      <w:r>
        <w:rPr>
          <w:sz w:val="24"/>
        </w:rPr>
        <w:t>levels,</w:t>
      </w:r>
      <w:r>
        <w:rPr>
          <w:spacing w:val="-13"/>
          <w:sz w:val="24"/>
        </w:rPr>
        <w:t> </w:t>
      </w:r>
      <w:r>
        <w:rPr>
          <w:sz w:val="24"/>
        </w:rPr>
        <w:t>mortality</w:t>
      </w:r>
      <w:r>
        <w:rPr>
          <w:spacing w:val="-13"/>
          <w:sz w:val="24"/>
        </w:rPr>
        <w:t> </w:t>
      </w:r>
      <w:r>
        <w:rPr>
          <w:sz w:val="24"/>
        </w:rPr>
        <w:t>rates</w:t>
      </w:r>
      <w:r>
        <w:rPr>
          <w:spacing w:val="-14"/>
          <w:sz w:val="24"/>
        </w:rPr>
        <w:t> </w:t>
      </w:r>
      <w:r>
        <w:rPr>
          <w:sz w:val="24"/>
        </w:rPr>
        <w:t>and</w:t>
      </w:r>
      <w:r>
        <w:rPr>
          <w:spacing w:val="-15"/>
          <w:sz w:val="24"/>
        </w:rPr>
        <w:t> </w:t>
      </w:r>
      <w:r>
        <w:rPr>
          <w:sz w:val="24"/>
        </w:rPr>
        <w:t>healthcare</w:t>
      </w:r>
      <w:r>
        <w:rPr>
          <w:spacing w:val="-13"/>
          <w:sz w:val="24"/>
        </w:rPr>
        <w:t> </w:t>
      </w:r>
      <w:r>
        <w:rPr>
          <w:sz w:val="24"/>
        </w:rPr>
        <w:t>cost trend rates) are updated annually based on current economic conditions, and for any relevant changes to the terms and conditions of the pension and post-retirement plans.</w:t>
      </w:r>
    </w:p>
    <w:p>
      <w:pPr>
        <w:pStyle w:val="BodyText"/>
        <w:spacing w:before="71"/>
        <w:rPr>
          <w:sz w:val="24"/>
        </w:rPr>
      </w:pPr>
    </w:p>
    <w:p>
      <w:pPr>
        <w:spacing w:before="0"/>
        <w:ind w:left="1702" w:right="0" w:firstLine="0"/>
        <w:jc w:val="left"/>
        <w:rPr>
          <w:sz w:val="24"/>
        </w:rPr>
      </w:pPr>
      <w:r>
        <w:rPr>
          <w:sz w:val="24"/>
        </w:rPr>
        <w:t>The</w:t>
      </w:r>
      <w:r>
        <w:rPr>
          <w:spacing w:val="-1"/>
          <w:sz w:val="24"/>
        </w:rPr>
        <w:t> </w:t>
      </w:r>
      <w:r>
        <w:rPr>
          <w:sz w:val="24"/>
        </w:rPr>
        <w:t>assumptions</w:t>
      </w:r>
      <w:r>
        <w:rPr>
          <w:spacing w:val="-3"/>
          <w:sz w:val="24"/>
        </w:rPr>
        <w:t> </w:t>
      </w:r>
      <w:r>
        <w:rPr>
          <w:sz w:val="24"/>
        </w:rPr>
        <w:t>can</w:t>
      </w:r>
      <w:r>
        <w:rPr>
          <w:spacing w:val="1"/>
          <w:sz w:val="24"/>
        </w:rPr>
        <w:t> </w:t>
      </w:r>
      <w:r>
        <w:rPr>
          <w:sz w:val="24"/>
        </w:rPr>
        <w:t>be</w:t>
      </w:r>
      <w:r>
        <w:rPr>
          <w:spacing w:val="-3"/>
          <w:sz w:val="24"/>
        </w:rPr>
        <w:t> </w:t>
      </w:r>
      <w:r>
        <w:rPr>
          <w:sz w:val="24"/>
        </w:rPr>
        <w:t>affected </w:t>
      </w:r>
      <w:r>
        <w:rPr>
          <w:spacing w:val="-5"/>
          <w:sz w:val="24"/>
        </w:rPr>
        <w:t>by:</w:t>
      </w:r>
    </w:p>
    <w:p>
      <w:pPr>
        <w:pStyle w:val="ListParagraph"/>
        <w:numPr>
          <w:ilvl w:val="0"/>
          <w:numId w:val="19"/>
        </w:numPr>
        <w:tabs>
          <w:tab w:pos="2496" w:val="left" w:leader="none"/>
        </w:tabs>
        <w:spacing w:line="300" w:lineRule="auto" w:before="70" w:after="0"/>
        <w:ind w:left="2496" w:right="990" w:hanging="435"/>
        <w:jc w:val="left"/>
        <w:rPr>
          <w:sz w:val="24"/>
        </w:rPr>
      </w:pPr>
      <w:r>
        <w:rPr>
          <w:sz w:val="24"/>
        </w:rPr>
        <w:t>the discount</w:t>
      </w:r>
      <w:r>
        <w:rPr>
          <w:spacing w:val="-1"/>
          <w:sz w:val="24"/>
        </w:rPr>
        <w:t> </w:t>
      </w:r>
      <w:r>
        <w:rPr>
          <w:sz w:val="24"/>
        </w:rPr>
        <w:t>rate, changes</w:t>
      </w:r>
      <w:r>
        <w:rPr>
          <w:spacing w:val="-1"/>
          <w:sz w:val="24"/>
        </w:rPr>
        <w:t> </w:t>
      </w:r>
      <w:r>
        <w:rPr>
          <w:sz w:val="24"/>
        </w:rPr>
        <w:t>in the rate of return on high-quality corporate </w:t>
      </w:r>
      <w:r>
        <w:rPr>
          <w:spacing w:val="-2"/>
          <w:sz w:val="24"/>
        </w:rPr>
        <w:t>bonds</w:t>
      </w:r>
    </w:p>
    <w:p>
      <w:pPr>
        <w:pStyle w:val="ListParagraph"/>
        <w:numPr>
          <w:ilvl w:val="0"/>
          <w:numId w:val="19"/>
        </w:numPr>
        <w:tabs>
          <w:tab w:pos="2493" w:val="left" w:leader="none"/>
        </w:tabs>
        <w:spacing w:line="240" w:lineRule="auto" w:before="1" w:after="0"/>
        <w:ind w:left="2493" w:right="0" w:hanging="431"/>
        <w:jc w:val="left"/>
        <w:rPr>
          <w:sz w:val="24"/>
        </w:rPr>
      </w:pPr>
      <w:r>
        <w:rPr>
          <w:sz w:val="24"/>
        </w:rPr>
        <w:t>future</w:t>
      </w:r>
      <w:r>
        <w:rPr>
          <w:spacing w:val="-1"/>
          <w:sz w:val="24"/>
        </w:rPr>
        <w:t> </w:t>
      </w:r>
      <w:r>
        <w:rPr>
          <w:sz w:val="24"/>
        </w:rPr>
        <w:t>compensation</w:t>
      </w:r>
      <w:r>
        <w:rPr>
          <w:spacing w:val="-1"/>
          <w:sz w:val="24"/>
        </w:rPr>
        <w:t> </w:t>
      </w:r>
      <w:r>
        <w:rPr>
          <w:sz w:val="24"/>
        </w:rPr>
        <w:t>levels,</w:t>
      </w:r>
      <w:r>
        <w:rPr>
          <w:spacing w:val="-1"/>
          <w:sz w:val="24"/>
        </w:rPr>
        <w:t> </w:t>
      </w:r>
      <w:r>
        <w:rPr>
          <w:sz w:val="24"/>
        </w:rPr>
        <w:t>future</w:t>
      </w:r>
      <w:r>
        <w:rPr>
          <w:spacing w:val="-1"/>
          <w:sz w:val="24"/>
        </w:rPr>
        <w:t> </w:t>
      </w:r>
      <w:r>
        <w:rPr>
          <w:sz w:val="24"/>
        </w:rPr>
        <w:t>labour</w:t>
      </w:r>
      <w:r>
        <w:rPr>
          <w:spacing w:val="-1"/>
          <w:sz w:val="24"/>
        </w:rPr>
        <w:t> </w:t>
      </w:r>
      <w:r>
        <w:rPr>
          <w:sz w:val="24"/>
        </w:rPr>
        <w:t>market</w:t>
      </w:r>
      <w:r>
        <w:rPr>
          <w:spacing w:val="-3"/>
          <w:sz w:val="24"/>
        </w:rPr>
        <w:t> </w:t>
      </w:r>
      <w:r>
        <w:rPr>
          <w:spacing w:val="-2"/>
          <w:sz w:val="24"/>
        </w:rPr>
        <w:t>conditions</w:t>
      </w:r>
    </w:p>
    <w:p>
      <w:pPr>
        <w:pStyle w:val="ListParagraph"/>
        <w:numPr>
          <w:ilvl w:val="0"/>
          <w:numId w:val="19"/>
        </w:numPr>
        <w:tabs>
          <w:tab w:pos="2491" w:val="left" w:leader="none"/>
          <w:tab w:pos="2496" w:val="left" w:leader="none"/>
        </w:tabs>
        <w:spacing w:line="300" w:lineRule="auto" w:before="69" w:after="0"/>
        <w:ind w:left="2496" w:right="988" w:hanging="435"/>
        <w:jc w:val="left"/>
        <w:rPr>
          <w:sz w:val="24"/>
        </w:rPr>
      </w:pPr>
      <w:r>
        <w:rPr>
          <w:sz w:val="24"/>
        </w:rPr>
        <w:t>health</w:t>
      </w:r>
      <w:r>
        <w:rPr>
          <w:spacing w:val="40"/>
          <w:sz w:val="24"/>
        </w:rPr>
        <w:t> </w:t>
      </w:r>
      <w:r>
        <w:rPr>
          <w:sz w:val="24"/>
        </w:rPr>
        <w:t>care</w:t>
      </w:r>
      <w:r>
        <w:rPr>
          <w:spacing w:val="40"/>
          <w:sz w:val="24"/>
        </w:rPr>
        <w:t> </w:t>
      </w:r>
      <w:r>
        <w:rPr>
          <w:sz w:val="24"/>
        </w:rPr>
        <w:t>cost</w:t>
      </w:r>
      <w:r>
        <w:rPr>
          <w:spacing w:val="40"/>
          <w:sz w:val="24"/>
        </w:rPr>
        <w:t> </w:t>
      </w:r>
      <w:r>
        <w:rPr>
          <w:sz w:val="24"/>
        </w:rPr>
        <w:t>trend</w:t>
      </w:r>
      <w:r>
        <w:rPr>
          <w:spacing w:val="40"/>
          <w:sz w:val="24"/>
        </w:rPr>
        <w:t> </w:t>
      </w:r>
      <w:r>
        <w:rPr>
          <w:sz w:val="24"/>
        </w:rPr>
        <w:t>rates,</w:t>
      </w:r>
      <w:r>
        <w:rPr>
          <w:spacing w:val="40"/>
          <w:sz w:val="24"/>
        </w:rPr>
        <w:t> </w:t>
      </w:r>
      <w:r>
        <w:rPr>
          <w:sz w:val="24"/>
        </w:rPr>
        <w:t>the</w:t>
      </w:r>
      <w:r>
        <w:rPr>
          <w:spacing w:val="40"/>
          <w:sz w:val="24"/>
        </w:rPr>
        <w:t> </w:t>
      </w:r>
      <w:r>
        <w:rPr>
          <w:sz w:val="24"/>
        </w:rPr>
        <w:t>rate</w:t>
      </w:r>
      <w:r>
        <w:rPr>
          <w:spacing w:val="40"/>
          <w:sz w:val="24"/>
        </w:rPr>
        <w:t> </w:t>
      </w:r>
      <w:r>
        <w:rPr>
          <w:sz w:val="24"/>
        </w:rPr>
        <w:t>of</w:t>
      </w:r>
      <w:r>
        <w:rPr>
          <w:spacing w:val="40"/>
          <w:sz w:val="24"/>
        </w:rPr>
        <w:t> </w:t>
      </w:r>
      <w:r>
        <w:rPr>
          <w:sz w:val="24"/>
        </w:rPr>
        <w:t>medical</w:t>
      </w:r>
      <w:r>
        <w:rPr>
          <w:spacing w:val="40"/>
          <w:sz w:val="24"/>
        </w:rPr>
        <w:t> </w:t>
      </w:r>
      <w:r>
        <w:rPr>
          <w:sz w:val="24"/>
        </w:rPr>
        <w:t>cost</w:t>
      </w:r>
      <w:r>
        <w:rPr>
          <w:spacing w:val="40"/>
          <w:sz w:val="24"/>
        </w:rPr>
        <w:t> </w:t>
      </w:r>
      <w:r>
        <w:rPr>
          <w:sz w:val="24"/>
        </w:rPr>
        <w:t>inflation</w:t>
      </w:r>
      <w:r>
        <w:rPr>
          <w:spacing w:val="40"/>
          <w:sz w:val="24"/>
        </w:rPr>
        <w:t> </w:t>
      </w:r>
      <w:r>
        <w:rPr>
          <w:sz w:val="24"/>
        </w:rPr>
        <w:t>in</w:t>
      </w:r>
      <w:r>
        <w:rPr>
          <w:spacing w:val="40"/>
          <w:sz w:val="24"/>
        </w:rPr>
        <w:t> </w:t>
      </w:r>
      <w:r>
        <w:rPr>
          <w:sz w:val="24"/>
        </w:rPr>
        <w:t>the relevant regions</w:t>
      </w:r>
    </w:p>
    <w:p>
      <w:pPr>
        <w:pStyle w:val="ListParagraph"/>
        <w:spacing w:after="0" w:line="300" w:lineRule="auto"/>
        <w:jc w:val="left"/>
        <w:rPr>
          <w:sz w:val="24"/>
        </w:rPr>
        <w:sectPr>
          <w:pgSz w:w="11910" w:h="16850"/>
          <w:pgMar w:header="0" w:footer="811" w:top="1880" w:bottom="1000" w:left="283" w:right="992"/>
        </w:sectPr>
      </w:pPr>
    </w:p>
    <w:p>
      <w:pPr>
        <w:pStyle w:val="ListParagraph"/>
        <w:numPr>
          <w:ilvl w:val="0"/>
          <w:numId w:val="17"/>
        </w:numPr>
        <w:tabs>
          <w:tab w:pos="2060" w:val="left" w:leader="none"/>
        </w:tabs>
        <w:spacing w:line="240" w:lineRule="auto" w:before="78" w:after="0"/>
        <w:ind w:left="2060" w:right="0" w:hanging="358"/>
        <w:jc w:val="left"/>
        <w:rPr>
          <w:b/>
          <w:sz w:val="24"/>
        </w:rPr>
      </w:pPr>
      <w:r>
        <w:rPr>
          <w:b/>
          <w:sz w:val="24"/>
        </w:rPr>
        <w:t>Oireachtas</w:t>
      </w:r>
      <w:r>
        <w:rPr>
          <w:b/>
          <w:spacing w:val="-2"/>
          <w:sz w:val="24"/>
        </w:rPr>
        <w:t> Grants</w:t>
      </w:r>
    </w:p>
    <w:p>
      <w:pPr>
        <w:spacing w:line="300" w:lineRule="auto" w:before="70"/>
        <w:ind w:left="1702" w:right="1080" w:firstLine="0"/>
        <w:jc w:val="left"/>
        <w:rPr>
          <w:sz w:val="24"/>
        </w:rPr>
      </w:pPr>
      <w:r>
        <w:rPr>
          <w:sz w:val="24"/>
        </w:rPr>
        <w:t>The Oireachtas Grants voted to the National Disability Authority from Department</w:t>
      </w:r>
      <w:r>
        <w:rPr>
          <w:spacing w:val="-3"/>
          <w:sz w:val="24"/>
        </w:rPr>
        <w:t> </w:t>
      </w:r>
      <w:r>
        <w:rPr>
          <w:sz w:val="24"/>
        </w:rPr>
        <w:t>of</w:t>
      </w:r>
      <w:r>
        <w:rPr>
          <w:spacing w:val="-3"/>
          <w:sz w:val="24"/>
        </w:rPr>
        <w:t> </w:t>
      </w:r>
      <w:r>
        <w:rPr>
          <w:sz w:val="24"/>
        </w:rPr>
        <w:t>Justice</w:t>
      </w:r>
      <w:r>
        <w:rPr>
          <w:spacing w:val="-3"/>
          <w:sz w:val="24"/>
        </w:rPr>
        <w:t> </w:t>
      </w:r>
      <w:r>
        <w:rPr>
          <w:sz w:val="24"/>
        </w:rPr>
        <w:t>and</w:t>
      </w:r>
      <w:r>
        <w:rPr>
          <w:spacing w:val="-3"/>
          <w:sz w:val="24"/>
        </w:rPr>
        <w:t> </w:t>
      </w:r>
      <w:r>
        <w:rPr>
          <w:sz w:val="24"/>
        </w:rPr>
        <w:t>Equality</w:t>
      </w:r>
      <w:r>
        <w:rPr>
          <w:spacing w:val="-3"/>
          <w:sz w:val="24"/>
        </w:rPr>
        <w:t> </w:t>
      </w:r>
      <w:r>
        <w:rPr>
          <w:sz w:val="24"/>
        </w:rPr>
        <w:t>as</w:t>
      </w:r>
      <w:r>
        <w:rPr>
          <w:spacing w:val="-5"/>
          <w:sz w:val="24"/>
        </w:rPr>
        <w:t> </w:t>
      </w:r>
      <w:r>
        <w:rPr>
          <w:sz w:val="24"/>
        </w:rPr>
        <w:t>shown</w:t>
      </w:r>
      <w:r>
        <w:rPr>
          <w:spacing w:val="-3"/>
          <w:sz w:val="24"/>
        </w:rPr>
        <w:t> </w:t>
      </w:r>
      <w:r>
        <w:rPr>
          <w:sz w:val="24"/>
        </w:rPr>
        <w:t>in</w:t>
      </w:r>
      <w:r>
        <w:rPr>
          <w:spacing w:val="-3"/>
          <w:sz w:val="24"/>
        </w:rPr>
        <w:t> </w:t>
      </w:r>
      <w:r>
        <w:rPr>
          <w:sz w:val="24"/>
        </w:rPr>
        <w:t>the</w:t>
      </w:r>
      <w:r>
        <w:rPr>
          <w:spacing w:val="-3"/>
          <w:sz w:val="24"/>
        </w:rPr>
        <w:t> </w:t>
      </w:r>
      <w:r>
        <w:rPr>
          <w:sz w:val="24"/>
        </w:rPr>
        <w:t>financial</w:t>
      </w:r>
      <w:r>
        <w:rPr>
          <w:spacing w:val="-5"/>
          <w:sz w:val="24"/>
        </w:rPr>
        <w:t> </w:t>
      </w:r>
      <w:r>
        <w:rPr>
          <w:sz w:val="24"/>
        </w:rPr>
        <w:t>statements</w:t>
      </w:r>
      <w:r>
        <w:rPr>
          <w:spacing w:val="-5"/>
          <w:sz w:val="24"/>
        </w:rPr>
        <w:t> </w:t>
      </w:r>
      <w:r>
        <w:rPr>
          <w:sz w:val="24"/>
        </w:rPr>
        <w:t>consists </w:t>
      </w:r>
      <w:r>
        <w:rPr>
          <w:spacing w:val="-4"/>
          <w:sz w:val="24"/>
        </w:rPr>
        <w:t>of:</w:t>
      </w:r>
    </w:p>
    <w:p>
      <w:pPr>
        <w:pStyle w:val="BodyText"/>
        <w:spacing w:before="137"/>
        <w:rPr>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8"/>
        <w:gridCol w:w="2326"/>
        <w:gridCol w:w="1290"/>
        <w:gridCol w:w="1277"/>
      </w:tblGrid>
      <w:tr>
        <w:trPr>
          <w:trHeight w:val="809" w:hRule="atLeast"/>
        </w:trPr>
        <w:tc>
          <w:tcPr>
            <w:tcW w:w="3308" w:type="dxa"/>
          </w:tcPr>
          <w:p>
            <w:pPr>
              <w:pStyle w:val="TableParagraph"/>
              <w:rPr>
                <w:rFonts w:ascii="Times New Roman"/>
                <w:sz w:val="24"/>
              </w:rPr>
            </w:pPr>
          </w:p>
        </w:tc>
        <w:tc>
          <w:tcPr>
            <w:tcW w:w="2326" w:type="dxa"/>
          </w:tcPr>
          <w:p>
            <w:pPr>
              <w:pStyle w:val="TableParagraph"/>
              <w:spacing w:before="146"/>
              <w:ind w:left="94"/>
              <w:jc w:val="center"/>
              <w:rPr>
                <w:b/>
                <w:sz w:val="24"/>
              </w:rPr>
            </w:pPr>
            <w:r>
              <w:rPr>
                <w:b/>
                <w:spacing w:val="-4"/>
                <w:sz w:val="24"/>
              </w:rPr>
              <w:t>Note</w:t>
            </w:r>
          </w:p>
        </w:tc>
        <w:tc>
          <w:tcPr>
            <w:tcW w:w="1290" w:type="dxa"/>
          </w:tcPr>
          <w:p>
            <w:pPr>
              <w:pStyle w:val="TableParagraph"/>
              <w:spacing w:line="252" w:lineRule="exact"/>
              <w:ind w:right="107"/>
              <w:jc w:val="right"/>
              <w:rPr>
                <w:b/>
                <w:sz w:val="24"/>
              </w:rPr>
            </w:pPr>
            <w:r>
              <w:rPr>
                <w:b/>
                <w:spacing w:val="-4"/>
                <w:sz w:val="24"/>
              </w:rPr>
              <w:t>2017</w:t>
            </w:r>
          </w:p>
          <w:p>
            <w:pPr>
              <w:pStyle w:val="TableParagraph"/>
              <w:spacing w:before="69"/>
              <w:ind w:right="106"/>
              <w:jc w:val="right"/>
              <w:rPr>
                <w:b/>
                <w:sz w:val="24"/>
              </w:rPr>
            </w:pPr>
            <w:r>
              <w:rPr>
                <w:b/>
                <w:spacing w:val="-10"/>
                <w:sz w:val="24"/>
              </w:rPr>
              <w:t>€</w:t>
            </w:r>
          </w:p>
        </w:tc>
        <w:tc>
          <w:tcPr>
            <w:tcW w:w="1277"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8"/>
              <w:jc w:val="right"/>
              <w:rPr>
                <w:b/>
                <w:sz w:val="24"/>
              </w:rPr>
            </w:pPr>
            <w:r>
              <w:rPr>
                <w:b/>
                <w:spacing w:val="-10"/>
                <w:sz w:val="24"/>
              </w:rPr>
              <w:t>€</w:t>
            </w:r>
          </w:p>
        </w:tc>
      </w:tr>
      <w:tr>
        <w:trPr>
          <w:trHeight w:val="583" w:hRule="atLeast"/>
        </w:trPr>
        <w:tc>
          <w:tcPr>
            <w:tcW w:w="3308" w:type="dxa"/>
          </w:tcPr>
          <w:p>
            <w:pPr>
              <w:pStyle w:val="TableParagraph"/>
              <w:spacing w:before="209"/>
              <w:ind w:left="50"/>
              <w:rPr>
                <w:sz w:val="24"/>
              </w:rPr>
            </w:pPr>
            <w:r>
              <w:rPr>
                <w:sz w:val="24"/>
              </w:rPr>
              <w:t>Grants</w:t>
            </w:r>
            <w:r>
              <w:rPr>
                <w:spacing w:val="-3"/>
                <w:sz w:val="24"/>
              </w:rPr>
              <w:t> </w:t>
            </w:r>
            <w:r>
              <w:rPr>
                <w:sz w:val="24"/>
              </w:rPr>
              <w:t>for</w:t>
            </w:r>
            <w:r>
              <w:rPr>
                <w:spacing w:val="-1"/>
                <w:sz w:val="24"/>
              </w:rPr>
              <w:t> </w:t>
            </w:r>
            <w:r>
              <w:rPr>
                <w:sz w:val="24"/>
              </w:rPr>
              <w:t>current </w:t>
            </w:r>
            <w:r>
              <w:rPr>
                <w:spacing w:val="-2"/>
                <w:sz w:val="24"/>
              </w:rPr>
              <w:t>expenditure</w:t>
            </w:r>
          </w:p>
        </w:tc>
        <w:tc>
          <w:tcPr>
            <w:tcW w:w="2326" w:type="dxa"/>
          </w:tcPr>
          <w:p>
            <w:pPr>
              <w:pStyle w:val="TableParagraph"/>
              <w:spacing w:before="209"/>
              <w:ind w:left="94" w:right="1"/>
              <w:jc w:val="center"/>
              <w:rPr>
                <w:sz w:val="24"/>
              </w:rPr>
            </w:pPr>
            <w:r>
              <w:rPr>
                <w:sz w:val="24"/>
              </w:rPr>
              <w:t>Vote</w:t>
            </w:r>
            <w:r>
              <w:rPr>
                <w:spacing w:val="-3"/>
                <w:sz w:val="24"/>
              </w:rPr>
              <w:t> </w:t>
            </w:r>
            <w:r>
              <w:rPr>
                <w:sz w:val="24"/>
              </w:rPr>
              <w:t>24</w:t>
            </w:r>
            <w:r>
              <w:rPr>
                <w:spacing w:val="-1"/>
                <w:sz w:val="24"/>
              </w:rPr>
              <w:t> </w:t>
            </w:r>
            <w:r>
              <w:rPr>
                <w:sz w:val="24"/>
              </w:rPr>
              <w:t>Subhead</w:t>
            </w:r>
            <w:r>
              <w:rPr>
                <w:spacing w:val="-1"/>
                <w:sz w:val="24"/>
              </w:rPr>
              <w:t> </w:t>
            </w:r>
            <w:r>
              <w:rPr>
                <w:spacing w:val="-5"/>
                <w:sz w:val="24"/>
              </w:rPr>
              <w:t>D3</w:t>
            </w:r>
          </w:p>
        </w:tc>
        <w:tc>
          <w:tcPr>
            <w:tcW w:w="1290" w:type="dxa"/>
            <w:tcBorders>
              <w:bottom w:val="single" w:sz="4" w:space="0" w:color="000000"/>
            </w:tcBorders>
          </w:tcPr>
          <w:p>
            <w:pPr>
              <w:pStyle w:val="TableParagraph"/>
              <w:spacing w:before="209"/>
              <w:ind w:left="129"/>
              <w:jc w:val="center"/>
              <w:rPr>
                <w:sz w:val="24"/>
              </w:rPr>
            </w:pPr>
            <w:r>
              <w:rPr>
                <w:spacing w:val="-2"/>
                <w:sz w:val="24"/>
              </w:rPr>
              <w:t>3,992,832</w:t>
            </w:r>
          </w:p>
        </w:tc>
        <w:tc>
          <w:tcPr>
            <w:tcW w:w="1277" w:type="dxa"/>
            <w:tcBorders>
              <w:bottom w:val="single" w:sz="4" w:space="0" w:color="000000"/>
            </w:tcBorders>
            <w:shd w:val="clear" w:color="auto" w:fill="E4E4E4"/>
          </w:tcPr>
          <w:p>
            <w:pPr>
              <w:pStyle w:val="TableParagraph"/>
              <w:spacing w:before="209"/>
              <w:ind w:left="112"/>
              <w:jc w:val="center"/>
              <w:rPr>
                <w:sz w:val="24"/>
              </w:rPr>
            </w:pPr>
            <w:r>
              <w:rPr>
                <w:spacing w:val="-2"/>
                <w:sz w:val="24"/>
              </w:rPr>
              <w:t>3,633,180</w:t>
            </w:r>
          </w:p>
        </w:tc>
      </w:tr>
      <w:tr>
        <w:trPr>
          <w:trHeight w:val="347" w:hRule="atLeast"/>
        </w:trPr>
        <w:tc>
          <w:tcPr>
            <w:tcW w:w="3308" w:type="dxa"/>
          </w:tcPr>
          <w:p>
            <w:pPr>
              <w:pStyle w:val="TableParagraph"/>
              <w:rPr>
                <w:rFonts w:ascii="Times New Roman"/>
                <w:sz w:val="24"/>
              </w:rPr>
            </w:pPr>
          </w:p>
        </w:tc>
        <w:tc>
          <w:tcPr>
            <w:tcW w:w="2326" w:type="dxa"/>
          </w:tcPr>
          <w:p>
            <w:pPr>
              <w:pStyle w:val="TableParagraph"/>
              <w:rPr>
                <w:rFonts w:ascii="Times New Roman"/>
                <w:sz w:val="24"/>
              </w:rPr>
            </w:pPr>
          </w:p>
        </w:tc>
        <w:tc>
          <w:tcPr>
            <w:tcW w:w="1290" w:type="dxa"/>
            <w:tcBorders>
              <w:top w:val="single" w:sz="4" w:space="0" w:color="000000"/>
              <w:bottom w:val="single" w:sz="4" w:space="0" w:color="000000"/>
            </w:tcBorders>
          </w:tcPr>
          <w:p>
            <w:pPr>
              <w:pStyle w:val="TableParagraph"/>
              <w:spacing w:line="252" w:lineRule="exact"/>
              <w:ind w:left="17"/>
              <w:jc w:val="center"/>
              <w:rPr>
                <w:b/>
                <w:sz w:val="24"/>
              </w:rPr>
            </w:pPr>
            <w:r>
              <w:rPr>
                <w:b/>
                <w:spacing w:val="-2"/>
                <w:sz w:val="24"/>
              </w:rPr>
              <w:t>3,992,832</w:t>
            </w:r>
          </w:p>
        </w:tc>
        <w:tc>
          <w:tcPr>
            <w:tcW w:w="1277" w:type="dxa"/>
            <w:tcBorders>
              <w:top w:val="single" w:sz="4" w:space="0" w:color="000000"/>
              <w:bottom w:val="single" w:sz="4" w:space="0" w:color="000000"/>
            </w:tcBorders>
            <w:shd w:val="clear" w:color="auto" w:fill="E4E4E4"/>
          </w:tcPr>
          <w:p>
            <w:pPr>
              <w:pStyle w:val="TableParagraph"/>
              <w:spacing w:line="252" w:lineRule="exact"/>
              <w:jc w:val="center"/>
              <w:rPr>
                <w:b/>
                <w:sz w:val="24"/>
              </w:rPr>
            </w:pPr>
            <w:r>
              <w:rPr>
                <w:b/>
                <w:spacing w:val="-2"/>
                <w:sz w:val="24"/>
              </w:rPr>
              <w:t>3,633,180</w:t>
            </w:r>
          </w:p>
        </w:tc>
      </w:tr>
    </w:tbl>
    <w:p>
      <w:pPr>
        <w:pStyle w:val="BodyText"/>
        <w:spacing w:before="49"/>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z w:val="24"/>
        </w:rPr>
        <w:t>Retirement</w:t>
      </w:r>
      <w:r>
        <w:rPr>
          <w:b/>
          <w:spacing w:val="-4"/>
          <w:sz w:val="24"/>
        </w:rPr>
        <w:t> </w:t>
      </w:r>
      <w:r>
        <w:rPr>
          <w:b/>
          <w:sz w:val="24"/>
        </w:rPr>
        <w:t>Benefit</w:t>
      </w:r>
      <w:r>
        <w:rPr>
          <w:b/>
          <w:spacing w:val="-4"/>
          <w:sz w:val="24"/>
        </w:rPr>
        <w:t> </w:t>
      </w:r>
      <w:r>
        <w:rPr>
          <w:b/>
          <w:spacing w:val="-2"/>
          <w:sz w:val="24"/>
        </w:rPr>
        <w:t>Costs</w:t>
      </w:r>
    </w:p>
    <w:p>
      <w:pPr>
        <w:pStyle w:val="ListParagraph"/>
        <w:numPr>
          <w:ilvl w:val="0"/>
          <w:numId w:val="20"/>
        </w:numPr>
        <w:tabs>
          <w:tab w:pos="2059" w:val="left" w:leader="none"/>
          <w:tab w:pos="2062" w:val="left" w:leader="none"/>
        </w:tabs>
        <w:spacing w:line="300" w:lineRule="auto" w:before="69" w:after="22"/>
        <w:ind w:left="2062" w:right="1273" w:hanging="360"/>
        <w:jc w:val="left"/>
        <w:rPr>
          <w:b/>
          <w:i/>
          <w:sz w:val="24"/>
        </w:rPr>
      </w:pPr>
      <w:r>
        <w:rPr>
          <w:b/>
          <w:i/>
          <w:sz w:val="24"/>
        </w:rPr>
        <w:t>Analysis</w:t>
      </w:r>
      <w:r>
        <w:rPr>
          <w:b/>
          <w:i/>
          <w:spacing w:val="-3"/>
          <w:sz w:val="24"/>
        </w:rPr>
        <w:t> </w:t>
      </w:r>
      <w:r>
        <w:rPr>
          <w:b/>
          <w:i/>
          <w:sz w:val="24"/>
        </w:rPr>
        <w:t>of</w:t>
      </w:r>
      <w:r>
        <w:rPr>
          <w:b/>
          <w:i/>
          <w:spacing w:val="-4"/>
          <w:sz w:val="24"/>
        </w:rPr>
        <w:t> </w:t>
      </w:r>
      <w:r>
        <w:rPr>
          <w:b/>
          <w:i/>
          <w:sz w:val="24"/>
        </w:rPr>
        <w:t>total</w:t>
      </w:r>
      <w:r>
        <w:rPr>
          <w:b/>
          <w:i/>
          <w:spacing w:val="-3"/>
          <w:sz w:val="24"/>
        </w:rPr>
        <w:t> </w:t>
      </w:r>
      <w:r>
        <w:rPr>
          <w:b/>
          <w:i/>
          <w:sz w:val="24"/>
        </w:rPr>
        <w:t>retirement</w:t>
      </w:r>
      <w:r>
        <w:rPr>
          <w:b/>
          <w:i/>
          <w:spacing w:val="-3"/>
          <w:sz w:val="24"/>
        </w:rPr>
        <w:t> </w:t>
      </w:r>
      <w:r>
        <w:rPr>
          <w:b/>
          <w:i/>
          <w:sz w:val="24"/>
        </w:rPr>
        <w:t>benefit</w:t>
      </w:r>
      <w:r>
        <w:rPr>
          <w:b/>
          <w:i/>
          <w:spacing w:val="-3"/>
          <w:sz w:val="24"/>
        </w:rPr>
        <w:t> </w:t>
      </w:r>
      <w:r>
        <w:rPr>
          <w:b/>
          <w:i/>
          <w:sz w:val="24"/>
        </w:rPr>
        <w:t>costs</w:t>
      </w:r>
      <w:r>
        <w:rPr>
          <w:b/>
          <w:i/>
          <w:spacing w:val="-5"/>
          <w:sz w:val="24"/>
        </w:rPr>
        <w:t> </w:t>
      </w:r>
      <w:r>
        <w:rPr>
          <w:b/>
          <w:i/>
          <w:sz w:val="24"/>
        </w:rPr>
        <w:t>charged</w:t>
      </w:r>
      <w:r>
        <w:rPr>
          <w:b/>
          <w:i/>
          <w:spacing w:val="-3"/>
          <w:sz w:val="24"/>
        </w:rPr>
        <w:t> </w:t>
      </w:r>
      <w:r>
        <w:rPr>
          <w:b/>
          <w:i/>
          <w:sz w:val="24"/>
        </w:rPr>
        <w:t>to</w:t>
      </w:r>
      <w:r>
        <w:rPr>
          <w:b/>
          <w:i/>
          <w:spacing w:val="-4"/>
          <w:sz w:val="24"/>
        </w:rPr>
        <w:t> </w:t>
      </w:r>
      <w:r>
        <w:rPr>
          <w:b/>
          <w:i/>
          <w:sz w:val="24"/>
        </w:rPr>
        <w:t>the</w:t>
      </w:r>
      <w:r>
        <w:rPr>
          <w:b/>
          <w:i/>
          <w:spacing w:val="-3"/>
          <w:sz w:val="24"/>
        </w:rPr>
        <w:t> </w:t>
      </w:r>
      <w:r>
        <w:rPr>
          <w:b/>
          <w:i/>
          <w:sz w:val="24"/>
        </w:rPr>
        <w:t>Statement</w:t>
      </w:r>
      <w:r>
        <w:rPr>
          <w:b/>
          <w:i/>
          <w:spacing w:val="-5"/>
          <w:sz w:val="24"/>
        </w:rPr>
        <w:t> </w:t>
      </w:r>
      <w:r>
        <w:rPr>
          <w:b/>
          <w:i/>
          <w:sz w:val="24"/>
        </w:rPr>
        <w:t>of</w:t>
      </w:r>
      <w:r>
        <w:rPr>
          <w:b/>
          <w:i/>
          <w:sz w:val="24"/>
        </w:rPr>
        <w:t> Income and Expenditure and Retained Revenue Reserves</w:t>
      </w: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41"/>
        <w:gridCol w:w="1287"/>
        <w:gridCol w:w="1171"/>
      </w:tblGrid>
      <w:tr>
        <w:trPr>
          <w:trHeight w:val="635" w:hRule="atLeast"/>
        </w:trPr>
        <w:tc>
          <w:tcPr>
            <w:tcW w:w="5741" w:type="dxa"/>
          </w:tcPr>
          <w:p>
            <w:pPr>
              <w:pStyle w:val="TableParagraph"/>
              <w:rPr>
                <w:rFonts w:ascii="Times New Roman"/>
                <w:sz w:val="24"/>
              </w:rPr>
            </w:pPr>
          </w:p>
        </w:tc>
        <w:tc>
          <w:tcPr>
            <w:tcW w:w="1287" w:type="dxa"/>
          </w:tcPr>
          <w:p>
            <w:pPr>
              <w:pStyle w:val="TableParagraph"/>
              <w:spacing w:line="252" w:lineRule="exact"/>
              <w:ind w:right="106"/>
              <w:jc w:val="right"/>
              <w:rPr>
                <w:b/>
                <w:sz w:val="24"/>
              </w:rPr>
            </w:pPr>
            <w:r>
              <w:rPr>
                <w:b/>
                <w:spacing w:val="-4"/>
                <w:sz w:val="24"/>
              </w:rPr>
              <w:t>2017</w:t>
            </w:r>
          </w:p>
          <w:p>
            <w:pPr>
              <w:pStyle w:val="TableParagraph"/>
              <w:spacing w:before="69"/>
              <w:ind w:right="104"/>
              <w:jc w:val="right"/>
              <w:rPr>
                <w:b/>
                <w:sz w:val="24"/>
              </w:rPr>
            </w:pPr>
            <w:r>
              <w:rPr>
                <w:b/>
                <w:spacing w:val="-10"/>
                <w:sz w:val="24"/>
              </w:rPr>
              <w:t>€</w:t>
            </w:r>
          </w:p>
        </w:tc>
        <w:tc>
          <w:tcPr>
            <w:tcW w:w="1171" w:type="dxa"/>
            <w:shd w:val="clear" w:color="auto" w:fill="E4E4E4"/>
          </w:tcPr>
          <w:p>
            <w:pPr>
              <w:pStyle w:val="TableParagraph"/>
              <w:spacing w:line="252" w:lineRule="exact"/>
              <w:ind w:right="110"/>
              <w:jc w:val="right"/>
              <w:rPr>
                <w:b/>
                <w:sz w:val="24"/>
              </w:rPr>
            </w:pPr>
            <w:r>
              <w:rPr>
                <w:b/>
                <w:spacing w:val="-4"/>
                <w:sz w:val="24"/>
              </w:rPr>
              <w:t>2016</w:t>
            </w:r>
          </w:p>
          <w:p>
            <w:pPr>
              <w:pStyle w:val="TableParagraph"/>
              <w:spacing w:before="69"/>
              <w:ind w:right="108"/>
              <w:jc w:val="right"/>
              <w:rPr>
                <w:b/>
                <w:sz w:val="24"/>
              </w:rPr>
            </w:pPr>
            <w:r>
              <w:rPr>
                <w:b/>
                <w:spacing w:val="-10"/>
                <w:sz w:val="24"/>
              </w:rPr>
              <w:t>€</w:t>
            </w:r>
          </w:p>
        </w:tc>
      </w:tr>
      <w:tr>
        <w:trPr>
          <w:trHeight w:val="348" w:hRule="atLeast"/>
        </w:trPr>
        <w:tc>
          <w:tcPr>
            <w:tcW w:w="5741" w:type="dxa"/>
          </w:tcPr>
          <w:p>
            <w:pPr>
              <w:pStyle w:val="TableParagraph"/>
              <w:spacing w:before="35"/>
              <w:ind w:left="50"/>
              <w:rPr>
                <w:sz w:val="24"/>
              </w:rPr>
            </w:pPr>
            <w:r>
              <w:rPr>
                <w:sz w:val="24"/>
              </w:rPr>
              <w:t>Current</w:t>
            </w:r>
            <w:r>
              <w:rPr>
                <w:spacing w:val="-4"/>
                <w:sz w:val="24"/>
              </w:rPr>
              <w:t> </w:t>
            </w:r>
            <w:r>
              <w:rPr>
                <w:sz w:val="24"/>
              </w:rPr>
              <w:t>service</w:t>
            </w:r>
            <w:r>
              <w:rPr>
                <w:spacing w:val="-1"/>
                <w:sz w:val="24"/>
              </w:rPr>
              <w:t> </w:t>
            </w:r>
            <w:r>
              <w:rPr>
                <w:spacing w:val="-2"/>
                <w:sz w:val="24"/>
              </w:rPr>
              <w:t>costs</w:t>
            </w:r>
          </w:p>
        </w:tc>
        <w:tc>
          <w:tcPr>
            <w:tcW w:w="1287" w:type="dxa"/>
          </w:tcPr>
          <w:p>
            <w:pPr>
              <w:pStyle w:val="TableParagraph"/>
              <w:spacing w:before="35"/>
              <w:ind w:right="103"/>
              <w:jc w:val="right"/>
              <w:rPr>
                <w:sz w:val="24"/>
              </w:rPr>
            </w:pPr>
            <w:r>
              <w:rPr>
                <w:spacing w:val="-2"/>
                <w:sz w:val="24"/>
              </w:rPr>
              <w:t>770,400</w:t>
            </w:r>
          </w:p>
        </w:tc>
        <w:tc>
          <w:tcPr>
            <w:tcW w:w="1171" w:type="dxa"/>
            <w:shd w:val="clear" w:color="auto" w:fill="E4E4E4"/>
          </w:tcPr>
          <w:p>
            <w:pPr>
              <w:pStyle w:val="TableParagraph"/>
              <w:spacing w:before="35"/>
              <w:ind w:right="107"/>
              <w:jc w:val="right"/>
              <w:rPr>
                <w:sz w:val="24"/>
              </w:rPr>
            </w:pPr>
            <w:r>
              <w:rPr>
                <w:spacing w:val="-2"/>
                <w:sz w:val="24"/>
              </w:rPr>
              <w:t>476,100</w:t>
            </w:r>
          </w:p>
        </w:tc>
      </w:tr>
      <w:tr>
        <w:trPr>
          <w:trHeight w:val="696" w:hRule="atLeast"/>
        </w:trPr>
        <w:tc>
          <w:tcPr>
            <w:tcW w:w="5741" w:type="dxa"/>
          </w:tcPr>
          <w:p>
            <w:pPr>
              <w:pStyle w:val="TableParagraph"/>
              <w:spacing w:before="35"/>
              <w:ind w:left="50"/>
              <w:rPr>
                <w:sz w:val="24"/>
              </w:rPr>
            </w:pPr>
            <w:r>
              <w:rPr>
                <w:sz w:val="24"/>
              </w:rPr>
              <w:t>Interest</w:t>
            </w:r>
            <w:r>
              <w:rPr>
                <w:spacing w:val="-1"/>
                <w:sz w:val="24"/>
              </w:rPr>
              <w:t> </w:t>
            </w:r>
            <w:r>
              <w:rPr>
                <w:sz w:val="24"/>
              </w:rPr>
              <w:t>on retirement</w:t>
            </w:r>
            <w:r>
              <w:rPr>
                <w:spacing w:val="-2"/>
                <w:sz w:val="24"/>
              </w:rPr>
              <w:t> </w:t>
            </w:r>
            <w:r>
              <w:rPr>
                <w:sz w:val="24"/>
              </w:rPr>
              <w:t>benefit </w:t>
            </w:r>
            <w:r>
              <w:rPr>
                <w:spacing w:val="-2"/>
                <w:sz w:val="24"/>
              </w:rPr>
              <w:t>scheme</w:t>
            </w:r>
          </w:p>
          <w:p>
            <w:pPr>
              <w:pStyle w:val="TableParagraph"/>
              <w:spacing w:before="69"/>
              <w:ind w:left="50"/>
              <w:rPr>
                <w:sz w:val="24"/>
              </w:rPr>
            </w:pPr>
            <w:r>
              <w:rPr>
                <w:spacing w:val="-2"/>
                <w:sz w:val="24"/>
              </w:rPr>
              <w:t>liabilities</w:t>
            </w:r>
          </w:p>
        </w:tc>
        <w:tc>
          <w:tcPr>
            <w:tcW w:w="1287" w:type="dxa"/>
          </w:tcPr>
          <w:p>
            <w:pPr>
              <w:pStyle w:val="TableParagraph"/>
              <w:spacing w:before="104"/>
              <w:rPr>
                <w:b/>
                <w:i/>
                <w:sz w:val="24"/>
              </w:rPr>
            </w:pPr>
          </w:p>
          <w:p>
            <w:pPr>
              <w:pStyle w:val="TableParagraph"/>
              <w:ind w:right="103"/>
              <w:jc w:val="right"/>
              <w:rPr>
                <w:sz w:val="24"/>
              </w:rPr>
            </w:pPr>
            <w:r>
              <w:rPr>
                <w:spacing w:val="-2"/>
                <w:sz w:val="24"/>
              </w:rPr>
              <w:t>446,900</w:t>
            </w:r>
          </w:p>
        </w:tc>
        <w:tc>
          <w:tcPr>
            <w:tcW w:w="1171" w:type="dxa"/>
            <w:shd w:val="clear" w:color="auto" w:fill="E4E4E4"/>
          </w:tcPr>
          <w:p>
            <w:pPr>
              <w:pStyle w:val="TableParagraph"/>
              <w:spacing w:before="104"/>
              <w:rPr>
                <w:b/>
                <w:i/>
                <w:sz w:val="24"/>
              </w:rPr>
            </w:pPr>
          </w:p>
          <w:p>
            <w:pPr>
              <w:pStyle w:val="TableParagraph"/>
              <w:ind w:right="107"/>
              <w:jc w:val="right"/>
              <w:rPr>
                <w:sz w:val="24"/>
              </w:rPr>
            </w:pPr>
            <w:r>
              <w:rPr>
                <w:spacing w:val="-2"/>
                <w:sz w:val="24"/>
              </w:rPr>
              <w:t>572,600</w:t>
            </w:r>
          </w:p>
        </w:tc>
      </w:tr>
      <w:tr>
        <w:trPr>
          <w:trHeight w:val="387" w:hRule="atLeast"/>
        </w:trPr>
        <w:tc>
          <w:tcPr>
            <w:tcW w:w="5741" w:type="dxa"/>
          </w:tcPr>
          <w:p>
            <w:pPr>
              <w:pStyle w:val="TableParagraph"/>
              <w:spacing w:before="35"/>
              <w:ind w:left="50"/>
              <w:rPr>
                <w:sz w:val="24"/>
              </w:rPr>
            </w:pPr>
            <w:r>
              <w:rPr>
                <w:sz w:val="24"/>
              </w:rPr>
              <w:t>Employee </w:t>
            </w:r>
            <w:r>
              <w:rPr>
                <w:spacing w:val="-2"/>
                <w:sz w:val="24"/>
              </w:rPr>
              <w:t>Contributions</w:t>
            </w:r>
          </w:p>
        </w:tc>
        <w:tc>
          <w:tcPr>
            <w:tcW w:w="1287" w:type="dxa"/>
            <w:tcBorders>
              <w:bottom w:val="single" w:sz="4" w:space="0" w:color="000000"/>
            </w:tcBorders>
          </w:tcPr>
          <w:p>
            <w:pPr>
              <w:pStyle w:val="TableParagraph"/>
              <w:spacing w:before="35"/>
              <w:ind w:right="105"/>
              <w:jc w:val="right"/>
              <w:rPr>
                <w:sz w:val="24"/>
              </w:rPr>
            </w:pPr>
            <w:r>
              <w:rPr>
                <w:spacing w:val="-2"/>
                <w:sz w:val="24"/>
              </w:rPr>
              <w:t>(75,600)</w:t>
            </w:r>
          </w:p>
        </w:tc>
        <w:tc>
          <w:tcPr>
            <w:tcW w:w="1171" w:type="dxa"/>
            <w:tcBorders>
              <w:bottom w:val="single" w:sz="4" w:space="0" w:color="000000"/>
            </w:tcBorders>
            <w:shd w:val="clear" w:color="auto" w:fill="E4E4E4"/>
          </w:tcPr>
          <w:p>
            <w:pPr>
              <w:pStyle w:val="TableParagraph"/>
              <w:spacing w:before="35"/>
              <w:ind w:right="109"/>
              <w:jc w:val="right"/>
              <w:rPr>
                <w:sz w:val="24"/>
              </w:rPr>
            </w:pPr>
            <w:r>
              <w:rPr>
                <w:spacing w:val="-2"/>
                <w:sz w:val="24"/>
              </w:rPr>
              <w:t>(101,300)</w:t>
            </w:r>
          </w:p>
        </w:tc>
      </w:tr>
      <w:tr>
        <w:trPr>
          <w:trHeight w:val="368" w:hRule="atLeast"/>
        </w:trPr>
        <w:tc>
          <w:tcPr>
            <w:tcW w:w="5741" w:type="dxa"/>
          </w:tcPr>
          <w:p>
            <w:pPr>
              <w:pStyle w:val="TableParagraph"/>
              <w:rPr>
                <w:rFonts w:ascii="Times New Roman"/>
                <w:sz w:val="24"/>
              </w:rPr>
            </w:pPr>
          </w:p>
        </w:tc>
        <w:tc>
          <w:tcPr>
            <w:tcW w:w="1287" w:type="dxa"/>
            <w:tcBorders>
              <w:top w:val="single" w:sz="4" w:space="0" w:color="000000"/>
              <w:bottom w:val="double" w:sz="4" w:space="0" w:color="000000"/>
            </w:tcBorders>
          </w:tcPr>
          <w:p>
            <w:pPr>
              <w:pStyle w:val="TableParagraph"/>
              <w:spacing w:line="252" w:lineRule="exact"/>
              <w:ind w:right="105"/>
              <w:jc w:val="right"/>
              <w:rPr>
                <w:b/>
                <w:sz w:val="24"/>
              </w:rPr>
            </w:pPr>
            <w:r>
              <w:rPr>
                <w:b/>
                <w:spacing w:val="-2"/>
                <w:sz w:val="24"/>
              </w:rPr>
              <w:t>1,141,700</w:t>
            </w:r>
          </w:p>
        </w:tc>
        <w:tc>
          <w:tcPr>
            <w:tcW w:w="1171" w:type="dxa"/>
            <w:tcBorders>
              <w:top w:val="single" w:sz="4" w:space="0" w:color="000000"/>
              <w:bottom w:val="double" w:sz="4" w:space="0" w:color="000000"/>
            </w:tcBorders>
            <w:shd w:val="clear" w:color="auto" w:fill="E4E4E4"/>
          </w:tcPr>
          <w:p>
            <w:pPr>
              <w:pStyle w:val="TableParagraph"/>
              <w:spacing w:line="252" w:lineRule="exact"/>
              <w:ind w:right="109"/>
              <w:jc w:val="right"/>
              <w:rPr>
                <w:b/>
                <w:sz w:val="24"/>
              </w:rPr>
            </w:pPr>
            <w:r>
              <w:rPr>
                <w:b/>
                <w:spacing w:val="-2"/>
                <w:sz w:val="24"/>
              </w:rPr>
              <w:t>947,400</w:t>
            </w:r>
          </w:p>
        </w:tc>
      </w:tr>
    </w:tbl>
    <w:p>
      <w:pPr>
        <w:pStyle w:val="BodyText"/>
        <w:rPr>
          <w:b/>
          <w:i/>
          <w:sz w:val="24"/>
        </w:rPr>
      </w:pPr>
    </w:p>
    <w:p>
      <w:pPr>
        <w:pStyle w:val="BodyText"/>
        <w:spacing w:before="118"/>
        <w:rPr>
          <w:b/>
          <w:i/>
          <w:sz w:val="24"/>
        </w:rPr>
      </w:pPr>
    </w:p>
    <w:p>
      <w:pPr>
        <w:pStyle w:val="ListParagraph"/>
        <w:numPr>
          <w:ilvl w:val="0"/>
          <w:numId w:val="20"/>
        </w:numPr>
        <w:tabs>
          <w:tab w:pos="2060" w:val="left" w:leader="none"/>
          <w:tab w:pos="2062" w:val="left" w:leader="none"/>
        </w:tabs>
        <w:spacing w:line="300" w:lineRule="auto" w:before="0" w:after="22"/>
        <w:ind w:left="2062" w:right="1449" w:hanging="360"/>
        <w:jc w:val="left"/>
        <w:rPr>
          <w:b/>
          <w:i/>
          <w:sz w:val="24"/>
        </w:rPr>
      </w:pPr>
      <w:r>
        <w:rPr>
          <w:b/>
          <w:i/>
          <w:sz w:val="24"/>
        </w:rPr>
        <w:t>Movement</w:t>
      </w:r>
      <w:r>
        <w:rPr>
          <w:b/>
          <w:i/>
          <w:spacing w:val="-4"/>
          <w:sz w:val="24"/>
        </w:rPr>
        <w:t> </w:t>
      </w:r>
      <w:r>
        <w:rPr>
          <w:b/>
          <w:i/>
          <w:sz w:val="24"/>
        </w:rPr>
        <w:t>in</w:t>
      </w:r>
      <w:r>
        <w:rPr>
          <w:b/>
          <w:i/>
          <w:spacing w:val="-4"/>
          <w:sz w:val="24"/>
        </w:rPr>
        <w:t> </w:t>
      </w:r>
      <w:r>
        <w:rPr>
          <w:b/>
          <w:i/>
          <w:sz w:val="24"/>
        </w:rPr>
        <w:t>net</w:t>
      </w:r>
      <w:r>
        <w:rPr>
          <w:b/>
          <w:i/>
          <w:spacing w:val="-4"/>
          <w:sz w:val="24"/>
        </w:rPr>
        <w:t> </w:t>
      </w:r>
      <w:r>
        <w:rPr>
          <w:b/>
          <w:i/>
          <w:sz w:val="24"/>
        </w:rPr>
        <w:t>retirement</w:t>
      </w:r>
      <w:r>
        <w:rPr>
          <w:b/>
          <w:i/>
          <w:spacing w:val="-4"/>
          <w:sz w:val="24"/>
        </w:rPr>
        <w:t> </w:t>
      </w:r>
      <w:r>
        <w:rPr>
          <w:b/>
          <w:i/>
          <w:sz w:val="24"/>
        </w:rPr>
        <w:t>benefit</w:t>
      </w:r>
      <w:r>
        <w:rPr>
          <w:b/>
          <w:i/>
          <w:spacing w:val="-4"/>
          <w:sz w:val="24"/>
        </w:rPr>
        <w:t> </w:t>
      </w:r>
      <w:r>
        <w:rPr>
          <w:b/>
          <w:i/>
          <w:sz w:val="24"/>
        </w:rPr>
        <w:t>obligations</w:t>
      </w:r>
      <w:r>
        <w:rPr>
          <w:b/>
          <w:i/>
          <w:spacing w:val="-4"/>
          <w:sz w:val="24"/>
        </w:rPr>
        <w:t> </w:t>
      </w:r>
      <w:r>
        <w:rPr>
          <w:b/>
          <w:i/>
          <w:sz w:val="24"/>
        </w:rPr>
        <w:t>during</w:t>
      </w:r>
      <w:r>
        <w:rPr>
          <w:b/>
          <w:i/>
          <w:spacing w:val="-5"/>
          <w:sz w:val="24"/>
        </w:rPr>
        <w:t> </w:t>
      </w:r>
      <w:r>
        <w:rPr>
          <w:b/>
          <w:i/>
          <w:sz w:val="24"/>
        </w:rPr>
        <w:t>the</w:t>
      </w:r>
      <w:r>
        <w:rPr>
          <w:b/>
          <w:i/>
          <w:spacing w:val="-4"/>
          <w:sz w:val="24"/>
        </w:rPr>
        <w:t> </w:t>
      </w:r>
      <w:r>
        <w:rPr>
          <w:b/>
          <w:i/>
          <w:sz w:val="24"/>
        </w:rPr>
        <w:t>financial</w:t>
      </w:r>
      <w:r>
        <w:rPr>
          <w:b/>
          <w:i/>
          <w:sz w:val="24"/>
        </w:rPr>
        <w:t> </w:t>
      </w:r>
      <w:r>
        <w:rPr>
          <w:b/>
          <w:i/>
          <w:spacing w:val="-4"/>
          <w:sz w:val="24"/>
        </w:rPr>
        <w:t>year</w:t>
      </w: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0"/>
        <w:gridCol w:w="1430"/>
        <w:gridCol w:w="1418"/>
      </w:tblGrid>
      <w:tr>
        <w:trPr>
          <w:trHeight w:val="635" w:hRule="atLeast"/>
        </w:trPr>
        <w:tc>
          <w:tcPr>
            <w:tcW w:w="5350" w:type="dxa"/>
          </w:tcPr>
          <w:p>
            <w:pPr>
              <w:pStyle w:val="TableParagraph"/>
              <w:rPr>
                <w:rFonts w:ascii="Times New Roman"/>
                <w:sz w:val="24"/>
              </w:rPr>
            </w:pPr>
          </w:p>
        </w:tc>
        <w:tc>
          <w:tcPr>
            <w:tcW w:w="1430" w:type="dxa"/>
          </w:tcPr>
          <w:p>
            <w:pPr>
              <w:pStyle w:val="TableParagraph"/>
              <w:spacing w:line="253" w:lineRule="exact"/>
              <w:ind w:right="107"/>
              <w:jc w:val="right"/>
              <w:rPr>
                <w:b/>
                <w:sz w:val="24"/>
              </w:rPr>
            </w:pPr>
            <w:r>
              <w:rPr>
                <w:b/>
                <w:spacing w:val="-4"/>
                <w:sz w:val="24"/>
              </w:rPr>
              <w:t>2017</w:t>
            </w:r>
          </w:p>
          <w:p>
            <w:pPr>
              <w:pStyle w:val="TableParagraph"/>
              <w:spacing w:before="69"/>
              <w:ind w:right="106"/>
              <w:jc w:val="right"/>
              <w:rPr>
                <w:b/>
                <w:sz w:val="24"/>
              </w:rPr>
            </w:pPr>
            <w:r>
              <w:rPr>
                <w:b/>
                <w:spacing w:val="-10"/>
                <w:sz w:val="24"/>
              </w:rPr>
              <w:t>€</w:t>
            </w:r>
          </w:p>
        </w:tc>
        <w:tc>
          <w:tcPr>
            <w:tcW w:w="1418" w:type="dxa"/>
            <w:shd w:val="clear" w:color="auto" w:fill="E4E4E4"/>
          </w:tcPr>
          <w:p>
            <w:pPr>
              <w:pStyle w:val="TableParagraph"/>
              <w:spacing w:line="253" w:lineRule="exact"/>
              <w:ind w:right="106"/>
              <w:jc w:val="right"/>
              <w:rPr>
                <w:b/>
                <w:sz w:val="24"/>
              </w:rPr>
            </w:pPr>
            <w:r>
              <w:rPr>
                <w:b/>
                <w:spacing w:val="-4"/>
                <w:sz w:val="24"/>
              </w:rPr>
              <w:t>2016</w:t>
            </w:r>
          </w:p>
          <w:p>
            <w:pPr>
              <w:pStyle w:val="TableParagraph"/>
              <w:spacing w:before="69"/>
              <w:ind w:right="105"/>
              <w:jc w:val="right"/>
              <w:rPr>
                <w:b/>
                <w:sz w:val="24"/>
              </w:rPr>
            </w:pPr>
            <w:r>
              <w:rPr>
                <w:b/>
                <w:spacing w:val="-10"/>
                <w:sz w:val="24"/>
              </w:rPr>
              <w:t>€</w:t>
            </w:r>
          </w:p>
        </w:tc>
      </w:tr>
      <w:tr>
        <w:trPr>
          <w:trHeight w:val="347" w:hRule="atLeast"/>
        </w:trPr>
        <w:tc>
          <w:tcPr>
            <w:tcW w:w="5350" w:type="dxa"/>
          </w:tcPr>
          <w:p>
            <w:pPr>
              <w:pStyle w:val="TableParagraph"/>
              <w:spacing w:before="35"/>
              <w:ind w:left="50"/>
              <w:rPr>
                <w:sz w:val="24"/>
              </w:rPr>
            </w:pPr>
            <w:r>
              <w:rPr>
                <w:sz w:val="24"/>
              </w:rPr>
              <w:t>Net</w:t>
            </w:r>
            <w:r>
              <w:rPr>
                <w:spacing w:val="-1"/>
                <w:sz w:val="24"/>
              </w:rPr>
              <w:t> </w:t>
            </w:r>
            <w:r>
              <w:rPr>
                <w:sz w:val="24"/>
              </w:rPr>
              <w:t>retirement</w:t>
            </w:r>
            <w:r>
              <w:rPr>
                <w:spacing w:val="-1"/>
                <w:sz w:val="24"/>
              </w:rPr>
              <w:t> </w:t>
            </w:r>
            <w:r>
              <w:rPr>
                <w:sz w:val="24"/>
              </w:rPr>
              <w:t>benefit obligation</w:t>
            </w:r>
            <w:r>
              <w:rPr>
                <w:spacing w:val="-1"/>
                <w:sz w:val="24"/>
              </w:rPr>
              <w:t> </w:t>
            </w:r>
            <w:r>
              <w:rPr>
                <w:sz w:val="24"/>
              </w:rPr>
              <w:t>at 1 </w:t>
            </w:r>
            <w:r>
              <w:rPr>
                <w:spacing w:val="-2"/>
                <w:sz w:val="24"/>
              </w:rPr>
              <w:t>January</w:t>
            </w:r>
          </w:p>
        </w:tc>
        <w:tc>
          <w:tcPr>
            <w:tcW w:w="1430" w:type="dxa"/>
          </w:tcPr>
          <w:p>
            <w:pPr>
              <w:pStyle w:val="TableParagraph"/>
              <w:spacing w:before="35"/>
              <w:ind w:right="105"/>
              <w:jc w:val="right"/>
              <w:rPr>
                <w:sz w:val="24"/>
              </w:rPr>
            </w:pPr>
            <w:r>
              <w:rPr>
                <w:spacing w:val="-2"/>
                <w:sz w:val="24"/>
              </w:rPr>
              <w:t>27,551,500</w:t>
            </w:r>
          </w:p>
        </w:tc>
        <w:tc>
          <w:tcPr>
            <w:tcW w:w="1418" w:type="dxa"/>
            <w:shd w:val="clear" w:color="auto" w:fill="E4E4E4"/>
          </w:tcPr>
          <w:p>
            <w:pPr>
              <w:pStyle w:val="TableParagraph"/>
              <w:spacing w:before="35"/>
              <w:ind w:right="104"/>
              <w:jc w:val="right"/>
              <w:rPr>
                <w:sz w:val="24"/>
              </w:rPr>
            </w:pPr>
            <w:r>
              <w:rPr>
                <w:spacing w:val="-2"/>
                <w:sz w:val="24"/>
              </w:rPr>
              <w:t>23,371,800</w:t>
            </w:r>
          </w:p>
        </w:tc>
      </w:tr>
      <w:tr>
        <w:trPr>
          <w:trHeight w:val="348" w:hRule="atLeast"/>
        </w:trPr>
        <w:tc>
          <w:tcPr>
            <w:tcW w:w="5350" w:type="dxa"/>
          </w:tcPr>
          <w:p>
            <w:pPr>
              <w:pStyle w:val="TableParagraph"/>
              <w:spacing w:before="35"/>
              <w:ind w:left="50"/>
              <w:rPr>
                <w:sz w:val="24"/>
              </w:rPr>
            </w:pPr>
            <w:r>
              <w:rPr>
                <w:sz w:val="24"/>
              </w:rPr>
              <w:t>Current</w:t>
            </w:r>
            <w:r>
              <w:rPr>
                <w:spacing w:val="-4"/>
                <w:sz w:val="24"/>
              </w:rPr>
              <w:t> </w:t>
            </w:r>
            <w:r>
              <w:rPr>
                <w:sz w:val="24"/>
              </w:rPr>
              <w:t>service</w:t>
            </w:r>
            <w:r>
              <w:rPr>
                <w:spacing w:val="-1"/>
                <w:sz w:val="24"/>
              </w:rPr>
              <w:t> </w:t>
            </w:r>
            <w:r>
              <w:rPr>
                <w:spacing w:val="-2"/>
                <w:sz w:val="24"/>
              </w:rPr>
              <w:t>costs</w:t>
            </w:r>
          </w:p>
        </w:tc>
        <w:tc>
          <w:tcPr>
            <w:tcW w:w="1430" w:type="dxa"/>
          </w:tcPr>
          <w:p>
            <w:pPr>
              <w:pStyle w:val="TableParagraph"/>
              <w:spacing w:before="35"/>
              <w:ind w:right="105"/>
              <w:jc w:val="right"/>
              <w:rPr>
                <w:sz w:val="24"/>
              </w:rPr>
            </w:pPr>
            <w:r>
              <w:rPr>
                <w:spacing w:val="-2"/>
                <w:sz w:val="24"/>
              </w:rPr>
              <w:t>770,400</w:t>
            </w:r>
          </w:p>
        </w:tc>
        <w:tc>
          <w:tcPr>
            <w:tcW w:w="1418" w:type="dxa"/>
            <w:shd w:val="clear" w:color="auto" w:fill="E4E4E4"/>
          </w:tcPr>
          <w:p>
            <w:pPr>
              <w:pStyle w:val="TableParagraph"/>
              <w:spacing w:before="35"/>
              <w:ind w:right="104"/>
              <w:jc w:val="right"/>
              <w:rPr>
                <w:sz w:val="24"/>
              </w:rPr>
            </w:pPr>
            <w:r>
              <w:rPr>
                <w:spacing w:val="-2"/>
                <w:sz w:val="24"/>
              </w:rPr>
              <w:t>476,100</w:t>
            </w:r>
          </w:p>
        </w:tc>
      </w:tr>
      <w:tr>
        <w:trPr>
          <w:trHeight w:val="347" w:hRule="atLeast"/>
        </w:trPr>
        <w:tc>
          <w:tcPr>
            <w:tcW w:w="5350" w:type="dxa"/>
          </w:tcPr>
          <w:p>
            <w:pPr>
              <w:pStyle w:val="TableParagraph"/>
              <w:spacing w:before="35"/>
              <w:ind w:left="50"/>
              <w:rPr>
                <w:sz w:val="24"/>
              </w:rPr>
            </w:pPr>
            <w:r>
              <w:rPr>
                <w:sz w:val="24"/>
              </w:rPr>
              <w:t>Interest</w:t>
            </w:r>
            <w:r>
              <w:rPr>
                <w:spacing w:val="-2"/>
                <w:sz w:val="24"/>
              </w:rPr>
              <w:t> costs</w:t>
            </w:r>
          </w:p>
        </w:tc>
        <w:tc>
          <w:tcPr>
            <w:tcW w:w="1430" w:type="dxa"/>
          </w:tcPr>
          <w:p>
            <w:pPr>
              <w:pStyle w:val="TableParagraph"/>
              <w:spacing w:before="35"/>
              <w:ind w:right="105"/>
              <w:jc w:val="right"/>
              <w:rPr>
                <w:sz w:val="24"/>
              </w:rPr>
            </w:pPr>
            <w:r>
              <w:rPr>
                <w:spacing w:val="-2"/>
                <w:sz w:val="24"/>
              </w:rPr>
              <w:t>446,900</w:t>
            </w:r>
          </w:p>
        </w:tc>
        <w:tc>
          <w:tcPr>
            <w:tcW w:w="1418" w:type="dxa"/>
            <w:shd w:val="clear" w:color="auto" w:fill="E4E4E4"/>
          </w:tcPr>
          <w:p>
            <w:pPr>
              <w:pStyle w:val="TableParagraph"/>
              <w:spacing w:before="35"/>
              <w:ind w:right="104"/>
              <w:jc w:val="right"/>
              <w:rPr>
                <w:sz w:val="24"/>
              </w:rPr>
            </w:pPr>
            <w:r>
              <w:rPr>
                <w:spacing w:val="-2"/>
                <w:sz w:val="24"/>
              </w:rPr>
              <w:t>572,600</w:t>
            </w:r>
          </w:p>
        </w:tc>
      </w:tr>
      <w:tr>
        <w:trPr>
          <w:trHeight w:val="348" w:hRule="atLeast"/>
        </w:trPr>
        <w:tc>
          <w:tcPr>
            <w:tcW w:w="5350" w:type="dxa"/>
          </w:tcPr>
          <w:p>
            <w:pPr>
              <w:pStyle w:val="TableParagraph"/>
              <w:spacing w:before="35"/>
              <w:ind w:left="50"/>
              <w:rPr>
                <w:sz w:val="24"/>
              </w:rPr>
            </w:pPr>
            <w:r>
              <w:rPr>
                <w:sz w:val="24"/>
              </w:rPr>
              <w:t>Actuarial</w:t>
            </w:r>
            <w:r>
              <w:rPr>
                <w:spacing w:val="-2"/>
                <w:sz w:val="24"/>
              </w:rPr>
              <w:t> gain/(loss)</w:t>
            </w:r>
          </w:p>
        </w:tc>
        <w:tc>
          <w:tcPr>
            <w:tcW w:w="1430" w:type="dxa"/>
          </w:tcPr>
          <w:p>
            <w:pPr>
              <w:pStyle w:val="TableParagraph"/>
              <w:spacing w:before="35"/>
              <w:ind w:right="107"/>
              <w:jc w:val="right"/>
              <w:rPr>
                <w:sz w:val="24"/>
              </w:rPr>
            </w:pPr>
            <w:r>
              <w:rPr>
                <w:spacing w:val="-2"/>
                <w:sz w:val="24"/>
              </w:rPr>
              <w:t>(1,692,100)</w:t>
            </w:r>
          </w:p>
        </w:tc>
        <w:tc>
          <w:tcPr>
            <w:tcW w:w="1418" w:type="dxa"/>
            <w:shd w:val="clear" w:color="auto" w:fill="E4E4E4"/>
          </w:tcPr>
          <w:p>
            <w:pPr>
              <w:pStyle w:val="TableParagraph"/>
              <w:spacing w:before="35"/>
              <w:ind w:right="104"/>
              <w:jc w:val="right"/>
              <w:rPr>
                <w:sz w:val="24"/>
              </w:rPr>
            </w:pPr>
            <w:r>
              <w:rPr>
                <w:spacing w:val="-2"/>
                <w:sz w:val="24"/>
              </w:rPr>
              <w:t>3,766,000</w:t>
            </w:r>
          </w:p>
        </w:tc>
      </w:tr>
      <w:tr>
        <w:trPr>
          <w:trHeight w:val="408" w:hRule="atLeast"/>
        </w:trPr>
        <w:tc>
          <w:tcPr>
            <w:tcW w:w="5350" w:type="dxa"/>
          </w:tcPr>
          <w:p>
            <w:pPr>
              <w:pStyle w:val="TableParagraph"/>
              <w:spacing w:before="35"/>
              <w:ind w:left="50"/>
              <w:rPr>
                <w:sz w:val="24"/>
              </w:rPr>
            </w:pPr>
            <w:r>
              <w:rPr>
                <w:sz w:val="24"/>
              </w:rPr>
              <w:t>Pensions</w:t>
            </w:r>
            <w:r>
              <w:rPr>
                <w:spacing w:val="-4"/>
                <w:sz w:val="24"/>
              </w:rPr>
              <w:t> </w:t>
            </w:r>
            <w:r>
              <w:rPr>
                <w:sz w:val="24"/>
              </w:rPr>
              <w:t>paid in the </w:t>
            </w:r>
            <w:r>
              <w:rPr>
                <w:spacing w:val="-4"/>
                <w:sz w:val="24"/>
              </w:rPr>
              <w:t>year</w:t>
            </w:r>
          </w:p>
        </w:tc>
        <w:tc>
          <w:tcPr>
            <w:tcW w:w="1430" w:type="dxa"/>
            <w:tcBorders>
              <w:bottom w:val="single" w:sz="4" w:space="0" w:color="000000"/>
            </w:tcBorders>
          </w:tcPr>
          <w:p>
            <w:pPr>
              <w:pStyle w:val="TableParagraph"/>
              <w:spacing w:before="35"/>
              <w:ind w:right="106"/>
              <w:jc w:val="right"/>
              <w:rPr>
                <w:sz w:val="24"/>
              </w:rPr>
            </w:pPr>
            <w:r>
              <w:rPr>
                <w:spacing w:val="-2"/>
                <w:sz w:val="24"/>
              </w:rPr>
              <w:t>(712,700)</w:t>
            </w:r>
          </w:p>
        </w:tc>
        <w:tc>
          <w:tcPr>
            <w:tcW w:w="1418" w:type="dxa"/>
            <w:tcBorders>
              <w:bottom w:val="single" w:sz="4" w:space="0" w:color="000000"/>
            </w:tcBorders>
            <w:shd w:val="clear" w:color="auto" w:fill="E4E4E4"/>
          </w:tcPr>
          <w:p>
            <w:pPr>
              <w:pStyle w:val="TableParagraph"/>
              <w:spacing w:before="35"/>
              <w:ind w:right="106"/>
              <w:jc w:val="right"/>
              <w:rPr>
                <w:sz w:val="24"/>
              </w:rPr>
            </w:pPr>
            <w:r>
              <w:rPr>
                <w:spacing w:val="-2"/>
                <w:sz w:val="24"/>
              </w:rPr>
              <w:t>(635,000)</w:t>
            </w:r>
          </w:p>
        </w:tc>
      </w:tr>
      <w:tr>
        <w:trPr>
          <w:trHeight w:val="695" w:hRule="atLeast"/>
        </w:trPr>
        <w:tc>
          <w:tcPr>
            <w:tcW w:w="5350" w:type="dxa"/>
          </w:tcPr>
          <w:p>
            <w:pPr>
              <w:pStyle w:val="TableParagraph"/>
              <w:spacing w:line="252" w:lineRule="exact"/>
              <w:ind w:left="50"/>
              <w:rPr>
                <w:b/>
                <w:sz w:val="24"/>
              </w:rPr>
            </w:pPr>
            <w:r>
              <w:rPr>
                <w:b/>
                <w:sz w:val="24"/>
              </w:rPr>
              <w:t>Net</w:t>
            </w:r>
            <w:r>
              <w:rPr>
                <w:b/>
                <w:spacing w:val="-2"/>
                <w:sz w:val="24"/>
              </w:rPr>
              <w:t> </w:t>
            </w:r>
            <w:r>
              <w:rPr>
                <w:b/>
                <w:sz w:val="24"/>
              </w:rPr>
              <w:t>retirement</w:t>
            </w:r>
            <w:r>
              <w:rPr>
                <w:b/>
                <w:spacing w:val="-2"/>
                <w:sz w:val="24"/>
              </w:rPr>
              <w:t> </w:t>
            </w:r>
            <w:r>
              <w:rPr>
                <w:b/>
                <w:sz w:val="24"/>
              </w:rPr>
              <w:t>benefit</w:t>
            </w:r>
            <w:r>
              <w:rPr>
                <w:b/>
                <w:spacing w:val="-2"/>
                <w:sz w:val="24"/>
              </w:rPr>
              <w:t> </w:t>
            </w:r>
            <w:r>
              <w:rPr>
                <w:b/>
                <w:sz w:val="24"/>
              </w:rPr>
              <w:t>obligation</w:t>
            </w:r>
            <w:r>
              <w:rPr>
                <w:b/>
                <w:spacing w:val="-4"/>
                <w:sz w:val="24"/>
              </w:rPr>
              <w:t> </w:t>
            </w:r>
            <w:r>
              <w:rPr>
                <w:b/>
                <w:sz w:val="24"/>
              </w:rPr>
              <w:t>at </w:t>
            </w:r>
            <w:r>
              <w:rPr>
                <w:b/>
                <w:spacing w:val="-5"/>
                <w:sz w:val="24"/>
              </w:rPr>
              <w:t>31</w:t>
            </w:r>
          </w:p>
          <w:p>
            <w:pPr>
              <w:pStyle w:val="TableParagraph"/>
              <w:spacing w:before="69"/>
              <w:ind w:left="50"/>
              <w:rPr>
                <w:b/>
                <w:sz w:val="24"/>
              </w:rPr>
            </w:pPr>
            <w:r>
              <w:rPr>
                <w:b/>
                <w:spacing w:val="-2"/>
                <w:sz w:val="24"/>
              </w:rPr>
              <w:t>December</w:t>
            </w:r>
          </w:p>
        </w:tc>
        <w:tc>
          <w:tcPr>
            <w:tcW w:w="1430" w:type="dxa"/>
            <w:tcBorders>
              <w:top w:val="single" w:sz="4" w:space="0" w:color="000000"/>
              <w:bottom w:val="double" w:sz="4" w:space="0" w:color="000000"/>
            </w:tcBorders>
          </w:tcPr>
          <w:p>
            <w:pPr>
              <w:pStyle w:val="TableParagraph"/>
              <w:spacing w:before="43"/>
              <w:rPr>
                <w:b/>
                <w:i/>
                <w:sz w:val="24"/>
              </w:rPr>
            </w:pPr>
          </w:p>
          <w:p>
            <w:pPr>
              <w:pStyle w:val="TableParagraph"/>
              <w:ind w:right="107"/>
              <w:jc w:val="right"/>
              <w:rPr>
                <w:b/>
                <w:sz w:val="24"/>
              </w:rPr>
            </w:pPr>
            <w:r>
              <w:rPr>
                <w:b/>
                <w:spacing w:val="-2"/>
                <w:sz w:val="24"/>
              </w:rPr>
              <w:t>26,364,000</w:t>
            </w:r>
          </w:p>
        </w:tc>
        <w:tc>
          <w:tcPr>
            <w:tcW w:w="1418" w:type="dxa"/>
            <w:tcBorders>
              <w:top w:val="single" w:sz="4" w:space="0" w:color="000000"/>
              <w:bottom w:val="double" w:sz="4" w:space="0" w:color="000000"/>
            </w:tcBorders>
            <w:shd w:val="clear" w:color="auto" w:fill="E4E4E4"/>
          </w:tcPr>
          <w:p>
            <w:pPr>
              <w:pStyle w:val="TableParagraph"/>
              <w:spacing w:before="43"/>
              <w:rPr>
                <w:b/>
                <w:i/>
                <w:sz w:val="24"/>
              </w:rPr>
            </w:pPr>
          </w:p>
          <w:p>
            <w:pPr>
              <w:pStyle w:val="TableParagraph"/>
              <w:ind w:right="106"/>
              <w:jc w:val="right"/>
              <w:rPr>
                <w:b/>
                <w:sz w:val="24"/>
              </w:rPr>
            </w:pPr>
            <w:r>
              <w:rPr>
                <w:b/>
                <w:spacing w:val="-2"/>
                <w:sz w:val="24"/>
              </w:rPr>
              <w:t>27,551,500</w:t>
            </w:r>
          </w:p>
        </w:tc>
      </w:tr>
    </w:tbl>
    <w:p>
      <w:pPr>
        <w:pStyle w:val="TableParagraph"/>
        <w:spacing w:after="0"/>
        <w:jc w:val="right"/>
        <w:rPr>
          <w:b/>
          <w:sz w:val="24"/>
        </w:rPr>
        <w:sectPr>
          <w:pgSz w:w="11910" w:h="16850"/>
          <w:pgMar w:header="0" w:footer="811" w:top="1880" w:bottom="1000" w:left="283" w:right="992"/>
        </w:sectPr>
      </w:pPr>
    </w:p>
    <w:p>
      <w:pPr>
        <w:pStyle w:val="ListParagraph"/>
        <w:numPr>
          <w:ilvl w:val="0"/>
          <w:numId w:val="20"/>
        </w:numPr>
        <w:tabs>
          <w:tab w:pos="2059" w:val="left" w:leader="none"/>
        </w:tabs>
        <w:spacing w:line="240" w:lineRule="auto" w:before="78" w:after="0"/>
        <w:ind w:left="2059" w:right="0" w:hanging="357"/>
        <w:jc w:val="both"/>
        <w:rPr>
          <w:b/>
          <w:i/>
          <w:sz w:val="24"/>
        </w:rPr>
      </w:pPr>
      <w:r>
        <w:rPr>
          <w:b/>
          <w:i/>
          <w:sz w:val="24"/>
        </w:rPr>
        <w:t>Deferred</w:t>
      </w:r>
      <w:r>
        <w:rPr>
          <w:b/>
          <w:i/>
          <w:spacing w:val="-3"/>
          <w:sz w:val="24"/>
        </w:rPr>
        <w:t> </w:t>
      </w:r>
      <w:r>
        <w:rPr>
          <w:b/>
          <w:i/>
          <w:sz w:val="24"/>
        </w:rPr>
        <w:t>funding</w:t>
      </w:r>
      <w:r>
        <w:rPr>
          <w:b/>
          <w:i/>
          <w:spacing w:val="-3"/>
          <w:sz w:val="24"/>
        </w:rPr>
        <w:t> </w:t>
      </w:r>
      <w:r>
        <w:rPr>
          <w:b/>
          <w:i/>
          <w:sz w:val="24"/>
        </w:rPr>
        <w:t>for</w:t>
      </w:r>
      <w:r>
        <w:rPr>
          <w:b/>
          <w:i/>
          <w:spacing w:val="-3"/>
          <w:sz w:val="24"/>
        </w:rPr>
        <w:t> </w:t>
      </w:r>
      <w:r>
        <w:rPr>
          <w:b/>
          <w:i/>
          <w:sz w:val="24"/>
        </w:rPr>
        <w:t>retirement</w:t>
      </w:r>
      <w:r>
        <w:rPr>
          <w:b/>
          <w:i/>
          <w:spacing w:val="-2"/>
          <w:sz w:val="24"/>
        </w:rPr>
        <w:t> benefits</w:t>
      </w:r>
    </w:p>
    <w:p>
      <w:pPr>
        <w:spacing w:line="300" w:lineRule="auto" w:before="70"/>
        <w:ind w:left="1702" w:right="991" w:firstLine="0"/>
        <w:jc w:val="both"/>
        <w:rPr>
          <w:sz w:val="24"/>
        </w:rPr>
      </w:pPr>
      <w:r>
        <w:rPr>
          <w:sz w:val="24"/>
        </w:rPr>
        <w:t>The NDA recognises these amounts as an asset corresponding to the unfunded deferred liability for retirement benefits on the basis of the set of assumptions described above and a number of past events.</w:t>
      </w:r>
    </w:p>
    <w:p>
      <w:pPr>
        <w:pStyle w:val="BodyText"/>
        <w:spacing w:before="69"/>
        <w:rPr>
          <w:sz w:val="24"/>
        </w:rPr>
      </w:pPr>
    </w:p>
    <w:p>
      <w:pPr>
        <w:spacing w:line="300" w:lineRule="auto" w:before="1"/>
        <w:ind w:left="1702" w:right="989" w:firstLine="0"/>
        <w:jc w:val="both"/>
        <w:rPr>
          <w:sz w:val="24"/>
        </w:rPr>
      </w:pPr>
      <w:r>
        <w:rPr>
          <w:sz w:val="24"/>
        </w:rPr>
        <w:t>These events include the statutory basis for the establishment of the retirement benefit</w:t>
      </w:r>
      <w:r>
        <w:rPr>
          <w:spacing w:val="-12"/>
          <w:sz w:val="24"/>
        </w:rPr>
        <w:t> </w:t>
      </w:r>
      <w:r>
        <w:rPr>
          <w:sz w:val="24"/>
        </w:rPr>
        <w:t>scheme,</w:t>
      </w:r>
      <w:r>
        <w:rPr>
          <w:spacing w:val="-11"/>
          <w:sz w:val="24"/>
        </w:rPr>
        <w:t> </w:t>
      </w:r>
      <w:r>
        <w:rPr>
          <w:sz w:val="24"/>
        </w:rPr>
        <w:t>and</w:t>
      </w:r>
      <w:r>
        <w:rPr>
          <w:spacing w:val="-11"/>
          <w:sz w:val="24"/>
        </w:rPr>
        <w:t> </w:t>
      </w:r>
      <w:r>
        <w:rPr>
          <w:sz w:val="24"/>
        </w:rPr>
        <w:t>the</w:t>
      </w:r>
      <w:r>
        <w:rPr>
          <w:spacing w:val="-10"/>
          <w:sz w:val="24"/>
        </w:rPr>
        <w:t> </w:t>
      </w:r>
      <w:r>
        <w:rPr>
          <w:sz w:val="24"/>
        </w:rPr>
        <w:t>policy</w:t>
      </w:r>
      <w:r>
        <w:rPr>
          <w:spacing w:val="-11"/>
          <w:sz w:val="24"/>
        </w:rPr>
        <w:t> </w:t>
      </w:r>
      <w:r>
        <w:rPr>
          <w:sz w:val="24"/>
        </w:rPr>
        <w:t>and</w:t>
      </w:r>
      <w:r>
        <w:rPr>
          <w:spacing w:val="-11"/>
          <w:sz w:val="24"/>
        </w:rPr>
        <w:t> </w:t>
      </w:r>
      <w:r>
        <w:rPr>
          <w:sz w:val="24"/>
        </w:rPr>
        <w:t>practice</w:t>
      </w:r>
      <w:r>
        <w:rPr>
          <w:spacing w:val="-11"/>
          <w:sz w:val="24"/>
        </w:rPr>
        <w:t> </w:t>
      </w:r>
      <w:r>
        <w:rPr>
          <w:sz w:val="24"/>
        </w:rPr>
        <w:t>currently</w:t>
      </w:r>
      <w:r>
        <w:rPr>
          <w:spacing w:val="-12"/>
          <w:sz w:val="24"/>
        </w:rPr>
        <w:t> </w:t>
      </w:r>
      <w:r>
        <w:rPr>
          <w:sz w:val="24"/>
        </w:rPr>
        <w:t>in</w:t>
      </w:r>
      <w:r>
        <w:rPr>
          <w:spacing w:val="-11"/>
          <w:sz w:val="24"/>
        </w:rPr>
        <w:t> </w:t>
      </w:r>
      <w:r>
        <w:rPr>
          <w:sz w:val="24"/>
        </w:rPr>
        <w:t>place</w:t>
      </w:r>
      <w:r>
        <w:rPr>
          <w:spacing w:val="-11"/>
          <w:sz w:val="24"/>
        </w:rPr>
        <w:t> </w:t>
      </w:r>
      <w:r>
        <w:rPr>
          <w:sz w:val="24"/>
        </w:rPr>
        <w:t>in</w:t>
      </w:r>
      <w:r>
        <w:rPr>
          <w:spacing w:val="-11"/>
          <w:sz w:val="24"/>
        </w:rPr>
        <w:t> </w:t>
      </w:r>
      <w:r>
        <w:rPr>
          <w:sz w:val="24"/>
        </w:rPr>
        <w:t>relation</w:t>
      </w:r>
      <w:r>
        <w:rPr>
          <w:spacing w:val="-12"/>
          <w:sz w:val="24"/>
        </w:rPr>
        <w:t> </w:t>
      </w:r>
      <w:r>
        <w:rPr>
          <w:sz w:val="24"/>
        </w:rPr>
        <w:t>to</w:t>
      </w:r>
      <w:r>
        <w:rPr>
          <w:spacing w:val="-13"/>
          <w:sz w:val="24"/>
        </w:rPr>
        <w:t> </w:t>
      </w:r>
      <w:r>
        <w:rPr>
          <w:sz w:val="24"/>
        </w:rPr>
        <w:t>funding public service pensions including contributions by employees and the annual estimates process. The NDA has no evidence that this funding policy will not continue to meet such sums in accordance with current practice.</w:t>
      </w:r>
    </w:p>
    <w:p>
      <w:pPr>
        <w:pStyle w:val="BodyText"/>
        <w:spacing w:before="70"/>
        <w:rPr>
          <w:sz w:val="24"/>
        </w:rPr>
      </w:pPr>
    </w:p>
    <w:p>
      <w:pPr>
        <w:spacing w:line="300" w:lineRule="auto" w:before="0"/>
        <w:ind w:left="1702" w:right="987" w:firstLine="0"/>
        <w:jc w:val="both"/>
        <w:rPr>
          <w:sz w:val="24"/>
        </w:rPr>
      </w:pPr>
      <w:r>
        <w:rPr>
          <w:sz w:val="24"/>
        </w:rPr>
        <w:t>The net deferred funding for retirement benefits recognised in the Statement of Income and Expenditure and Retained Revenue Reserves was as follows:</w:t>
      </w:r>
    </w:p>
    <w:p>
      <w:pPr>
        <w:pStyle w:val="BodyText"/>
        <w:spacing w:before="75" w:after="1"/>
        <w:rPr>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50"/>
        <w:gridCol w:w="1258"/>
        <w:gridCol w:w="1161"/>
      </w:tblGrid>
      <w:tr>
        <w:trPr>
          <w:trHeight w:val="634" w:hRule="atLeast"/>
        </w:trPr>
        <w:tc>
          <w:tcPr>
            <w:tcW w:w="5950" w:type="dxa"/>
          </w:tcPr>
          <w:p>
            <w:pPr>
              <w:pStyle w:val="TableParagraph"/>
              <w:rPr>
                <w:rFonts w:ascii="Times New Roman"/>
                <w:sz w:val="24"/>
              </w:rPr>
            </w:pPr>
          </w:p>
        </w:tc>
        <w:tc>
          <w:tcPr>
            <w:tcW w:w="1258" w:type="dxa"/>
          </w:tcPr>
          <w:p>
            <w:pPr>
              <w:pStyle w:val="TableParagraph"/>
              <w:spacing w:line="252" w:lineRule="exact"/>
              <w:ind w:right="108"/>
              <w:jc w:val="right"/>
              <w:rPr>
                <w:b/>
                <w:sz w:val="24"/>
              </w:rPr>
            </w:pPr>
            <w:r>
              <w:rPr>
                <w:b/>
                <w:spacing w:val="-4"/>
                <w:sz w:val="24"/>
              </w:rPr>
              <w:t>2017</w:t>
            </w:r>
          </w:p>
          <w:p>
            <w:pPr>
              <w:pStyle w:val="TableParagraph"/>
              <w:spacing w:before="69"/>
              <w:ind w:right="106"/>
              <w:jc w:val="right"/>
              <w:rPr>
                <w:b/>
                <w:sz w:val="24"/>
              </w:rPr>
            </w:pPr>
            <w:r>
              <w:rPr>
                <w:b/>
                <w:spacing w:val="-10"/>
                <w:sz w:val="24"/>
              </w:rPr>
              <w:t>€</w:t>
            </w:r>
          </w:p>
        </w:tc>
        <w:tc>
          <w:tcPr>
            <w:tcW w:w="1161" w:type="dxa"/>
            <w:shd w:val="clear" w:color="auto" w:fill="E4E4E4"/>
          </w:tcPr>
          <w:p>
            <w:pPr>
              <w:pStyle w:val="TableParagraph"/>
              <w:spacing w:line="252" w:lineRule="exact"/>
              <w:ind w:right="106"/>
              <w:jc w:val="right"/>
              <w:rPr>
                <w:b/>
                <w:sz w:val="24"/>
              </w:rPr>
            </w:pPr>
            <w:r>
              <w:rPr>
                <w:b/>
                <w:spacing w:val="-4"/>
                <w:sz w:val="24"/>
              </w:rPr>
              <w:t>2016</w:t>
            </w:r>
          </w:p>
          <w:p>
            <w:pPr>
              <w:pStyle w:val="TableParagraph"/>
              <w:spacing w:before="69"/>
              <w:ind w:right="105"/>
              <w:jc w:val="right"/>
              <w:rPr>
                <w:b/>
                <w:sz w:val="24"/>
              </w:rPr>
            </w:pPr>
            <w:r>
              <w:rPr>
                <w:b/>
                <w:spacing w:val="-10"/>
                <w:sz w:val="24"/>
              </w:rPr>
              <w:t>€</w:t>
            </w:r>
          </w:p>
        </w:tc>
      </w:tr>
      <w:tr>
        <w:trPr>
          <w:trHeight w:val="696" w:hRule="atLeast"/>
        </w:trPr>
        <w:tc>
          <w:tcPr>
            <w:tcW w:w="5950" w:type="dxa"/>
          </w:tcPr>
          <w:p>
            <w:pPr>
              <w:pStyle w:val="TableParagraph"/>
              <w:spacing w:before="35"/>
              <w:ind w:left="50"/>
              <w:rPr>
                <w:sz w:val="24"/>
              </w:rPr>
            </w:pPr>
            <w:r>
              <w:rPr>
                <w:sz w:val="24"/>
              </w:rPr>
              <w:t>Funding</w:t>
            </w:r>
            <w:r>
              <w:rPr>
                <w:spacing w:val="-13"/>
                <w:sz w:val="24"/>
              </w:rPr>
              <w:t> </w:t>
            </w:r>
            <w:r>
              <w:rPr>
                <w:sz w:val="24"/>
              </w:rPr>
              <w:t>recoverable</w:t>
            </w:r>
            <w:r>
              <w:rPr>
                <w:spacing w:val="-12"/>
                <w:sz w:val="24"/>
              </w:rPr>
              <w:t> </w:t>
            </w:r>
            <w:r>
              <w:rPr>
                <w:sz w:val="24"/>
              </w:rPr>
              <w:t>in</w:t>
            </w:r>
            <w:r>
              <w:rPr>
                <w:spacing w:val="-15"/>
                <w:sz w:val="24"/>
              </w:rPr>
              <w:t> </w:t>
            </w:r>
            <w:r>
              <w:rPr>
                <w:sz w:val="24"/>
              </w:rPr>
              <w:t>respect</w:t>
            </w:r>
            <w:r>
              <w:rPr>
                <w:spacing w:val="-14"/>
                <w:sz w:val="24"/>
              </w:rPr>
              <w:t> </w:t>
            </w:r>
            <w:r>
              <w:rPr>
                <w:sz w:val="24"/>
              </w:rPr>
              <w:t>of</w:t>
            </w:r>
            <w:r>
              <w:rPr>
                <w:spacing w:val="-13"/>
                <w:sz w:val="24"/>
              </w:rPr>
              <w:t> </w:t>
            </w:r>
            <w:r>
              <w:rPr>
                <w:sz w:val="24"/>
              </w:rPr>
              <w:t>current</w:t>
            </w:r>
            <w:r>
              <w:rPr>
                <w:spacing w:val="-16"/>
                <w:sz w:val="24"/>
              </w:rPr>
              <w:t> </w:t>
            </w:r>
            <w:r>
              <w:rPr>
                <w:sz w:val="24"/>
              </w:rPr>
              <w:t>year</w:t>
            </w:r>
            <w:r>
              <w:rPr>
                <w:spacing w:val="-14"/>
                <w:sz w:val="24"/>
              </w:rPr>
              <w:t> </w:t>
            </w:r>
            <w:r>
              <w:rPr>
                <w:spacing w:val="-2"/>
                <w:sz w:val="24"/>
              </w:rPr>
              <w:t>retirement</w:t>
            </w:r>
          </w:p>
          <w:p>
            <w:pPr>
              <w:pStyle w:val="TableParagraph"/>
              <w:spacing w:before="70"/>
              <w:ind w:left="50"/>
              <w:rPr>
                <w:sz w:val="24"/>
              </w:rPr>
            </w:pPr>
            <w:r>
              <w:rPr>
                <w:sz w:val="24"/>
              </w:rPr>
              <w:t>benefit</w:t>
            </w:r>
            <w:r>
              <w:rPr>
                <w:spacing w:val="-5"/>
                <w:sz w:val="24"/>
              </w:rPr>
              <w:t> </w:t>
            </w:r>
            <w:r>
              <w:rPr>
                <w:spacing w:val="-2"/>
                <w:sz w:val="24"/>
              </w:rPr>
              <w:t>costs</w:t>
            </w:r>
          </w:p>
        </w:tc>
        <w:tc>
          <w:tcPr>
            <w:tcW w:w="1258" w:type="dxa"/>
          </w:tcPr>
          <w:p>
            <w:pPr>
              <w:pStyle w:val="TableParagraph"/>
              <w:spacing w:before="104"/>
              <w:rPr>
                <w:sz w:val="24"/>
              </w:rPr>
            </w:pPr>
          </w:p>
          <w:p>
            <w:pPr>
              <w:pStyle w:val="TableParagraph"/>
              <w:spacing w:before="1"/>
              <w:ind w:right="106"/>
              <w:jc w:val="right"/>
              <w:rPr>
                <w:sz w:val="24"/>
              </w:rPr>
            </w:pPr>
            <w:r>
              <w:rPr>
                <w:spacing w:val="-2"/>
                <w:sz w:val="24"/>
              </w:rPr>
              <w:t>1,217,300</w:t>
            </w:r>
          </w:p>
        </w:tc>
        <w:tc>
          <w:tcPr>
            <w:tcW w:w="1161" w:type="dxa"/>
            <w:shd w:val="clear" w:color="auto" w:fill="E4E4E4"/>
          </w:tcPr>
          <w:p>
            <w:pPr>
              <w:pStyle w:val="TableParagraph"/>
              <w:spacing w:before="104"/>
              <w:rPr>
                <w:sz w:val="24"/>
              </w:rPr>
            </w:pPr>
          </w:p>
          <w:p>
            <w:pPr>
              <w:pStyle w:val="TableParagraph"/>
              <w:spacing w:before="1"/>
              <w:ind w:right="105"/>
              <w:jc w:val="right"/>
              <w:rPr>
                <w:sz w:val="24"/>
              </w:rPr>
            </w:pPr>
            <w:r>
              <w:rPr>
                <w:spacing w:val="-2"/>
                <w:sz w:val="24"/>
              </w:rPr>
              <w:t>1,048,700</w:t>
            </w:r>
          </w:p>
        </w:tc>
      </w:tr>
      <w:tr>
        <w:trPr>
          <w:trHeight w:val="387" w:hRule="atLeast"/>
        </w:trPr>
        <w:tc>
          <w:tcPr>
            <w:tcW w:w="5950" w:type="dxa"/>
          </w:tcPr>
          <w:p>
            <w:pPr>
              <w:pStyle w:val="TableParagraph"/>
              <w:spacing w:before="35"/>
              <w:ind w:left="50"/>
              <w:rPr>
                <w:sz w:val="24"/>
              </w:rPr>
            </w:pPr>
            <w:r>
              <w:rPr>
                <w:sz w:val="24"/>
              </w:rPr>
              <w:t>State</w:t>
            </w:r>
            <w:r>
              <w:rPr>
                <w:spacing w:val="-1"/>
                <w:sz w:val="24"/>
              </w:rPr>
              <w:t> </w:t>
            </w:r>
            <w:r>
              <w:rPr>
                <w:sz w:val="24"/>
              </w:rPr>
              <w:t>grant applied to</w:t>
            </w:r>
            <w:r>
              <w:rPr>
                <w:spacing w:val="-2"/>
                <w:sz w:val="24"/>
              </w:rPr>
              <w:t> </w:t>
            </w:r>
            <w:r>
              <w:rPr>
                <w:sz w:val="24"/>
              </w:rPr>
              <w:t>pay</w:t>
            </w:r>
            <w:r>
              <w:rPr>
                <w:spacing w:val="-1"/>
                <w:sz w:val="24"/>
              </w:rPr>
              <w:t> </w:t>
            </w:r>
            <w:r>
              <w:rPr>
                <w:sz w:val="24"/>
              </w:rPr>
              <w:t>retirement</w:t>
            </w:r>
            <w:r>
              <w:rPr>
                <w:spacing w:val="-1"/>
                <w:sz w:val="24"/>
              </w:rPr>
              <w:t> </w:t>
            </w:r>
            <w:r>
              <w:rPr>
                <w:spacing w:val="-2"/>
                <w:sz w:val="24"/>
              </w:rPr>
              <w:t>benefits</w:t>
            </w:r>
          </w:p>
        </w:tc>
        <w:tc>
          <w:tcPr>
            <w:tcW w:w="1258" w:type="dxa"/>
            <w:tcBorders>
              <w:bottom w:val="single" w:sz="4" w:space="0" w:color="000000"/>
            </w:tcBorders>
          </w:tcPr>
          <w:p>
            <w:pPr>
              <w:pStyle w:val="TableParagraph"/>
              <w:spacing w:before="35"/>
              <w:ind w:right="107"/>
              <w:jc w:val="right"/>
              <w:rPr>
                <w:sz w:val="24"/>
              </w:rPr>
            </w:pPr>
            <w:r>
              <w:rPr>
                <w:spacing w:val="-2"/>
                <w:sz w:val="24"/>
              </w:rPr>
              <w:t>(712,700)</w:t>
            </w:r>
          </w:p>
        </w:tc>
        <w:tc>
          <w:tcPr>
            <w:tcW w:w="1161" w:type="dxa"/>
            <w:tcBorders>
              <w:bottom w:val="single" w:sz="4" w:space="0" w:color="000000"/>
            </w:tcBorders>
            <w:shd w:val="clear" w:color="auto" w:fill="E4E4E4"/>
          </w:tcPr>
          <w:p>
            <w:pPr>
              <w:pStyle w:val="TableParagraph"/>
              <w:spacing w:before="35"/>
              <w:ind w:right="106"/>
              <w:jc w:val="right"/>
              <w:rPr>
                <w:sz w:val="24"/>
              </w:rPr>
            </w:pPr>
            <w:r>
              <w:rPr>
                <w:spacing w:val="-2"/>
                <w:sz w:val="24"/>
              </w:rPr>
              <w:t>(635,000)</w:t>
            </w:r>
          </w:p>
        </w:tc>
      </w:tr>
      <w:tr>
        <w:trPr>
          <w:trHeight w:val="371" w:hRule="atLeast"/>
        </w:trPr>
        <w:tc>
          <w:tcPr>
            <w:tcW w:w="5950" w:type="dxa"/>
          </w:tcPr>
          <w:p>
            <w:pPr>
              <w:pStyle w:val="TableParagraph"/>
              <w:rPr>
                <w:rFonts w:ascii="Times New Roman"/>
                <w:sz w:val="24"/>
              </w:rPr>
            </w:pPr>
          </w:p>
        </w:tc>
        <w:tc>
          <w:tcPr>
            <w:tcW w:w="1258" w:type="dxa"/>
            <w:tcBorders>
              <w:top w:val="single" w:sz="4" w:space="0" w:color="000000"/>
              <w:bottom w:val="double" w:sz="4" w:space="0" w:color="000000"/>
            </w:tcBorders>
          </w:tcPr>
          <w:p>
            <w:pPr>
              <w:pStyle w:val="TableParagraph"/>
              <w:spacing w:line="252" w:lineRule="exact"/>
              <w:ind w:right="106"/>
              <w:jc w:val="right"/>
              <w:rPr>
                <w:sz w:val="24"/>
              </w:rPr>
            </w:pPr>
            <w:r>
              <w:rPr>
                <w:spacing w:val="-2"/>
                <w:sz w:val="24"/>
              </w:rPr>
              <w:t>504,600</w:t>
            </w:r>
          </w:p>
        </w:tc>
        <w:tc>
          <w:tcPr>
            <w:tcW w:w="1161" w:type="dxa"/>
            <w:tcBorders>
              <w:top w:val="single" w:sz="4" w:space="0" w:color="000000"/>
              <w:bottom w:val="double" w:sz="4" w:space="0" w:color="000000"/>
            </w:tcBorders>
            <w:shd w:val="clear" w:color="auto" w:fill="E4E4E4"/>
          </w:tcPr>
          <w:p>
            <w:pPr>
              <w:pStyle w:val="TableParagraph"/>
              <w:spacing w:line="252" w:lineRule="exact"/>
              <w:ind w:right="105"/>
              <w:jc w:val="right"/>
              <w:rPr>
                <w:sz w:val="24"/>
              </w:rPr>
            </w:pPr>
            <w:r>
              <w:rPr>
                <w:spacing w:val="-2"/>
                <w:sz w:val="24"/>
              </w:rPr>
              <w:t>413,700</w:t>
            </w:r>
          </w:p>
        </w:tc>
      </w:tr>
    </w:tbl>
    <w:p>
      <w:pPr>
        <w:spacing w:line="297" w:lineRule="auto" w:before="267"/>
        <w:ind w:left="1702" w:right="987" w:firstLine="0"/>
        <w:jc w:val="both"/>
        <w:rPr>
          <w:sz w:val="24"/>
        </w:rPr>
      </w:pPr>
      <w:r>
        <w:rPr>
          <w:sz w:val="24"/>
        </w:rPr>
        <w:t>The</w:t>
      </w:r>
      <w:r>
        <w:rPr>
          <w:spacing w:val="-8"/>
          <w:sz w:val="24"/>
        </w:rPr>
        <w:t> </w:t>
      </w:r>
      <w:r>
        <w:rPr>
          <w:sz w:val="24"/>
        </w:rPr>
        <w:t>deferred</w:t>
      </w:r>
      <w:r>
        <w:rPr>
          <w:spacing w:val="-7"/>
          <w:sz w:val="24"/>
        </w:rPr>
        <w:t> </w:t>
      </w:r>
      <w:r>
        <w:rPr>
          <w:sz w:val="24"/>
        </w:rPr>
        <w:t>funding</w:t>
      </w:r>
      <w:r>
        <w:rPr>
          <w:spacing w:val="-7"/>
          <w:sz w:val="24"/>
        </w:rPr>
        <w:t> </w:t>
      </w:r>
      <w:r>
        <w:rPr>
          <w:sz w:val="24"/>
        </w:rPr>
        <w:t>asset</w:t>
      </w:r>
      <w:r>
        <w:rPr>
          <w:spacing w:val="-8"/>
          <w:sz w:val="24"/>
        </w:rPr>
        <w:t> </w:t>
      </w:r>
      <w:r>
        <w:rPr>
          <w:sz w:val="24"/>
        </w:rPr>
        <w:t>for</w:t>
      </w:r>
      <w:r>
        <w:rPr>
          <w:spacing w:val="-7"/>
          <w:sz w:val="24"/>
        </w:rPr>
        <w:t> </w:t>
      </w:r>
      <w:r>
        <w:rPr>
          <w:sz w:val="24"/>
        </w:rPr>
        <w:t>retirement</w:t>
      </w:r>
      <w:r>
        <w:rPr>
          <w:spacing w:val="-8"/>
          <w:sz w:val="24"/>
        </w:rPr>
        <w:t> </w:t>
      </w:r>
      <w:r>
        <w:rPr>
          <w:sz w:val="24"/>
        </w:rPr>
        <w:t>benefits</w:t>
      </w:r>
      <w:r>
        <w:rPr>
          <w:spacing w:val="-9"/>
          <w:sz w:val="24"/>
        </w:rPr>
        <w:t> </w:t>
      </w:r>
      <w:r>
        <w:rPr>
          <w:sz w:val="24"/>
        </w:rPr>
        <w:t>at</w:t>
      </w:r>
      <w:r>
        <w:rPr>
          <w:spacing w:val="-8"/>
          <w:sz w:val="24"/>
        </w:rPr>
        <w:t> </w:t>
      </w:r>
      <w:r>
        <w:rPr>
          <w:sz w:val="24"/>
        </w:rPr>
        <w:t>31</w:t>
      </w:r>
      <w:r>
        <w:rPr>
          <w:spacing w:val="-8"/>
          <w:sz w:val="24"/>
        </w:rPr>
        <w:t> </w:t>
      </w:r>
      <w:r>
        <w:rPr>
          <w:sz w:val="24"/>
        </w:rPr>
        <w:t>December</w:t>
      </w:r>
      <w:r>
        <w:rPr>
          <w:spacing w:val="-7"/>
          <w:sz w:val="24"/>
        </w:rPr>
        <w:t> </w:t>
      </w:r>
      <w:r>
        <w:rPr>
          <w:sz w:val="24"/>
        </w:rPr>
        <w:t>2017</w:t>
      </w:r>
      <w:r>
        <w:rPr>
          <w:spacing w:val="-10"/>
          <w:sz w:val="24"/>
        </w:rPr>
        <w:t> </w:t>
      </w:r>
      <w:r>
        <w:rPr>
          <w:sz w:val="24"/>
        </w:rPr>
        <w:t>amounts to €26.4m (2016: €27.6m).</w:t>
      </w:r>
    </w:p>
    <w:p>
      <w:pPr>
        <w:pStyle w:val="BodyText"/>
        <w:spacing w:before="73"/>
        <w:rPr>
          <w:sz w:val="24"/>
        </w:rPr>
      </w:pPr>
    </w:p>
    <w:p>
      <w:pPr>
        <w:pStyle w:val="ListParagraph"/>
        <w:numPr>
          <w:ilvl w:val="0"/>
          <w:numId w:val="20"/>
        </w:numPr>
        <w:tabs>
          <w:tab w:pos="2060" w:val="left" w:leader="none"/>
        </w:tabs>
        <w:spacing w:line="240" w:lineRule="auto" w:before="1" w:after="0"/>
        <w:ind w:left="2060" w:right="0" w:hanging="358"/>
        <w:jc w:val="both"/>
        <w:rPr>
          <w:b/>
          <w:i/>
          <w:sz w:val="24"/>
        </w:rPr>
      </w:pPr>
      <w:r>
        <w:rPr>
          <w:b/>
          <w:i/>
          <w:sz w:val="24"/>
        </w:rPr>
        <w:t>General</w:t>
      </w:r>
      <w:r>
        <w:rPr>
          <w:b/>
          <w:i/>
          <w:spacing w:val="-1"/>
          <w:sz w:val="24"/>
        </w:rPr>
        <w:t> </w:t>
      </w:r>
      <w:r>
        <w:rPr>
          <w:b/>
          <w:i/>
          <w:sz w:val="24"/>
        </w:rPr>
        <w:t>description of</w:t>
      </w:r>
      <w:r>
        <w:rPr>
          <w:b/>
          <w:i/>
          <w:spacing w:val="-4"/>
          <w:sz w:val="24"/>
        </w:rPr>
        <w:t> </w:t>
      </w:r>
      <w:r>
        <w:rPr>
          <w:b/>
          <w:i/>
          <w:sz w:val="24"/>
        </w:rPr>
        <w:t>the </w:t>
      </w:r>
      <w:r>
        <w:rPr>
          <w:b/>
          <w:i/>
          <w:spacing w:val="-2"/>
          <w:sz w:val="24"/>
        </w:rPr>
        <w:t>scheme</w:t>
      </w:r>
    </w:p>
    <w:p>
      <w:pPr>
        <w:spacing w:line="300" w:lineRule="auto" w:before="69"/>
        <w:ind w:left="1702" w:right="985" w:firstLine="0"/>
        <w:jc w:val="both"/>
        <w:rPr>
          <w:sz w:val="24"/>
        </w:rPr>
      </w:pPr>
      <w:r>
        <w:rPr>
          <w:sz w:val="24"/>
        </w:rPr>
        <w:t>The</w:t>
      </w:r>
      <w:r>
        <w:rPr>
          <w:spacing w:val="-17"/>
          <w:sz w:val="24"/>
        </w:rPr>
        <w:t> </w:t>
      </w:r>
      <w:r>
        <w:rPr>
          <w:sz w:val="24"/>
        </w:rPr>
        <w:t>retirement</w:t>
      </w:r>
      <w:r>
        <w:rPr>
          <w:spacing w:val="-17"/>
          <w:sz w:val="24"/>
        </w:rPr>
        <w:t> </w:t>
      </w:r>
      <w:r>
        <w:rPr>
          <w:sz w:val="24"/>
        </w:rPr>
        <w:t>benefit</w:t>
      </w:r>
      <w:r>
        <w:rPr>
          <w:spacing w:val="-16"/>
          <w:sz w:val="24"/>
        </w:rPr>
        <w:t> </w:t>
      </w:r>
      <w:r>
        <w:rPr>
          <w:sz w:val="24"/>
        </w:rPr>
        <w:t>scheme</w:t>
      </w:r>
      <w:r>
        <w:rPr>
          <w:spacing w:val="-17"/>
          <w:sz w:val="24"/>
        </w:rPr>
        <w:t> </w:t>
      </w:r>
      <w:r>
        <w:rPr>
          <w:sz w:val="24"/>
        </w:rPr>
        <w:t>is</w:t>
      </w:r>
      <w:r>
        <w:rPr>
          <w:spacing w:val="-17"/>
          <w:sz w:val="24"/>
        </w:rPr>
        <w:t> </w:t>
      </w:r>
      <w:r>
        <w:rPr>
          <w:sz w:val="24"/>
        </w:rPr>
        <w:t>a</w:t>
      </w:r>
      <w:r>
        <w:rPr>
          <w:spacing w:val="-17"/>
          <w:sz w:val="24"/>
        </w:rPr>
        <w:t> </w:t>
      </w:r>
      <w:r>
        <w:rPr>
          <w:sz w:val="24"/>
        </w:rPr>
        <w:t>defined</w:t>
      </w:r>
      <w:r>
        <w:rPr>
          <w:spacing w:val="-16"/>
          <w:sz w:val="24"/>
        </w:rPr>
        <w:t> </w:t>
      </w:r>
      <w:r>
        <w:rPr>
          <w:sz w:val="24"/>
        </w:rPr>
        <w:t>benefit</w:t>
      </w:r>
      <w:r>
        <w:rPr>
          <w:spacing w:val="-17"/>
          <w:sz w:val="24"/>
        </w:rPr>
        <w:t> </w:t>
      </w:r>
      <w:r>
        <w:rPr>
          <w:sz w:val="24"/>
        </w:rPr>
        <w:t>final</w:t>
      </w:r>
      <w:r>
        <w:rPr>
          <w:spacing w:val="-17"/>
          <w:sz w:val="24"/>
        </w:rPr>
        <w:t> </w:t>
      </w:r>
      <w:r>
        <w:rPr>
          <w:sz w:val="24"/>
        </w:rPr>
        <w:t>salary</w:t>
      </w:r>
      <w:r>
        <w:rPr>
          <w:spacing w:val="-16"/>
          <w:sz w:val="24"/>
        </w:rPr>
        <w:t> </w:t>
      </w:r>
      <w:r>
        <w:rPr>
          <w:sz w:val="24"/>
        </w:rPr>
        <w:t>pension</w:t>
      </w:r>
      <w:r>
        <w:rPr>
          <w:spacing w:val="-17"/>
          <w:sz w:val="24"/>
        </w:rPr>
        <w:t> </w:t>
      </w:r>
      <w:r>
        <w:rPr>
          <w:sz w:val="24"/>
        </w:rPr>
        <w:t>arrangement with benefits and contributions defined by reference to current “model” public sector</w:t>
      </w:r>
      <w:r>
        <w:rPr>
          <w:spacing w:val="-10"/>
          <w:sz w:val="24"/>
        </w:rPr>
        <w:t> </w:t>
      </w:r>
      <w:r>
        <w:rPr>
          <w:sz w:val="24"/>
        </w:rPr>
        <w:t>scheme</w:t>
      </w:r>
      <w:r>
        <w:rPr>
          <w:spacing w:val="-10"/>
          <w:sz w:val="24"/>
        </w:rPr>
        <w:t> </w:t>
      </w:r>
      <w:r>
        <w:rPr>
          <w:sz w:val="24"/>
        </w:rPr>
        <w:t>regulations.</w:t>
      </w:r>
      <w:r>
        <w:rPr>
          <w:spacing w:val="-10"/>
          <w:sz w:val="24"/>
        </w:rPr>
        <w:t> </w:t>
      </w:r>
      <w:r>
        <w:rPr>
          <w:sz w:val="24"/>
        </w:rPr>
        <w:t>The</w:t>
      </w:r>
      <w:r>
        <w:rPr>
          <w:spacing w:val="-10"/>
          <w:sz w:val="24"/>
        </w:rPr>
        <w:t> </w:t>
      </w:r>
      <w:r>
        <w:rPr>
          <w:sz w:val="24"/>
        </w:rPr>
        <w:t>scheme</w:t>
      </w:r>
      <w:r>
        <w:rPr>
          <w:spacing w:val="-10"/>
          <w:sz w:val="24"/>
        </w:rPr>
        <w:t> </w:t>
      </w:r>
      <w:r>
        <w:rPr>
          <w:sz w:val="24"/>
        </w:rPr>
        <w:t>provides</w:t>
      </w:r>
      <w:r>
        <w:rPr>
          <w:spacing w:val="-11"/>
          <w:sz w:val="24"/>
        </w:rPr>
        <w:t> </w:t>
      </w:r>
      <w:r>
        <w:rPr>
          <w:sz w:val="24"/>
        </w:rPr>
        <w:t>a</w:t>
      </w:r>
      <w:r>
        <w:rPr>
          <w:spacing w:val="-12"/>
          <w:sz w:val="24"/>
        </w:rPr>
        <w:t> </w:t>
      </w:r>
      <w:r>
        <w:rPr>
          <w:sz w:val="24"/>
        </w:rPr>
        <w:t>pension</w:t>
      </w:r>
      <w:r>
        <w:rPr>
          <w:spacing w:val="-10"/>
          <w:sz w:val="24"/>
        </w:rPr>
        <w:t> </w:t>
      </w:r>
      <w:r>
        <w:rPr>
          <w:sz w:val="24"/>
        </w:rPr>
        <w:t>(being</w:t>
      </w:r>
      <w:r>
        <w:rPr>
          <w:spacing w:val="-10"/>
          <w:sz w:val="24"/>
        </w:rPr>
        <w:t> </w:t>
      </w:r>
      <w:r>
        <w:rPr>
          <w:sz w:val="24"/>
        </w:rPr>
        <w:t>1/80</w:t>
      </w:r>
      <w:r>
        <w:rPr>
          <w:spacing w:val="-10"/>
          <w:sz w:val="24"/>
        </w:rPr>
        <w:t> </w:t>
      </w:r>
      <w:r>
        <w:rPr>
          <w:sz w:val="24"/>
        </w:rPr>
        <w:t>per</w:t>
      </w:r>
      <w:r>
        <w:rPr>
          <w:spacing w:val="-14"/>
          <w:sz w:val="24"/>
        </w:rPr>
        <w:t> </w:t>
      </w:r>
      <w:r>
        <w:rPr>
          <w:sz w:val="24"/>
        </w:rPr>
        <w:t>year</w:t>
      </w:r>
      <w:r>
        <w:rPr>
          <w:spacing w:val="-9"/>
          <w:sz w:val="24"/>
        </w:rPr>
        <w:t> </w:t>
      </w:r>
      <w:r>
        <w:rPr>
          <w:sz w:val="24"/>
        </w:rPr>
        <w:t>of service), a gratuity or lump sum (being 3/80 per year of service) and spouses and children’s pensions. Normal retirement age is a member’s 65</w:t>
      </w:r>
      <w:r>
        <w:rPr>
          <w:sz w:val="24"/>
          <w:vertAlign w:val="superscript"/>
        </w:rPr>
        <w:t>th</w:t>
      </w:r>
      <w:r>
        <w:rPr>
          <w:sz w:val="24"/>
          <w:vertAlign w:val="baseline"/>
        </w:rPr>
        <w:t> birthday, and pre-2004</w:t>
      </w:r>
      <w:r>
        <w:rPr>
          <w:spacing w:val="-4"/>
          <w:sz w:val="24"/>
          <w:vertAlign w:val="baseline"/>
        </w:rPr>
        <w:t> </w:t>
      </w:r>
      <w:r>
        <w:rPr>
          <w:sz w:val="24"/>
          <w:vertAlign w:val="baseline"/>
        </w:rPr>
        <w:t>members</w:t>
      </w:r>
      <w:r>
        <w:rPr>
          <w:spacing w:val="-5"/>
          <w:sz w:val="24"/>
          <w:vertAlign w:val="baseline"/>
        </w:rPr>
        <w:t> </w:t>
      </w:r>
      <w:r>
        <w:rPr>
          <w:sz w:val="24"/>
          <w:vertAlign w:val="baseline"/>
        </w:rPr>
        <w:t>have</w:t>
      </w:r>
      <w:r>
        <w:rPr>
          <w:spacing w:val="-6"/>
          <w:sz w:val="24"/>
          <w:vertAlign w:val="baseline"/>
        </w:rPr>
        <w:t> </w:t>
      </w:r>
      <w:r>
        <w:rPr>
          <w:sz w:val="24"/>
          <w:vertAlign w:val="baseline"/>
        </w:rPr>
        <w:t>an</w:t>
      </w:r>
      <w:r>
        <w:rPr>
          <w:spacing w:val="-5"/>
          <w:sz w:val="24"/>
          <w:vertAlign w:val="baseline"/>
        </w:rPr>
        <w:t> </w:t>
      </w:r>
      <w:r>
        <w:rPr>
          <w:sz w:val="24"/>
          <w:vertAlign w:val="baseline"/>
        </w:rPr>
        <w:t>entitlement</w:t>
      </w:r>
      <w:r>
        <w:rPr>
          <w:spacing w:val="-4"/>
          <w:sz w:val="24"/>
          <w:vertAlign w:val="baseline"/>
        </w:rPr>
        <w:t> </w:t>
      </w:r>
      <w:r>
        <w:rPr>
          <w:sz w:val="24"/>
          <w:vertAlign w:val="baseline"/>
        </w:rPr>
        <w:t>to</w:t>
      </w:r>
      <w:r>
        <w:rPr>
          <w:spacing w:val="-5"/>
          <w:sz w:val="24"/>
          <w:vertAlign w:val="baseline"/>
        </w:rPr>
        <w:t> </w:t>
      </w:r>
      <w:r>
        <w:rPr>
          <w:sz w:val="24"/>
          <w:vertAlign w:val="baseline"/>
        </w:rPr>
        <w:t>retire</w:t>
      </w:r>
      <w:r>
        <w:rPr>
          <w:spacing w:val="-3"/>
          <w:sz w:val="24"/>
          <w:vertAlign w:val="baseline"/>
        </w:rPr>
        <w:t> </w:t>
      </w:r>
      <w:r>
        <w:rPr>
          <w:sz w:val="24"/>
          <w:vertAlign w:val="baseline"/>
        </w:rPr>
        <w:t>without</w:t>
      </w:r>
      <w:r>
        <w:rPr>
          <w:spacing w:val="-5"/>
          <w:sz w:val="24"/>
          <w:vertAlign w:val="baseline"/>
        </w:rPr>
        <w:t> </w:t>
      </w:r>
      <w:r>
        <w:rPr>
          <w:sz w:val="24"/>
          <w:vertAlign w:val="baseline"/>
        </w:rPr>
        <w:t>actuarial</w:t>
      </w:r>
      <w:r>
        <w:rPr>
          <w:spacing w:val="-6"/>
          <w:sz w:val="24"/>
          <w:vertAlign w:val="baseline"/>
        </w:rPr>
        <w:t> </w:t>
      </w:r>
      <w:r>
        <w:rPr>
          <w:sz w:val="24"/>
          <w:vertAlign w:val="baseline"/>
        </w:rPr>
        <w:t>reduction</w:t>
      </w:r>
      <w:r>
        <w:rPr>
          <w:spacing w:val="-4"/>
          <w:sz w:val="24"/>
          <w:vertAlign w:val="baseline"/>
        </w:rPr>
        <w:t> </w:t>
      </w:r>
      <w:r>
        <w:rPr>
          <w:sz w:val="24"/>
          <w:vertAlign w:val="baseline"/>
        </w:rPr>
        <w:t>from</w:t>
      </w:r>
      <w:r>
        <w:rPr>
          <w:spacing w:val="-4"/>
          <w:sz w:val="24"/>
          <w:vertAlign w:val="baseline"/>
        </w:rPr>
        <w:t> </w:t>
      </w:r>
      <w:r>
        <w:rPr>
          <w:spacing w:val="-5"/>
          <w:sz w:val="24"/>
          <w:vertAlign w:val="baseline"/>
        </w:rPr>
        <w:t>age</w:t>
      </w:r>
    </w:p>
    <w:p>
      <w:pPr>
        <w:spacing w:line="300" w:lineRule="auto" w:before="1"/>
        <w:ind w:left="1702" w:right="990" w:firstLine="0"/>
        <w:jc w:val="both"/>
        <w:rPr>
          <w:sz w:val="24"/>
        </w:rPr>
      </w:pPr>
      <w:r>
        <w:rPr>
          <w:sz w:val="24"/>
        </w:rPr>
        <w:t>60. Pensions in payment (and deferment) normally increase in line with general public sector salary inflation.</w:t>
      </w:r>
    </w:p>
    <w:p>
      <w:pPr>
        <w:pStyle w:val="BodyText"/>
        <w:spacing w:before="70"/>
        <w:rPr>
          <w:sz w:val="24"/>
        </w:rPr>
      </w:pPr>
    </w:p>
    <w:p>
      <w:pPr>
        <w:spacing w:line="300" w:lineRule="auto" w:before="0"/>
        <w:ind w:left="1702" w:right="991" w:firstLine="0"/>
        <w:jc w:val="both"/>
        <w:rPr>
          <w:sz w:val="24"/>
        </w:rPr>
      </w:pPr>
      <w:r>
        <w:rPr>
          <w:sz w:val="24"/>
        </w:rPr>
        <w:t>The valuation used for FRS 102 disclosures has been based on a full actuarial valuation</w:t>
      </w:r>
      <w:r>
        <w:rPr>
          <w:spacing w:val="41"/>
          <w:sz w:val="24"/>
        </w:rPr>
        <w:t> </w:t>
      </w:r>
      <w:r>
        <w:rPr>
          <w:sz w:val="24"/>
        </w:rPr>
        <w:t>performed</w:t>
      </w:r>
      <w:r>
        <w:rPr>
          <w:spacing w:val="43"/>
          <w:sz w:val="24"/>
        </w:rPr>
        <w:t> </w:t>
      </w:r>
      <w:r>
        <w:rPr>
          <w:sz w:val="24"/>
        </w:rPr>
        <w:t>on</w:t>
      </w:r>
      <w:r>
        <w:rPr>
          <w:spacing w:val="38"/>
          <w:sz w:val="24"/>
        </w:rPr>
        <w:t> </w:t>
      </w:r>
      <w:r>
        <w:rPr>
          <w:sz w:val="24"/>
        </w:rPr>
        <w:t>16</w:t>
      </w:r>
      <w:r>
        <w:rPr>
          <w:spacing w:val="42"/>
          <w:sz w:val="24"/>
        </w:rPr>
        <w:t> </w:t>
      </w:r>
      <w:r>
        <w:rPr>
          <w:sz w:val="24"/>
        </w:rPr>
        <w:t>February</w:t>
      </w:r>
      <w:r>
        <w:rPr>
          <w:spacing w:val="42"/>
          <w:sz w:val="24"/>
        </w:rPr>
        <w:t> </w:t>
      </w:r>
      <w:r>
        <w:rPr>
          <w:sz w:val="24"/>
        </w:rPr>
        <w:t>2018</w:t>
      </w:r>
      <w:r>
        <w:rPr>
          <w:spacing w:val="42"/>
          <w:sz w:val="24"/>
        </w:rPr>
        <w:t> </w:t>
      </w:r>
      <w:r>
        <w:rPr>
          <w:sz w:val="24"/>
        </w:rPr>
        <w:t>by</w:t>
      </w:r>
      <w:r>
        <w:rPr>
          <w:spacing w:val="39"/>
          <w:sz w:val="24"/>
        </w:rPr>
        <w:t> </w:t>
      </w:r>
      <w:r>
        <w:rPr>
          <w:sz w:val="24"/>
        </w:rPr>
        <w:t>a</w:t>
      </w:r>
      <w:r>
        <w:rPr>
          <w:spacing w:val="43"/>
          <w:sz w:val="24"/>
        </w:rPr>
        <w:t> </w:t>
      </w:r>
      <w:r>
        <w:rPr>
          <w:sz w:val="24"/>
        </w:rPr>
        <w:t>qualified</w:t>
      </w:r>
      <w:r>
        <w:rPr>
          <w:spacing w:val="41"/>
          <w:sz w:val="24"/>
        </w:rPr>
        <w:t> </w:t>
      </w:r>
      <w:r>
        <w:rPr>
          <w:sz w:val="24"/>
        </w:rPr>
        <w:t>independent</w:t>
      </w:r>
      <w:r>
        <w:rPr>
          <w:spacing w:val="42"/>
          <w:sz w:val="24"/>
        </w:rPr>
        <w:t> </w:t>
      </w:r>
      <w:r>
        <w:rPr>
          <w:spacing w:val="-2"/>
          <w:sz w:val="24"/>
        </w:rPr>
        <w:t>actuary,</w:t>
      </w:r>
    </w:p>
    <w:p>
      <w:pPr>
        <w:spacing w:after="0" w:line="300" w:lineRule="auto"/>
        <w:jc w:val="both"/>
        <w:rPr>
          <w:sz w:val="24"/>
        </w:rPr>
        <w:sectPr>
          <w:pgSz w:w="11910" w:h="16850"/>
          <w:pgMar w:header="0" w:footer="811" w:top="1880" w:bottom="1000" w:left="283" w:right="992"/>
        </w:sectPr>
      </w:pPr>
    </w:p>
    <w:p>
      <w:pPr>
        <w:spacing w:line="300" w:lineRule="auto" w:before="78"/>
        <w:ind w:left="1702" w:right="988" w:firstLine="0"/>
        <w:jc w:val="left"/>
        <w:rPr>
          <w:sz w:val="24"/>
        </w:rPr>
      </w:pPr>
      <w:r>
        <w:rPr>
          <w:sz w:val="24"/>
        </w:rPr>
        <w:t>taking</w:t>
      </w:r>
      <w:r>
        <w:rPr>
          <w:spacing w:val="34"/>
          <w:sz w:val="24"/>
        </w:rPr>
        <w:t> </w:t>
      </w:r>
      <w:r>
        <w:rPr>
          <w:sz w:val="24"/>
        </w:rPr>
        <w:t>account</w:t>
      </w:r>
      <w:r>
        <w:rPr>
          <w:spacing w:val="32"/>
          <w:sz w:val="24"/>
        </w:rPr>
        <w:t> </w:t>
      </w:r>
      <w:r>
        <w:rPr>
          <w:sz w:val="24"/>
        </w:rPr>
        <w:t>of</w:t>
      </w:r>
      <w:r>
        <w:rPr>
          <w:spacing w:val="33"/>
          <w:sz w:val="24"/>
        </w:rPr>
        <w:t> </w:t>
      </w:r>
      <w:r>
        <w:rPr>
          <w:sz w:val="24"/>
        </w:rPr>
        <w:t>the</w:t>
      </w:r>
      <w:r>
        <w:rPr>
          <w:spacing w:val="30"/>
          <w:sz w:val="24"/>
        </w:rPr>
        <w:t> </w:t>
      </w:r>
      <w:r>
        <w:rPr>
          <w:sz w:val="24"/>
        </w:rPr>
        <w:t>requirements</w:t>
      </w:r>
      <w:r>
        <w:rPr>
          <w:spacing w:val="31"/>
          <w:sz w:val="24"/>
        </w:rPr>
        <w:t> </w:t>
      </w:r>
      <w:r>
        <w:rPr>
          <w:sz w:val="24"/>
        </w:rPr>
        <w:t>of</w:t>
      </w:r>
      <w:r>
        <w:rPr>
          <w:spacing w:val="33"/>
          <w:sz w:val="24"/>
        </w:rPr>
        <w:t> </w:t>
      </w:r>
      <w:r>
        <w:rPr>
          <w:sz w:val="24"/>
        </w:rPr>
        <w:t>the</w:t>
      </w:r>
      <w:r>
        <w:rPr>
          <w:spacing w:val="33"/>
          <w:sz w:val="24"/>
        </w:rPr>
        <w:t> </w:t>
      </w:r>
      <w:r>
        <w:rPr>
          <w:sz w:val="24"/>
        </w:rPr>
        <w:t>FRS</w:t>
      </w:r>
      <w:r>
        <w:rPr>
          <w:spacing w:val="33"/>
          <w:sz w:val="24"/>
        </w:rPr>
        <w:t> </w:t>
      </w:r>
      <w:r>
        <w:rPr>
          <w:sz w:val="24"/>
        </w:rPr>
        <w:t>in</w:t>
      </w:r>
      <w:r>
        <w:rPr>
          <w:spacing w:val="33"/>
          <w:sz w:val="24"/>
        </w:rPr>
        <w:t> </w:t>
      </w:r>
      <w:r>
        <w:rPr>
          <w:sz w:val="24"/>
        </w:rPr>
        <w:t>order</w:t>
      </w:r>
      <w:r>
        <w:rPr>
          <w:spacing w:val="32"/>
          <w:sz w:val="24"/>
        </w:rPr>
        <w:t> </w:t>
      </w:r>
      <w:r>
        <w:rPr>
          <w:sz w:val="24"/>
        </w:rPr>
        <w:t>to</w:t>
      </w:r>
      <w:r>
        <w:rPr>
          <w:spacing w:val="32"/>
          <w:sz w:val="24"/>
        </w:rPr>
        <w:t> </w:t>
      </w:r>
      <w:r>
        <w:rPr>
          <w:sz w:val="24"/>
        </w:rPr>
        <w:t>assess</w:t>
      </w:r>
      <w:r>
        <w:rPr>
          <w:spacing w:val="32"/>
          <w:sz w:val="24"/>
        </w:rPr>
        <w:t> </w:t>
      </w:r>
      <w:r>
        <w:rPr>
          <w:sz w:val="24"/>
        </w:rPr>
        <w:t>the</w:t>
      </w:r>
      <w:r>
        <w:rPr>
          <w:spacing w:val="35"/>
          <w:sz w:val="24"/>
        </w:rPr>
        <w:t> </w:t>
      </w:r>
      <w:r>
        <w:rPr>
          <w:sz w:val="24"/>
        </w:rPr>
        <w:t>scheme liabilities at 31 December 2017.</w:t>
      </w:r>
    </w:p>
    <w:p>
      <w:pPr>
        <w:pStyle w:val="BodyText"/>
        <w:rPr>
          <w:sz w:val="24"/>
        </w:rPr>
      </w:pPr>
    </w:p>
    <w:p>
      <w:pPr>
        <w:pStyle w:val="BodyText"/>
        <w:spacing w:before="139"/>
        <w:rPr>
          <w:sz w:val="24"/>
        </w:rPr>
      </w:pPr>
    </w:p>
    <w:p>
      <w:pPr>
        <w:spacing w:before="0"/>
        <w:ind w:left="1702" w:right="0" w:firstLine="0"/>
        <w:jc w:val="left"/>
        <w:rPr>
          <w:sz w:val="24"/>
        </w:rPr>
      </w:pPr>
      <w:r>
        <w:rPr>
          <w:sz w:val="24"/>
        </w:rPr>
        <w:t>The</w:t>
      </w:r>
      <w:r>
        <w:rPr>
          <w:spacing w:val="-2"/>
          <w:sz w:val="24"/>
        </w:rPr>
        <w:t> </w:t>
      </w:r>
      <w:r>
        <w:rPr>
          <w:sz w:val="24"/>
        </w:rPr>
        <w:t>principal</w:t>
      </w:r>
      <w:r>
        <w:rPr>
          <w:spacing w:val="-4"/>
          <w:sz w:val="24"/>
        </w:rPr>
        <w:t> </w:t>
      </w:r>
      <w:r>
        <w:rPr>
          <w:sz w:val="24"/>
        </w:rPr>
        <w:t>actuarial</w:t>
      </w:r>
      <w:r>
        <w:rPr>
          <w:spacing w:val="-2"/>
          <w:sz w:val="24"/>
        </w:rPr>
        <w:t> </w:t>
      </w:r>
      <w:r>
        <w:rPr>
          <w:sz w:val="24"/>
        </w:rPr>
        <w:t>assumptions</w:t>
      </w:r>
      <w:r>
        <w:rPr>
          <w:spacing w:val="-4"/>
          <w:sz w:val="24"/>
        </w:rPr>
        <w:t> </w:t>
      </w:r>
      <w:r>
        <w:rPr>
          <w:sz w:val="24"/>
        </w:rPr>
        <w:t>were</w:t>
      </w:r>
      <w:r>
        <w:rPr>
          <w:spacing w:val="-2"/>
          <w:sz w:val="24"/>
        </w:rPr>
        <w:t> </w:t>
      </w:r>
      <w:r>
        <w:rPr>
          <w:sz w:val="24"/>
        </w:rPr>
        <w:t>as</w:t>
      </w:r>
      <w:r>
        <w:rPr>
          <w:spacing w:val="-1"/>
          <w:sz w:val="24"/>
        </w:rPr>
        <w:t> </w:t>
      </w:r>
      <w:r>
        <w:rPr>
          <w:spacing w:val="-2"/>
          <w:sz w:val="24"/>
        </w:rPr>
        <w:t>follows:</w:t>
      </w:r>
    </w:p>
    <w:p>
      <w:pPr>
        <w:pStyle w:val="BodyText"/>
        <w:spacing w:before="3" w:after="1"/>
        <w:rPr>
          <w:sz w:val="8"/>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54"/>
        <w:gridCol w:w="1694"/>
        <w:gridCol w:w="1135"/>
      </w:tblGrid>
      <w:tr>
        <w:trPr>
          <w:trHeight w:val="286" w:hRule="atLeast"/>
        </w:trPr>
        <w:tc>
          <w:tcPr>
            <w:tcW w:w="5654" w:type="dxa"/>
          </w:tcPr>
          <w:p>
            <w:pPr>
              <w:pStyle w:val="TableParagraph"/>
              <w:rPr>
                <w:rFonts w:ascii="Times New Roman"/>
                <w:sz w:val="20"/>
              </w:rPr>
            </w:pPr>
          </w:p>
        </w:tc>
        <w:tc>
          <w:tcPr>
            <w:tcW w:w="1694" w:type="dxa"/>
          </w:tcPr>
          <w:p>
            <w:pPr>
              <w:pStyle w:val="TableParagraph"/>
              <w:spacing w:line="252" w:lineRule="exact"/>
              <w:ind w:right="414"/>
              <w:jc w:val="right"/>
              <w:rPr>
                <w:b/>
                <w:sz w:val="24"/>
              </w:rPr>
            </w:pPr>
            <w:r>
              <w:rPr>
                <w:b/>
                <w:spacing w:val="-4"/>
                <w:sz w:val="24"/>
              </w:rPr>
              <w:t>2017</w:t>
            </w:r>
          </w:p>
        </w:tc>
        <w:tc>
          <w:tcPr>
            <w:tcW w:w="1135" w:type="dxa"/>
            <w:shd w:val="clear" w:color="auto" w:fill="E4E4E4"/>
          </w:tcPr>
          <w:p>
            <w:pPr>
              <w:pStyle w:val="TableParagraph"/>
              <w:spacing w:line="252" w:lineRule="exact"/>
              <w:ind w:right="5"/>
              <w:jc w:val="center"/>
              <w:rPr>
                <w:b/>
                <w:sz w:val="24"/>
              </w:rPr>
            </w:pPr>
            <w:r>
              <w:rPr>
                <w:b/>
                <w:spacing w:val="-4"/>
                <w:sz w:val="24"/>
              </w:rPr>
              <w:t>2016</w:t>
            </w:r>
          </w:p>
        </w:tc>
      </w:tr>
      <w:tr>
        <w:trPr>
          <w:trHeight w:val="348" w:hRule="atLeast"/>
        </w:trPr>
        <w:tc>
          <w:tcPr>
            <w:tcW w:w="5654" w:type="dxa"/>
          </w:tcPr>
          <w:p>
            <w:pPr>
              <w:pStyle w:val="TableParagraph"/>
              <w:spacing w:before="35"/>
              <w:ind w:left="50"/>
              <w:rPr>
                <w:sz w:val="24"/>
              </w:rPr>
            </w:pPr>
            <w:r>
              <w:rPr>
                <w:sz w:val="24"/>
              </w:rPr>
              <w:t>Rate</w:t>
            </w:r>
            <w:r>
              <w:rPr>
                <w:spacing w:val="-1"/>
                <w:sz w:val="24"/>
              </w:rPr>
              <w:t> </w:t>
            </w:r>
            <w:r>
              <w:rPr>
                <w:sz w:val="24"/>
              </w:rPr>
              <w:t>of</w:t>
            </w:r>
            <w:r>
              <w:rPr>
                <w:spacing w:val="-1"/>
                <w:sz w:val="24"/>
              </w:rPr>
              <w:t> </w:t>
            </w:r>
            <w:r>
              <w:rPr>
                <w:sz w:val="24"/>
              </w:rPr>
              <w:t>increase in </w:t>
            </w:r>
            <w:r>
              <w:rPr>
                <w:spacing w:val="-2"/>
                <w:sz w:val="24"/>
              </w:rPr>
              <w:t>salaries</w:t>
            </w:r>
          </w:p>
        </w:tc>
        <w:tc>
          <w:tcPr>
            <w:tcW w:w="1694" w:type="dxa"/>
          </w:tcPr>
          <w:p>
            <w:pPr>
              <w:pStyle w:val="TableParagraph"/>
              <w:spacing w:before="35"/>
              <w:ind w:right="391"/>
              <w:jc w:val="right"/>
              <w:rPr>
                <w:sz w:val="24"/>
              </w:rPr>
            </w:pPr>
            <w:r>
              <w:rPr>
                <w:spacing w:val="-2"/>
                <w:sz w:val="24"/>
              </w:rPr>
              <w:t>3.80%</w:t>
            </w:r>
          </w:p>
        </w:tc>
        <w:tc>
          <w:tcPr>
            <w:tcW w:w="1135" w:type="dxa"/>
            <w:shd w:val="clear" w:color="auto" w:fill="E4E4E4"/>
          </w:tcPr>
          <w:p>
            <w:pPr>
              <w:pStyle w:val="TableParagraph"/>
              <w:spacing w:before="35"/>
              <w:ind w:left="4" w:right="5"/>
              <w:jc w:val="center"/>
              <w:rPr>
                <w:sz w:val="24"/>
              </w:rPr>
            </w:pPr>
            <w:r>
              <w:rPr>
                <w:spacing w:val="-2"/>
                <w:sz w:val="24"/>
              </w:rPr>
              <w:t>3.70%</w:t>
            </w:r>
          </w:p>
        </w:tc>
      </w:tr>
      <w:tr>
        <w:trPr>
          <w:trHeight w:val="348" w:hRule="atLeast"/>
        </w:trPr>
        <w:tc>
          <w:tcPr>
            <w:tcW w:w="5654" w:type="dxa"/>
          </w:tcPr>
          <w:p>
            <w:pPr>
              <w:pStyle w:val="TableParagraph"/>
              <w:spacing w:before="35"/>
              <w:ind w:left="50"/>
              <w:rPr>
                <w:sz w:val="24"/>
              </w:rPr>
            </w:pPr>
            <w:r>
              <w:rPr>
                <w:sz w:val="24"/>
              </w:rPr>
              <w:t>Rate</w:t>
            </w:r>
            <w:r>
              <w:rPr>
                <w:spacing w:val="-1"/>
                <w:sz w:val="24"/>
              </w:rPr>
              <w:t> </w:t>
            </w:r>
            <w:r>
              <w:rPr>
                <w:sz w:val="24"/>
              </w:rPr>
              <w:t>of</w:t>
            </w:r>
            <w:r>
              <w:rPr>
                <w:spacing w:val="-1"/>
                <w:sz w:val="24"/>
              </w:rPr>
              <w:t> </w:t>
            </w:r>
            <w:r>
              <w:rPr>
                <w:sz w:val="24"/>
              </w:rPr>
              <w:t>increase</w:t>
            </w:r>
            <w:r>
              <w:rPr>
                <w:spacing w:val="-1"/>
                <w:sz w:val="24"/>
              </w:rPr>
              <w:t> </w:t>
            </w:r>
            <w:r>
              <w:rPr>
                <w:sz w:val="24"/>
              </w:rPr>
              <w:t>in</w:t>
            </w:r>
            <w:r>
              <w:rPr>
                <w:spacing w:val="-2"/>
                <w:sz w:val="24"/>
              </w:rPr>
              <w:t> </w:t>
            </w:r>
            <w:r>
              <w:rPr>
                <w:sz w:val="24"/>
              </w:rPr>
              <w:t>retirement</w:t>
            </w:r>
            <w:r>
              <w:rPr>
                <w:spacing w:val="-2"/>
                <w:sz w:val="24"/>
              </w:rPr>
              <w:t> </w:t>
            </w:r>
            <w:r>
              <w:rPr>
                <w:sz w:val="24"/>
              </w:rPr>
              <w:t>benefits</w:t>
            </w:r>
            <w:r>
              <w:rPr>
                <w:spacing w:val="-3"/>
                <w:sz w:val="24"/>
              </w:rPr>
              <w:t> </w:t>
            </w:r>
            <w:r>
              <w:rPr>
                <w:sz w:val="24"/>
              </w:rPr>
              <w:t>in </w:t>
            </w:r>
            <w:r>
              <w:rPr>
                <w:spacing w:val="-2"/>
                <w:sz w:val="24"/>
              </w:rPr>
              <w:t>payment</w:t>
            </w:r>
          </w:p>
        </w:tc>
        <w:tc>
          <w:tcPr>
            <w:tcW w:w="1694" w:type="dxa"/>
          </w:tcPr>
          <w:p>
            <w:pPr>
              <w:pStyle w:val="TableParagraph"/>
              <w:spacing w:before="35"/>
              <w:ind w:right="391"/>
              <w:jc w:val="right"/>
              <w:rPr>
                <w:sz w:val="24"/>
              </w:rPr>
            </w:pPr>
            <w:r>
              <w:rPr>
                <w:spacing w:val="-2"/>
                <w:sz w:val="24"/>
              </w:rPr>
              <w:t>2.80%</w:t>
            </w:r>
          </w:p>
        </w:tc>
        <w:tc>
          <w:tcPr>
            <w:tcW w:w="1135" w:type="dxa"/>
            <w:shd w:val="clear" w:color="auto" w:fill="E4E4E4"/>
          </w:tcPr>
          <w:p>
            <w:pPr>
              <w:pStyle w:val="TableParagraph"/>
              <w:spacing w:before="35"/>
              <w:ind w:left="4" w:right="5"/>
              <w:jc w:val="center"/>
              <w:rPr>
                <w:sz w:val="24"/>
              </w:rPr>
            </w:pPr>
            <w:r>
              <w:rPr>
                <w:spacing w:val="-2"/>
                <w:sz w:val="24"/>
              </w:rPr>
              <w:t>2.70%</w:t>
            </w:r>
          </w:p>
        </w:tc>
      </w:tr>
      <w:tr>
        <w:trPr>
          <w:trHeight w:val="348" w:hRule="atLeast"/>
        </w:trPr>
        <w:tc>
          <w:tcPr>
            <w:tcW w:w="5654" w:type="dxa"/>
          </w:tcPr>
          <w:p>
            <w:pPr>
              <w:pStyle w:val="TableParagraph"/>
              <w:spacing w:before="35"/>
              <w:ind w:left="50"/>
              <w:rPr>
                <w:sz w:val="24"/>
              </w:rPr>
            </w:pPr>
            <w:r>
              <w:rPr>
                <w:sz w:val="24"/>
              </w:rPr>
              <w:t>Discount</w:t>
            </w:r>
            <w:r>
              <w:rPr>
                <w:spacing w:val="-2"/>
                <w:sz w:val="24"/>
              </w:rPr>
              <w:t> </w:t>
            </w:r>
            <w:r>
              <w:rPr>
                <w:spacing w:val="-4"/>
                <w:sz w:val="24"/>
              </w:rPr>
              <w:t>rate</w:t>
            </w:r>
          </w:p>
        </w:tc>
        <w:tc>
          <w:tcPr>
            <w:tcW w:w="1694" w:type="dxa"/>
          </w:tcPr>
          <w:p>
            <w:pPr>
              <w:pStyle w:val="TableParagraph"/>
              <w:spacing w:before="35"/>
              <w:ind w:right="391"/>
              <w:jc w:val="right"/>
              <w:rPr>
                <w:sz w:val="24"/>
              </w:rPr>
            </w:pPr>
            <w:r>
              <w:rPr>
                <w:spacing w:val="-2"/>
                <w:sz w:val="24"/>
              </w:rPr>
              <w:t>1.70%</w:t>
            </w:r>
          </w:p>
        </w:tc>
        <w:tc>
          <w:tcPr>
            <w:tcW w:w="1135" w:type="dxa"/>
            <w:shd w:val="clear" w:color="auto" w:fill="E4E4E4"/>
          </w:tcPr>
          <w:p>
            <w:pPr>
              <w:pStyle w:val="TableParagraph"/>
              <w:spacing w:before="35"/>
              <w:ind w:left="4" w:right="5"/>
              <w:jc w:val="center"/>
              <w:rPr>
                <w:sz w:val="24"/>
              </w:rPr>
            </w:pPr>
            <w:r>
              <w:rPr>
                <w:spacing w:val="-2"/>
                <w:sz w:val="24"/>
              </w:rPr>
              <w:t>1.60%</w:t>
            </w:r>
          </w:p>
        </w:tc>
      </w:tr>
      <w:tr>
        <w:trPr>
          <w:trHeight w:val="409" w:hRule="atLeast"/>
        </w:trPr>
        <w:tc>
          <w:tcPr>
            <w:tcW w:w="5654" w:type="dxa"/>
          </w:tcPr>
          <w:p>
            <w:pPr>
              <w:pStyle w:val="TableParagraph"/>
              <w:spacing w:before="35"/>
              <w:ind w:left="50"/>
              <w:rPr>
                <w:sz w:val="24"/>
              </w:rPr>
            </w:pPr>
            <w:r>
              <w:rPr>
                <w:sz w:val="24"/>
              </w:rPr>
              <w:t>Inflation</w:t>
            </w:r>
            <w:r>
              <w:rPr>
                <w:spacing w:val="-3"/>
                <w:sz w:val="24"/>
              </w:rPr>
              <w:t> </w:t>
            </w:r>
            <w:r>
              <w:rPr>
                <w:spacing w:val="-4"/>
                <w:sz w:val="24"/>
              </w:rPr>
              <w:t>rate</w:t>
            </w:r>
          </w:p>
        </w:tc>
        <w:tc>
          <w:tcPr>
            <w:tcW w:w="1694" w:type="dxa"/>
          </w:tcPr>
          <w:p>
            <w:pPr>
              <w:pStyle w:val="TableParagraph"/>
              <w:spacing w:before="35"/>
              <w:ind w:right="391"/>
              <w:jc w:val="right"/>
              <w:rPr>
                <w:sz w:val="24"/>
              </w:rPr>
            </w:pPr>
            <w:r>
              <w:rPr>
                <w:spacing w:val="-2"/>
                <w:sz w:val="24"/>
              </w:rPr>
              <w:t>1.80%</w:t>
            </w:r>
          </w:p>
        </w:tc>
        <w:tc>
          <w:tcPr>
            <w:tcW w:w="1135" w:type="dxa"/>
            <w:shd w:val="clear" w:color="auto" w:fill="E4E4E4"/>
          </w:tcPr>
          <w:p>
            <w:pPr>
              <w:pStyle w:val="TableParagraph"/>
              <w:spacing w:before="35"/>
              <w:ind w:left="4" w:right="5"/>
              <w:jc w:val="center"/>
              <w:rPr>
                <w:sz w:val="24"/>
              </w:rPr>
            </w:pPr>
            <w:r>
              <w:rPr>
                <w:spacing w:val="-2"/>
                <w:sz w:val="24"/>
              </w:rPr>
              <w:t>1.70%</w:t>
            </w:r>
          </w:p>
        </w:tc>
      </w:tr>
    </w:tbl>
    <w:p>
      <w:pPr>
        <w:pStyle w:val="BodyText"/>
        <w:spacing w:before="45"/>
        <w:rPr>
          <w:sz w:val="24"/>
        </w:rPr>
      </w:pPr>
    </w:p>
    <w:p>
      <w:pPr>
        <w:spacing w:before="0"/>
        <w:ind w:left="1702" w:right="0" w:firstLine="0"/>
        <w:jc w:val="left"/>
        <w:rPr>
          <w:sz w:val="24"/>
        </w:rPr>
      </w:pPr>
      <w:r>
        <w:rPr>
          <w:spacing w:val="-2"/>
          <w:sz w:val="24"/>
          <w:u w:val="single"/>
        </w:rPr>
        <w:t>Mortality</w:t>
      </w:r>
    </w:p>
    <w:p>
      <w:pPr>
        <w:pStyle w:val="BodyText"/>
        <w:spacing w:before="139"/>
        <w:rPr>
          <w:sz w:val="24"/>
        </w:rPr>
      </w:pPr>
    </w:p>
    <w:p>
      <w:pPr>
        <w:spacing w:line="300" w:lineRule="auto" w:before="0"/>
        <w:ind w:left="1702" w:right="3080" w:firstLine="0"/>
        <w:jc w:val="left"/>
        <w:rPr>
          <w:sz w:val="24"/>
        </w:rPr>
      </w:pPr>
      <w:r>
        <w:rPr>
          <w:sz w:val="24"/>
        </w:rPr>
        <w:t>58% of ILT15 for males with improvements (see below). 62%</w:t>
      </w:r>
      <w:r>
        <w:rPr>
          <w:spacing w:val="-4"/>
          <w:sz w:val="24"/>
        </w:rPr>
        <w:t> </w:t>
      </w:r>
      <w:r>
        <w:rPr>
          <w:sz w:val="24"/>
        </w:rPr>
        <w:t>of</w:t>
      </w:r>
      <w:r>
        <w:rPr>
          <w:spacing w:val="-4"/>
          <w:sz w:val="24"/>
        </w:rPr>
        <w:t> </w:t>
      </w:r>
      <w:r>
        <w:rPr>
          <w:sz w:val="24"/>
        </w:rPr>
        <w:t>ILT15</w:t>
      </w:r>
      <w:r>
        <w:rPr>
          <w:spacing w:val="-4"/>
          <w:sz w:val="24"/>
        </w:rPr>
        <w:t> </w:t>
      </w:r>
      <w:r>
        <w:rPr>
          <w:sz w:val="24"/>
        </w:rPr>
        <w:t>for</w:t>
      </w:r>
      <w:r>
        <w:rPr>
          <w:spacing w:val="-4"/>
          <w:sz w:val="24"/>
        </w:rPr>
        <w:t> </w:t>
      </w:r>
      <w:r>
        <w:rPr>
          <w:sz w:val="24"/>
        </w:rPr>
        <w:t>females</w:t>
      </w:r>
      <w:r>
        <w:rPr>
          <w:spacing w:val="-8"/>
          <w:sz w:val="24"/>
        </w:rPr>
        <w:t> </w:t>
      </w:r>
      <w:r>
        <w:rPr>
          <w:sz w:val="24"/>
        </w:rPr>
        <w:t>with</w:t>
      </w:r>
      <w:r>
        <w:rPr>
          <w:spacing w:val="-4"/>
          <w:sz w:val="24"/>
        </w:rPr>
        <w:t> </w:t>
      </w:r>
      <w:r>
        <w:rPr>
          <w:sz w:val="24"/>
        </w:rPr>
        <w:t>improvements</w:t>
      </w:r>
      <w:r>
        <w:rPr>
          <w:spacing w:val="-6"/>
          <w:sz w:val="24"/>
        </w:rPr>
        <w:t> </w:t>
      </w:r>
      <w:r>
        <w:rPr>
          <w:sz w:val="24"/>
        </w:rPr>
        <w:t>(see</w:t>
      </w:r>
      <w:r>
        <w:rPr>
          <w:spacing w:val="-4"/>
          <w:sz w:val="24"/>
        </w:rPr>
        <w:t> </w:t>
      </w:r>
      <w:r>
        <w:rPr>
          <w:sz w:val="24"/>
        </w:rPr>
        <w:t>below).</w:t>
      </w:r>
    </w:p>
    <w:p>
      <w:pPr>
        <w:pStyle w:val="BodyText"/>
        <w:spacing w:before="68"/>
        <w:rPr>
          <w:sz w:val="24"/>
        </w:rPr>
      </w:pPr>
    </w:p>
    <w:p>
      <w:pPr>
        <w:spacing w:line="300" w:lineRule="auto" w:before="0"/>
        <w:ind w:left="1702" w:right="988" w:firstLine="0"/>
        <w:jc w:val="left"/>
        <w:rPr>
          <w:sz w:val="24"/>
        </w:rPr>
      </w:pPr>
      <w:r>
        <w:rPr>
          <w:sz w:val="24"/>
        </w:rPr>
        <w:t>Improvements in annuity rates of 0.30% p.a. (Males) to 0.25% p.a. (Females) for each year between 2016 and the year of retirement.</w:t>
      </w:r>
    </w:p>
    <w:p>
      <w:pPr>
        <w:pStyle w:val="BodyText"/>
        <w:spacing w:before="70"/>
        <w:rPr>
          <w:sz w:val="24"/>
        </w:rPr>
      </w:pPr>
    </w:p>
    <w:p>
      <w:pPr>
        <w:spacing w:line="300" w:lineRule="auto" w:before="0"/>
        <w:ind w:left="1702" w:right="988" w:firstLine="0"/>
        <w:jc w:val="left"/>
        <w:rPr>
          <w:sz w:val="24"/>
        </w:rPr>
      </w:pPr>
      <w:r>
        <w:rPr>
          <w:sz w:val="24"/>
        </w:rPr>
        <w:t>The</w:t>
      </w:r>
      <w:r>
        <w:rPr>
          <w:spacing w:val="-9"/>
          <w:sz w:val="24"/>
        </w:rPr>
        <w:t> </w:t>
      </w:r>
      <w:r>
        <w:rPr>
          <w:sz w:val="24"/>
        </w:rPr>
        <w:t>table</w:t>
      </w:r>
      <w:r>
        <w:rPr>
          <w:spacing w:val="-8"/>
          <w:sz w:val="24"/>
        </w:rPr>
        <w:t> </w:t>
      </w:r>
      <w:r>
        <w:rPr>
          <w:sz w:val="24"/>
        </w:rPr>
        <w:t>below</w:t>
      </w:r>
      <w:r>
        <w:rPr>
          <w:spacing w:val="-9"/>
          <w:sz w:val="24"/>
        </w:rPr>
        <w:t> </w:t>
      </w:r>
      <w:r>
        <w:rPr>
          <w:sz w:val="24"/>
        </w:rPr>
        <w:t>shows</w:t>
      </w:r>
      <w:r>
        <w:rPr>
          <w:spacing w:val="-10"/>
          <w:sz w:val="24"/>
        </w:rPr>
        <w:t> </w:t>
      </w:r>
      <w:r>
        <w:rPr>
          <w:sz w:val="24"/>
        </w:rPr>
        <w:t>the</w:t>
      </w:r>
      <w:r>
        <w:rPr>
          <w:spacing w:val="-9"/>
          <w:sz w:val="24"/>
        </w:rPr>
        <w:t> </w:t>
      </w:r>
      <w:r>
        <w:rPr>
          <w:sz w:val="24"/>
        </w:rPr>
        <w:t>assumed</w:t>
      </w:r>
      <w:r>
        <w:rPr>
          <w:spacing w:val="-9"/>
          <w:sz w:val="24"/>
        </w:rPr>
        <w:t> </w:t>
      </w:r>
      <w:r>
        <w:rPr>
          <w:sz w:val="24"/>
        </w:rPr>
        <w:t>life</w:t>
      </w:r>
      <w:r>
        <w:rPr>
          <w:spacing w:val="-8"/>
          <w:sz w:val="24"/>
        </w:rPr>
        <w:t> </w:t>
      </w:r>
      <w:r>
        <w:rPr>
          <w:sz w:val="24"/>
        </w:rPr>
        <w:t>expectancy</w:t>
      </w:r>
      <w:r>
        <w:rPr>
          <w:spacing w:val="-8"/>
          <w:sz w:val="24"/>
        </w:rPr>
        <w:t> </w:t>
      </w:r>
      <w:r>
        <w:rPr>
          <w:sz w:val="24"/>
        </w:rPr>
        <w:t>for</w:t>
      </w:r>
      <w:r>
        <w:rPr>
          <w:spacing w:val="-8"/>
          <w:sz w:val="24"/>
        </w:rPr>
        <w:t> </w:t>
      </w:r>
      <w:r>
        <w:rPr>
          <w:sz w:val="24"/>
        </w:rPr>
        <w:t>members</w:t>
      </w:r>
      <w:r>
        <w:rPr>
          <w:spacing w:val="-10"/>
          <w:sz w:val="24"/>
        </w:rPr>
        <w:t> </w:t>
      </w:r>
      <w:r>
        <w:rPr>
          <w:sz w:val="24"/>
        </w:rPr>
        <w:t>attaining</w:t>
      </w:r>
      <w:r>
        <w:rPr>
          <w:spacing w:val="-10"/>
          <w:sz w:val="24"/>
        </w:rPr>
        <w:t> </w:t>
      </w:r>
      <w:r>
        <w:rPr>
          <w:sz w:val="24"/>
        </w:rPr>
        <w:t>normal retirement age in 2017 and future years.</w:t>
      </w:r>
    </w:p>
    <w:p>
      <w:pPr>
        <w:pStyle w:val="BodyText"/>
        <w:spacing w:before="116"/>
        <w:rPr>
          <w:sz w:val="20"/>
        </w:r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66"/>
        <w:gridCol w:w="2819"/>
      </w:tblGrid>
      <w:tr>
        <w:trPr>
          <w:trHeight w:val="352" w:hRule="atLeast"/>
        </w:trPr>
        <w:tc>
          <w:tcPr>
            <w:tcW w:w="5866" w:type="dxa"/>
            <w:tcBorders>
              <w:bottom w:val="single" w:sz="4" w:space="0" w:color="000000"/>
            </w:tcBorders>
          </w:tcPr>
          <w:p>
            <w:pPr>
              <w:pStyle w:val="TableParagraph"/>
              <w:ind w:left="107"/>
              <w:rPr>
                <w:b/>
                <w:sz w:val="24"/>
              </w:rPr>
            </w:pPr>
            <w:r>
              <w:rPr>
                <w:b/>
                <w:sz w:val="24"/>
              </w:rPr>
              <w:t>Year</w:t>
            </w:r>
            <w:r>
              <w:rPr>
                <w:b/>
                <w:spacing w:val="-3"/>
                <w:sz w:val="24"/>
              </w:rPr>
              <w:t> </w:t>
            </w:r>
            <w:r>
              <w:rPr>
                <w:b/>
                <w:sz w:val="24"/>
              </w:rPr>
              <w:t>of</w:t>
            </w:r>
            <w:r>
              <w:rPr>
                <w:b/>
                <w:spacing w:val="-2"/>
                <w:sz w:val="24"/>
              </w:rPr>
              <w:t> </w:t>
            </w:r>
            <w:r>
              <w:rPr>
                <w:b/>
                <w:sz w:val="24"/>
              </w:rPr>
              <w:t>attaining</w:t>
            </w:r>
            <w:r>
              <w:rPr>
                <w:b/>
                <w:spacing w:val="-2"/>
                <w:sz w:val="24"/>
              </w:rPr>
              <w:t> </w:t>
            </w:r>
            <w:r>
              <w:rPr>
                <w:b/>
                <w:sz w:val="24"/>
              </w:rPr>
              <w:t>age</w:t>
            </w:r>
            <w:r>
              <w:rPr>
                <w:b/>
                <w:spacing w:val="-1"/>
                <w:sz w:val="24"/>
              </w:rPr>
              <w:t> </w:t>
            </w:r>
            <w:r>
              <w:rPr>
                <w:b/>
                <w:spacing w:val="-5"/>
                <w:sz w:val="24"/>
              </w:rPr>
              <w:t>65</w:t>
            </w:r>
          </w:p>
        </w:tc>
        <w:tc>
          <w:tcPr>
            <w:tcW w:w="2819" w:type="dxa"/>
            <w:tcBorders>
              <w:bottom w:val="single" w:sz="4" w:space="0" w:color="000000"/>
            </w:tcBorders>
          </w:tcPr>
          <w:p>
            <w:pPr>
              <w:pStyle w:val="TableParagraph"/>
              <w:ind w:right="137"/>
              <w:jc w:val="right"/>
              <w:rPr>
                <w:b/>
                <w:sz w:val="24"/>
              </w:rPr>
            </w:pPr>
            <w:r>
              <w:rPr>
                <w:b/>
                <w:spacing w:val="-4"/>
                <w:sz w:val="24"/>
              </w:rPr>
              <w:t>2017</w:t>
            </w:r>
          </w:p>
        </w:tc>
      </w:tr>
      <w:tr>
        <w:trPr>
          <w:trHeight w:val="308" w:hRule="atLeast"/>
        </w:trPr>
        <w:tc>
          <w:tcPr>
            <w:tcW w:w="5866" w:type="dxa"/>
            <w:tcBorders>
              <w:top w:val="single" w:sz="4" w:space="0" w:color="000000"/>
            </w:tcBorders>
          </w:tcPr>
          <w:p>
            <w:pPr>
              <w:pStyle w:val="TableParagraph"/>
              <w:spacing w:line="252" w:lineRule="exact"/>
              <w:ind w:left="107"/>
              <w:rPr>
                <w:sz w:val="24"/>
              </w:rPr>
            </w:pPr>
            <w:r>
              <w:rPr>
                <w:sz w:val="24"/>
              </w:rPr>
              <w:t>Male</w:t>
            </w:r>
            <w:r>
              <w:rPr>
                <w:spacing w:val="-1"/>
                <w:sz w:val="24"/>
              </w:rPr>
              <w:t> </w:t>
            </w:r>
            <w:r>
              <w:rPr>
                <w:sz w:val="24"/>
              </w:rPr>
              <w:t>aged</w:t>
            </w:r>
            <w:r>
              <w:rPr>
                <w:spacing w:val="-4"/>
                <w:sz w:val="24"/>
              </w:rPr>
              <w:t> </w:t>
            </w:r>
            <w:r>
              <w:rPr>
                <w:sz w:val="24"/>
              </w:rPr>
              <w:t>60</w:t>
            </w:r>
            <w:r>
              <w:rPr>
                <w:spacing w:val="-1"/>
                <w:sz w:val="24"/>
              </w:rPr>
              <w:t> </w:t>
            </w:r>
            <w:r>
              <w:rPr>
                <w:sz w:val="24"/>
              </w:rPr>
              <w:t>at</w:t>
            </w:r>
            <w:r>
              <w:rPr>
                <w:spacing w:val="-1"/>
                <w:sz w:val="24"/>
              </w:rPr>
              <w:t> </w:t>
            </w:r>
            <w:r>
              <w:rPr>
                <w:sz w:val="24"/>
              </w:rPr>
              <w:t>balance</w:t>
            </w:r>
            <w:r>
              <w:rPr>
                <w:spacing w:val="-3"/>
                <w:sz w:val="24"/>
              </w:rPr>
              <w:t> </w:t>
            </w:r>
            <w:r>
              <w:rPr>
                <w:sz w:val="24"/>
              </w:rPr>
              <w:t>sheet </w:t>
            </w:r>
            <w:r>
              <w:rPr>
                <w:spacing w:val="-4"/>
                <w:sz w:val="24"/>
              </w:rPr>
              <w:t>date</w:t>
            </w:r>
          </w:p>
        </w:tc>
        <w:tc>
          <w:tcPr>
            <w:tcW w:w="2819" w:type="dxa"/>
            <w:tcBorders>
              <w:top w:val="single" w:sz="4" w:space="0" w:color="000000"/>
            </w:tcBorders>
          </w:tcPr>
          <w:p>
            <w:pPr>
              <w:pStyle w:val="TableParagraph"/>
              <w:spacing w:line="252" w:lineRule="exact"/>
              <w:ind w:right="106"/>
              <w:jc w:val="right"/>
              <w:rPr>
                <w:sz w:val="24"/>
              </w:rPr>
            </w:pPr>
            <w:r>
              <w:rPr>
                <w:spacing w:val="-4"/>
                <w:sz w:val="24"/>
              </w:rPr>
              <w:t>25.4</w:t>
            </w:r>
          </w:p>
        </w:tc>
      </w:tr>
      <w:tr>
        <w:trPr>
          <w:trHeight w:val="348" w:hRule="atLeast"/>
        </w:trPr>
        <w:tc>
          <w:tcPr>
            <w:tcW w:w="5866" w:type="dxa"/>
          </w:tcPr>
          <w:p>
            <w:pPr>
              <w:pStyle w:val="TableParagraph"/>
              <w:spacing w:before="35"/>
              <w:ind w:left="107"/>
              <w:rPr>
                <w:sz w:val="24"/>
              </w:rPr>
            </w:pPr>
            <w:r>
              <w:rPr>
                <w:sz w:val="24"/>
              </w:rPr>
              <w:t>Female</w:t>
            </w:r>
            <w:r>
              <w:rPr>
                <w:spacing w:val="-1"/>
                <w:sz w:val="24"/>
              </w:rPr>
              <w:t> </w:t>
            </w:r>
            <w:r>
              <w:rPr>
                <w:sz w:val="24"/>
              </w:rPr>
              <w:t>aged</w:t>
            </w:r>
            <w:r>
              <w:rPr>
                <w:spacing w:val="-1"/>
                <w:sz w:val="24"/>
              </w:rPr>
              <w:t> </w:t>
            </w:r>
            <w:r>
              <w:rPr>
                <w:sz w:val="24"/>
              </w:rPr>
              <w:t>60</w:t>
            </w:r>
            <w:r>
              <w:rPr>
                <w:spacing w:val="-1"/>
                <w:sz w:val="24"/>
              </w:rPr>
              <w:t> </w:t>
            </w:r>
            <w:r>
              <w:rPr>
                <w:sz w:val="24"/>
              </w:rPr>
              <w:t>at</w:t>
            </w:r>
            <w:r>
              <w:rPr>
                <w:spacing w:val="-1"/>
                <w:sz w:val="24"/>
              </w:rPr>
              <w:t> </w:t>
            </w:r>
            <w:r>
              <w:rPr>
                <w:sz w:val="24"/>
              </w:rPr>
              <w:t>balance</w:t>
            </w:r>
            <w:r>
              <w:rPr>
                <w:spacing w:val="-1"/>
                <w:sz w:val="24"/>
              </w:rPr>
              <w:t> </w:t>
            </w:r>
            <w:r>
              <w:rPr>
                <w:sz w:val="24"/>
              </w:rPr>
              <w:t>sheet</w:t>
            </w:r>
            <w:r>
              <w:rPr>
                <w:spacing w:val="-1"/>
                <w:sz w:val="24"/>
              </w:rPr>
              <w:t> </w:t>
            </w:r>
            <w:r>
              <w:rPr>
                <w:spacing w:val="-4"/>
                <w:sz w:val="24"/>
              </w:rPr>
              <w:t>date</w:t>
            </w:r>
          </w:p>
        </w:tc>
        <w:tc>
          <w:tcPr>
            <w:tcW w:w="2819" w:type="dxa"/>
          </w:tcPr>
          <w:p>
            <w:pPr>
              <w:pStyle w:val="TableParagraph"/>
              <w:spacing w:before="35"/>
              <w:ind w:right="106"/>
              <w:jc w:val="right"/>
              <w:rPr>
                <w:sz w:val="24"/>
              </w:rPr>
            </w:pPr>
            <w:r>
              <w:rPr>
                <w:spacing w:val="-4"/>
                <w:sz w:val="24"/>
              </w:rPr>
              <w:t>28.2</w:t>
            </w:r>
          </w:p>
        </w:tc>
      </w:tr>
      <w:tr>
        <w:trPr>
          <w:trHeight w:val="348" w:hRule="atLeast"/>
        </w:trPr>
        <w:tc>
          <w:tcPr>
            <w:tcW w:w="5866" w:type="dxa"/>
          </w:tcPr>
          <w:p>
            <w:pPr>
              <w:pStyle w:val="TableParagraph"/>
              <w:spacing w:before="35"/>
              <w:ind w:left="107"/>
              <w:rPr>
                <w:sz w:val="24"/>
              </w:rPr>
            </w:pPr>
            <w:r>
              <w:rPr>
                <w:sz w:val="24"/>
              </w:rPr>
              <w:t>Male</w:t>
            </w:r>
            <w:r>
              <w:rPr>
                <w:spacing w:val="-1"/>
                <w:sz w:val="24"/>
              </w:rPr>
              <w:t> </w:t>
            </w:r>
            <w:r>
              <w:rPr>
                <w:sz w:val="24"/>
              </w:rPr>
              <w:t>aged</w:t>
            </w:r>
            <w:r>
              <w:rPr>
                <w:spacing w:val="-4"/>
                <w:sz w:val="24"/>
              </w:rPr>
              <w:t> </w:t>
            </w:r>
            <w:r>
              <w:rPr>
                <w:sz w:val="24"/>
              </w:rPr>
              <w:t>65</w:t>
            </w:r>
            <w:r>
              <w:rPr>
                <w:spacing w:val="-1"/>
                <w:sz w:val="24"/>
              </w:rPr>
              <w:t> </w:t>
            </w:r>
            <w:r>
              <w:rPr>
                <w:sz w:val="24"/>
              </w:rPr>
              <w:t>at</w:t>
            </w:r>
            <w:r>
              <w:rPr>
                <w:spacing w:val="-1"/>
                <w:sz w:val="24"/>
              </w:rPr>
              <w:t> </w:t>
            </w:r>
            <w:r>
              <w:rPr>
                <w:sz w:val="24"/>
              </w:rPr>
              <w:t>balance</w:t>
            </w:r>
            <w:r>
              <w:rPr>
                <w:spacing w:val="-3"/>
                <w:sz w:val="24"/>
              </w:rPr>
              <w:t> </w:t>
            </w:r>
            <w:r>
              <w:rPr>
                <w:sz w:val="24"/>
              </w:rPr>
              <w:t>sheet </w:t>
            </w:r>
            <w:r>
              <w:rPr>
                <w:spacing w:val="-4"/>
                <w:sz w:val="24"/>
              </w:rPr>
              <w:t>date</w:t>
            </w:r>
          </w:p>
        </w:tc>
        <w:tc>
          <w:tcPr>
            <w:tcW w:w="2819" w:type="dxa"/>
          </w:tcPr>
          <w:p>
            <w:pPr>
              <w:pStyle w:val="TableParagraph"/>
              <w:spacing w:before="35"/>
              <w:ind w:right="106"/>
              <w:jc w:val="right"/>
              <w:rPr>
                <w:sz w:val="24"/>
              </w:rPr>
            </w:pPr>
            <w:r>
              <w:rPr>
                <w:spacing w:val="-4"/>
                <w:sz w:val="24"/>
              </w:rPr>
              <w:t>21.4</w:t>
            </w:r>
          </w:p>
        </w:tc>
      </w:tr>
      <w:tr>
        <w:trPr>
          <w:trHeight w:val="356" w:hRule="atLeast"/>
        </w:trPr>
        <w:tc>
          <w:tcPr>
            <w:tcW w:w="5866" w:type="dxa"/>
          </w:tcPr>
          <w:p>
            <w:pPr>
              <w:pStyle w:val="TableParagraph"/>
              <w:spacing w:before="35"/>
              <w:ind w:left="107"/>
              <w:rPr>
                <w:sz w:val="24"/>
              </w:rPr>
            </w:pPr>
            <w:r>
              <w:rPr>
                <w:sz w:val="24"/>
              </w:rPr>
              <w:t>Female</w:t>
            </w:r>
            <w:r>
              <w:rPr>
                <w:spacing w:val="-1"/>
                <w:sz w:val="24"/>
              </w:rPr>
              <w:t> </w:t>
            </w:r>
            <w:r>
              <w:rPr>
                <w:sz w:val="24"/>
              </w:rPr>
              <w:t>aged</w:t>
            </w:r>
            <w:r>
              <w:rPr>
                <w:spacing w:val="-1"/>
                <w:sz w:val="24"/>
              </w:rPr>
              <w:t> </w:t>
            </w:r>
            <w:r>
              <w:rPr>
                <w:sz w:val="24"/>
              </w:rPr>
              <w:t>65</w:t>
            </w:r>
            <w:r>
              <w:rPr>
                <w:spacing w:val="-1"/>
                <w:sz w:val="24"/>
              </w:rPr>
              <w:t> </w:t>
            </w:r>
            <w:r>
              <w:rPr>
                <w:sz w:val="24"/>
              </w:rPr>
              <w:t>at</w:t>
            </w:r>
            <w:r>
              <w:rPr>
                <w:spacing w:val="-1"/>
                <w:sz w:val="24"/>
              </w:rPr>
              <w:t> </w:t>
            </w:r>
            <w:r>
              <w:rPr>
                <w:sz w:val="24"/>
              </w:rPr>
              <w:t>balance</w:t>
            </w:r>
            <w:r>
              <w:rPr>
                <w:spacing w:val="-1"/>
                <w:sz w:val="24"/>
              </w:rPr>
              <w:t> </w:t>
            </w:r>
            <w:r>
              <w:rPr>
                <w:sz w:val="24"/>
              </w:rPr>
              <w:t>sheet</w:t>
            </w:r>
            <w:r>
              <w:rPr>
                <w:spacing w:val="-1"/>
                <w:sz w:val="24"/>
              </w:rPr>
              <w:t> </w:t>
            </w:r>
            <w:r>
              <w:rPr>
                <w:spacing w:val="-4"/>
                <w:sz w:val="24"/>
              </w:rPr>
              <w:t>date</w:t>
            </w:r>
          </w:p>
        </w:tc>
        <w:tc>
          <w:tcPr>
            <w:tcW w:w="2819" w:type="dxa"/>
          </w:tcPr>
          <w:p>
            <w:pPr>
              <w:pStyle w:val="TableParagraph"/>
              <w:spacing w:before="35"/>
              <w:ind w:right="106"/>
              <w:jc w:val="right"/>
              <w:rPr>
                <w:sz w:val="24"/>
              </w:rPr>
            </w:pPr>
            <w:r>
              <w:rPr>
                <w:spacing w:val="-4"/>
                <w:sz w:val="24"/>
              </w:rPr>
              <w:t>23.8</w:t>
            </w:r>
          </w:p>
        </w:tc>
      </w:tr>
      <w:tr>
        <w:trPr>
          <w:trHeight w:val="321" w:hRule="atLeast"/>
        </w:trPr>
        <w:tc>
          <w:tcPr>
            <w:tcW w:w="5866" w:type="dxa"/>
          </w:tcPr>
          <w:p>
            <w:pPr>
              <w:pStyle w:val="TableParagraph"/>
              <w:spacing w:line="258" w:lineRule="exact" w:before="43"/>
              <w:ind w:left="107"/>
              <w:rPr>
                <w:sz w:val="24"/>
              </w:rPr>
            </w:pPr>
            <w:r>
              <w:rPr>
                <w:sz w:val="24"/>
              </w:rPr>
              <w:t>Male</w:t>
            </w:r>
            <w:r>
              <w:rPr>
                <w:spacing w:val="-1"/>
                <w:sz w:val="24"/>
              </w:rPr>
              <w:t> </w:t>
            </w:r>
            <w:r>
              <w:rPr>
                <w:sz w:val="24"/>
              </w:rPr>
              <w:t>aged</w:t>
            </w:r>
            <w:r>
              <w:rPr>
                <w:spacing w:val="-3"/>
                <w:sz w:val="24"/>
              </w:rPr>
              <w:t> </w:t>
            </w:r>
            <w:r>
              <w:rPr>
                <w:sz w:val="24"/>
              </w:rPr>
              <w:t>65</w:t>
            </w:r>
            <w:r>
              <w:rPr>
                <w:spacing w:val="-1"/>
                <w:sz w:val="24"/>
              </w:rPr>
              <w:t> </w:t>
            </w:r>
            <w:r>
              <w:rPr>
                <w:sz w:val="24"/>
              </w:rPr>
              <w:t>in</w:t>
            </w:r>
            <w:r>
              <w:rPr>
                <w:spacing w:val="-1"/>
                <w:sz w:val="24"/>
              </w:rPr>
              <w:t> </w:t>
            </w:r>
            <w:r>
              <w:rPr>
                <w:sz w:val="24"/>
              </w:rPr>
              <w:t>10 years</w:t>
            </w:r>
            <w:r>
              <w:rPr>
                <w:spacing w:val="-4"/>
                <w:sz w:val="24"/>
              </w:rPr>
              <w:t> time</w:t>
            </w:r>
          </w:p>
        </w:tc>
        <w:tc>
          <w:tcPr>
            <w:tcW w:w="2819" w:type="dxa"/>
          </w:tcPr>
          <w:p>
            <w:pPr>
              <w:pStyle w:val="TableParagraph"/>
              <w:spacing w:line="258" w:lineRule="exact" w:before="43"/>
              <w:ind w:right="105"/>
              <w:jc w:val="right"/>
              <w:rPr>
                <w:sz w:val="24"/>
              </w:rPr>
            </w:pPr>
            <w:r>
              <w:rPr>
                <w:spacing w:val="-4"/>
                <w:sz w:val="24"/>
              </w:rPr>
              <w:t>22.7</w:t>
            </w:r>
          </w:p>
        </w:tc>
      </w:tr>
    </w:tbl>
    <w:p>
      <w:pPr>
        <w:pStyle w:val="BodyText"/>
        <w:spacing w:before="115"/>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z w:val="24"/>
        </w:rPr>
        <w:t>Other</w:t>
      </w:r>
      <w:r>
        <w:rPr>
          <w:b/>
          <w:spacing w:val="-3"/>
          <w:sz w:val="24"/>
        </w:rPr>
        <w:t> </w:t>
      </w:r>
      <w:r>
        <w:rPr>
          <w:b/>
          <w:spacing w:val="-2"/>
          <w:sz w:val="24"/>
        </w:rPr>
        <w:t>Income</w:t>
      </w:r>
    </w:p>
    <w:p>
      <w:pPr>
        <w:pStyle w:val="BodyText"/>
        <w:spacing w:before="10"/>
        <w:rPr>
          <w:b/>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00"/>
        <w:gridCol w:w="1148"/>
        <w:gridCol w:w="1419"/>
      </w:tblGrid>
      <w:tr>
        <w:trPr>
          <w:trHeight w:val="634" w:hRule="atLeast"/>
        </w:trPr>
        <w:tc>
          <w:tcPr>
            <w:tcW w:w="6200" w:type="dxa"/>
          </w:tcPr>
          <w:p>
            <w:pPr>
              <w:pStyle w:val="TableParagraph"/>
              <w:rPr>
                <w:rFonts w:ascii="Times New Roman"/>
                <w:sz w:val="24"/>
              </w:rPr>
            </w:pPr>
          </w:p>
        </w:tc>
        <w:tc>
          <w:tcPr>
            <w:tcW w:w="1148" w:type="dxa"/>
          </w:tcPr>
          <w:p>
            <w:pPr>
              <w:pStyle w:val="TableParagraph"/>
              <w:spacing w:line="252" w:lineRule="exact"/>
              <w:ind w:right="109"/>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419"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7"/>
              <w:jc w:val="right"/>
              <w:rPr>
                <w:b/>
                <w:sz w:val="24"/>
              </w:rPr>
            </w:pPr>
            <w:r>
              <w:rPr>
                <w:b/>
                <w:spacing w:val="-10"/>
                <w:sz w:val="24"/>
              </w:rPr>
              <w:t>€</w:t>
            </w:r>
          </w:p>
        </w:tc>
      </w:tr>
      <w:tr>
        <w:trPr>
          <w:trHeight w:val="347" w:hRule="atLeast"/>
        </w:trPr>
        <w:tc>
          <w:tcPr>
            <w:tcW w:w="6200" w:type="dxa"/>
          </w:tcPr>
          <w:p>
            <w:pPr>
              <w:pStyle w:val="TableParagraph"/>
              <w:spacing w:before="35"/>
              <w:ind w:left="50"/>
              <w:rPr>
                <w:sz w:val="24"/>
              </w:rPr>
            </w:pPr>
            <w:r>
              <w:rPr>
                <w:sz w:val="24"/>
              </w:rPr>
              <w:t>Social</w:t>
            </w:r>
            <w:r>
              <w:rPr>
                <w:spacing w:val="-4"/>
                <w:sz w:val="24"/>
              </w:rPr>
              <w:t> </w:t>
            </w:r>
            <w:r>
              <w:rPr>
                <w:spacing w:val="-2"/>
                <w:sz w:val="24"/>
              </w:rPr>
              <w:t>Welfare</w:t>
            </w:r>
          </w:p>
        </w:tc>
        <w:tc>
          <w:tcPr>
            <w:tcW w:w="1148" w:type="dxa"/>
          </w:tcPr>
          <w:p>
            <w:pPr>
              <w:pStyle w:val="TableParagraph"/>
              <w:spacing w:before="35"/>
              <w:ind w:right="107"/>
              <w:jc w:val="right"/>
              <w:rPr>
                <w:sz w:val="24"/>
              </w:rPr>
            </w:pPr>
            <w:r>
              <w:rPr>
                <w:spacing w:val="-2"/>
                <w:sz w:val="24"/>
              </w:rPr>
              <w:t>14,915</w:t>
            </w:r>
          </w:p>
        </w:tc>
        <w:tc>
          <w:tcPr>
            <w:tcW w:w="1419" w:type="dxa"/>
            <w:shd w:val="clear" w:color="auto" w:fill="E4E4E4"/>
          </w:tcPr>
          <w:p>
            <w:pPr>
              <w:pStyle w:val="TableParagraph"/>
              <w:spacing w:before="35"/>
              <w:ind w:right="107"/>
              <w:jc w:val="right"/>
              <w:rPr>
                <w:sz w:val="24"/>
              </w:rPr>
            </w:pPr>
            <w:r>
              <w:rPr>
                <w:spacing w:val="-2"/>
                <w:sz w:val="24"/>
              </w:rPr>
              <w:t>10,354</w:t>
            </w:r>
          </w:p>
        </w:tc>
      </w:tr>
      <w:tr>
        <w:trPr>
          <w:trHeight w:val="348" w:hRule="atLeast"/>
        </w:trPr>
        <w:tc>
          <w:tcPr>
            <w:tcW w:w="6200" w:type="dxa"/>
          </w:tcPr>
          <w:p>
            <w:pPr>
              <w:pStyle w:val="TableParagraph"/>
              <w:spacing w:before="35"/>
              <w:ind w:left="50"/>
              <w:rPr>
                <w:sz w:val="24"/>
              </w:rPr>
            </w:pPr>
            <w:r>
              <w:rPr>
                <w:sz w:val="24"/>
              </w:rPr>
              <w:t>Rental</w:t>
            </w:r>
            <w:r>
              <w:rPr>
                <w:spacing w:val="-5"/>
                <w:sz w:val="24"/>
              </w:rPr>
              <w:t> </w:t>
            </w:r>
            <w:r>
              <w:rPr>
                <w:spacing w:val="-2"/>
                <w:sz w:val="24"/>
              </w:rPr>
              <w:t>Income</w:t>
            </w:r>
          </w:p>
        </w:tc>
        <w:tc>
          <w:tcPr>
            <w:tcW w:w="1148" w:type="dxa"/>
          </w:tcPr>
          <w:p>
            <w:pPr>
              <w:pStyle w:val="TableParagraph"/>
              <w:spacing w:before="35"/>
              <w:ind w:right="107"/>
              <w:jc w:val="right"/>
              <w:rPr>
                <w:sz w:val="24"/>
              </w:rPr>
            </w:pPr>
            <w:r>
              <w:rPr>
                <w:spacing w:val="-2"/>
                <w:sz w:val="24"/>
              </w:rPr>
              <w:t>56,703</w:t>
            </w:r>
          </w:p>
        </w:tc>
        <w:tc>
          <w:tcPr>
            <w:tcW w:w="1419" w:type="dxa"/>
            <w:shd w:val="clear" w:color="auto" w:fill="E4E4E4"/>
          </w:tcPr>
          <w:p>
            <w:pPr>
              <w:pStyle w:val="TableParagraph"/>
              <w:spacing w:before="35"/>
              <w:ind w:right="107"/>
              <w:jc w:val="right"/>
              <w:rPr>
                <w:sz w:val="24"/>
              </w:rPr>
            </w:pPr>
            <w:r>
              <w:rPr>
                <w:spacing w:val="-2"/>
                <w:sz w:val="24"/>
              </w:rPr>
              <w:t>56,704</w:t>
            </w:r>
          </w:p>
        </w:tc>
      </w:tr>
      <w:tr>
        <w:trPr>
          <w:trHeight w:val="387" w:hRule="atLeast"/>
        </w:trPr>
        <w:tc>
          <w:tcPr>
            <w:tcW w:w="6200" w:type="dxa"/>
          </w:tcPr>
          <w:p>
            <w:pPr>
              <w:pStyle w:val="TableParagraph"/>
              <w:spacing w:before="35"/>
              <w:ind w:left="50"/>
              <w:rPr>
                <w:sz w:val="24"/>
              </w:rPr>
            </w:pPr>
            <w:r>
              <w:rPr>
                <w:sz w:val="24"/>
              </w:rPr>
              <w:t>HSE </w:t>
            </w:r>
            <w:r>
              <w:rPr>
                <w:spacing w:val="-2"/>
                <w:sz w:val="24"/>
              </w:rPr>
              <w:t>Funding</w:t>
            </w:r>
          </w:p>
        </w:tc>
        <w:tc>
          <w:tcPr>
            <w:tcW w:w="1148" w:type="dxa"/>
            <w:tcBorders>
              <w:bottom w:val="single" w:sz="4" w:space="0" w:color="000000"/>
            </w:tcBorders>
          </w:tcPr>
          <w:p>
            <w:pPr>
              <w:pStyle w:val="TableParagraph"/>
              <w:spacing w:before="35"/>
              <w:ind w:right="107"/>
              <w:jc w:val="right"/>
              <w:rPr>
                <w:sz w:val="24"/>
              </w:rPr>
            </w:pPr>
            <w:r>
              <w:rPr>
                <w:spacing w:val="-2"/>
                <w:sz w:val="24"/>
              </w:rPr>
              <w:t>49,865</w:t>
            </w:r>
          </w:p>
        </w:tc>
        <w:tc>
          <w:tcPr>
            <w:tcW w:w="1419" w:type="dxa"/>
            <w:tcBorders>
              <w:bottom w:val="single" w:sz="4" w:space="0" w:color="000000"/>
            </w:tcBorders>
            <w:shd w:val="clear" w:color="auto" w:fill="E4E4E4"/>
          </w:tcPr>
          <w:p>
            <w:pPr>
              <w:pStyle w:val="TableParagraph"/>
              <w:spacing w:before="35"/>
              <w:ind w:right="107"/>
              <w:jc w:val="right"/>
              <w:rPr>
                <w:sz w:val="24"/>
              </w:rPr>
            </w:pPr>
            <w:r>
              <w:rPr>
                <w:spacing w:val="-2"/>
                <w:sz w:val="24"/>
              </w:rPr>
              <w:t>61,491</w:t>
            </w:r>
          </w:p>
        </w:tc>
      </w:tr>
      <w:tr>
        <w:trPr>
          <w:trHeight w:val="368" w:hRule="atLeast"/>
        </w:trPr>
        <w:tc>
          <w:tcPr>
            <w:tcW w:w="6200" w:type="dxa"/>
          </w:tcPr>
          <w:p>
            <w:pPr>
              <w:pStyle w:val="TableParagraph"/>
              <w:rPr>
                <w:rFonts w:ascii="Times New Roman"/>
                <w:sz w:val="24"/>
              </w:rPr>
            </w:pPr>
          </w:p>
        </w:tc>
        <w:tc>
          <w:tcPr>
            <w:tcW w:w="1148"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121,483</w:t>
            </w:r>
          </w:p>
        </w:tc>
        <w:tc>
          <w:tcPr>
            <w:tcW w:w="1419"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128,549</w:t>
            </w:r>
          </w:p>
        </w:tc>
      </w:tr>
    </w:tbl>
    <w:p>
      <w:pPr>
        <w:pStyle w:val="TableParagraph"/>
        <w:spacing w:after="0" w:line="252" w:lineRule="exact"/>
        <w:jc w:val="right"/>
        <w:rPr>
          <w:b/>
          <w:sz w:val="24"/>
        </w:rPr>
        <w:sectPr>
          <w:pgSz w:w="11910" w:h="16850"/>
          <w:pgMar w:header="0" w:footer="811" w:top="1880" w:bottom="1000" w:left="283" w:right="992"/>
        </w:sectPr>
      </w:pPr>
    </w:p>
    <w:p>
      <w:pPr>
        <w:spacing w:line="300" w:lineRule="auto" w:before="78"/>
        <w:ind w:left="1702" w:right="989" w:firstLine="0"/>
        <w:jc w:val="both"/>
        <w:rPr>
          <w:sz w:val="24"/>
        </w:rPr>
      </w:pPr>
      <w:r>
        <w:rPr>
          <w:sz w:val="24"/>
        </w:rPr>
        <w:t>Rental</w:t>
      </w:r>
      <w:r>
        <w:rPr>
          <w:spacing w:val="-6"/>
          <w:sz w:val="24"/>
        </w:rPr>
        <w:t> </w:t>
      </w:r>
      <w:r>
        <w:rPr>
          <w:sz w:val="24"/>
        </w:rPr>
        <w:t>income</w:t>
      </w:r>
      <w:r>
        <w:rPr>
          <w:spacing w:val="-7"/>
          <w:sz w:val="24"/>
        </w:rPr>
        <w:t> </w:t>
      </w:r>
      <w:r>
        <w:rPr>
          <w:sz w:val="24"/>
        </w:rPr>
        <w:t>figure</w:t>
      </w:r>
      <w:r>
        <w:rPr>
          <w:spacing w:val="-7"/>
          <w:sz w:val="24"/>
        </w:rPr>
        <w:t> </w:t>
      </w:r>
      <w:r>
        <w:rPr>
          <w:sz w:val="24"/>
        </w:rPr>
        <w:t>of</w:t>
      </w:r>
      <w:r>
        <w:rPr>
          <w:spacing w:val="-7"/>
          <w:sz w:val="24"/>
        </w:rPr>
        <w:t> </w:t>
      </w:r>
      <w:r>
        <w:rPr>
          <w:sz w:val="24"/>
        </w:rPr>
        <w:t>€56,704</w:t>
      </w:r>
      <w:r>
        <w:rPr>
          <w:spacing w:val="-7"/>
          <w:sz w:val="24"/>
        </w:rPr>
        <w:t> </w:t>
      </w:r>
      <w:r>
        <w:rPr>
          <w:sz w:val="24"/>
        </w:rPr>
        <w:t>relates</w:t>
      </w:r>
      <w:r>
        <w:rPr>
          <w:spacing w:val="-8"/>
          <w:sz w:val="24"/>
        </w:rPr>
        <w:t> </w:t>
      </w:r>
      <w:r>
        <w:rPr>
          <w:sz w:val="24"/>
        </w:rPr>
        <w:t>to</w:t>
      </w:r>
      <w:r>
        <w:rPr>
          <w:spacing w:val="-8"/>
          <w:sz w:val="24"/>
        </w:rPr>
        <w:t> </w:t>
      </w:r>
      <w:r>
        <w:rPr>
          <w:sz w:val="24"/>
        </w:rPr>
        <w:t>rent</w:t>
      </w:r>
      <w:r>
        <w:rPr>
          <w:spacing w:val="-7"/>
          <w:sz w:val="24"/>
        </w:rPr>
        <w:t> </w:t>
      </w:r>
      <w:r>
        <w:rPr>
          <w:sz w:val="24"/>
        </w:rPr>
        <w:t>of</w:t>
      </w:r>
      <w:r>
        <w:rPr>
          <w:spacing w:val="-7"/>
          <w:sz w:val="24"/>
        </w:rPr>
        <w:t> </w:t>
      </w:r>
      <w:r>
        <w:rPr>
          <w:sz w:val="24"/>
        </w:rPr>
        <w:t>€38,000</w:t>
      </w:r>
      <w:r>
        <w:rPr>
          <w:spacing w:val="-7"/>
          <w:sz w:val="24"/>
        </w:rPr>
        <w:t> </w:t>
      </w:r>
      <w:r>
        <w:rPr>
          <w:sz w:val="24"/>
        </w:rPr>
        <w:t>in</w:t>
      </w:r>
      <w:r>
        <w:rPr>
          <w:spacing w:val="-7"/>
          <w:sz w:val="24"/>
        </w:rPr>
        <w:t> </w:t>
      </w:r>
      <w:r>
        <w:rPr>
          <w:sz w:val="24"/>
        </w:rPr>
        <w:t>relation</w:t>
      </w:r>
      <w:r>
        <w:rPr>
          <w:spacing w:val="-7"/>
          <w:sz w:val="24"/>
        </w:rPr>
        <w:t> </w:t>
      </w:r>
      <w:r>
        <w:rPr>
          <w:sz w:val="24"/>
        </w:rPr>
        <w:t>to</w:t>
      </w:r>
      <w:r>
        <w:rPr>
          <w:spacing w:val="-8"/>
          <w:sz w:val="24"/>
        </w:rPr>
        <w:t> </w:t>
      </w:r>
      <w:r>
        <w:rPr>
          <w:sz w:val="24"/>
        </w:rPr>
        <w:t>property rented at 25 Clyde Road, Dublin 4. The remaining €18,704 relates to the associated service charge incurred at 25 Clyde Road.</w:t>
      </w:r>
    </w:p>
    <w:p>
      <w:pPr>
        <w:spacing w:line="300" w:lineRule="auto" w:before="0"/>
        <w:ind w:left="1702" w:right="991" w:firstLine="0"/>
        <w:jc w:val="both"/>
        <w:rPr>
          <w:sz w:val="24"/>
        </w:rPr>
      </w:pPr>
      <w:r>
        <w:rPr>
          <w:sz w:val="24"/>
        </w:rPr>
        <w:t>One temporary member of staff is funded by the HSE.</w:t>
      </w:r>
      <w:r>
        <w:rPr>
          <w:spacing w:val="40"/>
          <w:sz w:val="24"/>
        </w:rPr>
        <w:t> </w:t>
      </w:r>
      <w:r>
        <w:rPr>
          <w:sz w:val="24"/>
        </w:rPr>
        <w:t>This funding is forwarded to the Department of Justice and Equality when received.</w:t>
      </w:r>
    </w:p>
    <w:p>
      <w:pPr>
        <w:pStyle w:val="BodyText"/>
        <w:spacing w:before="70"/>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z w:val="24"/>
        </w:rPr>
        <w:t>Projects</w:t>
      </w:r>
      <w:r>
        <w:rPr>
          <w:b/>
          <w:spacing w:val="-1"/>
          <w:sz w:val="24"/>
        </w:rPr>
        <w:t> </w:t>
      </w:r>
      <w:r>
        <w:rPr>
          <w:b/>
          <w:sz w:val="24"/>
        </w:rPr>
        <w:t>and</w:t>
      </w:r>
      <w:r>
        <w:rPr>
          <w:b/>
          <w:spacing w:val="-4"/>
          <w:sz w:val="24"/>
        </w:rPr>
        <w:t> </w:t>
      </w:r>
      <w:r>
        <w:rPr>
          <w:b/>
          <w:sz w:val="24"/>
        </w:rPr>
        <w:t>Commissioned</w:t>
      </w:r>
      <w:r>
        <w:rPr>
          <w:b/>
          <w:spacing w:val="-4"/>
          <w:sz w:val="24"/>
        </w:rPr>
        <w:t> </w:t>
      </w:r>
      <w:r>
        <w:rPr>
          <w:b/>
          <w:sz w:val="24"/>
        </w:rPr>
        <w:t>Works </w:t>
      </w:r>
      <w:r>
        <w:rPr>
          <w:b/>
          <w:spacing w:val="-2"/>
          <w:sz w:val="24"/>
        </w:rPr>
        <w:t>Payable</w:t>
      </w:r>
    </w:p>
    <w:p>
      <w:pPr>
        <w:pStyle w:val="BodyText"/>
        <w:spacing w:before="10"/>
        <w:rPr>
          <w:b/>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74"/>
        <w:gridCol w:w="1090"/>
        <w:gridCol w:w="1401"/>
      </w:tblGrid>
      <w:tr>
        <w:trPr>
          <w:trHeight w:val="635" w:hRule="atLeast"/>
        </w:trPr>
        <w:tc>
          <w:tcPr>
            <w:tcW w:w="6274" w:type="dxa"/>
          </w:tcPr>
          <w:p>
            <w:pPr>
              <w:pStyle w:val="TableParagraph"/>
              <w:rPr>
                <w:rFonts w:ascii="Times New Roman"/>
                <w:sz w:val="24"/>
              </w:rPr>
            </w:pPr>
          </w:p>
        </w:tc>
        <w:tc>
          <w:tcPr>
            <w:tcW w:w="1090" w:type="dxa"/>
          </w:tcPr>
          <w:p>
            <w:pPr>
              <w:pStyle w:val="TableParagraph"/>
              <w:spacing w:line="252" w:lineRule="exact"/>
              <w:ind w:right="108"/>
              <w:jc w:val="right"/>
              <w:rPr>
                <w:b/>
                <w:sz w:val="24"/>
              </w:rPr>
            </w:pPr>
            <w:r>
              <w:rPr>
                <w:b/>
                <w:spacing w:val="-4"/>
                <w:sz w:val="24"/>
              </w:rPr>
              <w:t>2017</w:t>
            </w:r>
          </w:p>
          <w:p>
            <w:pPr>
              <w:pStyle w:val="TableParagraph"/>
              <w:spacing w:before="70"/>
              <w:ind w:right="106"/>
              <w:jc w:val="right"/>
              <w:rPr>
                <w:b/>
                <w:sz w:val="24"/>
              </w:rPr>
            </w:pPr>
            <w:r>
              <w:rPr>
                <w:b/>
                <w:spacing w:val="-10"/>
                <w:sz w:val="24"/>
              </w:rPr>
              <w:t>€</w:t>
            </w:r>
          </w:p>
        </w:tc>
        <w:tc>
          <w:tcPr>
            <w:tcW w:w="1401" w:type="dxa"/>
            <w:shd w:val="clear" w:color="auto" w:fill="E4E4E4"/>
          </w:tcPr>
          <w:p>
            <w:pPr>
              <w:pStyle w:val="TableParagraph"/>
              <w:spacing w:line="252" w:lineRule="exact"/>
              <w:ind w:right="107"/>
              <w:jc w:val="right"/>
              <w:rPr>
                <w:b/>
                <w:sz w:val="24"/>
              </w:rPr>
            </w:pPr>
            <w:r>
              <w:rPr>
                <w:b/>
                <w:spacing w:val="-4"/>
                <w:sz w:val="24"/>
              </w:rPr>
              <w:t>2016</w:t>
            </w:r>
          </w:p>
          <w:p>
            <w:pPr>
              <w:pStyle w:val="TableParagraph"/>
              <w:spacing w:before="70"/>
              <w:ind w:right="105"/>
              <w:jc w:val="right"/>
              <w:rPr>
                <w:b/>
                <w:sz w:val="24"/>
              </w:rPr>
            </w:pPr>
            <w:r>
              <w:rPr>
                <w:b/>
                <w:spacing w:val="-10"/>
                <w:sz w:val="24"/>
              </w:rPr>
              <w:t>€</w:t>
            </w:r>
          </w:p>
        </w:tc>
      </w:tr>
      <w:tr>
        <w:trPr>
          <w:trHeight w:val="348" w:hRule="atLeast"/>
        </w:trPr>
        <w:tc>
          <w:tcPr>
            <w:tcW w:w="6274" w:type="dxa"/>
          </w:tcPr>
          <w:p>
            <w:pPr>
              <w:pStyle w:val="TableParagraph"/>
              <w:spacing w:before="35"/>
              <w:ind w:left="50"/>
              <w:rPr>
                <w:sz w:val="24"/>
              </w:rPr>
            </w:pPr>
            <w:r>
              <w:rPr>
                <w:spacing w:val="-2"/>
                <w:sz w:val="24"/>
              </w:rPr>
              <w:t>Research</w:t>
            </w:r>
          </w:p>
        </w:tc>
        <w:tc>
          <w:tcPr>
            <w:tcW w:w="1090" w:type="dxa"/>
          </w:tcPr>
          <w:p>
            <w:pPr>
              <w:pStyle w:val="TableParagraph"/>
              <w:spacing w:before="35"/>
              <w:ind w:right="106"/>
              <w:jc w:val="right"/>
              <w:rPr>
                <w:sz w:val="24"/>
              </w:rPr>
            </w:pPr>
            <w:r>
              <w:rPr>
                <w:spacing w:val="-2"/>
                <w:sz w:val="24"/>
              </w:rPr>
              <w:t>305,140</w:t>
            </w:r>
          </w:p>
        </w:tc>
        <w:tc>
          <w:tcPr>
            <w:tcW w:w="1401" w:type="dxa"/>
            <w:shd w:val="clear" w:color="auto" w:fill="E4E4E4"/>
          </w:tcPr>
          <w:p>
            <w:pPr>
              <w:pStyle w:val="TableParagraph"/>
              <w:spacing w:before="35"/>
              <w:ind w:right="105"/>
              <w:jc w:val="right"/>
              <w:rPr>
                <w:sz w:val="24"/>
              </w:rPr>
            </w:pPr>
            <w:r>
              <w:rPr>
                <w:spacing w:val="-2"/>
                <w:sz w:val="24"/>
              </w:rPr>
              <w:t>223,702</w:t>
            </w:r>
          </w:p>
        </w:tc>
      </w:tr>
      <w:tr>
        <w:trPr>
          <w:trHeight w:val="347" w:hRule="atLeast"/>
        </w:trPr>
        <w:tc>
          <w:tcPr>
            <w:tcW w:w="6274" w:type="dxa"/>
          </w:tcPr>
          <w:p>
            <w:pPr>
              <w:pStyle w:val="TableParagraph"/>
              <w:spacing w:before="35"/>
              <w:ind w:left="50"/>
              <w:rPr>
                <w:sz w:val="24"/>
              </w:rPr>
            </w:pPr>
            <w:r>
              <w:rPr>
                <w:sz w:val="24"/>
              </w:rPr>
              <w:t>Information</w:t>
            </w:r>
            <w:r>
              <w:rPr>
                <w:spacing w:val="-3"/>
                <w:sz w:val="24"/>
              </w:rPr>
              <w:t> </w:t>
            </w:r>
            <w:r>
              <w:rPr>
                <w:spacing w:val="-2"/>
                <w:sz w:val="24"/>
              </w:rPr>
              <w:t>Resources</w:t>
            </w:r>
          </w:p>
        </w:tc>
        <w:tc>
          <w:tcPr>
            <w:tcW w:w="1090" w:type="dxa"/>
          </w:tcPr>
          <w:p>
            <w:pPr>
              <w:pStyle w:val="TableParagraph"/>
              <w:spacing w:before="35"/>
              <w:ind w:right="106"/>
              <w:jc w:val="right"/>
              <w:rPr>
                <w:sz w:val="24"/>
              </w:rPr>
            </w:pPr>
            <w:r>
              <w:rPr>
                <w:spacing w:val="-2"/>
                <w:sz w:val="24"/>
              </w:rPr>
              <w:t>5,008</w:t>
            </w:r>
          </w:p>
        </w:tc>
        <w:tc>
          <w:tcPr>
            <w:tcW w:w="1401" w:type="dxa"/>
            <w:shd w:val="clear" w:color="auto" w:fill="E4E4E4"/>
          </w:tcPr>
          <w:p>
            <w:pPr>
              <w:pStyle w:val="TableParagraph"/>
              <w:spacing w:before="35"/>
              <w:ind w:right="105"/>
              <w:jc w:val="right"/>
              <w:rPr>
                <w:sz w:val="24"/>
              </w:rPr>
            </w:pPr>
            <w:r>
              <w:rPr>
                <w:spacing w:val="-2"/>
                <w:sz w:val="24"/>
              </w:rPr>
              <w:t>49,013</w:t>
            </w:r>
          </w:p>
        </w:tc>
      </w:tr>
      <w:tr>
        <w:trPr>
          <w:trHeight w:val="348" w:hRule="atLeast"/>
        </w:trPr>
        <w:tc>
          <w:tcPr>
            <w:tcW w:w="6274" w:type="dxa"/>
          </w:tcPr>
          <w:p>
            <w:pPr>
              <w:pStyle w:val="TableParagraph"/>
              <w:spacing w:before="35"/>
              <w:ind w:left="50"/>
              <w:rPr>
                <w:sz w:val="24"/>
              </w:rPr>
            </w:pPr>
            <w:r>
              <w:rPr>
                <w:sz w:val="24"/>
              </w:rPr>
              <w:t>Universal</w:t>
            </w:r>
            <w:r>
              <w:rPr>
                <w:spacing w:val="-3"/>
                <w:sz w:val="24"/>
              </w:rPr>
              <w:t> </w:t>
            </w:r>
            <w:r>
              <w:rPr>
                <w:sz w:val="24"/>
              </w:rPr>
              <w:t>Design</w:t>
            </w:r>
            <w:r>
              <w:rPr>
                <w:spacing w:val="-3"/>
                <w:sz w:val="24"/>
              </w:rPr>
              <w:t> </w:t>
            </w:r>
            <w:r>
              <w:rPr>
                <w:spacing w:val="-2"/>
                <w:sz w:val="24"/>
              </w:rPr>
              <w:t>Promotion</w:t>
            </w:r>
          </w:p>
        </w:tc>
        <w:tc>
          <w:tcPr>
            <w:tcW w:w="1090" w:type="dxa"/>
          </w:tcPr>
          <w:p>
            <w:pPr>
              <w:pStyle w:val="TableParagraph"/>
              <w:spacing w:before="35"/>
              <w:ind w:right="106"/>
              <w:jc w:val="right"/>
              <w:rPr>
                <w:sz w:val="24"/>
              </w:rPr>
            </w:pPr>
            <w:r>
              <w:rPr>
                <w:spacing w:val="-2"/>
                <w:sz w:val="24"/>
              </w:rPr>
              <w:t>99,563</w:t>
            </w:r>
          </w:p>
        </w:tc>
        <w:tc>
          <w:tcPr>
            <w:tcW w:w="1401" w:type="dxa"/>
            <w:shd w:val="clear" w:color="auto" w:fill="E4E4E4"/>
          </w:tcPr>
          <w:p>
            <w:pPr>
              <w:pStyle w:val="TableParagraph"/>
              <w:spacing w:before="35"/>
              <w:ind w:right="105"/>
              <w:jc w:val="right"/>
              <w:rPr>
                <w:sz w:val="24"/>
              </w:rPr>
            </w:pPr>
            <w:r>
              <w:rPr>
                <w:spacing w:val="-2"/>
                <w:sz w:val="24"/>
              </w:rPr>
              <w:t>79,599</w:t>
            </w:r>
          </w:p>
        </w:tc>
      </w:tr>
      <w:tr>
        <w:trPr>
          <w:trHeight w:val="347" w:hRule="atLeast"/>
        </w:trPr>
        <w:tc>
          <w:tcPr>
            <w:tcW w:w="6274" w:type="dxa"/>
          </w:tcPr>
          <w:p>
            <w:pPr>
              <w:pStyle w:val="TableParagraph"/>
              <w:spacing w:before="35"/>
              <w:ind w:left="50"/>
              <w:rPr>
                <w:sz w:val="24"/>
              </w:rPr>
            </w:pPr>
            <w:r>
              <w:rPr>
                <w:sz w:val="24"/>
              </w:rPr>
              <w:t>Corporate</w:t>
            </w:r>
            <w:r>
              <w:rPr>
                <w:spacing w:val="-1"/>
                <w:sz w:val="24"/>
              </w:rPr>
              <w:t> </w:t>
            </w:r>
            <w:r>
              <w:rPr>
                <w:spacing w:val="-2"/>
                <w:sz w:val="24"/>
              </w:rPr>
              <w:t>Services</w:t>
            </w:r>
          </w:p>
        </w:tc>
        <w:tc>
          <w:tcPr>
            <w:tcW w:w="1090" w:type="dxa"/>
          </w:tcPr>
          <w:p>
            <w:pPr>
              <w:pStyle w:val="TableParagraph"/>
              <w:spacing w:before="35"/>
              <w:ind w:right="106"/>
              <w:jc w:val="right"/>
              <w:rPr>
                <w:sz w:val="24"/>
              </w:rPr>
            </w:pPr>
            <w:r>
              <w:rPr>
                <w:spacing w:val="-2"/>
                <w:sz w:val="24"/>
              </w:rPr>
              <w:t>82,615</w:t>
            </w:r>
          </w:p>
        </w:tc>
        <w:tc>
          <w:tcPr>
            <w:tcW w:w="1401" w:type="dxa"/>
            <w:shd w:val="clear" w:color="auto" w:fill="E4E4E4"/>
          </w:tcPr>
          <w:p>
            <w:pPr>
              <w:pStyle w:val="TableParagraph"/>
              <w:spacing w:before="35"/>
              <w:ind w:right="105"/>
              <w:jc w:val="right"/>
              <w:rPr>
                <w:sz w:val="24"/>
              </w:rPr>
            </w:pPr>
            <w:r>
              <w:rPr>
                <w:spacing w:val="-2"/>
                <w:sz w:val="24"/>
              </w:rPr>
              <w:t>53,523</w:t>
            </w:r>
          </w:p>
        </w:tc>
      </w:tr>
      <w:tr>
        <w:trPr>
          <w:trHeight w:val="348" w:hRule="atLeast"/>
        </w:trPr>
        <w:tc>
          <w:tcPr>
            <w:tcW w:w="6274" w:type="dxa"/>
          </w:tcPr>
          <w:p>
            <w:pPr>
              <w:pStyle w:val="TableParagraph"/>
              <w:spacing w:before="35"/>
              <w:ind w:left="50"/>
              <w:rPr>
                <w:sz w:val="24"/>
              </w:rPr>
            </w:pPr>
            <w:r>
              <w:rPr>
                <w:sz w:val="24"/>
              </w:rPr>
              <w:t>Standards</w:t>
            </w:r>
            <w:r>
              <w:rPr>
                <w:spacing w:val="-2"/>
                <w:sz w:val="24"/>
              </w:rPr>
              <w:t> </w:t>
            </w:r>
            <w:r>
              <w:rPr>
                <w:sz w:val="24"/>
              </w:rPr>
              <w:t>and</w:t>
            </w:r>
            <w:r>
              <w:rPr>
                <w:spacing w:val="2"/>
                <w:sz w:val="24"/>
              </w:rPr>
              <w:t> </w:t>
            </w:r>
            <w:r>
              <w:rPr>
                <w:spacing w:val="-2"/>
                <w:sz w:val="24"/>
              </w:rPr>
              <w:t>Guidelines</w:t>
            </w:r>
          </w:p>
        </w:tc>
        <w:tc>
          <w:tcPr>
            <w:tcW w:w="1090" w:type="dxa"/>
          </w:tcPr>
          <w:p>
            <w:pPr>
              <w:pStyle w:val="TableParagraph"/>
              <w:spacing w:before="35"/>
              <w:ind w:right="106"/>
              <w:jc w:val="right"/>
              <w:rPr>
                <w:sz w:val="24"/>
              </w:rPr>
            </w:pPr>
            <w:r>
              <w:rPr>
                <w:spacing w:val="-2"/>
                <w:sz w:val="24"/>
              </w:rPr>
              <w:t>41,905</w:t>
            </w:r>
          </w:p>
        </w:tc>
        <w:tc>
          <w:tcPr>
            <w:tcW w:w="1401" w:type="dxa"/>
            <w:shd w:val="clear" w:color="auto" w:fill="E4E4E4"/>
          </w:tcPr>
          <w:p>
            <w:pPr>
              <w:pStyle w:val="TableParagraph"/>
              <w:spacing w:before="35"/>
              <w:ind w:right="105"/>
              <w:jc w:val="right"/>
              <w:rPr>
                <w:sz w:val="24"/>
              </w:rPr>
            </w:pPr>
            <w:r>
              <w:rPr>
                <w:spacing w:val="-2"/>
                <w:sz w:val="24"/>
              </w:rPr>
              <w:t>5,613</w:t>
            </w:r>
          </w:p>
        </w:tc>
      </w:tr>
      <w:tr>
        <w:trPr>
          <w:trHeight w:val="346" w:hRule="atLeast"/>
        </w:trPr>
        <w:tc>
          <w:tcPr>
            <w:tcW w:w="6274" w:type="dxa"/>
          </w:tcPr>
          <w:p>
            <w:pPr>
              <w:pStyle w:val="TableParagraph"/>
              <w:spacing w:before="35"/>
              <w:ind w:left="50"/>
              <w:rPr>
                <w:sz w:val="24"/>
              </w:rPr>
            </w:pPr>
            <w:r>
              <w:rPr>
                <w:sz w:val="24"/>
              </w:rPr>
              <w:t>Conference and</w:t>
            </w:r>
            <w:r>
              <w:rPr>
                <w:spacing w:val="-2"/>
                <w:sz w:val="24"/>
              </w:rPr>
              <w:t> Seminars</w:t>
            </w:r>
          </w:p>
        </w:tc>
        <w:tc>
          <w:tcPr>
            <w:tcW w:w="1090" w:type="dxa"/>
          </w:tcPr>
          <w:p>
            <w:pPr>
              <w:pStyle w:val="TableParagraph"/>
              <w:spacing w:before="35"/>
              <w:ind w:right="105"/>
              <w:jc w:val="right"/>
              <w:rPr>
                <w:sz w:val="24"/>
              </w:rPr>
            </w:pPr>
            <w:r>
              <w:rPr>
                <w:spacing w:val="-2"/>
                <w:sz w:val="24"/>
              </w:rPr>
              <w:t>26,326</w:t>
            </w:r>
          </w:p>
        </w:tc>
        <w:tc>
          <w:tcPr>
            <w:tcW w:w="1401" w:type="dxa"/>
            <w:shd w:val="clear" w:color="auto" w:fill="E4E4E4"/>
          </w:tcPr>
          <w:p>
            <w:pPr>
              <w:pStyle w:val="TableParagraph"/>
              <w:spacing w:before="35"/>
              <w:ind w:right="105"/>
              <w:jc w:val="right"/>
              <w:rPr>
                <w:sz w:val="24"/>
              </w:rPr>
            </w:pPr>
            <w:r>
              <w:rPr>
                <w:spacing w:val="-2"/>
                <w:sz w:val="24"/>
              </w:rPr>
              <w:t>15,194</w:t>
            </w:r>
          </w:p>
        </w:tc>
      </w:tr>
      <w:tr>
        <w:trPr>
          <w:trHeight w:val="346" w:hRule="atLeast"/>
        </w:trPr>
        <w:tc>
          <w:tcPr>
            <w:tcW w:w="6274" w:type="dxa"/>
          </w:tcPr>
          <w:p>
            <w:pPr>
              <w:pStyle w:val="TableParagraph"/>
              <w:spacing w:before="33"/>
              <w:ind w:left="50"/>
              <w:rPr>
                <w:sz w:val="24"/>
              </w:rPr>
            </w:pPr>
            <w:r>
              <w:rPr>
                <w:spacing w:val="-2"/>
                <w:sz w:val="24"/>
              </w:rPr>
              <w:t>Consultation</w:t>
            </w:r>
          </w:p>
        </w:tc>
        <w:tc>
          <w:tcPr>
            <w:tcW w:w="1090" w:type="dxa"/>
          </w:tcPr>
          <w:p>
            <w:pPr>
              <w:pStyle w:val="TableParagraph"/>
              <w:spacing w:before="33"/>
              <w:ind w:right="106"/>
              <w:jc w:val="right"/>
              <w:rPr>
                <w:sz w:val="24"/>
              </w:rPr>
            </w:pPr>
            <w:r>
              <w:rPr>
                <w:spacing w:val="-2"/>
                <w:sz w:val="24"/>
              </w:rPr>
              <w:t>6,554</w:t>
            </w:r>
          </w:p>
        </w:tc>
        <w:tc>
          <w:tcPr>
            <w:tcW w:w="1401" w:type="dxa"/>
            <w:shd w:val="clear" w:color="auto" w:fill="E4E4E4"/>
          </w:tcPr>
          <w:p>
            <w:pPr>
              <w:pStyle w:val="TableParagraph"/>
              <w:spacing w:before="33"/>
              <w:ind w:right="105"/>
              <w:jc w:val="right"/>
              <w:rPr>
                <w:sz w:val="24"/>
              </w:rPr>
            </w:pPr>
            <w:r>
              <w:rPr>
                <w:spacing w:val="-2"/>
                <w:sz w:val="24"/>
              </w:rPr>
              <w:t>17,828</w:t>
            </w:r>
          </w:p>
        </w:tc>
      </w:tr>
      <w:tr>
        <w:trPr>
          <w:trHeight w:val="390" w:hRule="atLeast"/>
        </w:trPr>
        <w:tc>
          <w:tcPr>
            <w:tcW w:w="6274" w:type="dxa"/>
          </w:tcPr>
          <w:p>
            <w:pPr>
              <w:pStyle w:val="TableParagraph"/>
              <w:spacing w:before="35"/>
              <w:ind w:left="50"/>
              <w:rPr>
                <w:sz w:val="24"/>
              </w:rPr>
            </w:pPr>
            <w:r>
              <w:rPr>
                <w:spacing w:val="-2"/>
                <w:sz w:val="24"/>
              </w:rPr>
              <w:t>Translation</w:t>
            </w:r>
          </w:p>
        </w:tc>
        <w:tc>
          <w:tcPr>
            <w:tcW w:w="1090" w:type="dxa"/>
            <w:tcBorders>
              <w:bottom w:val="single" w:sz="4" w:space="0" w:color="000000"/>
            </w:tcBorders>
          </w:tcPr>
          <w:p>
            <w:pPr>
              <w:pStyle w:val="TableParagraph"/>
              <w:spacing w:before="35"/>
              <w:ind w:right="106"/>
              <w:jc w:val="right"/>
              <w:rPr>
                <w:sz w:val="24"/>
              </w:rPr>
            </w:pPr>
            <w:r>
              <w:rPr>
                <w:spacing w:val="-2"/>
                <w:sz w:val="24"/>
              </w:rPr>
              <w:t>10,289</w:t>
            </w:r>
          </w:p>
        </w:tc>
        <w:tc>
          <w:tcPr>
            <w:tcW w:w="1401" w:type="dxa"/>
            <w:tcBorders>
              <w:bottom w:val="single" w:sz="4" w:space="0" w:color="000000"/>
            </w:tcBorders>
            <w:shd w:val="clear" w:color="auto" w:fill="E4E4E4"/>
          </w:tcPr>
          <w:p>
            <w:pPr>
              <w:pStyle w:val="TableParagraph"/>
              <w:spacing w:before="35"/>
              <w:ind w:right="105"/>
              <w:jc w:val="right"/>
              <w:rPr>
                <w:sz w:val="24"/>
              </w:rPr>
            </w:pPr>
            <w:r>
              <w:rPr>
                <w:spacing w:val="-2"/>
                <w:sz w:val="24"/>
              </w:rPr>
              <w:t>1,571</w:t>
            </w:r>
          </w:p>
        </w:tc>
      </w:tr>
      <w:tr>
        <w:trPr>
          <w:trHeight w:val="368" w:hRule="atLeast"/>
        </w:trPr>
        <w:tc>
          <w:tcPr>
            <w:tcW w:w="6274" w:type="dxa"/>
          </w:tcPr>
          <w:p>
            <w:pPr>
              <w:pStyle w:val="TableParagraph"/>
              <w:rPr>
                <w:rFonts w:ascii="Times New Roman"/>
                <w:sz w:val="24"/>
              </w:rPr>
            </w:pPr>
          </w:p>
        </w:tc>
        <w:tc>
          <w:tcPr>
            <w:tcW w:w="1090" w:type="dxa"/>
            <w:tcBorders>
              <w:top w:val="single" w:sz="4" w:space="0" w:color="000000"/>
              <w:bottom w:val="double" w:sz="4" w:space="0" w:color="000000"/>
            </w:tcBorders>
          </w:tcPr>
          <w:p>
            <w:pPr>
              <w:pStyle w:val="TableParagraph"/>
              <w:spacing w:line="254" w:lineRule="exact"/>
              <w:ind w:right="107"/>
              <w:jc w:val="right"/>
              <w:rPr>
                <w:b/>
                <w:sz w:val="24"/>
              </w:rPr>
            </w:pPr>
            <w:r>
              <w:rPr>
                <w:b/>
                <w:spacing w:val="-2"/>
                <w:sz w:val="24"/>
              </w:rPr>
              <w:t>577,400</w:t>
            </w:r>
          </w:p>
        </w:tc>
        <w:tc>
          <w:tcPr>
            <w:tcW w:w="1401" w:type="dxa"/>
            <w:tcBorders>
              <w:top w:val="single" w:sz="4" w:space="0" w:color="000000"/>
              <w:bottom w:val="double" w:sz="4" w:space="0" w:color="000000"/>
            </w:tcBorders>
            <w:shd w:val="clear" w:color="auto" w:fill="E4E4E4"/>
          </w:tcPr>
          <w:p>
            <w:pPr>
              <w:pStyle w:val="TableParagraph"/>
              <w:spacing w:line="254" w:lineRule="exact"/>
              <w:ind w:right="106"/>
              <w:jc w:val="right"/>
              <w:rPr>
                <w:b/>
                <w:sz w:val="24"/>
              </w:rPr>
            </w:pPr>
            <w:r>
              <w:rPr>
                <w:b/>
                <w:spacing w:val="-2"/>
                <w:sz w:val="24"/>
              </w:rPr>
              <w:t>446,043</w:t>
            </w:r>
          </w:p>
        </w:tc>
      </w:tr>
    </w:tbl>
    <w:p>
      <w:pPr>
        <w:pStyle w:val="BodyText"/>
        <w:spacing w:before="52"/>
        <w:rPr>
          <w:b/>
          <w:sz w:val="24"/>
        </w:rPr>
      </w:pPr>
    </w:p>
    <w:p>
      <w:pPr>
        <w:pStyle w:val="ListParagraph"/>
        <w:numPr>
          <w:ilvl w:val="0"/>
          <w:numId w:val="17"/>
        </w:numPr>
        <w:tabs>
          <w:tab w:pos="2129" w:val="left" w:leader="none"/>
        </w:tabs>
        <w:spacing w:line="240" w:lineRule="auto" w:before="0" w:after="0"/>
        <w:ind w:left="2129" w:right="0" w:hanging="427"/>
        <w:jc w:val="left"/>
        <w:rPr>
          <w:b/>
          <w:sz w:val="24"/>
        </w:rPr>
      </w:pPr>
      <w:r>
        <w:rPr>
          <w:b/>
          <w:sz w:val="24"/>
        </w:rPr>
        <w:t>Administration</w:t>
      </w:r>
      <w:r>
        <w:rPr>
          <w:b/>
          <w:spacing w:val="-3"/>
          <w:sz w:val="24"/>
        </w:rPr>
        <w:t> </w:t>
      </w:r>
      <w:r>
        <w:rPr>
          <w:b/>
          <w:sz w:val="24"/>
        </w:rPr>
        <w:t>and</w:t>
      </w:r>
      <w:r>
        <w:rPr>
          <w:b/>
          <w:spacing w:val="-4"/>
          <w:sz w:val="24"/>
        </w:rPr>
        <w:t> </w:t>
      </w:r>
      <w:r>
        <w:rPr>
          <w:b/>
          <w:sz w:val="24"/>
        </w:rPr>
        <w:t>Operations </w:t>
      </w:r>
      <w:r>
        <w:rPr>
          <w:b/>
          <w:spacing w:val="-4"/>
          <w:sz w:val="24"/>
        </w:rPr>
        <w:t>Costs</w:t>
      </w:r>
    </w:p>
    <w:p>
      <w:pPr>
        <w:pStyle w:val="BodyText"/>
        <w:spacing w:before="10"/>
        <w:rPr>
          <w:b/>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00"/>
        <w:gridCol w:w="1617"/>
        <w:gridCol w:w="1431"/>
        <w:gridCol w:w="1433"/>
      </w:tblGrid>
      <w:tr>
        <w:trPr>
          <w:trHeight w:val="634" w:hRule="atLeast"/>
        </w:trPr>
        <w:tc>
          <w:tcPr>
            <w:tcW w:w="4300" w:type="dxa"/>
          </w:tcPr>
          <w:p>
            <w:pPr>
              <w:pStyle w:val="TableParagraph"/>
              <w:rPr>
                <w:rFonts w:ascii="Times New Roman"/>
                <w:sz w:val="24"/>
              </w:rPr>
            </w:pPr>
          </w:p>
        </w:tc>
        <w:tc>
          <w:tcPr>
            <w:tcW w:w="1617" w:type="dxa"/>
          </w:tcPr>
          <w:p>
            <w:pPr>
              <w:pStyle w:val="TableParagraph"/>
              <w:rPr>
                <w:rFonts w:ascii="Times New Roman"/>
                <w:sz w:val="24"/>
              </w:rPr>
            </w:pPr>
          </w:p>
        </w:tc>
        <w:tc>
          <w:tcPr>
            <w:tcW w:w="1431" w:type="dxa"/>
          </w:tcPr>
          <w:p>
            <w:pPr>
              <w:pStyle w:val="TableParagraph"/>
              <w:spacing w:line="252" w:lineRule="exact"/>
              <w:ind w:right="109"/>
              <w:jc w:val="right"/>
              <w:rPr>
                <w:b/>
                <w:sz w:val="24"/>
              </w:rPr>
            </w:pPr>
            <w:r>
              <w:rPr>
                <w:b/>
                <w:spacing w:val="-4"/>
                <w:sz w:val="24"/>
              </w:rPr>
              <w:t>2017</w:t>
            </w:r>
          </w:p>
          <w:p>
            <w:pPr>
              <w:pStyle w:val="TableParagraph"/>
              <w:spacing w:before="69"/>
              <w:ind w:right="107"/>
              <w:jc w:val="right"/>
              <w:rPr>
                <w:b/>
                <w:sz w:val="24"/>
              </w:rPr>
            </w:pPr>
            <w:r>
              <w:rPr>
                <w:b/>
                <w:spacing w:val="-10"/>
                <w:sz w:val="24"/>
              </w:rPr>
              <w:t>€</w:t>
            </w:r>
          </w:p>
        </w:tc>
        <w:tc>
          <w:tcPr>
            <w:tcW w:w="1433" w:type="dxa"/>
            <w:shd w:val="clear" w:color="auto" w:fill="E4E4E4"/>
          </w:tcPr>
          <w:p>
            <w:pPr>
              <w:pStyle w:val="TableParagraph"/>
              <w:spacing w:line="252" w:lineRule="exact"/>
              <w:ind w:right="110"/>
              <w:jc w:val="right"/>
              <w:rPr>
                <w:b/>
                <w:sz w:val="24"/>
              </w:rPr>
            </w:pPr>
            <w:r>
              <w:rPr>
                <w:b/>
                <w:spacing w:val="-4"/>
                <w:sz w:val="24"/>
              </w:rPr>
              <w:t>2016</w:t>
            </w:r>
          </w:p>
          <w:p>
            <w:pPr>
              <w:pStyle w:val="TableParagraph"/>
              <w:spacing w:before="69"/>
              <w:ind w:right="107"/>
              <w:jc w:val="right"/>
              <w:rPr>
                <w:b/>
                <w:sz w:val="24"/>
              </w:rPr>
            </w:pPr>
            <w:r>
              <w:rPr>
                <w:b/>
                <w:spacing w:val="-10"/>
                <w:sz w:val="24"/>
              </w:rPr>
              <w:t>€</w:t>
            </w:r>
          </w:p>
        </w:tc>
      </w:tr>
      <w:tr>
        <w:trPr>
          <w:trHeight w:val="347" w:hRule="atLeast"/>
        </w:trPr>
        <w:tc>
          <w:tcPr>
            <w:tcW w:w="4300" w:type="dxa"/>
          </w:tcPr>
          <w:p>
            <w:pPr>
              <w:pStyle w:val="TableParagraph"/>
              <w:spacing w:before="35"/>
              <w:ind w:left="50"/>
              <w:rPr>
                <w:sz w:val="24"/>
              </w:rPr>
            </w:pPr>
            <w:r>
              <w:rPr>
                <w:sz w:val="24"/>
              </w:rPr>
              <w:t>Remuneration</w:t>
            </w:r>
            <w:r>
              <w:rPr>
                <w:spacing w:val="-1"/>
                <w:sz w:val="24"/>
              </w:rPr>
              <w:t> </w:t>
            </w:r>
            <w:r>
              <w:rPr>
                <w:sz w:val="24"/>
              </w:rPr>
              <w:t>and other</w:t>
            </w:r>
            <w:r>
              <w:rPr>
                <w:spacing w:val="-2"/>
                <w:sz w:val="24"/>
              </w:rPr>
              <w:t> </w:t>
            </w:r>
            <w:r>
              <w:rPr>
                <w:sz w:val="24"/>
              </w:rPr>
              <w:t>pay </w:t>
            </w:r>
            <w:r>
              <w:rPr>
                <w:spacing w:val="-4"/>
                <w:sz w:val="24"/>
              </w:rPr>
              <w:t>costs</w:t>
            </w:r>
          </w:p>
        </w:tc>
        <w:tc>
          <w:tcPr>
            <w:tcW w:w="1617" w:type="dxa"/>
          </w:tcPr>
          <w:p>
            <w:pPr>
              <w:pStyle w:val="TableParagraph"/>
              <w:spacing w:before="35"/>
              <w:ind w:right="135"/>
              <w:jc w:val="center"/>
              <w:rPr>
                <w:sz w:val="24"/>
              </w:rPr>
            </w:pPr>
            <w:r>
              <w:rPr>
                <w:spacing w:val="-4"/>
                <w:sz w:val="24"/>
              </w:rPr>
              <w:t>6(a)</w:t>
            </w:r>
          </w:p>
        </w:tc>
        <w:tc>
          <w:tcPr>
            <w:tcW w:w="1431" w:type="dxa"/>
          </w:tcPr>
          <w:p>
            <w:pPr>
              <w:pStyle w:val="TableParagraph"/>
              <w:spacing w:before="35"/>
              <w:ind w:right="107"/>
              <w:jc w:val="right"/>
              <w:rPr>
                <w:sz w:val="24"/>
              </w:rPr>
            </w:pPr>
            <w:r>
              <w:rPr>
                <w:spacing w:val="-2"/>
                <w:sz w:val="24"/>
              </w:rPr>
              <w:t>2,113,939</w:t>
            </w:r>
          </w:p>
        </w:tc>
        <w:tc>
          <w:tcPr>
            <w:tcW w:w="1433" w:type="dxa"/>
            <w:shd w:val="clear" w:color="auto" w:fill="E4E4E4"/>
          </w:tcPr>
          <w:p>
            <w:pPr>
              <w:pStyle w:val="TableParagraph"/>
              <w:spacing w:before="35"/>
              <w:ind w:right="106"/>
              <w:jc w:val="right"/>
              <w:rPr>
                <w:sz w:val="24"/>
              </w:rPr>
            </w:pPr>
            <w:r>
              <w:rPr>
                <w:spacing w:val="-2"/>
                <w:sz w:val="24"/>
              </w:rPr>
              <w:t>1,948,241</w:t>
            </w:r>
          </w:p>
        </w:tc>
      </w:tr>
      <w:tr>
        <w:trPr>
          <w:trHeight w:val="348" w:hRule="atLeast"/>
        </w:trPr>
        <w:tc>
          <w:tcPr>
            <w:tcW w:w="4300" w:type="dxa"/>
          </w:tcPr>
          <w:p>
            <w:pPr>
              <w:pStyle w:val="TableParagraph"/>
              <w:spacing w:before="35"/>
              <w:ind w:left="50"/>
              <w:rPr>
                <w:sz w:val="24"/>
              </w:rPr>
            </w:pPr>
            <w:r>
              <w:rPr>
                <w:sz w:val="24"/>
              </w:rPr>
              <w:t>Building</w:t>
            </w:r>
            <w:r>
              <w:rPr>
                <w:spacing w:val="-1"/>
                <w:sz w:val="24"/>
              </w:rPr>
              <w:t> </w:t>
            </w:r>
            <w:r>
              <w:rPr>
                <w:sz w:val="24"/>
              </w:rPr>
              <w:t>overheads</w:t>
            </w:r>
            <w:r>
              <w:rPr>
                <w:spacing w:val="-3"/>
                <w:sz w:val="24"/>
              </w:rPr>
              <w:t> </w:t>
            </w:r>
            <w:r>
              <w:rPr>
                <w:sz w:val="24"/>
              </w:rPr>
              <w:t>and</w:t>
            </w:r>
            <w:r>
              <w:rPr>
                <w:spacing w:val="-4"/>
                <w:sz w:val="24"/>
              </w:rPr>
              <w:t> </w:t>
            </w:r>
            <w:r>
              <w:rPr>
                <w:spacing w:val="-2"/>
                <w:sz w:val="24"/>
              </w:rPr>
              <w:t>improvements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227,368</w:t>
            </w:r>
          </w:p>
        </w:tc>
        <w:tc>
          <w:tcPr>
            <w:tcW w:w="1433" w:type="dxa"/>
            <w:shd w:val="clear" w:color="auto" w:fill="E4E4E4"/>
          </w:tcPr>
          <w:p>
            <w:pPr>
              <w:pStyle w:val="TableParagraph"/>
              <w:spacing w:before="35"/>
              <w:ind w:right="106"/>
              <w:jc w:val="right"/>
              <w:rPr>
                <w:sz w:val="24"/>
              </w:rPr>
            </w:pPr>
            <w:r>
              <w:rPr>
                <w:spacing w:val="-2"/>
                <w:sz w:val="24"/>
              </w:rPr>
              <w:t>107,658</w:t>
            </w:r>
          </w:p>
        </w:tc>
      </w:tr>
      <w:tr>
        <w:trPr>
          <w:trHeight w:val="348" w:hRule="atLeast"/>
        </w:trPr>
        <w:tc>
          <w:tcPr>
            <w:tcW w:w="4300" w:type="dxa"/>
          </w:tcPr>
          <w:p>
            <w:pPr>
              <w:pStyle w:val="TableParagraph"/>
              <w:spacing w:before="35"/>
              <w:ind w:left="50"/>
              <w:rPr>
                <w:sz w:val="24"/>
              </w:rPr>
            </w:pPr>
            <w:r>
              <w:rPr>
                <w:spacing w:val="-2"/>
                <w:sz w:val="24"/>
              </w:rPr>
              <w:t>Rates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52,400</w:t>
            </w:r>
          </w:p>
        </w:tc>
        <w:tc>
          <w:tcPr>
            <w:tcW w:w="1433" w:type="dxa"/>
            <w:shd w:val="clear" w:color="auto" w:fill="E4E4E4"/>
          </w:tcPr>
          <w:p>
            <w:pPr>
              <w:pStyle w:val="TableParagraph"/>
              <w:spacing w:before="35"/>
              <w:ind w:right="106"/>
              <w:jc w:val="right"/>
              <w:rPr>
                <w:sz w:val="24"/>
              </w:rPr>
            </w:pPr>
            <w:r>
              <w:rPr>
                <w:spacing w:val="-2"/>
                <w:sz w:val="24"/>
              </w:rPr>
              <w:t>51,994</w:t>
            </w:r>
          </w:p>
        </w:tc>
      </w:tr>
      <w:tr>
        <w:trPr>
          <w:trHeight w:val="348" w:hRule="atLeast"/>
        </w:trPr>
        <w:tc>
          <w:tcPr>
            <w:tcW w:w="4300" w:type="dxa"/>
          </w:tcPr>
          <w:p>
            <w:pPr>
              <w:pStyle w:val="TableParagraph"/>
              <w:spacing w:before="35"/>
              <w:ind w:left="50"/>
              <w:rPr>
                <w:sz w:val="24"/>
              </w:rPr>
            </w:pPr>
            <w:r>
              <w:rPr>
                <w:sz w:val="24"/>
              </w:rPr>
              <w:t>Cleaning</w:t>
            </w:r>
            <w:r>
              <w:rPr>
                <w:spacing w:val="-4"/>
                <w:sz w:val="24"/>
              </w:rPr>
              <w:t> </w:t>
            </w:r>
            <w:r>
              <w:rPr>
                <w:sz w:val="24"/>
              </w:rPr>
              <w:t>and domestic</w:t>
            </w:r>
            <w:r>
              <w:rPr>
                <w:spacing w:val="-1"/>
                <w:sz w:val="24"/>
              </w:rPr>
              <w:t> </w:t>
            </w:r>
            <w:r>
              <w:rPr>
                <w:spacing w:val="-2"/>
                <w:sz w:val="24"/>
              </w:rPr>
              <w:t>services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48,058</w:t>
            </w:r>
          </w:p>
        </w:tc>
        <w:tc>
          <w:tcPr>
            <w:tcW w:w="1433" w:type="dxa"/>
            <w:shd w:val="clear" w:color="auto" w:fill="E4E4E4"/>
          </w:tcPr>
          <w:p>
            <w:pPr>
              <w:pStyle w:val="TableParagraph"/>
              <w:spacing w:before="35"/>
              <w:ind w:right="106"/>
              <w:jc w:val="right"/>
              <w:rPr>
                <w:sz w:val="24"/>
              </w:rPr>
            </w:pPr>
            <w:r>
              <w:rPr>
                <w:spacing w:val="-2"/>
                <w:sz w:val="24"/>
              </w:rPr>
              <w:t>52,847</w:t>
            </w:r>
          </w:p>
        </w:tc>
      </w:tr>
      <w:tr>
        <w:trPr>
          <w:trHeight w:val="347" w:hRule="atLeast"/>
        </w:trPr>
        <w:tc>
          <w:tcPr>
            <w:tcW w:w="4300" w:type="dxa"/>
          </w:tcPr>
          <w:p>
            <w:pPr>
              <w:pStyle w:val="TableParagraph"/>
              <w:spacing w:before="35"/>
              <w:ind w:left="50"/>
              <w:rPr>
                <w:sz w:val="24"/>
              </w:rPr>
            </w:pPr>
            <w:r>
              <w:rPr>
                <w:sz w:val="24"/>
              </w:rPr>
              <w:t>Authority</w:t>
            </w:r>
            <w:r>
              <w:rPr>
                <w:spacing w:val="-1"/>
                <w:sz w:val="24"/>
              </w:rPr>
              <w:t> </w:t>
            </w:r>
            <w:r>
              <w:rPr>
                <w:sz w:val="24"/>
              </w:rPr>
              <w:t>Fees</w:t>
            </w:r>
            <w:r>
              <w:rPr>
                <w:spacing w:val="-1"/>
                <w:sz w:val="24"/>
              </w:rPr>
              <w:t> </w:t>
            </w:r>
            <w:r>
              <w:rPr>
                <w:sz w:val="24"/>
              </w:rPr>
              <w:t>and </w:t>
            </w:r>
            <w:r>
              <w:rPr>
                <w:spacing w:val="-2"/>
                <w:sz w:val="24"/>
              </w:rPr>
              <w:t>expenses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79,525</w:t>
            </w:r>
          </w:p>
        </w:tc>
        <w:tc>
          <w:tcPr>
            <w:tcW w:w="1433" w:type="dxa"/>
            <w:shd w:val="clear" w:color="auto" w:fill="E4E4E4"/>
          </w:tcPr>
          <w:p>
            <w:pPr>
              <w:pStyle w:val="TableParagraph"/>
              <w:spacing w:before="35"/>
              <w:ind w:right="106"/>
              <w:jc w:val="right"/>
              <w:rPr>
                <w:sz w:val="24"/>
              </w:rPr>
            </w:pPr>
            <w:r>
              <w:rPr>
                <w:spacing w:val="-2"/>
                <w:sz w:val="24"/>
              </w:rPr>
              <w:t>69,911</w:t>
            </w:r>
          </w:p>
        </w:tc>
      </w:tr>
      <w:tr>
        <w:trPr>
          <w:trHeight w:val="348" w:hRule="atLeast"/>
        </w:trPr>
        <w:tc>
          <w:tcPr>
            <w:tcW w:w="4300" w:type="dxa"/>
          </w:tcPr>
          <w:p>
            <w:pPr>
              <w:pStyle w:val="TableParagraph"/>
              <w:spacing w:before="35"/>
              <w:ind w:left="50"/>
              <w:rPr>
                <w:sz w:val="24"/>
              </w:rPr>
            </w:pPr>
            <w:r>
              <w:rPr>
                <w:sz w:val="24"/>
              </w:rPr>
              <w:t>Postage</w:t>
            </w:r>
            <w:r>
              <w:rPr>
                <w:spacing w:val="-1"/>
                <w:sz w:val="24"/>
              </w:rPr>
              <w:t> </w:t>
            </w:r>
            <w:r>
              <w:rPr>
                <w:sz w:val="24"/>
              </w:rPr>
              <w:t>and </w:t>
            </w:r>
            <w:r>
              <w:rPr>
                <w:spacing w:val="-2"/>
                <w:sz w:val="24"/>
              </w:rPr>
              <w:t>telecoms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22,844</w:t>
            </w:r>
          </w:p>
        </w:tc>
        <w:tc>
          <w:tcPr>
            <w:tcW w:w="1433" w:type="dxa"/>
            <w:shd w:val="clear" w:color="auto" w:fill="E4E4E4"/>
          </w:tcPr>
          <w:p>
            <w:pPr>
              <w:pStyle w:val="TableParagraph"/>
              <w:spacing w:before="35"/>
              <w:ind w:right="106"/>
              <w:jc w:val="right"/>
              <w:rPr>
                <w:sz w:val="24"/>
              </w:rPr>
            </w:pPr>
            <w:r>
              <w:rPr>
                <w:spacing w:val="-2"/>
                <w:sz w:val="24"/>
              </w:rPr>
              <w:t>21,429</w:t>
            </w:r>
          </w:p>
        </w:tc>
      </w:tr>
      <w:tr>
        <w:trPr>
          <w:trHeight w:val="347" w:hRule="atLeast"/>
        </w:trPr>
        <w:tc>
          <w:tcPr>
            <w:tcW w:w="4300" w:type="dxa"/>
          </w:tcPr>
          <w:p>
            <w:pPr>
              <w:pStyle w:val="TableParagraph"/>
              <w:spacing w:before="35"/>
              <w:ind w:left="50"/>
              <w:rPr>
                <w:sz w:val="24"/>
              </w:rPr>
            </w:pPr>
            <w:r>
              <w:rPr>
                <w:sz w:val="24"/>
              </w:rPr>
              <w:t>Office</w:t>
            </w:r>
            <w:r>
              <w:rPr>
                <w:spacing w:val="-1"/>
                <w:sz w:val="24"/>
              </w:rPr>
              <w:t> </w:t>
            </w:r>
            <w:r>
              <w:rPr>
                <w:spacing w:val="-2"/>
                <w:sz w:val="24"/>
              </w:rPr>
              <w:t>costs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43,855</w:t>
            </w:r>
          </w:p>
        </w:tc>
        <w:tc>
          <w:tcPr>
            <w:tcW w:w="1433" w:type="dxa"/>
            <w:shd w:val="clear" w:color="auto" w:fill="E4E4E4"/>
          </w:tcPr>
          <w:p>
            <w:pPr>
              <w:pStyle w:val="TableParagraph"/>
              <w:spacing w:before="35"/>
              <w:ind w:right="106"/>
              <w:jc w:val="right"/>
              <w:rPr>
                <w:sz w:val="24"/>
              </w:rPr>
            </w:pPr>
            <w:r>
              <w:rPr>
                <w:spacing w:val="-2"/>
                <w:sz w:val="24"/>
              </w:rPr>
              <w:t>53,855</w:t>
            </w:r>
          </w:p>
        </w:tc>
      </w:tr>
      <w:tr>
        <w:trPr>
          <w:trHeight w:val="348" w:hRule="atLeast"/>
        </w:trPr>
        <w:tc>
          <w:tcPr>
            <w:tcW w:w="4300" w:type="dxa"/>
          </w:tcPr>
          <w:p>
            <w:pPr>
              <w:pStyle w:val="TableParagraph"/>
              <w:spacing w:before="35"/>
              <w:ind w:left="50"/>
              <w:rPr>
                <w:sz w:val="24"/>
              </w:rPr>
            </w:pPr>
            <w:r>
              <w:rPr>
                <w:spacing w:val="-2"/>
                <w:sz w:val="24"/>
              </w:rPr>
              <w:t>Library</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19,696</w:t>
            </w:r>
          </w:p>
        </w:tc>
        <w:tc>
          <w:tcPr>
            <w:tcW w:w="1433" w:type="dxa"/>
            <w:shd w:val="clear" w:color="auto" w:fill="E4E4E4"/>
          </w:tcPr>
          <w:p>
            <w:pPr>
              <w:pStyle w:val="TableParagraph"/>
              <w:spacing w:before="35"/>
              <w:ind w:right="106"/>
              <w:jc w:val="right"/>
              <w:rPr>
                <w:sz w:val="24"/>
              </w:rPr>
            </w:pPr>
            <w:r>
              <w:rPr>
                <w:spacing w:val="-2"/>
                <w:sz w:val="24"/>
              </w:rPr>
              <w:t>5,467</w:t>
            </w:r>
          </w:p>
        </w:tc>
      </w:tr>
      <w:tr>
        <w:trPr>
          <w:trHeight w:val="346" w:hRule="atLeast"/>
        </w:trPr>
        <w:tc>
          <w:tcPr>
            <w:tcW w:w="4300" w:type="dxa"/>
          </w:tcPr>
          <w:p>
            <w:pPr>
              <w:pStyle w:val="TableParagraph"/>
              <w:spacing w:before="35"/>
              <w:ind w:left="50"/>
              <w:rPr>
                <w:sz w:val="24"/>
              </w:rPr>
            </w:pPr>
            <w:r>
              <w:rPr>
                <w:sz w:val="24"/>
              </w:rPr>
              <w:t>IT</w:t>
            </w:r>
            <w:r>
              <w:rPr>
                <w:spacing w:val="-1"/>
                <w:sz w:val="24"/>
              </w:rPr>
              <w:t> </w:t>
            </w:r>
            <w:r>
              <w:rPr>
                <w:spacing w:val="-2"/>
                <w:sz w:val="24"/>
              </w:rPr>
              <w:t>costs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94,985</w:t>
            </w:r>
          </w:p>
        </w:tc>
        <w:tc>
          <w:tcPr>
            <w:tcW w:w="1433" w:type="dxa"/>
            <w:shd w:val="clear" w:color="auto" w:fill="E4E4E4"/>
          </w:tcPr>
          <w:p>
            <w:pPr>
              <w:pStyle w:val="TableParagraph"/>
              <w:spacing w:before="35"/>
              <w:ind w:right="106"/>
              <w:jc w:val="right"/>
              <w:rPr>
                <w:sz w:val="24"/>
              </w:rPr>
            </w:pPr>
            <w:r>
              <w:rPr>
                <w:spacing w:val="-2"/>
                <w:sz w:val="24"/>
              </w:rPr>
              <w:t>95,847</w:t>
            </w:r>
          </w:p>
        </w:tc>
      </w:tr>
      <w:tr>
        <w:trPr>
          <w:trHeight w:val="346" w:hRule="atLeast"/>
        </w:trPr>
        <w:tc>
          <w:tcPr>
            <w:tcW w:w="4300" w:type="dxa"/>
          </w:tcPr>
          <w:p>
            <w:pPr>
              <w:pStyle w:val="TableParagraph"/>
              <w:spacing w:before="33"/>
              <w:ind w:left="50"/>
              <w:rPr>
                <w:sz w:val="24"/>
              </w:rPr>
            </w:pPr>
            <w:r>
              <w:rPr>
                <w:sz w:val="24"/>
              </w:rPr>
              <w:t>Professional</w:t>
            </w:r>
            <w:r>
              <w:rPr>
                <w:spacing w:val="-8"/>
                <w:sz w:val="24"/>
              </w:rPr>
              <w:t> </w:t>
            </w:r>
            <w:r>
              <w:rPr>
                <w:spacing w:val="-4"/>
                <w:sz w:val="24"/>
              </w:rPr>
              <w:t>fees</w:t>
            </w:r>
          </w:p>
        </w:tc>
        <w:tc>
          <w:tcPr>
            <w:tcW w:w="1617" w:type="dxa"/>
          </w:tcPr>
          <w:p>
            <w:pPr>
              <w:pStyle w:val="TableParagraph"/>
              <w:rPr>
                <w:rFonts w:ascii="Times New Roman"/>
                <w:sz w:val="24"/>
              </w:rPr>
            </w:pPr>
          </w:p>
        </w:tc>
        <w:tc>
          <w:tcPr>
            <w:tcW w:w="1431" w:type="dxa"/>
          </w:tcPr>
          <w:p>
            <w:pPr>
              <w:pStyle w:val="TableParagraph"/>
              <w:spacing w:before="33"/>
              <w:ind w:right="106"/>
              <w:jc w:val="right"/>
              <w:rPr>
                <w:sz w:val="24"/>
              </w:rPr>
            </w:pPr>
            <w:r>
              <w:rPr>
                <w:spacing w:val="-2"/>
                <w:sz w:val="24"/>
              </w:rPr>
              <w:t>45,816</w:t>
            </w:r>
          </w:p>
        </w:tc>
        <w:tc>
          <w:tcPr>
            <w:tcW w:w="1433" w:type="dxa"/>
            <w:shd w:val="clear" w:color="auto" w:fill="E4E4E4"/>
          </w:tcPr>
          <w:p>
            <w:pPr>
              <w:pStyle w:val="TableParagraph"/>
              <w:spacing w:before="33"/>
              <w:ind w:right="106"/>
              <w:jc w:val="right"/>
              <w:rPr>
                <w:sz w:val="24"/>
              </w:rPr>
            </w:pPr>
            <w:r>
              <w:rPr>
                <w:spacing w:val="-2"/>
                <w:sz w:val="24"/>
              </w:rPr>
              <w:t>49,966</w:t>
            </w:r>
          </w:p>
        </w:tc>
      </w:tr>
      <w:tr>
        <w:trPr>
          <w:trHeight w:val="347" w:hRule="atLeast"/>
        </w:trPr>
        <w:tc>
          <w:tcPr>
            <w:tcW w:w="4300" w:type="dxa"/>
          </w:tcPr>
          <w:p>
            <w:pPr>
              <w:pStyle w:val="TableParagraph"/>
              <w:spacing w:before="35"/>
              <w:ind w:left="50"/>
              <w:rPr>
                <w:sz w:val="24"/>
              </w:rPr>
            </w:pPr>
            <w:r>
              <w:rPr>
                <w:sz w:val="24"/>
              </w:rPr>
              <w:t>Audit </w:t>
            </w:r>
            <w:r>
              <w:rPr>
                <w:spacing w:val="-4"/>
                <w:sz w:val="24"/>
              </w:rPr>
              <w:t>fees</w:t>
            </w:r>
          </w:p>
        </w:tc>
        <w:tc>
          <w:tcPr>
            <w:tcW w:w="1617" w:type="dxa"/>
          </w:tcPr>
          <w:p>
            <w:pPr>
              <w:pStyle w:val="TableParagraph"/>
              <w:rPr>
                <w:rFonts w:ascii="Times New Roman"/>
                <w:sz w:val="24"/>
              </w:rPr>
            </w:pPr>
          </w:p>
        </w:tc>
        <w:tc>
          <w:tcPr>
            <w:tcW w:w="1431" w:type="dxa"/>
          </w:tcPr>
          <w:p>
            <w:pPr>
              <w:pStyle w:val="TableParagraph"/>
              <w:spacing w:before="35"/>
              <w:ind w:right="107"/>
              <w:jc w:val="right"/>
              <w:rPr>
                <w:sz w:val="24"/>
              </w:rPr>
            </w:pPr>
            <w:r>
              <w:rPr>
                <w:spacing w:val="-2"/>
                <w:sz w:val="24"/>
              </w:rPr>
              <w:t>14,000</w:t>
            </w:r>
          </w:p>
        </w:tc>
        <w:tc>
          <w:tcPr>
            <w:tcW w:w="1433" w:type="dxa"/>
            <w:shd w:val="clear" w:color="auto" w:fill="E4E4E4"/>
          </w:tcPr>
          <w:p>
            <w:pPr>
              <w:pStyle w:val="TableParagraph"/>
              <w:spacing w:before="35"/>
              <w:ind w:right="106"/>
              <w:jc w:val="right"/>
              <w:rPr>
                <w:sz w:val="24"/>
              </w:rPr>
            </w:pPr>
            <w:r>
              <w:rPr>
                <w:spacing w:val="-2"/>
                <w:sz w:val="24"/>
              </w:rPr>
              <w:t>12,000</w:t>
            </w:r>
          </w:p>
        </w:tc>
      </w:tr>
      <w:tr>
        <w:trPr>
          <w:trHeight w:val="757" w:hRule="atLeast"/>
        </w:trPr>
        <w:tc>
          <w:tcPr>
            <w:tcW w:w="4300" w:type="dxa"/>
          </w:tcPr>
          <w:p>
            <w:pPr>
              <w:pStyle w:val="TableParagraph"/>
              <w:spacing w:before="35"/>
              <w:ind w:left="50"/>
              <w:rPr>
                <w:sz w:val="24"/>
              </w:rPr>
            </w:pPr>
            <w:r>
              <w:rPr>
                <w:sz w:val="24"/>
              </w:rPr>
              <w:t>Staff </w:t>
            </w:r>
            <w:r>
              <w:rPr>
                <w:spacing w:val="-2"/>
                <w:sz w:val="24"/>
              </w:rPr>
              <w:t>training</w:t>
            </w:r>
          </w:p>
        </w:tc>
        <w:tc>
          <w:tcPr>
            <w:tcW w:w="1617" w:type="dxa"/>
          </w:tcPr>
          <w:p>
            <w:pPr>
              <w:pStyle w:val="TableParagraph"/>
              <w:rPr>
                <w:rFonts w:ascii="Times New Roman"/>
                <w:sz w:val="24"/>
              </w:rPr>
            </w:pPr>
          </w:p>
        </w:tc>
        <w:tc>
          <w:tcPr>
            <w:tcW w:w="1431" w:type="dxa"/>
            <w:tcBorders>
              <w:bottom w:val="single" w:sz="4" w:space="0" w:color="000000"/>
            </w:tcBorders>
          </w:tcPr>
          <w:p>
            <w:pPr>
              <w:pStyle w:val="TableParagraph"/>
              <w:spacing w:before="35"/>
              <w:ind w:right="107"/>
              <w:jc w:val="right"/>
              <w:rPr>
                <w:sz w:val="24"/>
              </w:rPr>
            </w:pPr>
            <w:r>
              <w:rPr>
                <w:spacing w:val="-2"/>
                <w:sz w:val="24"/>
              </w:rPr>
              <w:t>22,875</w:t>
            </w:r>
          </w:p>
        </w:tc>
        <w:tc>
          <w:tcPr>
            <w:tcW w:w="1433" w:type="dxa"/>
            <w:tcBorders>
              <w:bottom w:val="single" w:sz="4" w:space="0" w:color="000000"/>
            </w:tcBorders>
            <w:shd w:val="clear" w:color="auto" w:fill="E4E4E4"/>
          </w:tcPr>
          <w:p>
            <w:pPr>
              <w:pStyle w:val="TableParagraph"/>
              <w:spacing w:before="35"/>
              <w:ind w:right="106"/>
              <w:jc w:val="right"/>
              <w:rPr>
                <w:sz w:val="24"/>
              </w:rPr>
            </w:pPr>
            <w:r>
              <w:rPr>
                <w:spacing w:val="-2"/>
                <w:sz w:val="24"/>
              </w:rPr>
              <w:t>41,222</w:t>
            </w:r>
          </w:p>
        </w:tc>
      </w:tr>
      <w:tr>
        <w:trPr>
          <w:trHeight w:val="349" w:hRule="atLeast"/>
        </w:trPr>
        <w:tc>
          <w:tcPr>
            <w:tcW w:w="4300" w:type="dxa"/>
          </w:tcPr>
          <w:p>
            <w:pPr>
              <w:pStyle w:val="TableParagraph"/>
              <w:rPr>
                <w:rFonts w:ascii="Times New Roman"/>
                <w:sz w:val="24"/>
              </w:rPr>
            </w:pPr>
          </w:p>
        </w:tc>
        <w:tc>
          <w:tcPr>
            <w:tcW w:w="1617" w:type="dxa"/>
          </w:tcPr>
          <w:p>
            <w:pPr>
              <w:pStyle w:val="TableParagraph"/>
              <w:rPr>
                <w:rFonts w:ascii="Times New Roman"/>
                <w:sz w:val="24"/>
              </w:rPr>
            </w:pPr>
          </w:p>
        </w:tc>
        <w:tc>
          <w:tcPr>
            <w:tcW w:w="1431" w:type="dxa"/>
            <w:tcBorders>
              <w:top w:val="single" w:sz="4" w:space="0" w:color="000000"/>
              <w:bottom w:val="double" w:sz="4" w:space="0" w:color="000000"/>
            </w:tcBorders>
          </w:tcPr>
          <w:p>
            <w:pPr>
              <w:pStyle w:val="TableParagraph"/>
              <w:spacing w:line="252" w:lineRule="exact"/>
              <w:ind w:right="108"/>
              <w:jc w:val="right"/>
              <w:rPr>
                <w:b/>
                <w:sz w:val="24"/>
              </w:rPr>
            </w:pPr>
            <w:r>
              <w:rPr>
                <w:b/>
                <w:spacing w:val="-2"/>
                <w:sz w:val="24"/>
              </w:rPr>
              <w:t>2,785,361</w:t>
            </w:r>
          </w:p>
        </w:tc>
        <w:tc>
          <w:tcPr>
            <w:tcW w:w="1433"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2,510,437</w:t>
            </w:r>
          </w:p>
        </w:tc>
      </w:tr>
    </w:tbl>
    <w:p>
      <w:pPr>
        <w:pStyle w:val="TableParagraph"/>
        <w:spacing w:after="0" w:line="252" w:lineRule="exact"/>
        <w:jc w:val="right"/>
        <w:rPr>
          <w:b/>
          <w:sz w:val="24"/>
        </w:rPr>
        <w:sectPr>
          <w:pgSz w:w="11910" w:h="16850"/>
          <w:pgMar w:header="0" w:footer="811" w:top="1880" w:bottom="1000" w:left="283" w:right="992"/>
        </w:sectPr>
      </w:pPr>
    </w:p>
    <w:p>
      <w:pPr>
        <w:pStyle w:val="BodyText"/>
        <w:spacing w:before="87"/>
        <w:rPr>
          <w:b/>
          <w:sz w:val="24"/>
        </w:rPr>
      </w:pPr>
    </w:p>
    <w:p>
      <w:pPr>
        <w:spacing w:line="300" w:lineRule="auto" w:before="1"/>
        <w:ind w:left="1702" w:right="988" w:firstLine="0"/>
        <w:jc w:val="left"/>
        <w:rPr>
          <w:sz w:val="24"/>
        </w:rPr>
      </w:pPr>
      <w:r>
        <w:rPr>
          <w:sz w:val="24"/>
        </w:rPr>
        <w:t>The expenditure on building overheads and improvements shows an increase as much of the 2016 expenditure was capitalised as part of refurbishment works.</w:t>
      </w:r>
    </w:p>
    <w:p>
      <w:pPr>
        <w:pStyle w:val="BodyText"/>
        <w:spacing w:before="69"/>
        <w:rPr>
          <w:sz w:val="24"/>
        </w:rPr>
      </w:pPr>
    </w:p>
    <w:p>
      <w:pPr>
        <w:spacing w:before="0"/>
        <w:ind w:left="1702" w:right="0" w:firstLine="0"/>
        <w:jc w:val="left"/>
        <w:rPr>
          <w:b/>
          <w:i/>
          <w:sz w:val="24"/>
        </w:rPr>
      </w:pPr>
      <w:r>
        <w:rPr>
          <w:b/>
          <w:i/>
          <w:sz w:val="24"/>
        </w:rPr>
        <w:t>(a)</w:t>
      </w:r>
      <w:r>
        <w:rPr>
          <w:b/>
          <w:i/>
          <w:spacing w:val="-4"/>
          <w:sz w:val="24"/>
        </w:rPr>
        <w:t> </w:t>
      </w:r>
      <w:r>
        <w:rPr>
          <w:b/>
          <w:i/>
          <w:sz w:val="24"/>
        </w:rPr>
        <w:t>Remuneration</w:t>
      </w:r>
      <w:r>
        <w:rPr>
          <w:b/>
          <w:i/>
          <w:spacing w:val="-3"/>
          <w:sz w:val="24"/>
        </w:rPr>
        <w:t> </w:t>
      </w:r>
      <w:r>
        <w:rPr>
          <w:b/>
          <w:i/>
          <w:sz w:val="24"/>
        </w:rPr>
        <w:t>and</w:t>
      </w:r>
      <w:r>
        <w:rPr>
          <w:b/>
          <w:i/>
          <w:spacing w:val="-2"/>
          <w:sz w:val="24"/>
        </w:rPr>
        <w:t> </w:t>
      </w:r>
      <w:r>
        <w:rPr>
          <w:b/>
          <w:i/>
          <w:sz w:val="24"/>
        </w:rPr>
        <w:t>Other</w:t>
      </w:r>
      <w:r>
        <w:rPr>
          <w:b/>
          <w:i/>
          <w:spacing w:val="-3"/>
          <w:sz w:val="24"/>
        </w:rPr>
        <w:t> </w:t>
      </w:r>
      <w:r>
        <w:rPr>
          <w:b/>
          <w:i/>
          <w:sz w:val="24"/>
        </w:rPr>
        <w:t>Pay</w:t>
      </w:r>
      <w:r>
        <w:rPr>
          <w:b/>
          <w:i/>
          <w:spacing w:val="-3"/>
          <w:sz w:val="24"/>
        </w:rPr>
        <w:t> </w:t>
      </w:r>
      <w:r>
        <w:rPr>
          <w:b/>
          <w:i/>
          <w:spacing w:val="-2"/>
          <w:sz w:val="24"/>
        </w:rPr>
        <w:t>Costs</w:t>
      </w:r>
    </w:p>
    <w:p>
      <w:pPr>
        <w:pStyle w:val="BodyText"/>
        <w:spacing w:before="208"/>
        <w:rPr>
          <w:b/>
          <w:i/>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0"/>
        <w:gridCol w:w="1997"/>
        <w:gridCol w:w="1276"/>
      </w:tblGrid>
      <w:tr>
        <w:trPr>
          <w:trHeight w:val="635" w:hRule="atLeast"/>
        </w:trPr>
        <w:tc>
          <w:tcPr>
            <w:tcW w:w="5350" w:type="dxa"/>
          </w:tcPr>
          <w:p>
            <w:pPr>
              <w:pStyle w:val="TableParagraph"/>
              <w:rPr>
                <w:rFonts w:ascii="Times New Roman"/>
                <w:sz w:val="24"/>
              </w:rPr>
            </w:pPr>
          </w:p>
        </w:tc>
        <w:tc>
          <w:tcPr>
            <w:tcW w:w="1997" w:type="dxa"/>
          </w:tcPr>
          <w:p>
            <w:pPr>
              <w:pStyle w:val="TableParagraph"/>
              <w:spacing w:line="252" w:lineRule="exact"/>
              <w:ind w:right="107"/>
              <w:jc w:val="right"/>
              <w:rPr>
                <w:b/>
                <w:sz w:val="24"/>
              </w:rPr>
            </w:pPr>
            <w:r>
              <w:rPr>
                <w:b/>
                <w:spacing w:val="-4"/>
                <w:sz w:val="24"/>
              </w:rPr>
              <w:t>2017</w:t>
            </w:r>
          </w:p>
          <w:p>
            <w:pPr>
              <w:pStyle w:val="TableParagraph"/>
              <w:spacing w:before="69"/>
              <w:ind w:right="103"/>
              <w:jc w:val="right"/>
              <w:rPr>
                <w:b/>
                <w:sz w:val="24"/>
              </w:rPr>
            </w:pPr>
            <w:r>
              <w:rPr>
                <w:b/>
                <w:spacing w:val="-10"/>
                <w:sz w:val="24"/>
              </w:rPr>
              <w:t>€</w:t>
            </w:r>
          </w:p>
        </w:tc>
        <w:tc>
          <w:tcPr>
            <w:tcW w:w="1276" w:type="dxa"/>
            <w:shd w:val="clear" w:color="auto" w:fill="E4E4E4"/>
          </w:tcPr>
          <w:p>
            <w:pPr>
              <w:pStyle w:val="TableParagraph"/>
              <w:spacing w:line="252" w:lineRule="exact"/>
              <w:ind w:right="108"/>
              <w:jc w:val="right"/>
              <w:rPr>
                <w:b/>
                <w:sz w:val="24"/>
              </w:rPr>
            </w:pPr>
            <w:r>
              <w:rPr>
                <w:b/>
                <w:spacing w:val="-4"/>
                <w:sz w:val="24"/>
              </w:rPr>
              <w:t>2016</w:t>
            </w:r>
          </w:p>
          <w:p>
            <w:pPr>
              <w:pStyle w:val="TableParagraph"/>
              <w:spacing w:before="69"/>
              <w:ind w:right="105"/>
              <w:jc w:val="right"/>
              <w:rPr>
                <w:b/>
                <w:sz w:val="24"/>
              </w:rPr>
            </w:pPr>
            <w:r>
              <w:rPr>
                <w:b/>
                <w:spacing w:val="-10"/>
                <w:sz w:val="24"/>
              </w:rPr>
              <w:t>€</w:t>
            </w:r>
          </w:p>
        </w:tc>
      </w:tr>
      <w:tr>
        <w:trPr>
          <w:trHeight w:val="348" w:hRule="atLeast"/>
        </w:trPr>
        <w:tc>
          <w:tcPr>
            <w:tcW w:w="5350" w:type="dxa"/>
          </w:tcPr>
          <w:p>
            <w:pPr>
              <w:pStyle w:val="TableParagraph"/>
              <w:spacing w:before="35"/>
              <w:ind w:left="50"/>
              <w:rPr>
                <w:sz w:val="24"/>
              </w:rPr>
            </w:pPr>
            <w:r>
              <w:rPr>
                <w:sz w:val="24"/>
              </w:rPr>
              <w:t>Staff</w:t>
            </w:r>
            <w:r>
              <w:rPr>
                <w:spacing w:val="-2"/>
                <w:sz w:val="24"/>
              </w:rPr>
              <w:t> </w:t>
            </w:r>
            <w:r>
              <w:rPr>
                <w:sz w:val="24"/>
              </w:rPr>
              <w:t>salaries</w:t>
            </w:r>
            <w:r>
              <w:rPr>
                <w:spacing w:val="-2"/>
                <w:sz w:val="24"/>
              </w:rPr>
              <w:t> </w:t>
            </w:r>
            <w:r>
              <w:rPr>
                <w:sz w:val="24"/>
              </w:rPr>
              <w:t>(including</w:t>
            </w:r>
            <w:r>
              <w:rPr>
                <w:spacing w:val="-4"/>
                <w:sz w:val="24"/>
              </w:rPr>
              <w:t> </w:t>
            </w:r>
            <w:r>
              <w:rPr>
                <w:sz w:val="24"/>
              </w:rPr>
              <w:t>holiday pay</w:t>
            </w:r>
            <w:r>
              <w:rPr>
                <w:spacing w:val="-3"/>
                <w:sz w:val="24"/>
              </w:rPr>
              <w:t> </w:t>
            </w:r>
            <w:r>
              <w:rPr>
                <w:spacing w:val="-2"/>
                <w:sz w:val="24"/>
              </w:rPr>
              <w:t>accrual)</w:t>
            </w:r>
          </w:p>
        </w:tc>
        <w:tc>
          <w:tcPr>
            <w:tcW w:w="1997" w:type="dxa"/>
          </w:tcPr>
          <w:p>
            <w:pPr>
              <w:pStyle w:val="TableParagraph"/>
              <w:spacing w:before="35"/>
              <w:ind w:right="103"/>
              <w:jc w:val="right"/>
              <w:rPr>
                <w:sz w:val="24"/>
              </w:rPr>
            </w:pPr>
            <w:r>
              <w:rPr>
                <w:spacing w:val="-2"/>
                <w:sz w:val="24"/>
              </w:rPr>
              <w:t>2,025,356</w:t>
            </w:r>
          </w:p>
        </w:tc>
        <w:tc>
          <w:tcPr>
            <w:tcW w:w="1276" w:type="dxa"/>
            <w:shd w:val="clear" w:color="auto" w:fill="E4E4E4"/>
          </w:tcPr>
          <w:p>
            <w:pPr>
              <w:pStyle w:val="TableParagraph"/>
              <w:spacing w:before="35"/>
              <w:ind w:right="104"/>
              <w:jc w:val="right"/>
              <w:rPr>
                <w:sz w:val="24"/>
              </w:rPr>
            </w:pPr>
            <w:r>
              <w:rPr>
                <w:spacing w:val="-2"/>
                <w:sz w:val="24"/>
              </w:rPr>
              <w:t>1,839,608</w:t>
            </w:r>
          </w:p>
        </w:tc>
      </w:tr>
      <w:tr>
        <w:trPr>
          <w:trHeight w:val="348" w:hRule="atLeast"/>
        </w:trPr>
        <w:tc>
          <w:tcPr>
            <w:tcW w:w="5350" w:type="dxa"/>
          </w:tcPr>
          <w:p>
            <w:pPr>
              <w:pStyle w:val="TableParagraph"/>
              <w:spacing w:before="35"/>
              <w:ind w:left="50"/>
              <w:rPr>
                <w:sz w:val="24"/>
              </w:rPr>
            </w:pPr>
            <w:r>
              <w:rPr>
                <w:sz w:val="24"/>
              </w:rPr>
              <w:t>Agency</w:t>
            </w:r>
            <w:r>
              <w:rPr>
                <w:spacing w:val="-2"/>
                <w:sz w:val="24"/>
              </w:rPr>
              <w:t> </w:t>
            </w:r>
            <w:r>
              <w:rPr>
                <w:sz w:val="24"/>
              </w:rPr>
              <w:t>Staff </w:t>
            </w:r>
            <w:r>
              <w:rPr>
                <w:spacing w:val="-5"/>
                <w:sz w:val="24"/>
              </w:rPr>
              <w:t>pay</w:t>
            </w:r>
          </w:p>
        </w:tc>
        <w:tc>
          <w:tcPr>
            <w:tcW w:w="1997" w:type="dxa"/>
          </w:tcPr>
          <w:p>
            <w:pPr>
              <w:pStyle w:val="TableParagraph"/>
              <w:spacing w:before="35"/>
              <w:ind w:right="103"/>
              <w:jc w:val="right"/>
              <w:rPr>
                <w:sz w:val="24"/>
              </w:rPr>
            </w:pPr>
            <w:r>
              <w:rPr>
                <w:spacing w:val="-2"/>
                <w:sz w:val="24"/>
              </w:rPr>
              <w:t>62,924</w:t>
            </w:r>
          </w:p>
        </w:tc>
        <w:tc>
          <w:tcPr>
            <w:tcW w:w="1276" w:type="dxa"/>
            <w:shd w:val="clear" w:color="auto" w:fill="E4E4E4"/>
          </w:tcPr>
          <w:p>
            <w:pPr>
              <w:pStyle w:val="TableParagraph"/>
              <w:spacing w:before="35"/>
              <w:ind w:right="104"/>
              <w:jc w:val="right"/>
              <w:rPr>
                <w:sz w:val="24"/>
              </w:rPr>
            </w:pPr>
            <w:r>
              <w:rPr>
                <w:spacing w:val="-2"/>
                <w:sz w:val="24"/>
              </w:rPr>
              <w:t>92,240</w:t>
            </w:r>
          </w:p>
        </w:tc>
      </w:tr>
      <w:tr>
        <w:trPr>
          <w:trHeight w:val="408" w:hRule="atLeast"/>
        </w:trPr>
        <w:tc>
          <w:tcPr>
            <w:tcW w:w="5350" w:type="dxa"/>
          </w:tcPr>
          <w:p>
            <w:pPr>
              <w:pStyle w:val="TableParagraph"/>
              <w:spacing w:before="35"/>
              <w:ind w:left="50"/>
              <w:rPr>
                <w:sz w:val="24"/>
              </w:rPr>
            </w:pPr>
            <w:r>
              <w:rPr>
                <w:sz w:val="24"/>
              </w:rPr>
              <w:t>Staff</w:t>
            </w:r>
            <w:r>
              <w:rPr>
                <w:spacing w:val="-2"/>
                <w:sz w:val="24"/>
              </w:rPr>
              <w:t> </w:t>
            </w:r>
            <w:r>
              <w:rPr>
                <w:sz w:val="24"/>
              </w:rPr>
              <w:t>travel</w:t>
            </w:r>
            <w:r>
              <w:rPr>
                <w:spacing w:val="-3"/>
                <w:sz w:val="24"/>
              </w:rPr>
              <w:t> </w:t>
            </w:r>
            <w:r>
              <w:rPr>
                <w:sz w:val="24"/>
              </w:rPr>
              <w:t>and</w:t>
            </w:r>
            <w:r>
              <w:rPr>
                <w:spacing w:val="-1"/>
                <w:sz w:val="24"/>
              </w:rPr>
              <w:t> </w:t>
            </w:r>
            <w:r>
              <w:rPr>
                <w:sz w:val="24"/>
              </w:rPr>
              <w:t>subsistence </w:t>
            </w:r>
            <w:r>
              <w:rPr>
                <w:spacing w:val="-4"/>
                <w:sz w:val="24"/>
              </w:rPr>
              <w:t>costs</w:t>
            </w:r>
          </w:p>
        </w:tc>
        <w:tc>
          <w:tcPr>
            <w:tcW w:w="1997" w:type="dxa"/>
            <w:tcBorders>
              <w:bottom w:val="single" w:sz="4" w:space="0" w:color="000000"/>
            </w:tcBorders>
          </w:tcPr>
          <w:p>
            <w:pPr>
              <w:pStyle w:val="TableParagraph"/>
              <w:spacing w:before="35"/>
              <w:ind w:right="103"/>
              <w:jc w:val="right"/>
              <w:rPr>
                <w:sz w:val="24"/>
              </w:rPr>
            </w:pPr>
            <w:r>
              <w:rPr>
                <w:spacing w:val="-2"/>
                <w:sz w:val="24"/>
              </w:rPr>
              <w:t>25,659</w:t>
            </w:r>
          </w:p>
        </w:tc>
        <w:tc>
          <w:tcPr>
            <w:tcW w:w="1276" w:type="dxa"/>
            <w:tcBorders>
              <w:bottom w:val="single" w:sz="4" w:space="0" w:color="000000"/>
            </w:tcBorders>
            <w:shd w:val="clear" w:color="auto" w:fill="E4E4E4"/>
          </w:tcPr>
          <w:p>
            <w:pPr>
              <w:pStyle w:val="TableParagraph"/>
              <w:spacing w:before="35"/>
              <w:ind w:right="104"/>
              <w:jc w:val="right"/>
              <w:rPr>
                <w:sz w:val="24"/>
              </w:rPr>
            </w:pPr>
            <w:r>
              <w:rPr>
                <w:spacing w:val="-2"/>
                <w:sz w:val="24"/>
              </w:rPr>
              <w:t>16,393</w:t>
            </w:r>
          </w:p>
        </w:tc>
      </w:tr>
      <w:tr>
        <w:trPr>
          <w:trHeight w:val="347" w:hRule="atLeast"/>
        </w:trPr>
        <w:tc>
          <w:tcPr>
            <w:tcW w:w="5350" w:type="dxa"/>
          </w:tcPr>
          <w:p>
            <w:pPr>
              <w:pStyle w:val="TableParagraph"/>
              <w:rPr>
                <w:rFonts w:ascii="Times New Roman"/>
                <w:sz w:val="24"/>
              </w:rPr>
            </w:pPr>
          </w:p>
        </w:tc>
        <w:tc>
          <w:tcPr>
            <w:tcW w:w="1997" w:type="dxa"/>
            <w:tcBorders>
              <w:top w:val="single" w:sz="4" w:space="0" w:color="000000"/>
              <w:bottom w:val="double" w:sz="4" w:space="0" w:color="000000"/>
            </w:tcBorders>
          </w:tcPr>
          <w:p>
            <w:pPr>
              <w:pStyle w:val="TableParagraph"/>
              <w:spacing w:line="252" w:lineRule="exact"/>
              <w:ind w:right="105"/>
              <w:jc w:val="right"/>
              <w:rPr>
                <w:b/>
                <w:sz w:val="24"/>
              </w:rPr>
            </w:pPr>
            <w:r>
              <w:rPr>
                <w:b/>
                <w:spacing w:val="-2"/>
                <w:sz w:val="24"/>
              </w:rPr>
              <w:t>2,113,939</w:t>
            </w:r>
          </w:p>
        </w:tc>
        <w:tc>
          <w:tcPr>
            <w:tcW w:w="1276" w:type="dxa"/>
            <w:tcBorders>
              <w:top w:val="single" w:sz="4" w:space="0" w:color="000000"/>
              <w:bottom w:val="double" w:sz="4" w:space="0" w:color="000000"/>
            </w:tcBorders>
            <w:shd w:val="clear" w:color="auto" w:fill="E4E4E4"/>
          </w:tcPr>
          <w:p>
            <w:pPr>
              <w:pStyle w:val="TableParagraph"/>
              <w:spacing w:line="252" w:lineRule="exact"/>
              <w:ind w:right="106"/>
              <w:jc w:val="right"/>
              <w:rPr>
                <w:b/>
                <w:sz w:val="24"/>
              </w:rPr>
            </w:pPr>
            <w:r>
              <w:rPr>
                <w:b/>
                <w:spacing w:val="-2"/>
                <w:sz w:val="24"/>
              </w:rPr>
              <w:t>1,948,241</w:t>
            </w:r>
          </w:p>
        </w:tc>
      </w:tr>
    </w:tbl>
    <w:p>
      <w:pPr>
        <w:pStyle w:val="BodyText"/>
        <w:rPr>
          <w:b/>
          <w:i/>
          <w:sz w:val="20"/>
        </w:rPr>
      </w:pPr>
    </w:p>
    <w:p>
      <w:pPr>
        <w:pStyle w:val="BodyText"/>
        <w:spacing w:before="111"/>
        <w:rPr>
          <w:b/>
          <w:i/>
          <w:sz w:val="20"/>
        </w:rPr>
      </w:pPr>
    </w:p>
    <w:p>
      <w:pPr>
        <w:pStyle w:val="BodyText"/>
        <w:spacing w:after="0"/>
        <w:rPr>
          <w:b/>
          <w:i/>
          <w:sz w:val="20"/>
        </w:rPr>
        <w:sectPr>
          <w:pgSz w:w="11910" w:h="16850"/>
          <w:pgMar w:header="0" w:footer="811" w:top="1940" w:bottom="1000" w:left="283" w:right="992"/>
        </w:sectPr>
      </w:pPr>
    </w:p>
    <w:p>
      <w:pPr>
        <w:spacing w:before="100"/>
        <w:ind w:left="1702" w:right="0" w:firstLine="0"/>
        <w:jc w:val="left"/>
        <w:rPr>
          <w:i/>
          <w:sz w:val="24"/>
        </w:rPr>
      </w:pPr>
      <w:r>
        <w:rPr>
          <w:i/>
          <w:sz w:val="24"/>
          <w:u w:val="single"/>
        </w:rPr>
        <w:t>Employee</w:t>
      </w:r>
      <w:r>
        <w:rPr>
          <w:i/>
          <w:spacing w:val="-4"/>
          <w:sz w:val="24"/>
          <w:u w:val="single"/>
        </w:rPr>
        <w:t> </w:t>
      </w:r>
      <w:r>
        <w:rPr>
          <w:i/>
          <w:sz w:val="24"/>
          <w:u w:val="single"/>
        </w:rPr>
        <w:t>Short</w:t>
      </w:r>
      <w:r>
        <w:rPr>
          <w:i/>
          <w:spacing w:val="-3"/>
          <w:sz w:val="24"/>
          <w:u w:val="single"/>
        </w:rPr>
        <w:t> </w:t>
      </w:r>
      <w:r>
        <w:rPr>
          <w:i/>
          <w:sz w:val="24"/>
          <w:u w:val="single"/>
        </w:rPr>
        <w:t>Term</w:t>
      </w:r>
      <w:r>
        <w:rPr>
          <w:i/>
          <w:spacing w:val="-3"/>
          <w:sz w:val="24"/>
          <w:u w:val="single"/>
        </w:rPr>
        <w:t> </w:t>
      </w:r>
      <w:r>
        <w:rPr>
          <w:i/>
          <w:sz w:val="24"/>
          <w:u w:val="single"/>
        </w:rPr>
        <w:t>Benefits</w:t>
      </w:r>
      <w:r>
        <w:rPr>
          <w:i/>
          <w:spacing w:val="-3"/>
          <w:sz w:val="24"/>
          <w:u w:val="single"/>
        </w:rPr>
        <w:t> </w:t>
      </w:r>
      <w:r>
        <w:rPr>
          <w:i/>
          <w:spacing w:val="-2"/>
          <w:sz w:val="24"/>
          <w:u w:val="single"/>
        </w:rPr>
        <w:t>Breakdown</w:t>
      </w:r>
    </w:p>
    <w:p>
      <w:pPr>
        <w:pStyle w:val="BodyText"/>
        <w:spacing w:before="140"/>
        <w:rPr>
          <w:i/>
          <w:sz w:val="24"/>
        </w:rPr>
      </w:pPr>
    </w:p>
    <w:p>
      <w:pPr>
        <w:spacing w:before="0"/>
        <w:ind w:left="1776" w:right="0" w:firstLine="0"/>
        <w:jc w:val="left"/>
        <w:rPr>
          <w:b/>
          <w:sz w:val="24"/>
        </w:rPr>
      </w:pPr>
      <w:r>
        <w:rPr>
          <w:b/>
          <w:sz w:val="24"/>
        </w:rPr>
        <w:t>Range</w:t>
      </w:r>
      <w:r>
        <w:rPr>
          <w:b/>
          <w:spacing w:val="-2"/>
          <w:sz w:val="24"/>
        </w:rPr>
        <w:t> </w:t>
      </w:r>
      <w:r>
        <w:rPr>
          <w:b/>
          <w:sz w:val="24"/>
        </w:rPr>
        <w:t>of</w:t>
      </w:r>
      <w:r>
        <w:rPr>
          <w:b/>
          <w:spacing w:val="-2"/>
          <w:sz w:val="24"/>
        </w:rPr>
        <w:t> </w:t>
      </w:r>
      <w:r>
        <w:rPr>
          <w:b/>
          <w:sz w:val="24"/>
        </w:rPr>
        <w:t>total</w:t>
      </w:r>
      <w:r>
        <w:rPr>
          <w:b/>
          <w:spacing w:val="-1"/>
          <w:sz w:val="24"/>
        </w:rPr>
        <w:t> </w:t>
      </w:r>
      <w:r>
        <w:rPr>
          <w:b/>
          <w:sz w:val="24"/>
        </w:rPr>
        <w:t>employee</w:t>
      </w:r>
      <w:r>
        <w:rPr>
          <w:b/>
          <w:spacing w:val="-2"/>
          <w:sz w:val="24"/>
        </w:rPr>
        <w:t> </w:t>
      </w:r>
      <w:r>
        <w:rPr>
          <w:b/>
          <w:sz w:val="24"/>
        </w:rPr>
        <w:t>short term </w:t>
      </w:r>
      <w:r>
        <w:rPr>
          <w:b/>
          <w:spacing w:val="-2"/>
          <w:sz w:val="24"/>
        </w:rPr>
        <w:t>benefits</w:t>
      </w:r>
    </w:p>
    <w:p>
      <w:pPr>
        <w:pStyle w:val="BodyText"/>
        <w:spacing w:before="170"/>
        <w:rPr>
          <w:b/>
          <w:sz w:val="24"/>
        </w:rPr>
      </w:pPr>
      <w:r>
        <w:rPr/>
        <w:br w:type="column"/>
      </w:r>
      <w:r>
        <w:rPr>
          <w:b/>
          <w:sz w:val="24"/>
        </w:rPr>
      </w:r>
    </w:p>
    <w:p>
      <w:pPr>
        <w:spacing w:line="300" w:lineRule="auto" w:before="0"/>
        <w:ind w:left="1118" w:right="1490" w:firstLine="0"/>
        <w:jc w:val="left"/>
        <w:rPr>
          <w:b/>
          <w:sz w:val="24"/>
        </w:rPr>
      </w:pPr>
      <w:r>
        <w:rPr>
          <w:b/>
          <w:sz w:val="24"/>
        </w:rPr>
        <w:t>Number</w:t>
      </w:r>
      <w:r>
        <w:rPr>
          <w:b/>
          <w:spacing w:val="-17"/>
          <w:sz w:val="24"/>
        </w:rPr>
        <w:t> </w:t>
      </w:r>
      <w:r>
        <w:rPr>
          <w:b/>
          <w:sz w:val="24"/>
        </w:rPr>
        <w:t>of </w:t>
      </w:r>
      <w:r>
        <w:rPr>
          <w:b/>
          <w:spacing w:val="-2"/>
          <w:sz w:val="24"/>
        </w:rPr>
        <w:t>Employees</w:t>
      </w:r>
    </w:p>
    <w:p>
      <w:pPr>
        <w:spacing w:after="0" w:line="300" w:lineRule="auto"/>
        <w:jc w:val="left"/>
        <w:rPr>
          <w:b/>
          <w:sz w:val="24"/>
        </w:rPr>
        <w:sectPr>
          <w:type w:val="continuous"/>
          <w:pgSz w:w="11910" w:h="16850"/>
          <w:pgMar w:header="0" w:footer="811" w:top="1940" w:bottom="280" w:left="283" w:right="992"/>
          <w:cols w:num="2" w:equalWidth="0">
            <w:col w:w="6749" w:space="40"/>
            <w:col w:w="3846"/>
          </w:cols>
        </w:sectPr>
      </w:pPr>
    </w:p>
    <w:p>
      <w:pPr>
        <w:tabs>
          <w:tab w:pos="3270" w:val="left" w:leader="none"/>
          <w:tab w:pos="8435" w:val="left" w:leader="none"/>
          <w:tab w:pos="10382" w:val="right" w:leader="none"/>
        </w:tabs>
        <w:spacing w:before="1"/>
        <w:ind w:left="1776" w:right="0" w:firstLine="0"/>
        <w:jc w:val="left"/>
        <w:rPr>
          <w:b/>
          <w:sz w:val="24"/>
        </w:rPr>
      </w:pPr>
      <w:r>
        <w:rPr>
          <w:b/>
          <w:spacing w:val="-4"/>
          <w:sz w:val="24"/>
        </w:rPr>
        <w:t>From</w:t>
      </w:r>
      <w:r>
        <w:rPr>
          <w:b/>
          <w:sz w:val="24"/>
        </w:rPr>
        <w:tab/>
      </w:r>
      <w:r>
        <w:rPr>
          <w:b/>
          <w:spacing w:val="-5"/>
          <w:sz w:val="24"/>
        </w:rPr>
        <w:t>To</w:t>
      </w:r>
      <w:r>
        <w:rPr>
          <w:b/>
          <w:sz w:val="24"/>
        </w:rPr>
        <w:tab/>
      </w:r>
      <w:r>
        <w:rPr>
          <w:b/>
          <w:spacing w:val="-4"/>
          <w:sz w:val="24"/>
        </w:rPr>
        <w:t>2017</w:t>
      </w:r>
      <w:r>
        <w:rPr>
          <w:b/>
          <w:sz w:val="24"/>
        </w:rPr>
        <w:tab/>
      </w:r>
      <w:r>
        <w:rPr>
          <w:b/>
          <w:spacing w:val="-4"/>
          <w:sz w:val="24"/>
        </w:rPr>
        <w:t>2016</w:t>
      </w:r>
    </w:p>
    <w:p>
      <w:pPr>
        <w:pStyle w:val="BodyText"/>
        <w:spacing w:before="3"/>
        <w:rPr>
          <w:b/>
          <w:sz w:val="8"/>
        </w:rPr>
      </w:pPr>
    </w:p>
    <w:tbl>
      <w:tblPr>
        <w:tblW w:w="0" w:type="auto"/>
        <w:jc w:val="left"/>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31"/>
        <w:gridCol w:w="1275"/>
        <w:gridCol w:w="1418"/>
      </w:tblGrid>
      <w:tr>
        <w:trPr>
          <w:trHeight w:val="287" w:hRule="atLeast"/>
        </w:trPr>
        <w:tc>
          <w:tcPr>
            <w:tcW w:w="6131" w:type="dxa"/>
            <w:tcBorders>
              <w:top w:val="single" w:sz="12" w:space="0" w:color="000000"/>
            </w:tcBorders>
          </w:tcPr>
          <w:p>
            <w:pPr>
              <w:pStyle w:val="TableParagraph"/>
              <w:spacing w:line="254" w:lineRule="exact"/>
              <w:ind w:left="107"/>
              <w:rPr>
                <w:sz w:val="24"/>
              </w:rPr>
            </w:pPr>
            <w:r>
              <w:rPr>
                <w:sz w:val="24"/>
              </w:rPr>
              <w:t>Less</w:t>
            </w:r>
            <w:r>
              <w:rPr>
                <w:spacing w:val="-3"/>
                <w:sz w:val="24"/>
              </w:rPr>
              <w:t> </w:t>
            </w:r>
            <w:r>
              <w:rPr>
                <w:sz w:val="24"/>
              </w:rPr>
              <w:t>than</w:t>
            </w:r>
            <w:r>
              <w:rPr>
                <w:spacing w:val="66"/>
                <w:sz w:val="24"/>
              </w:rPr>
              <w:t> </w:t>
            </w:r>
            <w:r>
              <w:rPr>
                <w:spacing w:val="-2"/>
                <w:sz w:val="24"/>
              </w:rPr>
              <w:t>€59,999</w:t>
            </w:r>
          </w:p>
        </w:tc>
        <w:tc>
          <w:tcPr>
            <w:tcW w:w="1275" w:type="dxa"/>
            <w:tcBorders>
              <w:top w:val="single" w:sz="12" w:space="0" w:color="000000"/>
            </w:tcBorders>
          </w:tcPr>
          <w:p>
            <w:pPr>
              <w:pStyle w:val="TableParagraph"/>
              <w:spacing w:line="254" w:lineRule="exact"/>
              <w:ind w:right="106"/>
              <w:jc w:val="right"/>
              <w:rPr>
                <w:sz w:val="24"/>
              </w:rPr>
            </w:pPr>
            <w:r>
              <w:rPr>
                <w:spacing w:val="-5"/>
                <w:sz w:val="24"/>
              </w:rPr>
              <w:t>20</w:t>
            </w:r>
          </w:p>
        </w:tc>
        <w:tc>
          <w:tcPr>
            <w:tcW w:w="1418" w:type="dxa"/>
            <w:tcBorders>
              <w:top w:val="single" w:sz="12" w:space="0" w:color="000000"/>
            </w:tcBorders>
            <w:shd w:val="clear" w:color="auto" w:fill="E4E4E4"/>
          </w:tcPr>
          <w:p>
            <w:pPr>
              <w:pStyle w:val="TableParagraph"/>
              <w:spacing w:line="254" w:lineRule="exact"/>
              <w:ind w:right="106"/>
              <w:jc w:val="right"/>
              <w:rPr>
                <w:sz w:val="24"/>
              </w:rPr>
            </w:pPr>
            <w:r>
              <w:rPr>
                <w:spacing w:val="-5"/>
                <w:sz w:val="24"/>
              </w:rPr>
              <w:t>17</w:t>
            </w:r>
          </w:p>
        </w:tc>
      </w:tr>
      <w:tr>
        <w:trPr>
          <w:trHeight w:val="346" w:hRule="atLeast"/>
        </w:trPr>
        <w:tc>
          <w:tcPr>
            <w:tcW w:w="6131" w:type="dxa"/>
          </w:tcPr>
          <w:p>
            <w:pPr>
              <w:pStyle w:val="TableParagraph"/>
              <w:tabs>
                <w:tab w:pos="1243" w:val="left" w:leader="none"/>
                <w:tab w:pos="1521" w:val="left" w:leader="none"/>
              </w:tabs>
              <w:spacing w:before="33"/>
              <w:ind w:left="107"/>
              <w:rPr>
                <w:sz w:val="24"/>
              </w:rPr>
            </w:pPr>
            <w:r>
              <w:rPr>
                <w:spacing w:val="-2"/>
                <w:sz w:val="24"/>
              </w:rPr>
              <w:t>€60,000</w:t>
            </w:r>
            <w:r>
              <w:rPr>
                <w:sz w:val="24"/>
              </w:rPr>
              <w:tab/>
            </w:r>
            <w:r>
              <w:rPr>
                <w:spacing w:val="-10"/>
                <w:sz w:val="24"/>
              </w:rPr>
              <w:t>-</w:t>
            </w:r>
            <w:r>
              <w:rPr>
                <w:sz w:val="24"/>
              </w:rPr>
              <w:tab/>
            </w:r>
            <w:r>
              <w:rPr>
                <w:spacing w:val="-2"/>
                <w:sz w:val="24"/>
              </w:rPr>
              <w:t>€69,999</w:t>
            </w:r>
          </w:p>
        </w:tc>
        <w:tc>
          <w:tcPr>
            <w:tcW w:w="1275" w:type="dxa"/>
          </w:tcPr>
          <w:p>
            <w:pPr>
              <w:pStyle w:val="TableParagraph"/>
              <w:spacing w:before="33"/>
              <w:ind w:right="106"/>
              <w:jc w:val="right"/>
              <w:rPr>
                <w:sz w:val="24"/>
              </w:rPr>
            </w:pPr>
            <w:r>
              <w:rPr>
                <w:spacing w:val="-10"/>
                <w:sz w:val="24"/>
              </w:rPr>
              <w:t>2</w:t>
            </w:r>
          </w:p>
        </w:tc>
        <w:tc>
          <w:tcPr>
            <w:tcW w:w="1418" w:type="dxa"/>
            <w:shd w:val="clear" w:color="auto" w:fill="E4E4E4"/>
          </w:tcPr>
          <w:p>
            <w:pPr>
              <w:pStyle w:val="TableParagraph"/>
              <w:spacing w:before="33"/>
              <w:ind w:right="106"/>
              <w:jc w:val="right"/>
              <w:rPr>
                <w:sz w:val="24"/>
              </w:rPr>
            </w:pPr>
            <w:r>
              <w:rPr>
                <w:spacing w:val="-10"/>
                <w:sz w:val="24"/>
              </w:rPr>
              <w:t>4</w:t>
            </w:r>
          </w:p>
        </w:tc>
      </w:tr>
      <w:tr>
        <w:trPr>
          <w:trHeight w:val="348" w:hRule="atLeast"/>
        </w:trPr>
        <w:tc>
          <w:tcPr>
            <w:tcW w:w="6131" w:type="dxa"/>
          </w:tcPr>
          <w:p>
            <w:pPr>
              <w:pStyle w:val="TableParagraph"/>
              <w:tabs>
                <w:tab w:pos="1243" w:val="left" w:leader="none"/>
                <w:tab w:pos="1521" w:val="left" w:leader="none"/>
              </w:tabs>
              <w:spacing w:before="35"/>
              <w:ind w:left="107"/>
              <w:rPr>
                <w:sz w:val="24"/>
              </w:rPr>
            </w:pPr>
            <w:r>
              <w:rPr>
                <w:spacing w:val="-2"/>
                <w:sz w:val="24"/>
              </w:rPr>
              <w:t>€70,000</w:t>
            </w:r>
            <w:r>
              <w:rPr>
                <w:sz w:val="24"/>
              </w:rPr>
              <w:tab/>
            </w:r>
            <w:r>
              <w:rPr>
                <w:spacing w:val="-10"/>
                <w:sz w:val="24"/>
              </w:rPr>
              <w:t>-</w:t>
            </w:r>
            <w:r>
              <w:rPr>
                <w:sz w:val="24"/>
              </w:rPr>
              <w:tab/>
            </w:r>
            <w:r>
              <w:rPr>
                <w:spacing w:val="-2"/>
                <w:sz w:val="24"/>
              </w:rPr>
              <w:t>€79,999</w:t>
            </w:r>
          </w:p>
        </w:tc>
        <w:tc>
          <w:tcPr>
            <w:tcW w:w="1275" w:type="dxa"/>
          </w:tcPr>
          <w:p>
            <w:pPr>
              <w:pStyle w:val="TableParagraph"/>
              <w:spacing w:before="35"/>
              <w:ind w:right="106"/>
              <w:jc w:val="right"/>
              <w:rPr>
                <w:sz w:val="24"/>
              </w:rPr>
            </w:pPr>
            <w:r>
              <w:rPr>
                <w:spacing w:val="-5"/>
                <w:sz w:val="24"/>
              </w:rPr>
              <w:t>11</w:t>
            </w:r>
          </w:p>
        </w:tc>
        <w:tc>
          <w:tcPr>
            <w:tcW w:w="1418" w:type="dxa"/>
            <w:shd w:val="clear" w:color="auto" w:fill="E4E4E4"/>
          </w:tcPr>
          <w:p>
            <w:pPr>
              <w:pStyle w:val="TableParagraph"/>
              <w:spacing w:before="35"/>
              <w:ind w:right="106"/>
              <w:jc w:val="right"/>
              <w:rPr>
                <w:sz w:val="24"/>
              </w:rPr>
            </w:pPr>
            <w:r>
              <w:rPr>
                <w:spacing w:val="-10"/>
                <w:sz w:val="24"/>
              </w:rPr>
              <w:t>9</w:t>
            </w:r>
          </w:p>
        </w:tc>
      </w:tr>
      <w:tr>
        <w:trPr>
          <w:trHeight w:val="347" w:hRule="atLeast"/>
        </w:trPr>
        <w:tc>
          <w:tcPr>
            <w:tcW w:w="6131" w:type="dxa"/>
          </w:tcPr>
          <w:p>
            <w:pPr>
              <w:pStyle w:val="TableParagraph"/>
              <w:tabs>
                <w:tab w:pos="1243" w:val="left" w:leader="none"/>
                <w:tab w:pos="1521" w:val="left" w:leader="none"/>
              </w:tabs>
              <w:spacing w:before="35"/>
              <w:ind w:left="107"/>
              <w:rPr>
                <w:sz w:val="24"/>
              </w:rPr>
            </w:pPr>
            <w:r>
              <w:rPr>
                <w:spacing w:val="-2"/>
                <w:sz w:val="24"/>
              </w:rPr>
              <w:t>€80,000</w:t>
            </w:r>
            <w:r>
              <w:rPr>
                <w:sz w:val="24"/>
              </w:rPr>
              <w:tab/>
            </w:r>
            <w:r>
              <w:rPr>
                <w:spacing w:val="-10"/>
                <w:sz w:val="24"/>
              </w:rPr>
              <w:t>-</w:t>
            </w:r>
            <w:r>
              <w:rPr>
                <w:sz w:val="24"/>
              </w:rPr>
              <w:tab/>
            </w:r>
            <w:r>
              <w:rPr>
                <w:spacing w:val="-2"/>
                <w:sz w:val="24"/>
              </w:rPr>
              <w:t>€89,999</w:t>
            </w:r>
          </w:p>
        </w:tc>
        <w:tc>
          <w:tcPr>
            <w:tcW w:w="1275" w:type="dxa"/>
          </w:tcPr>
          <w:p>
            <w:pPr>
              <w:pStyle w:val="TableParagraph"/>
              <w:spacing w:before="35"/>
              <w:ind w:right="106"/>
              <w:jc w:val="right"/>
              <w:rPr>
                <w:sz w:val="24"/>
              </w:rPr>
            </w:pPr>
            <w:r>
              <w:rPr>
                <w:spacing w:val="-10"/>
                <w:sz w:val="24"/>
              </w:rPr>
              <w:t>1</w:t>
            </w:r>
          </w:p>
        </w:tc>
        <w:tc>
          <w:tcPr>
            <w:tcW w:w="1418" w:type="dxa"/>
            <w:shd w:val="clear" w:color="auto" w:fill="E4E4E4"/>
          </w:tcPr>
          <w:p>
            <w:pPr>
              <w:pStyle w:val="TableParagraph"/>
              <w:spacing w:before="35"/>
              <w:ind w:right="106"/>
              <w:jc w:val="right"/>
              <w:rPr>
                <w:sz w:val="24"/>
              </w:rPr>
            </w:pPr>
            <w:r>
              <w:rPr>
                <w:spacing w:val="-10"/>
                <w:sz w:val="24"/>
              </w:rPr>
              <w:t>2</w:t>
            </w:r>
          </w:p>
        </w:tc>
      </w:tr>
      <w:tr>
        <w:trPr>
          <w:trHeight w:val="348" w:hRule="atLeast"/>
        </w:trPr>
        <w:tc>
          <w:tcPr>
            <w:tcW w:w="6131" w:type="dxa"/>
          </w:tcPr>
          <w:p>
            <w:pPr>
              <w:pStyle w:val="TableParagraph"/>
              <w:tabs>
                <w:tab w:pos="1243" w:val="left" w:leader="none"/>
                <w:tab w:pos="1521" w:val="left" w:leader="none"/>
              </w:tabs>
              <w:spacing w:before="35"/>
              <w:ind w:left="107"/>
              <w:rPr>
                <w:sz w:val="24"/>
              </w:rPr>
            </w:pPr>
            <w:r>
              <w:rPr>
                <w:spacing w:val="-2"/>
                <w:sz w:val="24"/>
              </w:rPr>
              <w:t>€90,000</w:t>
            </w:r>
            <w:r>
              <w:rPr>
                <w:sz w:val="24"/>
              </w:rPr>
              <w:tab/>
            </w:r>
            <w:r>
              <w:rPr>
                <w:spacing w:val="-10"/>
                <w:sz w:val="24"/>
              </w:rPr>
              <w:t>-</w:t>
            </w:r>
            <w:r>
              <w:rPr>
                <w:sz w:val="24"/>
              </w:rPr>
              <w:tab/>
            </w:r>
            <w:r>
              <w:rPr>
                <w:spacing w:val="-2"/>
                <w:sz w:val="24"/>
              </w:rPr>
              <w:t>€99,999</w:t>
            </w:r>
          </w:p>
        </w:tc>
        <w:tc>
          <w:tcPr>
            <w:tcW w:w="1275" w:type="dxa"/>
          </w:tcPr>
          <w:p>
            <w:pPr>
              <w:pStyle w:val="TableParagraph"/>
              <w:spacing w:before="35"/>
              <w:ind w:right="106"/>
              <w:jc w:val="right"/>
              <w:rPr>
                <w:sz w:val="24"/>
              </w:rPr>
            </w:pPr>
            <w:r>
              <w:rPr>
                <w:spacing w:val="-10"/>
                <w:sz w:val="24"/>
              </w:rPr>
              <w:t>2</w:t>
            </w:r>
          </w:p>
        </w:tc>
        <w:tc>
          <w:tcPr>
            <w:tcW w:w="1418" w:type="dxa"/>
            <w:shd w:val="clear" w:color="auto" w:fill="E4E4E4"/>
          </w:tcPr>
          <w:p>
            <w:pPr>
              <w:pStyle w:val="TableParagraph"/>
              <w:spacing w:before="35"/>
              <w:ind w:right="106"/>
              <w:jc w:val="right"/>
              <w:rPr>
                <w:sz w:val="24"/>
              </w:rPr>
            </w:pPr>
            <w:r>
              <w:rPr>
                <w:spacing w:val="-10"/>
                <w:sz w:val="24"/>
              </w:rPr>
              <w:t>2</w:t>
            </w:r>
          </w:p>
        </w:tc>
      </w:tr>
      <w:tr>
        <w:trPr>
          <w:trHeight w:val="408" w:hRule="atLeast"/>
        </w:trPr>
        <w:tc>
          <w:tcPr>
            <w:tcW w:w="6131" w:type="dxa"/>
          </w:tcPr>
          <w:p>
            <w:pPr>
              <w:pStyle w:val="TableParagraph"/>
              <w:spacing w:before="35"/>
              <w:ind w:left="107"/>
              <w:rPr>
                <w:sz w:val="24"/>
              </w:rPr>
            </w:pPr>
            <w:r>
              <w:rPr>
                <w:sz w:val="24"/>
              </w:rPr>
              <w:t>Greater</w:t>
            </w:r>
            <w:r>
              <w:rPr>
                <w:spacing w:val="-1"/>
                <w:sz w:val="24"/>
              </w:rPr>
              <w:t> </w:t>
            </w:r>
            <w:r>
              <w:rPr>
                <w:sz w:val="24"/>
              </w:rPr>
              <w:t>than </w:t>
            </w:r>
            <w:r>
              <w:rPr>
                <w:spacing w:val="-2"/>
                <w:sz w:val="24"/>
              </w:rPr>
              <w:t>€100,000</w:t>
            </w:r>
          </w:p>
        </w:tc>
        <w:tc>
          <w:tcPr>
            <w:tcW w:w="1275" w:type="dxa"/>
            <w:tcBorders>
              <w:bottom w:val="single" w:sz="4" w:space="0" w:color="000000"/>
            </w:tcBorders>
          </w:tcPr>
          <w:p>
            <w:pPr>
              <w:pStyle w:val="TableParagraph"/>
              <w:spacing w:before="35"/>
              <w:ind w:right="106"/>
              <w:jc w:val="right"/>
              <w:rPr>
                <w:sz w:val="24"/>
              </w:rPr>
            </w:pPr>
            <w:r>
              <w:rPr>
                <w:spacing w:val="-10"/>
                <w:sz w:val="24"/>
              </w:rPr>
              <w:t>1</w:t>
            </w:r>
          </w:p>
        </w:tc>
        <w:tc>
          <w:tcPr>
            <w:tcW w:w="1418" w:type="dxa"/>
            <w:tcBorders>
              <w:bottom w:val="single" w:sz="4" w:space="0" w:color="000000"/>
            </w:tcBorders>
            <w:shd w:val="clear" w:color="auto" w:fill="E4E4E4"/>
          </w:tcPr>
          <w:p>
            <w:pPr>
              <w:pStyle w:val="TableParagraph"/>
              <w:spacing w:before="35"/>
              <w:ind w:right="105"/>
              <w:jc w:val="right"/>
              <w:rPr>
                <w:sz w:val="24"/>
              </w:rPr>
            </w:pPr>
            <w:r>
              <w:rPr>
                <w:spacing w:val="-10"/>
                <w:sz w:val="24"/>
              </w:rPr>
              <w:t>-</w:t>
            </w:r>
          </w:p>
        </w:tc>
      </w:tr>
      <w:tr>
        <w:trPr>
          <w:trHeight w:val="347" w:hRule="atLeast"/>
        </w:trPr>
        <w:tc>
          <w:tcPr>
            <w:tcW w:w="6131" w:type="dxa"/>
          </w:tcPr>
          <w:p>
            <w:pPr>
              <w:pStyle w:val="TableParagraph"/>
              <w:spacing w:line="252" w:lineRule="exact"/>
              <w:ind w:left="107"/>
              <w:rPr>
                <w:b/>
                <w:sz w:val="24"/>
              </w:rPr>
            </w:pPr>
            <w:r>
              <w:rPr>
                <w:b/>
                <w:sz w:val="24"/>
              </w:rPr>
              <w:t>Total</w:t>
            </w:r>
            <w:r>
              <w:rPr>
                <w:b/>
                <w:spacing w:val="-3"/>
                <w:sz w:val="24"/>
              </w:rPr>
              <w:t> </w:t>
            </w:r>
            <w:r>
              <w:rPr>
                <w:b/>
                <w:sz w:val="24"/>
              </w:rPr>
              <w:t>number</w:t>
            </w:r>
            <w:r>
              <w:rPr>
                <w:b/>
                <w:spacing w:val="-2"/>
                <w:sz w:val="24"/>
              </w:rPr>
              <w:t> employed</w:t>
            </w:r>
          </w:p>
        </w:tc>
        <w:tc>
          <w:tcPr>
            <w:tcW w:w="1275" w:type="dxa"/>
            <w:tcBorders>
              <w:top w:val="single" w:sz="4" w:space="0" w:color="000000"/>
            </w:tcBorders>
          </w:tcPr>
          <w:p>
            <w:pPr>
              <w:pStyle w:val="TableParagraph"/>
              <w:spacing w:line="252" w:lineRule="exact"/>
              <w:ind w:right="106"/>
              <w:jc w:val="right"/>
              <w:rPr>
                <w:sz w:val="24"/>
              </w:rPr>
            </w:pPr>
            <w:r>
              <w:rPr>
                <w:spacing w:val="-5"/>
                <w:sz w:val="24"/>
              </w:rPr>
              <w:t>37</w:t>
            </w:r>
          </w:p>
        </w:tc>
        <w:tc>
          <w:tcPr>
            <w:tcW w:w="1418" w:type="dxa"/>
            <w:tcBorders>
              <w:top w:val="single" w:sz="4" w:space="0" w:color="000000"/>
            </w:tcBorders>
            <w:shd w:val="clear" w:color="auto" w:fill="E4E4E4"/>
          </w:tcPr>
          <w:p>
            <w:pPr>
              <w:pStyle w:val="TableParagraph"/>
              <w:spacing w:line="252" w:lineRule="exact"/>
              <w:ind w:right="106"/>
              <w:jc w:val="right"/>
              <w:rPr>
                <w:sz w:val="24"/>
              </w:rPr>
            </w:pPr>
            <w:r>
              <w:rPr>
                <w:spacing w:val="-5"/>
                <w:sz w:val="24"/>
              </w:rPr>
              <w:t>34</w:t>
            </w:r>
          </w:p>
        </w:tc>
      </w:tr>
    </w:tbl>
    <w:p>
      <w:pPr>
        <w:pStyle w:val="BodyText"/>
        <w:spacing w:before="47"/>
        <w:rPr>
          <w:b/>
          <w:sz w:val="24"/>
        </w:rPr>
      </w:pPr>
    </w:p>
    <w:p>
      <w:pPr>
        <w:spacing w:before="0"/>
        <w:ind w:left="1702" w:right="0" w:firstLine="0"/>
        <w:jc w:val="left"/>
        <w:rPr>
          <w:i/>
          <w:sz w:val="24"/>
        </w:rPr>
      </w:pPr>
      <w:r>
        <w:rPr>
          <w:i/>
          <w:sz w:val="24"/>
          <w:u w:val="single"/>
        </w:rPr>
        <w:t>Authority Members</w:t>
      </w:r>
      <w:r>
        <w:rPr>
          <w:i/>
          <w:spacing w:val="-3"/>
          <w:sz w:val="24"/>
          <w:u w:val="single"/>
        </w:rPr>
        <w:t> </w:t>
      </w:r>
      <w:r>
        <w:rPr>
          <w:i/>
          <w:sz w:val="24"/>
          <w:u w:val="single"/>
        </w:rPr>
        <w:t>Fees</w:t>
      </w:r>
      <w:r>
        <w:rPr>
          <w:i/>
          <w:spacing w:val="-2"/>
          <w:sz w:val="24"/>
          <w:u w:val="single"/>
        </w:rPr>
        <w:t> </w:t>
      </w:r>
      <w:r>
        <w:rPr>
          <w:i/>
          <w:sz w:val="24"/>
          <w:u w:val="single"/>
        </w:rPr>
        <w:t>and </w:t>
      </w:r>
      <w:r>
        <w:rPr>
          <w:i/>
          <w:spacing w:val="-2"/>
          <w:sz w:val="24"/>
          <w:u w:val="single"/>
        </w:rPr>
        <w:t>Expenses</w:t>
      </w:r>
    </w:p>
    <w:p>
      <w:pPr>
        <w:pStyle w:val="BodyText"/>
        <w:spacing w:before="139"/>
        <w:rPr>
          <w:i/>
          <w:sz w:val="24"/>
        </w:rPr>
      </w:pPr>
    </w:p>
    <w:p>
      <w:pPr>
        <w:spacing w:line="300" w:lineRule="auto" w:before="1"/>
        <w:ind w:left="1702" w:right="989" w:firstLine="0"/>
        <w:jc w:val="both"/>
        <w:rPr>
          <w:sz w:val="24"/>
        </w:rPr>
      </w:pPr>
      <w:r>
        <w:rPr>
          <w:sz w:val="24"/>
        </w:rPr>
        <w:t>Authority</w:t>
      </w:r>
      <w:r>
        <w:rPr>
          <w:spacing w:val="-14"/>
          <w:sz w:val="24"/>
        </w:rPr>
        <w:t> </w:t>
      </w:r>
      <w:r>
        <w:rPr>
          <w:sz w:val="24"/>
        </w:rPr>
        <w:t>fees</w:t>
      </w:r>
      <w:r>
        <w:rPr>
          <w:spacing w:val="-15"/>
          <w:sz w:val="24"/>
        </w:rPr>
        <w:t> </w:t>
      </w:r>
      <w:r>
        <w:rPr>
          <w:sz w:val="24"/>
        </w:rPr>
        <w:t>shown</w:t>
      </w:r>
      <w:r>
        <w:rPr>
          <w:spacing w:val="-14"/>
          <w:sz w:val="24"/>
        </w:rPr>
        <w:t> </w:t>
      </w:r>
      <w:r>
        <w:rPr>
          <w:sz w:val="24"/>
        </w:rPr>
        <w:t>in</w:t>
      </w:r>
      <w:r>
        <w:rPr>
          <w:spacing w:val="-14"/>
          <w:sz w:val="24"/>
        </w:rPr>
        <w:t> </w:t>
      </w:r>
      <w:r>
        <w:rPr>
          <w:sz w:val="24"/>
        </w:rPr>
        <w:t>note</w:t>
      </w:r>
      <w:r>
        <w:rPr>
          <w:spacing w:val="-14"/>
          <w:sz w:val="24"/>
        </w:rPr>
        <w:t> </w:t>
      </w:r>
      <w:r>
        <w:rPr>
          <w:sz w:val="24"/>
        </w:rPr>
        <w:t>6</w:t>
      </w:r>
      <w:r>
        <w:rPr>
          <w:spacing w:val="-14"/>
          <w:sz w:val="24"/>
        </w:rPr>
        <w:t> </w:t>
      </w:r>
      <w:r>
        <w:rPr>
          <w:sz w:val="24"/>
        </w:rPr>
        <w:t>are</w:t>
      </w:r>
      <w:r>
        <w:rPr>
          <w:spacing w:val="-14"/>
          <w:sz w:val="24"/>
        </w:rPr>
        <w:t> </w:t>
      </w:r>
      <w:r>
        <w:rPr>
          <w:sz w:val="24"/>
        </w:rPr>
        <w:t>inclusive</w:t>
      </w:r>
      <w:r>
        <w:rPr>
          <w:spacing w:val="-15"/>
          <w:sz w:val="24"/>
        </w:rPr>
        <w:t> </w:t>
      </w:r>
      <w:r>
        <w:rPr>
          <w:sz w:val="24"/>
        </w:rPr>
        <w:t>of</w:t>
      </w:r>
      <w:r>
        <w:rPr>
          <w:spacing w:val="-14"/>
          <w:sz w:val="24"/>
        </w:rPr>
        <w:t> </w:t>
      </w:r>
      <w:r>
        <w:rPr>
          <w:sz w:val="24"/>
        </w:rPr>
        <w:t>accruals</w:t>
      </w:r>
      <w:r>
        <w:rPr>
          <w:spacing w:val="-15"/>
          <w:sz w:val="24"/>
        </w:rPr>
        <w:t> </w:t>
      </w:r>
      <w:r>
        <w:rPr>
          <w:sz w:val="24"/>
        </w:rPr>
        <w:t>of</w:t>
      </w:r>
      <w:r>
        <w:rPr>
          <w:spacing w:val="-14"/>
          <w:sz w:val="24"/>
        </w:rPr>
        <w:t> </w:t>
      </w:r>
      <w:r>
        <w:rPr>
          <w:sz w:val="24"/>
        </w:rPr>
        <w:t>€279</w:t>
      </w:r>
      <w:r>
        <w:rPr>
          <w:spacing w:val="-14"/>
          <w:sz w:val="24"/>
        </w:rPr>
        <w:t> </w:t>
      </w:r>
      <w:r>
        <w:rPr>
          <w:sz w:val="24"/>
        </w:rPr>
        <w:t>and</w:t>
      </w:r>
      <w:r>
        <w:rPr>
          <w:spacing w:val="-16"/>
          <w:sz w:val="24"/>
        </w:rPr>
        <w:t> </w:t>
      </w:r>
      <w:r>
        <w:rPr>
          <w:sz w:val="24"/>
        </w:rPr>
        <w:t>€166</w:t>
      </w:r>
      <w:r>
        <w:rPr>
          <w:spacing w:val="-14"/>
          <w:sz w:val="24"/>
        </w:rPr>
        <w:t> </w:t>
      </w:r>
      <w:r>
        <w:rPr>
          <w:sz w:val="24"/>
        </w:rPr>
        <w:t>for</w:t>
      </w:r>
      <w:r>
        <w:rPr>
          <w:spacing w:val="-14"/>
          <w:sz w:val="24"/>
        </w:rPr>
        <w:t> </w:t>
      </w:r>
      <w:r>
        <w:rPr>
          <w:sz w:val="24"/>
        </w:rPr>
        <w:t>2016 and 2017 respectively.</w:t>
      </w:r>
    </w:p>
    <w:p>
      <w:pPr>
        <w:pStyle w:val="BodyText"/>
        <w:spacing w:before="69"/>
        <w:rPr>
          <w:sz w:val="24"/>
        </w:rPr>
      </w:pPr>
    </w:p>
    <w:p>
      <w:pPr>
        <w:spacing w:line="300" w:lineRule="auto" w:before="0"/>
        <w:ind w:left="1702" w:right="988" w:firstLine="0"/>
        <w:jc w:val="both"/>
        <w:rPr>
          <w:sz w:val="24"/>
        </w:rPr>
      </w:pPr>
      <w:r>
        <w:rPr>
          <w:sz w:val="24"/>
        </w:rPr>
        <w:t>Mr Donie O’Leary also received expenses to the value of €342 in respect of his membership of the Disability Stakeholder Group and its sub-committee. These expenses are disbursed by the NDA and captured under the Projects and Commissions heading.</w:t>
      </w:r>
    </w:p>
    <w:p>
      <w:pPr>
        <w:spacing w:after="0" w:line="300" w:lineRule="auto"/>
        <w:jc w:val="both"/>
        <w:rPr>
          <w:sz w:val="24"/>
        </w:rPr>
        <w:sectPr>
          <w:type w:val="continuous"/>
          <w:pgSz w:w="11910" w:h="16850"/>
          <w:pgMar w:header="0" w:footer="811" w:top="1940" w:bottom="280" w:left="283" w:right="992"/>
        </w:sectPr>
      </w:pPr>
    </w:p>
    <w:p>
      <w:pPr>
        <w:spacing w:before="78"/>
        <w:ind w:left="1702" w:right="0" w:firstLine="0"/>
        <w:jc w:val="left"/>
        <w:rPr>
          <w:i/>
          <w:sz w:val="24"/>
        </w:rPr>
      </w:pPr>
      <w:r>
        <w:rPr>
          <w:i/>
          <w:sz w:val="24"/>
          <w:u w:val="single"/>
        </w:rPr>
        <w:t>Director’s</w:t>
      </w:r>
      <w:r>
        <w:rPr>
          <w:i/>
          <w:spacing w:val="-2"/>
          <w:sz w:val="24"/>
          <w:u w:val="single"/>
        </w:rPr>
        <w:t> Remuneration</w:t>
      </w:r>
    </w:p>
    <w:p>
      <w:pPr>
        <w:pStyle w:val="BodyText"/>
        <w:spacing w:before="139"/>
        <w:rPr>
          <w:i/>
          <w:sz w:val="24"/>
        </w:rPr>
      </w:pPr>
    </w:p>
    <w:p>
      <w:pPr>
        <w:spacing w:line="300" w:lineRule="auto" w:before="0"/>
        <w:ind w:left="1702" w:right="988" w:firstLine="0"/>
        <w:jc w:val="both"/>
        <w:rPr>
          <w:sz w:val="24"/>
        </w:rPr>
      </w:pPr>
      <w:r>
        <w:rPr>
          <w:sz w:val="24"/>
        </w:rPr>
        <w:t>The Director was paid a salary in 2017 of €98,033 (2016: €95,816) on the Civil Service Principal Officer Higher Scale.</w:t>
      </w:r>
      <w:r>
        <w:rPr>
          <w:spacing w:val="40"/>
          <w:sz w:val="24"/>
        </w:rPr>
        <w:t> </w:t>
      </w:r>
      <w:r>
        <w:rPr>
          <w:sz w:val="24"/>
        </w:rPr>
        <w:t>The increase year on year relates to one less fortnightly pay period in 2016. The Director did not receive a pay increase and no other payment</w:t>
      </w:r>
      <w:r>
        <w:rPr>
          <w:spacing w:val="-1"/>
          <w:sz w:val="24"/>
        </w:rPr>
        <w:t> </w:t>
      </w:r>
      <w:r>
        <w:rPr>
          <w:sz w:val="24"/>
        </w:rPr>
        <w:t>was made in the</w:t>
      </w:r>
      <w:r>
        <w:rPr>
          <w:spacing w:val="-3"/>
          <w:sz w:val="24"/>
        </w:rPr>
        <w:t> </w:t>
      </w:r>
      <w:r>
        <w:rPr>
          <w:sz w:val="24"/>
        </w:rPr>
        <w:t>year to</w:t>
      </w:r>
      <w:r>
        <w:rPr>
          <w:spacing w:val="-1"/>
          <w:sz w:val="24"/>
        </w:rPr>
        <w:t> </w:t>
      </w:r>
      <w:r>
        <w:rPr>
          <w:sz w:val="24"/>
        </w:rPr>
        <w:t>the Director</w:t>
      </w:r>
      <w:r>
        <w:rPr>
          <w:spacing w:val="-1"/>
          <w:sz w:val="24"/>
        </w:rPr>
        <w:t> </w:t>
      </w:r>
      <w:r>
        <w:rPr>
          <w:sz w:val="24"/>
        </w:rPr>
        <w:t>in the nature</w:t>
      </w:r>
      <w:r>
        <w:rPr>
          <w:spacing w:val="-2"/>
          <w:sz w:val="24"/>
        </w:rPr>
        <w:t> </w:t>
      </w:r>
      <w:r>
        <w:rPr>
          <w:sz w:val="24"/>
        </w:rPr>
        <w:t>of pay. The Director is a member of the Department of Justice and Equality superannuation scheme</w:t>
      </w:r>
      <w:r>
        <w:rPr>
          <w:spacing w:val="-1"/>
          <w:sz w:val="24"/>
        </w:rPr>
        <w:t> </w:t>
      </w:r>
      <w:r>
        <w:rPr>
          <w:sz w:val="24"/>
        </w:rPr>
        <w:t>and her entitlements do</w:t>
      </w:r>
      <w:r>
        <w:rPr>
          <w:spacing w:val="-1"/>
          <w:sz w:val="24"/>
        </w:rPr>
        <w:t> </w:t>
      </w:r>
      <w:r>
        <w:rPr>
          <w:sz w:val="24"/>
        </w:rPr>
        <w:t>not extend beyond the</w:t>
      </w:r>
      <w:r>
        <w:rPr>
          <w:spacing w:val="-1"/>
          <w:sz w:val="24"/>
        </w:rPr>
        <w:t> </w:t>
      </w:r>
      <w:r>
        <w:rPr>
          <w:sz w:val="24"/>
        </w:rPr>
        <w:t>standard entitlements available under such a scheme.</w:t>
      </w:r>
    </w:p>
    <w:p>
      <w:pPr>
        <w:pStyle w:val="BodyText"/>
        <w:spacing w:before="71"/>
        <w:rPr>
          <w:sz w:val="24"/>
        </w:rPr>
      </w:pPr>
    </w:p>
    <w:p>
      <w:pPr>
        <w:spacing w:before="0"/>
        <w:ind w:left="1702" w:right="0" w:firstLine="0"/>
        <w:jc w:val="both"/>
        <w:rPr>
          <w:i/>
          <w:sz w:val="24"/>
        </w:rPr>
      </w:pPr>
      <w:r>
        <w:rPr>
          <w:i/>
          <w:sz w:val="24"/>
          <w:u w:val="single"/>
        </w:rPr>
        <w:t>Pension</w:t>
      </w:r>
      <w:r>
        <w:rPr>
          <w:i/>
          <w:spacing w:val="-4"/>
          <w:sz w:val="24"/>
          <w:u w:val="single"/>
        </w:rPr>
        <w:t> </w:t>
      </w:r>
      <w:r>
        <w:rPr>
          <w:i/>
          <w:sz w:val="24"/>
          <w:u w:val="single"/>
        </w:rPr>
        <w:t>Related</w:t>
      </w:r>
      <w:r>
        <w:rPr>
          <w:i/>
          <w:spacing w:val="-5"/>
          <w:sz w:val="24"/>
          <w:u w:val="single"/>
        </w:rPr>
        <w:t> </w:t>
      </w:r>
      <w:r>
        <w:rPr>
          <w:i/>
          <w:spacing w:val="-2"/>
          <w:sz w:val="24"/>
          <w:u w:val="single"/>
        </w:rPr>
        <w:t>Deductions</w:t>
      </w:r>
    </w:p>
    <w:p>
      <w:pPr>
        <w:pStyle w:val="BodyText"/>
        <w:spacing w:before="139"/>
        <w:rPr>
          <w:i/>
          <w:sz w:val="24"/>
        </w:rPr>
      </w:pPr>
    </w:p>
    <w:p>
      <w:pPr>
        <w:spacing w:line="300" w:lineRule="auto" w:before="1"/>
        <w:ind w:left="1702" w:right="993" w:firstLine="0"/>
        <w:jc w:val="both"/>
        <w:rPr>
          <w:sz w:val="24"/>
        </w:rPr>
      </w:pPr>
      <w:r>
        <w:rPr>
          <w:sz w:val="24"/>
        </w:rPr>
        <w:t>€95,978 (2016: €95,612) was deducted from staff by way of the Pension Related Deductions and held by the Department of Justice and Equality on behalf of the </w:t>
      </w:r>
      <w:r>
        <w:rPr>
          <w:spacing w:val="-4"/>
          <w:sz w:val="24"/>
        </w:rPr>
        <w:t>NDA.</w:t>
      </w:r>
    </w:p>
    <w:p>
      <w:pPr>
        <w:pStyle w:val="BodyText"/>
        <w:spacing w:before="67"/>
        <w:rPr>
          <w:sz w:val="24"/>
        </w:rPr>
      </w:pPr>
    </w:p>
    <w:p>
      <w:pPr>
        <w:spacing w:before="1"/>
        <w:ind w:left="1702" w:right="0" w:firstLine="0"/>
        <w:jc w:val="both"/>
        <w:rPr>
          <w:i/>
          <w:sz w:val="24"/>
        </w:rPr>
      </w:pPr>
      <w:r>
        <w:rPr>
          <w:i/>
          <w:sz w:val="24"/>
          <w:u w:val="single"/>
        </w:rPr>
        <w:t>Authority</w:t>
      </w:r>
      <w:r>
        <w:rPr>
          <w:i/>
          <w:spacing w:val="-1"/>
          <w:sz w:val="24"/>
          <w:u w:val="single"/>
        </w:rPr>
        <w:t> </w:t>
      </w:r>
      <w:r>
        <w:rPr>
          <w:i/>
          <w:spacing w:val="-2"/>
          <w:sz w:val="24"/>
          <w:u w:val="single"/>
        </w:rPr>
        <w:t>Meetings</w:t>
      </w:r>
    </w:p>
    <w:p>
      <w:pPr>
        <w:pStyle w:val="BodyText"/>
        <w:spacing w:before="139"/>
        <w:rPr>
          <w:i/>
          <w:sz w:val="24"/>
        </w:rPr>
      </w:pPr>
    </w:p>
    <w:p>
      <w:pPr>
        <w:spacing w:line="300" w:lineRule="auto" w:before="0"/>
        <w:ind w:left="1702" w:right="988" w:firstLine="0"/>
        <w:jc w:val="left"/>
        <w:rPr>
          <w:sz w:val="24"/>
        </w:rPr>
      </w:pPr>
      <w:r>
        <w:rPr>
          <w:sz w:val="24"/>
        </w:rPr>
        <w:t>During 2017, six Authority meetings were held. Ms. Aisling Glynn was appointed to the Authority on 6 June 2017.</w:t>
      </w:r>
    </w:p>
    <w:p>
      <w:pPr>
        <w:pStyle w:val="BodyText"/>
        <w:spacing w:before="70"/>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z w:val="24"/>
        </w:rPr>
        <w:t>Capital</w:t>
      </w:r>
      <w:r>
        <w:rPr>
          <w:b/>
          <w:spacing w:val="-2"/>
          <w:sz w:val="24"/>
        </w:rPr>
        <w:t> Account</w:t>
      </w:r>
    </w:p>
    <w:p>
      <w:pPr>
        <w:pStyle w:val="BodyText"/>
        <w:spacing w:before="10"/>
        <w:rPr>
          <w:b/>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5"/>
        <w:gridCol w:w="1337"/>
        <w:gridCol w:w="1276"/>
      </w:tblGrid>
      <w:tr>
        <w:trPr>
          <w:trHeight w:val="634" w:hRule="atLeast"/>
        </w:trPr>
        <w:tc>
          <w:tcPr>
            <w:tcW w:w="5585" w:type="dxa"/>
          </w:tcPr>
          <w:p>
            <w:pPr>
              <w:pStyle w:val="TableParagraph"/>
              <w:rPr>
                <w:rFonts w:ascii="Times New Roman"/>
                <w:sz w:val="24"/>
              </w:rPr>
            </w:pPr>
          </w:p>
        </w:tc>
        <w:tc>
          <w:tcPr>
            <w:tcW w:w="1337" w:type="dxa"/>
          </w:tcPr>
          <w:p>
            <w:pPr>
              <w:pStyle w:val="TableParagraph"/>
              <w:spacing w:line="252" w:lineRule="exact"/>
              <w:ind w:right="108"/>
              <w:jc w:val="right"/>
              <w:rPr>
                <w:b/>
                <w:sz w:val="24"/>
              </w:rPr>
            </w:pPr>
            <w:r>
              <w:rPr>
                <w:b/>
                <w:spacing w:val="-4"/>
                <w:sz w:val="24"/>
              </w:rPr>
              <w:t>2017</w:t>
            </w:r>
          </w:p>
          <w:p>
            <w:pPr>
              <w:pStyle w:val="TableParagraph"/>
              <w:spacing w:before="69"/>
              <w:ind w:right="106"/>
              <w:jc w:val="right"/>
              <w:rPr>
                <w:b/>
                <w:sz w:val="24"/>
              </w:rPr>
            </w:pPr>
            <w:r>
              <w:rPr>
                <w:b/>
                <w:spacing w:val="-10"/>
                <w:sz w:val="24"/>
              </w:rPr>
              <w:t>€</w:t>
            </w:r>
          </w:p>
        </w:tc>
        <w:tc>
          <w:tcPr>
            <w:tcW w:w="1276" w:type="dxa"/>
            <w:shd w:val="clear" w:color="auto" w:fill="E4E4E4"/>
          </w:tcPr>
          <w:p>
            <w:pPr>
              <w:pStyle w:val="TableParagraph"/>
              <w:spacing w:line="252" w:lineRule="exact"/>
              <w:ind w:right="106"/>
              <w:jc w:val="right"/>
              <w:rPr>
                <w:b/>
                <w:sz w:val="24"/>
              </w:rPr>
            </w:pPr>
            <w:r>
              <w:rPr>
                <w:b/>
                <w:spacing w:val="-4"/>
                <w:sz w:val="24"/>
              </w:rPr>
              <w:t>2016</w:t>
            </w:r>
          </w:p>
          <w:p>
            <w:pPr>
              <w:pStyle w:val="TableParagraph"/>
              <w:spacing w:before="69"/>
              <w:ind w:right="105"/>
              <w:jc w:val="right"/>
              <w:rPr>
                <w:b/>
                <w:sz w:val="24"/>
              </w:rPr>
            </w:pPr>
            <w:r>
              <w:rPr>
                <w:b/>
                <w:spacing w:val="-10"/>
                <w:sz w:val="24"/>
              </w:rPr>
              <w:t>€</w:t>
            </w:r>
          </w:p>
        </w:tc>
      </w:tr>
      <w:tr>
        <w:trPr>
          <w:trHeight w:val="348" w:hRule="atLeast"/>
        </w:trPr>
        <w:tc>
          <w:tcPr>
            <w:tcW w:w="5585" w:type="dxa"/>
          </w:tcPr>
          <w:p>
            <w:pPr>
              <w:pStyle w:val="TableParagraph"/>
              <w:spacing w:before="35"/>
              <w:ind w:left="50"/>
              <w:rPr>
                <w:sz w:val="24"/>
              </w:rPr>
            </w:pPr>
            <w:r>
              <w:rPr>
                <w:sz w:val="24"/>
              </w:rPr>
              <w:t>Opening </w:t>
            </w:r>
            <w:r>
              <w:rPr>
                <w:spacing w:val="-2"/>
                <w:sz w:val="24"/>
              </w:rPr>
              <w:t>balance</w:t>
            </w:r>
          </w:p>
        </w:tc>
        <w:tc>
          <w:tcPr>
            <w:tcW w:w="1337" w:type="dxa"/>
          </w:tcPr>
          <w:p>
            <w:pPr>
              <w:pStyle w:val="TableParagraph"/>
              <w:spacing w:before="35"/>
              <w:ind w:right="106"/>
              <w:jc w:val="right"/>
              <w:rPr>
                <w:sz w:val="24"/>
              </w:rPr>
            </w:pPr>
            <w:r>
              <w:rPr>
                <w:spacing w:val="-2"/>
                <w:sz w:val="24"/>
              </w:rPr>
              <w:t>3,093,047</w:t>
            </w:r>
          </w:p>
        </w:tc>
        <w:tc>
          <w:tcPr>
            <w:tcW w:w="1276" w:type="dxa"/>
            <w:shd w:val="clear" w:color="auto" w:fill="E4E4E4"/>
          </w:tcPr>
          <w:p>
            <w:pPr>
              <w:pStyle w:val="TableParagraph"/>
              <w:spacing w:before="35"/>
              <w:ind w:right="104"/>
              <w:jc w:val="right"/>
              <w:rPr>
                <w:sz w:val="24"/>
              </w:rPr>
            </w:pPr>
            <w:r>
              <w:rPr>
                <w:spacing w:val="-2"/>
                <w:sz w:val="24"/>
              </w:rPr>
              <w:t>2,729,241</w:t>
            </w:r>
          </w:p>
        </w:tc>
      </w:tr>
      <w:tr>
        <w:trPr>
          <w:trHeight w:val="696" w:hRule="atLeast"/>
        </w:trPr>
        <w:tc>
          <w:tcPr>
            <w:tcW w:w="5585" w:type="dxa"/>
          </w:tcPr>
          <w:p>
            <w:pPr>
              <w:pStyle w:val="TableParagraph"/>
              <w:spacing w:before="35"/>
              <w:ind w:left="50"/>
              <w:rPr>
                <w:sz w:val="24"/>
              </w:rPr>
            </w:pPr>
            <w:r>
              <w:rPr>
                <w:sz w:val="24"/>
              </w:rPr>
              <w:t>Income applied to</w:t>
            </w:r>
            <w:r>
              <w:rPr>
                <w:spacing w:val="-1"/>
                <w:sz w:val="24"/>
              </w:rPr>
              <w:t> </w:t>
            </w:r>
            <w:r>
              <w:rPr>
                <w:sz w:val="24"/>
              </w:rPr>
              <w:t>purchase of </w:t>
            </w:r>
            <w:r>
              <w:rPr>
                <w:spacing w:val="-2"/>
                <w:sz w:val="24"/>
              </w:rPr>
              <w:t>fixed</w:t>
            </w:r>
          </w:p>
          <w:p>
            <w:pPr>
              <w:pStyle w:val="TableParagraph"/>
              <w:spacing w:before="70"/>
              <w:ind w:left="50"/>
              <w:rPr>
                <w:sz w:val="24"/>
              </w:rPr>
            </w:pPr>
            <w:r>
              <w:rPr>
                <w:spacing w:val="-2"/>
                <w:sz w:val="24"/>
              </w:rPr>
              <w:t>assets</w:t>
            </w:r>
          </w:p>
        </w:tc>
        <w:tc>
          <w:tcPr>
            <w:tcW w:w="1337" w:type="dxa"/>
          </w:tcPr>
          <w:p>
            <w:pPr>
              <w:pStyle w:val="TableParagraph"/>
              <w:spacing w:before="104"/>
              <w:rPr>
                <w:b/>
                <w:sz w:val="24"/>
              </w:rPr>
            </w:pPr>
          </w:p>
          <w:p>
            <w:pPr>
              <w:pStyle w:val="TableParagraph"/>
              <w:spacing w:before="1"/>
              <w:ind w:right="105"/>
              <w:jc w:val="right"/>
              <w:rPr>
                <w:sz w:val="24"/>
              </w:rPr>
            </w:pPr>
            <w:r>
              <w:rPr>
                <w:spacing w:val="-10"/>
                <w:sz w:val="24"/>
              </w:rPr>
              <w:t>-</w:t>
            </w:r>
          </w:p>
        </w:tc>
        <w:tc>
          <w:tcPr>
            <w:tcW w:w="1276" w:type="dxa"/>
            <w:shd w:val="clear" w:color="auto" w:fill="E4E4E4"/>
          </w:tcPr>
          <w:p>
            <w:pPr>
              <w:pStyle w:val="TableParagraph"/>
              <w:spacing w:before="104"/>
              <w:rPr>
                <w:b/>
                <w:sz w:val="24"/>
              </w:rPr>
            </w:pPr>
          </w:p>
          <w:p>
            <w:pPr>
              <w:pStyle w:val="TableParagraph"/>
              <w:spacing w:before="1"/>
              <w:ind w:right="104"/>
              <w:jc w:val="right"/>
              <w:rPr>
                <w:sz w:val="24"/>
              </w:rPr>
            </w:pPr>
            <w:r>
              <w:rPr>
                <w:spacing w:val="-2"/>
                <w:sz w:val="24"/>
              </w:rPr>
              <w:t>434,411</w:t>
            </w:r>
          </w:p>
        </w:tc>
      </w:tr>
      <w:tr>
        <w:trPr>
          <w:trHeight w:val="617" w:hRule="atLeast"/>
        </w:trPr>
        <w:tc>
          <w:tcPr>
            <w:tcW w:w="5585" w:type="dxa"/>
          </w:tcPr>
          <w:p>
            <w:pPr>
              <w:pStyle w:val="TableParagraph"/>
              <w:spacing w:before="35"/>
              <w:ind w:left="50" w:right="1354"/>
              <w:rPr>
                <w:sz w:val="24"/>
              </w:rPr>
            </w:pPr>
            <w:r>
              <w:rPr>
                <w:sz w:val="24"/>
              </w:rPr>
              <w:t>Amortised</w:t>
            </w:r>
            <w:r>
              <w:rPr>
                <w:spacing w:val="-6"/>
                <w:sz w:val="24"/>
              </w:rPr>
              <w:t> </w:t>
            </w:r>
            <w:r>
              <w:rPr>
                <w:sz w:val="24"/>
              </w:rPr>
              <w:t>in</w:t>
            </w:r>
            <w:r>
              <w:rPr>
                <w:spacing w:val="-6"/>
                <w:sz w:val="24"/>
              </w:rPr>
              <w:t> </w:t>
            </w:r>
            <w:r>
              <w:rPr>
                <w:sz w:val="24"/>
              </w:rPr>
              <w:t>year</w:t>
            </w:r>
            <w:r>
              <w:rPr>
                <w:spacing w:val="-8"/>
                <w:sz w:val="24"/>
              </w:rPr>
              <w:t> </w:t>
            </w:r>
            <w:r>
              <w:rPr>
                <w:sz w:val="24"/>
              </w:rPr>
              <w:t>in</w:t>
            </w:r>
            <w:r>
              <w:rPr>
                <w:spacing w:val="-6"/>
                <w:sz w:val="24"/>
              </w:rPr>
              <w:t> </w:t>
            </w:r>
            <w:r>
              <w:rPr>
                <w:sz w:val="24"/>
              </w:rPr>
              <w:t>line</w:t>
            </w:r>
            <w:r>
              <w:rPr>
                <w:spacing w:val="-9"/>
                <w:sz w:val="24"/>
              </w:rPr>
              <w:t> </w:t>
            </w:r>
            <w:r>
              <w:rPr>
                <w:sz w:val="24"/>
              </w:rPr>
              <w:t>with</w:t>
            </w:r>
            <w:r>
              <w:rPr>
                <w:spacing w:val="-6"/>
                <w:sz w:val="24"/>
              </w:rPr>
              <w:t> </w:t>
            </w:r>
            <w:r>
              <w:rPr>
                <w:sz w:val="24"/>
              </w:rPr>
              <w:t>asset </w:t>
            </w:r>
            <w:r>
              <w:rPr>
                <w:spacing w:val="-2"/>
                <w:sz w:val="24"/>
              </w:rPr>
              <w:t>depreciation</w:t>
            </w:r>
          </w:p>
        </w:tc>
        <w:tc>
          <w:tcPr>
            <w:tcW w:w="1337" w:type="dxa"/>
            <w:tcBorders>
              <w:bottom w:val="single" w:sz="4" w:space="0" w:color="000000"/>
            </w:tcBorders>
          </w:tcPr>
          <w:p>
            <w:pPr>
              <w:pStyle w:val="TableParagraph"/>
              <w:spacing w:before="243"/>
              <w:ind w:right="107"/>
              <w:jc w:val="right"/>
              <w:rPr>
                <w:sz w:val="24"/>
              </w:rPr>
            </w:pPr>
            <w:r>
              <w:rPr>
                <w:spacing w:val="-2"/>
                <w:sz w:val="24"/>
              </w:rPr>
              <w:t>(78,981)</w:t>
            </w:r>
          </w:p>
        </w:tc>
        <w:tc>
          <w:tcPr>
            <w:tcW w:w="1276" w:type="dxa"/>
            <w:tcBorders>
              <w:bottom w:val="single" w:sz="4" w:space="0" w:color="000000"/>
            </w:tcBorders>
            <w:shd w:val="clear" w:color="auto" w:fill="E4E4E4"/>
          </w:tcPr>
          <w:p>
            <w:pPr>
              <w:pStyle w:val="TableParagraph"/>
              <w:spacing w:before="243"/>
              <w:ind w:right="105"/>
              <w:jc w:val="right"/>
              <w:rPr>
                <w:sz w:val="24"/>
              </w:rPr>
            </w:pPr>
            <w:r>
              <w:rPr>
                <w:spacing w:val="-2"/>
                <w:sz w:val="24"/>
              </w:rPr>
              <w:t>(70,605)</w:t>
            </w:r>
          </w:p>
        </w:tc>
      </w:tr>
      <w:tr>
        <w:trPr>
          <w:trHeight w:val="1113" w:hRule="atLeast"/>
        </w:trPr>
        <w:tc>
          <w:tcPr>
            <w:tcW w:w="5585" w:type="dxa"/>
          </w:tcPr>
          <w:p>
            <w:pPr>
              <w:pStyle w:val="TableParagraph"/>
              <w:spacing w:before="252"/>
              <w:ind w:left="50" w:right="1354"/>
              <w:rPr>
                <w:b/>
                <w:sz w:val="24"/>
              </w:rPr>
            </w:pPr>
            <w:r>
              <w:rPr>
                <w:b/>
                <w:sz w:val="24"/>
              </w:rPr>
              <w:t>Transfers</w:t>
            </w:r>
            <w:r>
              <w:rPr>
                <w:b/>
                <w:spacing w:val="-13"/>
                <w:sz w:val="24"/>
              </w:rPr>
              <w:t> </w:t>
            </w:r>
            <w:r>
              <w:rPr>
                <w:b/>
                <w:sz w:val="24"/>
              </w:rPr>
              <w:t>(to)/from</w:t>
            </w:r>
            <w:r>
              <w:rPr>
                <w:b/>
                <w:spacing w:val="-14"/>
                <w:sz w:val="24"/>
              </w:rPr>
              <w:t> </w:t>
            </w:r>
            <w:r>
              <w:rPr>
                <w:b/>
                <w:sz w:val="24"/>
              </w:rPr>
              <w:t>Statement</w:t>
            </w:r>
            <w:r>
              <w:rPr>
                <w:b/>
                <w:spacing w:val="-11"/>
                <w:sz w:val="24"/>
              </w:rPr>
              <w:t> </w:t>
            </w:r>
            <w:r>
              <w:rPr>
                <w:b/>
                <w:sz w:val="24"/>
              </w:rPr>
              <w:t>of Income and Expenditure and Revenue Reserves</w:t>
            </w:r>
          </w:p>
        </w:tc>
        <w:tc>
          <w:tcPr>
            <w:tcW w:w="1337" w:type="dxa"/>
            <w:tcBorders>
              <w:top w:val="single" w:sz="4" w:space="0" w:color="000000"/>
              <w:bottom w:val="single" w:sz="4" w:space="0" w:color="000000"/>
            </w:tcBorders>
          </w:tcPr>
          <w:p>
            <w:pPr>
              <w:pStyle w:val="TableParagraph"/>
              <w:rPr>
                <w:b/>
                <w:sz w:val="24"/>
              </w:rPr>
            </w:pPr>
          </w:p>
          <w:p>
            <w:pPr>
              <w:pStyle w:val="TableParagraph"/>
              <w:spacing w:before="182"/>
              <w:rPr>
                <w:b/>
                <w:sz w:val="24"/>
              </w:rPr>
            </w:pPr>
          </w:p>
          <w:p>
            <w:pPr>
              <w:pStyle w:val="TableParagraph"/>
              <w:ind w:right="107"/>
              <w:jc w:val="right"/>
              <w:rPr>
                <w:sz w:val="24"/>
              </w:rPr>
            </w:pPr>
            <w:r>
              <w:rPr>
                <w:spacing w:val="-2"/>
                <w:sz w:val="24"/>
              </w:rPr>
              <w:t>(78,981)</w:t>
            </w:r>
          </w:p>
        </w:tc>
        <w:tc>
          <w:tcPr>
            <w:tcW w:w="1276" w:type="dxa"/>
            <w:tcBorders>
              <w:top w:val="single" w:sz="4" w:space="0" w:color="000000"/>
              <w:bottom w:val="single" w:sz="4" w:space="0" w:color="000000"/>
            </w:tcBorders>
            <w:shd w:val="clear" w:color="auto" w:fill="E4E4E4"/>
          </w:tcPr>
          <w:p>
            <w:pPr>
              <w:pStyle w:val="TableParagraph"/>
              <w:rPr>
                <w:b/>
                <w:sz w:val="24"/>
              </w:rPr>
            </w:pPr>
          </w:p>
          <w:p>
            <w:pPr>
              <w:pStyle w:val="TableParagraph"/>
              <w:spacing w:before="182"/>
              <w:rPr>
                <w:b/>
                <w:sz w:val="24"/>
              </w:rPr>
            </w:pPr>
          </w:p>
          <w:p>
            <w:pPr>
              <w:pStyle w:val="TableParagraph"/>
              <w:ind w:right="104"/>
              <w:jc w:val="right"/>
              <w:rPr>
                <w:sz w:val="24"/>
              </w:rPr>
            </w:pPr>
            <w:r>
              <w:rPr>
                <w:spacing w:val="-2"/>
                <w:sz w:val="24"/>
              </w:rPr>
              <w:t>363,806</w:t>
            </w:r>
          </w:p>
        </w:tc>
      </w:tr>
      <w:tr>
        <w:trPr>
          <w:trHeight w:val="695" w:hRule="atLeast"/>
        </w:trPr>
        <w:tc>
          <w:tcPr>
            <w:tcW w:w="5585" w:type="dxa"/>
          </w:tcPr>
          <w:p>
            <w:pPr>
              <w:pStyle w:val="TableParagraph"/>
              <w:spacing w:before="43"/>
              <w:rPr>
                <w:b/>
                <w:sz w:val="24"/>
              </w:rPr>
            </w:pPr>
          </w:p>
          <w:p>
            <w:pPr>
              <w:pStyle w:val="TableParagraph"/>
              <w:ind w:left="50"/>
              <w:rPr>
                <w:b/>
                <w:sz w:val="24"/>
              </w:rPr>
            </w:pPr>
            <w:r>
              <w:rPr>
                <w:b/>
                <w:sz w:val="24"/>
              </w:rPr>
              <w:t>Closing</w:t>
            </w:r>
            <w:r>
              <w:rPr>
                <w:b/>
                <w:spacing w:val="-5"/>
                <w:sz w:val="24"/>
              </w:rPr>
              <w:t> </w:t>
            </w:r>
            <w:r>
              <w:rPr>
                <w:b/>
                <w:spacing w:val="-2"/>
                <w:sz w:val="24"/>
              </w:rPr>
              <w:t>balance</w:t>
            </w:r>
          </w:p>
        </w:tc>
        <w:tc>
          <w:tcPr>
            <w:tcW w:w="1337" w:type="dxa"/>
            <w:tcBorders>
              <w:top w:val="single" w:sz="4" w:space="0" w:color="000000"/>
              <w:bottom w:val="single" w:sz="4" w:space="0" w:color="000000"/>
            </w:tcBorders>
          </w:tcPr>
          <w:p>
            <w:pPr>
              <w:pStyle w:val="TableParagraph"/>
              <w:spacing w:before="43"/>
              <w:rPr>
                <w:b/>
                <w:sz w:val="24"/>
              </w:rPr>
            </w:pPr>
          </w:p>
          <w:p>
            <w:pPr>
              <w:pStyle w:val="TableParagraph"/>
              <w:ind w:right="107"/>
              <w:jc w:val="right"/>
              <w:rPr>
                <w:b/>
                <w:sz w:val="24"/>
              </w:rPr>
            </w:pPr>
            <w:r>
              <w:rPr>
                <w:b/>
                <w:spacing w:val="-2"/>
                <w:sz w:val="24"/>
              </w:rPr>
              <w:t>3,014,066</w:t>
            </w:r>
          </w:p>
        </w:tc>
        <w:tc>
          <w:tcPr>
            <w:tcW w:w="1276" w:type="dxa"/>
            <w:tcBorders>
              <w:top w:val="single" w:sz="4" w:space="0" w:color="000000"/>
              <w:bottom w:val="single" w:sz="4" w:space="0" w:color="000000"/>
            </w:tcBorders>
            <w:shd w:val="clear" w:color="auto" w:fill="E4E4E4"/>
          </w:tcPr>
          <w:p>
            <w:pPr>
              <w:pStyle w:val="TableParagraph"/>
              <w:spacing w:before="43"/>
              <w:rPr>
                <w:b/>
                <w:sz w:val="24"/>
              </w:rPr>
            </w:pPr>
          </w:p>
          <w:p>
            <w:pPr>
              <w:pStyle w:val="TableParagraph"/>
              <w:ind w:right="106"/>
              <w:jc w:val="right"/>
              <w:rPr>
                <w:b/>
                <w:sz w:val="24"/>
              </w:rPr>
            </w:pPr>
            <w:r>
              <w:rPr>
                <w:b/>
                <w:spacing w:val="-2"/>
                <w:sz w:val="24"/>
              </w:rPr>
              <w:t>3,093,047</w:t>
            </w:r>
          </w:p>
        </w:tc>
      </w:tr>
    </w:tbl>
    <w:p>
      <w:pPr>
        <w:pStyle w:val="TableParagraph"/>
        <w:spacing w:after="0"/>
        <w:jc w:val="right"/>
        <w:rPr>
          <w:b/>
          <w:sz w:val="24"/>
        </w:rPr>
        <w:sectPr>
          <w:pgSz w:w="11910" w:h="16850"/>
          <w:pgMar w:header="0" w:footer="811" w:top="1880" w:bottom="1000" w:left="283" w:right="992"/>
        </w:sectPr>
      </w:pPr>
    </w:p>
    <w:p>
      <w:pPr>
        <w:pStyle w:val="BodyText"/>
        <w:spacing w:before="87"/>
        <w:rPr>
          <w:b/>
          <w:sz w:val="24"/>
        </w:rPr>
      </w:pPr>
    </w:p>
    <w:p>
      <w:pPr>
        <w:pStyle w:val="ListParagraph"/>
        <w:numPr>
          <w:ilvl w:val="0"/>
          <w:numId w:val="17"/>
        </w:numPr>
        <w:tabs>
          <w:tab w:pos="2060" w:val="left" w:leader="none"/>
        </w:tabs>
        <w:spacing w:line="240" w:lineRule="auto" w:before="1" w:after="0"/>
        <w:ind w:left="2060" w:right="0" w:hanging="358"/>
        <w:jc w:val="left"/>
        <w:rPr>
          <w:b/>
          <w:sz w:val="24"/>
        </w:rPr>
      </w:pPr>
      <w:r>
        <w:rPr>
          <w:b/>
          <w:sz w:val="24"/>
        </w:rPr>
        <w:t>Property,</w:t>
      </w:r>
      <w:r>
        <w:rPr>
          <w:b/>
          <w:spacing w:val="-2"/>
          <w:sz w:val="24"/>
        </w:rPr>
        <w:t> </w:t>
      </w:r>
      <w:r>
        <w:rPr>
          <w:b/>
          <w:sz w:val="24"/>
        </w:rPr>
        <w:t>Plant</w:t>
      </w:r>
      <w:r>
        <w:rPr>
          <w:b/>
          <w:spacing w:val="-1"/>
          <w:sz w:val="24"/>
        </w:rPr>
        <w:t> </w:t>
      </w:r>
      <w:r>
        <w:rPr>
          <w:b/>
          <w:sz w:val="24"/>
        </w:rPr>
        <w:t>and</w:t>
      </w:r>
      <w:r>
        <w:rPr>
          <w:b/>
          <w:spacing w:val="-2"/>
          <w:sz w:val="24"/>
        </w:rPr>
        <w:t> Equipment</w:t>
      </w:r>
    </w:p>
    <w:p>
      <w:pPr>
        <w:pStyle w:val="BodyText"/>
        <w:spacing w:before="184"/>
        <w:rPr>
          <w:b/>
          <w:sz w:val="20"/>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03"/>
        <w:gridCol w:w="1328"/>
        <w:gridCol w:w="1419"/>
        <w:gridCol w:w="1275"/>
        <w:gridCol w:w="1229"/>
      </w:tblGrid>
      <w:tr>
        <w:trPr>
          <w:trHeight w:val="1562" w:hRule="atLeast"/>
        </w:trPr>
        <w:tc>
          <w:tcPr>
            <w:tcW w:w="2803" w:type="dxa"/>
          </w:tcPr>
          <w:p>
            <w:pPr>
              <w:pStyle w:val="TableParagraph"/>
              <w:rPr>
                <w:rFonts w:ascii="Times New Roman"/>
                <w:sz w:val="22"/>
              </w:rPr>
            </w:pPr>
          </w:p>
        </w:tc>
        <w:tc>
          <w:tcPr>
            <w:tcW w:w="1328" w:type="dxa"/>
          </w:tcPr>
          <w:p>
            <w:pPr>
              <w:pStyle w:val="TableParagraph"/>
              <w:spacing w:line="300" w:lineRule="auto"/>
              <w:ind w:left="211" w:right="130" w:hanging="96"/>
              <w:jc w:val="right"/>
              <w:rPr>
                <w:b/>
                <w:sz w:val="22"/>
              </w:rPr>
            </w:pPr>
            <w:r>
              <w:rPr>
                <w:b/>
                <w:spacing w:val="-2"/>
                <w:sz w:val="22"/>
              </w:rPr>
              <w:t>Computer hardware</w:t>
            </w:r>
          </w:p>
          <w:p>
            <w:pPr>
              <w:pStyle w:val="TableParagraph"/>
              <w:spacing w:line="300" w:lineRule="auto" w:before="1"/>
              <w:ind w:left="305" w:right="131" w:firstLine="513"/>
              <w:jc w:val="right"/>
              <w:rPr>
                <w:b/>
                <w:sz w:val="22"/>
              </w:rPr>
            </w:pPr>
            <w:r>
              <w:rPr>
                <w:b/>
                <w:spacing w:val="-4"/>
                <w:sz w:val="22"/>
              </w:rPr>
              <w:t>and </w:t>
            </w:r>
            <w:r>
              <w:rPr>
                <w:b/>
                <w:spacing w:val="-2"/>
                <w:sz w:val="22"/>
              </w:rPr>
              <w:t>software</w:t>
            </w:r>
          </w:p>
          <w:p>
            <w:pPr>
              <w:pStyle w:val="TableParagraph"/>
              <w:spacing w:line="253" w:lineRule="exact"/>
              <w:ind w:right="131"/>
              <w:jc w:val="right"/>
              <w:rPr>
                <w:b/>
                <w:sz w:val="22"/>
              </w:rPr>
            </w:pPr>
            <w:r>
              <w:rPr>
                <w:b/>
                <w:spacing w:val="-10"/>
                <w:sz w:val="22"/>
              </w:rPr>
              <w:t>€</w:t>
            </w:r>
          </w:p>
        </w:tc>
        <w:tc>
          <w:tcPr>
            <w:tcW w:w="1419" w:type="dxa"/>
          </w:tcPr>
          <w:p>
            <w:pPr>
              <w:pStyle w:val="TableParagraph"/>
              <w:ind w:right="149"/>
              <w:jc w:val="right"/>
              <w:rPr>
                <w:b/>
                <w:sz w:val="22"/>
              </w:rPr>
            </w:pPr>
            <w:r>
              <w:rPr>
                <w:b/>
                <w:spacing w:val="-2"/>
                <w:sz w:val="22"/>
              </w:rPr>
              <w:t>Fixtures</w:t>
            </w:r>
          </w:p>
          <w:p>
            <w:pPr>
              <w:pStyle w:val="TableParagraph"/>
              <w:spacing w:line="300" w:lineRule="auto" w:before="65"/>
              <w:ind w:left="134" w:right="147" w:firstLine="758"/>
              <w:jc w:val="right"/>
              <w:rPr>
                <w:b/>
                <w:sz w:val="22"/>
              </w:rPr>
            </w:pPr>
            <w:r>
              <w:rPr>
                <w:b/>
                <w:spacing w:val="-4"/>
                <w:sz w:val="22"/>
              </w:rPr>
              <w:t>and </w:t>
            </w:r>
            <w:r>
              <w:rPr>
                <w:b/>
                <w:spacing w:val="-2"/>
                <w:sz w:val="22"/>
              </w:rPr>
              <w:t>Fittings, Equipment</w:t>
            </w:r>
          </w:p>
          <w:p>
            <w:pPr>
              <w:pStyle w:val="TableParagraph"/>
              <w:spacing w:line="254" w:lineRule="exact"/>
              <w:ind w:right="148"/>
              <w:jc w:val="right"/>
              <w:rPr>
                <w:b/>
                <w:sz w:val="22"/>
              </w:rPr>
            </w:pPr>
            <w:r>
              <w:rPr>
                <w:b/>
                <w:spacing w:val="-10"/>
                <w:sz w:val="22"/>
              </w:rPr>
              <w:t>€</w:t>
            </w:r>
          </w:p>
        </w:tc>
        <w:tc>
          <w:tcPr>
            <w:tcW w:w="1275" w:type="dxa"/>
          </w:tcPr>
          <w:p>
            <w:pPr>
              <w:pStyle w:val="TableParagraph"/>
              <w:spacing w:line="300" w:lineRule="auto"/>
              <w:ind w:left="179" w:firstLine="21"/>
              <w:rPr>
                <w:b/>
                <w:sz w:val="22"/>
              </w:rPr>
            </w:pPr>
            <w:r>
              <w:rPr>
                <w:b/>
                <w:spacing w:val="-2"/>
                <w:sz w:val="22"/>
              </w:rPr>
              <w:t>Freehold Premises</w:t>
            </w:r>
          </w:p>
          <w:p>
            <w:pPr>
              <w:pStyle w:val="TableParagraph"/>
              <w:spacing w:before="65"/>
              <w:rPr>
                <w:b/>
                <w:sz w:val="22"/>
              </w:rPr>
            </w:pPr>
          </w:p>
          <w:p>
            <w:pPr>
              <w:pStyle w:val="TableParagraph"/>
              <w:ind w:right="148"/>
              <w:jc w:val="right"/>
              <w:rPr>
                <w:b/>
                <w:sz w:val="22"/>
              </w:rPr>
            </w:pPr>
            <w:r>
              <w:rPr>
                <w:b/>
                <w:spacing w:val="-10"/>
                <w:sz w:val="22"/>
              </w:rPr>
              <w:t>€</w:t>
            </w:r>
          </w:p>
        </w:tc>
        <w:tc>
          <w:tcPr>
            <w:tcW w:w="1229" w:type="dxa"/>
          </w:tcPr>
          <w:p>
            <w:pPr>
              <w:pStyle w:val="TableParagraph"/>
              <w:ind w:right="99"/>
              <w:jc w:val="right"/>
              <w:rPr>
                <w:b/>
                <w:sz w:val="22"/>
              </w:rPr>
            </w:pPr>
            <w:r>
              <w:rPr>
                <w:b/>
                <w:spacing w:val="-2"/>
                <w:sz w:val="22"/>
              </w:rPr>
              <w:t>Total</w:t>
            </w:r>
          </w:p>
          <w:p>
            <w:pPr>
              <w:pStyle w:val="TableParagraph"/>
              <w:rPr>
                <w:b/>
                <w:sz w:val="22"/>
              </w:rPr>
            </w:pPr>
          </w:p>
          <w:p>
            <w:pPr>
              <w:pStyle w:val="TableParagraph"/>
              <w:rPr>
                <w:b/>
                <w:sz w:val="22"/>
              </w:rPr>
            </w:pPr>
          </w:p>
          <w:p>
            <w:pPr>
              <w:pStyle w:val="TableParagraph"/>
              <w:spacing w:before="254"/>
              <w:rPr>
                <w:b/>
                <w:sz w:val="22"/>
              </w:rPr>
            </w:pPr>
          </w:p>
          <w:p>
            <w:pPr>
              <w:pStyle w:val="TableParagraph"/>
              <w:ind w:right="100"/>
              <w:jc w:val="right"/>
              <w:rPr>
                <w:b/>
                <w:sz w:val="22"/>
              </w:rPr>
            </w:pPr>
            <w:r>
              <w:rPr>
                <w:b/>
                <w:spacing w:val="-10"/>
                <w:sz w:val="22"/>
              </w:rPr>
              <w:t>€</w:t>
            </w:r>
          </w:p>
        </w:tc>
      </w:tr>
      <w:tr>
        <w:trPr>
          <w:trHeight w:val="319" w:hRule="atLeast"/>
        </w:trPr>
        <w:tc>
          <w:tcPr>
            <w:tcW w:w="2803" w:type="dxa"/>
          </w:tcPr>
          <w:p>
            <w:pPr>
              <w:pStyle w:val="TableParagraph"/>
              <w:spacing w:before="32"/>
              <w:ind w:left="50"/>
              <w:rPr>
                <w:b/>
                <w:sz w:val="22"/>
              </w:rPr>
            </w:pPr>
            <w:r>
              <w:rPr>
                <w:b/>
                <w:sz w:val="22"/>
              </w:rPr>
              <w:t>Cost</w:t>
            </w:r>
            <w:r>
              <w:rPr>
                <w:b/>
                <w:spacing w:val="-3"/>
                <w:sz w:val="22"/>
              </w:rPr>
              <w:t> </w:t>
            </w:r>
            <w:r>
              <w:rPr>
                <w:b/>
                <w:sz w:val="22"/>
              </w:rPr>
              <w:t>at</w:t>
            </w:r>
            <w:r>
              <w:rPr>
                <w:b/>
                <w:spacing w:val="-3"/>
                <w:sz w:val="22"/>
              </w:rPr>
              <w:t> </w:t>
            </w:r>
            <w:r>
              <w:rPr>
                <w:b/>
                <w:sz w:val="22"/>
              </w:rPr>
              <w:t>1</w:t>
            </w:r>
            <w:r>
              <w:rPr>
                <w:b/>
                <w:spacing w:val="-1"/>
                <w:sz w:val="22"/>
              </w:rPr>
              <w:t> </w:t>
            </w:r>
            <w:r>
              <w:rPr>
                <w:b/>
                <w:spacing w:val="-2"/>
                <w:sz w:val="22"/>
              </w:rPr>
              <w:t>January</w:t>
            </w:r>
          </w:p>
        </w:tc>
        <w:tc>
          <w:tcPr>
            <w:tcW w:w="1328" w:type="dxa"/>
          </w:tcPr>
          <w:p>
            <w:pPr>
              <w:pStyle w:val="TableParagraph"/>
              <w:spacing w:before="32"/>
              <w:ind w:right="131"/>
              <w:jc w:val="right"/>
              <w:rPr>
                <w:b/>
                <w:sz w:val="22"/>
              </w:rPr>
            </w:pPr>
            <w:r>
              <w:rPr>
                <w:b/>
                <w:spacing w:val="-2"/>
                <w:sz w:val="22"/>
              </w:rPr>
              <w:t>125,211</w:t>
            </w:r>
          </w:p>
        </w:tc>
        <w:tc>
          <w:tcPr>
            <w:tcW w:w="1419" w:type="dxa"/>
          </w:tcPr>
          <w:p>
            <w:pPr>
              <w:pStyle w:val="TableParagraph"/>
              <w:spacing w:before="32"/>
              <w:ind w:right="148"/>
              <w:jc w:val="right"/>
              <w:rPr>
                <w:b/>
                <w:sz w:val="22"/>
              </w:rPr>
            </w:pPr>
            <w:r>
              <w:rPr>
                <w:b/>
                <w:spacing w:val="-2"/>
                <w:sz w:val="22"/>
              </w:rPr>
              <w:t>117,143</w:t>
            </w:r>
          </w:p>
        </w:tc>
        <w:tc>
          <w:tcPr>
            <w:tcW w:w="1275" w:type="dxa"/>
          </w:tcPr>
          <w:p>
            <w:pPr>
              <w:pStyle w:val="TableParagraph"/>
              <w:spacing w:before="32"/>
              <w:ind w:right="149"/>
              <w:jc w:val="right"/>
              <w:rPr>
                <w:b/>
                <w:sz w:val="22"/>
              </w:rPr>
            </w:pPr>
            <w:r>
              <w:rPr>
                <w:b/>
                <w:spacing w:val="-2"/>
                <w:sz w:val="22"/>
              </w:rPr>
              <w:t>4,423,015</w:t>
            </w:r>
          </w:p>
        </w:tc>
        <w:tc>
          <w:tcPr>
            <w:tcW w:w="1229" w:type="dxa"/>
          </w:tcPr>
          <w:p>
            <w:pPr>
              <w:pStyle w:val="TableParagraph"/>
              <w:spacing w:before="32"/>
              <w:ind w:right="101"/>
              <w:jc w:val="right"/>
              <w:rPr>
                <w:b/>
                <w:sz w:val="22"/>
              </w:rPr>
            </w:pPr>
            <w:r>
              <w:rPr>
                <w:b/>
                <w:spacing w:val="-2"/>
                <w:sz w:val="22"/>
              </w:rPr>
              <w:t>4,665,369</w:t>
            </w:r>
          </w:p>
        </w:tc>
      </w:tr>
      <w:tr>
        <w:trPr>
          <w:trHeight w:val="355" w:hRule="atLeast"/>
        </w:trPr>
        <w:tc>
          <w:tcPr>
            <w:tcW w:w="2803" w:type="dxa"/>
          </w:tcPr>
          <w:p>
            <w:pPr>
              <w:pStyle w:val="TableParagraph"/>
              <w:spacing w:before="32"/>
              <w:ind w:left="50"/>
              <w:rPr>
                <w:sz w:val="22"/>
              </w:rPr>
            </w:pPr>
            <w:r>
              <w:rPr>
                <w:spacing w:val="-2"/>
                <w:sz w:val="22"/>
              </w:rPr>
              <w:t>Additions</w:t>
            </w:r>
          </w:p>
        </w:tc>
        <w:tc>
          <w:tcPr>
            <w:tcW w:w="1328" w:type="dxa"/>
            <w:tcBorders>
              <w:bottom w:val="single" w:sz="4" w:space="0" w:color="000000"/>
            </w:tcBorders>
          </w:tcPr>
          <w:p>
            <w:pPr>
              <w:pStyle w:val="TableParagraph"/>
              <w:spacing w:before="32"/>
              <w:ind w:right="133"/>
              <w:jc w:val="right"/>
              <w:rPr>
                <w:sz w:val="22"/>
              </w:rPr>
            </w:pPr>
            <w:r>
              <w:rPr>
                <w:spacing w:val="-10"/>
                <w:sz w:val="22"/>
              </w:rPr>
              <w:t>-</w:t>
            </w:r>
          </w:p>
        </w:tc>
        <w:tc>
          <w:tcPr>
            <w:tcW w:w="1419" w:type="dxa"/>
            <w:tcBorders>
              <w:bottom w:val="single" w:sz="4" w:space="0" w:color="000000"/>
            </w:tcBorders>
          </w:tcPr>
          <w:p>
            <w:pPr>
              <w:pStyle w:val="TableParagraph"/>
              <w:spacing w:before="32"/>
              <w:ind w:right="150"/>
              <w:jc w:val="right"/>
              <w:rPr>
                <w:sz w:val="22"/>
              </w:rPr>
            </w:pPr>
            <w:r>
              <w:rPr>
                <w:spacing w:val="-10"/>
                <w:sz w:val="22"/>
              </w:rPr>
              <w:t>-</w:t>
            </w:r>
          </w:p>
        </w:tc>
        <w:tc>
          <w:tcPr>
            <w:tcW w:w="1275" w:type="dxa"/>
            <w:tcBorders>
              <w:bottom w:val="single" w:sz="4" w:space="0" w:color="000000"/>
            </w:tcBorders>
          </w:tcPr>
          <w:p>
            <w:pPr>
              <w:pStyle w:val="TableParagraph"/>
              <w:spacing w:before="32"/>
              <w:ind w:right="151"/>
              <w:jc w:val="right"/>
              <w:rPr>
                <w:sz w:val="22"/>
              </w:rPr>
            </w:pPr>
            <w:r>
              <w:rPr>
                <w:spacing w:val="-10"/>
                <w:sz w:val="22"/>
              </w:rPr>
              <w:t>-</w:t>
            </w:r>
          </w:p>
        </w:tc>
        <w:tc>
          <w:tcPr>
            <w:tcW w:w="1229" w:type="dxa"/>
            <w:tcBorders>
              <w:bottom w:val="single" w:sz="4" w:space="0" w:color="000000"/>
            </w:tcBorders>
          </w:tcPr>
          <w:p>
            <w:pPr>
              <w:pStyle w:val="TableParagraph"/>
              <w:spacing w:before="32"/>
              <w:ind w:right="102"/>
              <w:jc w:val="right"/>
              <w:rPr>
                <w:b/>
                <w:sz w:val="22"/>
              </w:rPr>
            </w:pPr>
            <w:r>
              <w:rPr>
                <w:b/>
                <w:spacing w:val="-10"/>
                <w:sz w:val="22"/>
              </w:rPr>
              <w:t>-</w:t>
            </w:r>
          </w:p>
        </w:tc>
      </w:tr>
      <w:tr>
        <w:trPr>
          <w:trHeight w:val="336" w:hRule="atLeast"/>
        </w:trPr>
        <w:tc>
          <w:tcPr>
            <w:tcW w:w="2803" w:type="dxa"/>
          </w:tcPr>
          <w:p>
            <w:pPr>
              <w:pStyle w:val="TableParagraph"/>
              <w:spacing w:line="251" w:lineRule="exact"/>
              <w:ind w:left="50"/>
              <w:rPr>
                <w:b/>
                <w:sz w:val="22"/>
              </w:rPr>
            </w:pPr>
            <w:r>
              <w:rPr>
                <w:b/>
                <w:sz w:val="22"/>
              </w:rPr>
              <w:t>At</w:t>
            </w:r>
            <w:r>
              <w:rPr>
                <w:b/>
                <w:spacing w:val="-1"/>
                <w:sz w:val="22"/>
              </w:rPr>
              <w:t> </w:t>
            </w:r>
            <w:r>
              <w:rPr>
                <w:b/>
                <w:sz w:val="22"/>
              </w:rPr>
              <w:t>31</w:t>
            </w:r>
            <w:r>
              <w:rPr>
                <w:b/>
                <w:spacing w:val="-2"/>
                <w:sz w:val="22"/>
              </w:rPr>
              <w:t> December</w:t>
            </w:r>
          </w:p>
        </w:tc>
        <w:tc>
          <w:tcPr>
            <w:tcW w:w="1328" w:type="dxa"/>
            <w:tcBorders>
              <w:top w:val="single" w:sz="4" w:space="0" w:color="000000"/>
              <w:bottom w:val="double" w:sz="4" w:space="0" w:color="000000"/>
            </w:tcBorders>
          </w:tcPr>
          <w:p>
            <w:pPr>
              <w:pStyle w:val="TableParagraph"/>
              <w:spacing w:line="233" w:lineRule="exact"/>
              <w:ind w:right="131"/>
              <w:jc w:val="right"/>
              <w:rPr>
                <w:b/>
                <w:sz w:val="22"/>
              </w:rPr>
            </w:pPr>
            <w:r>
              <w:rPr>
                <w:b/>
                <w:spacing w:val="-2"/>
                <w:sz w:val="22"/>
              </w:rPr>
              <w:t>125,211</w:t>
            </w:r>
          </w:p>
        </w:tc>
        <w:tc>
          <w:tcPr>
            <w:tcW w:w="1419" w:type="dxa"/>
            <w:tcBorders>
              <w:top w:val="single" w:sz="4" w:space="0" w:color="000000"/>
              <w:bottom w:val="double" w:sz="4" w:space="0" w:color="000000"/>
            </w:tcBorders>
          </w:tcPr>
          <w:p>
            <w:pPr>
              <w:pStyle w:val="TableParagraph"/>
              <w:spacing w:line="233" w:lineRule="exact"/>
              <w:ind w:right="148"/>
              <w:jc w:val="right"/>
              <w:rPr>
                <w:b/>
                <w:sz w:val="22"/>
              </w:rPr>
            </w:pPr>
            <w:r>
              <w:rPr>
                <w:b/>
                <w:spacing w:val="-2"/>
                <w:sz w:val="22"/>
              </w:rPr>
              <w:t>117,143</w:t>
            </w:r>
          </w:p>
        </w:tc>
        <w:tc>
          <w:tcPr>
            <w:tcW w:w="1275" w:type="dxa"/>
            <w:tcBorders>
              <w:top w:val="single" w:sz="4" w:space="0" w:color="000000"/>
              <w:bottom w:val="double" w:sz="4" w:space="0" w:color="000000"/>
            </w:tcBorders>
          </w:tcPr>
          <w:p>
            <w:pPr>
              <w:pStyle w:val="TableParagraph"/>
              <w:spacing w:line="233" w:lineRule="exact"/>
              <w:ind w:right="149"/>
              <w:jc w:val="right"/>
              <w:rPr>
                <w:b/>
                <w:sz w:val="22"/>
              </w:rPr>
            </w:pPr>
            <w:r>
              <w:rPr>
                <w:b/>
                <w:spacing w:val="-2"/>
                <w:sz w:val="22"/>
              </w:rPr>
              <w:t>4,423,015</w:t>
            </w:r>
          </w:p>
        </w:tc>
        <w:tc>
          <w:tcPr>
            <w:tcW w:w="1229" w:type="dxa"/>
            <w:tcBorders>
              <w:top w:val="single" w:sz="4" w:space="0" w:color="000000"/>
              <w:bottom w:val="double" w:sz="4" w:space="0" w:color="000000"/>
            </w:tcBorders>
          </w:tcPr>
          <w:p>
            <w:pPr>
              <w:pStyle w:val="TableParagraph"/>
              <w:spacing w:line="233" w:lineRule="exact"/>
              <w:ind w:right="101"/>
              <w:jc w:val="right"/>
              <w:rPr>
                <w:b/>
                <w:sz w:val="22"/>
              </w:rPr>
            </w:pPr>
            <w:r>
              <w:rPr>
                <w:b/>
                <w:spacing w:val="-2"/>
                <w:sz w:val="22"/>
              </w:rPr>
              <w:t>4,665,369</w:t>
            </w:r>
          </w:p>
        </w:tc>
      </w:tr>
      <w:tr>
        <w:trPr>
          <w:trHeight w:val="584" w:hRule="atLeast"/>
        </w:trPr>
        <w:tc>
          <w:tcPr>
            <w:tcW w:w="2803" w:type="dxa"/>
          </w:tcPr>
          <w:p>
            <w:pPr>
              <w:pStyle w:val="TableParagraph"/>
              <w:spacing w:before="43"/>
              <w:rPr>
                <w:b/>
                <w:sz w:val="22"/>
              </w:rPr>
            </w:pPr>
          </w:p>
          <w:p>
            <w:pPr>
              <w:pStyle w:val="TableParagraph"/>
              <w:spacing w:before="1"/>
              <w:ind w:left="50"/>
              <w:rPr>
                <w:sz w:val="22"/>
              </w:rPr>
            </w:pPr>
            <w:r>
              <w:rPr>
                <w:sz w:val="22"/>
              </w:rPr>
              <w:t>Depreciation</w:t>
            </w:r>
            <w:r>
              <w:rPr>
                <w:spacing w:val="-3"/>
                <w:sz w:val="22"/>
              </w:rPr>
              <w:t> </w:t>
            </w:r>
            <w:r>
              <w:rPr>
                <w:sz w:val="22"/>
              </w:rPr>
              <w:t>at</w:t>
            </w:r>
            <w:r>
              <w:rPr>
                <w:spacing w:val="-2"/>
                <w:sz w:val="22"/>
              </w:rPr>
              <w:t> </w:t>
            </w:r>
            <w:r>
              <w:rPr>
                <w:sz w:val="22"/>
              </w:rPr>
              <w:t>1</w:t>
            </w:r>
            <w:r>
              <w:rPr>
                <w:spacing w:val="-4"/>
                <w:sz w:val="22"/>
              </w:rPr>
              <w:t> </w:t>
            </w:r>
            <w:r>
              <w:rPr>
                <w:spacing w:val="-2"/>
                <w:sz w:val="22"/>
              </w:rPr>
              <w:t>January</w:t>
            </w:r>
          </w:p>
        </w:tc>
        <w:tc>
          <w:tcPr>
            <w:tcW w:w="1328" w:type="dxa"/>
            <w:tcBorders>
              <w:top w:val="double" w:sz="4" w:space="0" w:color="000000"/>
            </w:tcBorders>
          </w:tcPr>
          <w:p>
            <w:pPr>
              <w:pStyle w:val="TableParagraph"/>
              <w:spacing w:before="43"/>
              <w:rPr>
                <w:b/>
                <w:sz w:val="22"/>
              </w:rPr>
            </w:pPr>
          </w:p>
          <w:p>
            <w:pPr>
              <w:pStyle w:val="TableParagraph"/>
              <w:spacing w:before="1"/>
              <w:ind w:right="131"/>
              <w:jc w:val="right"/>
              <w:rPr>
                <w:b/>
                <w:sz w:val="22"/>
              </w:rPr>
            </w:pPr>
            <w:r>
              <w:rPr>
                <w:b/>
                <w:spacing w:val="-2"/>
                <w:sz w:val="22"/>
              </w:rPr>
              <w:t>122,978</w:t>
            </w:r>
          </w:p>
        </w:tc>
        <w:tc>
          <w:tcPr>
            <w:tcW w:w="1419" w:type="dxa"/>
            <w:tcBorders>
              <w:top w:val="double" w:sz="4" w:space="0" w:color="000000"/>
            </w:tcBorders>
          </w:tcPr>
          <w:p>
            <w:pPr>
              <w:pStyle w:val="TableParagraph"/>
              <w:spacing w:before="43"/>
              <w:rPr>
                <w:b/>
                <w:sz w:val="22"/>
              </w:rPr>
            </w:pPr>
          </w:p>
          <w:p>
            <w:pPr>
              <w:pStyle w:val="TableParagraph"/>
              <w:spacing w:before="1"/>
              <w:ind w:right="148"/>
              <w:jc w:val="right"/>
              <w:rPr>
                <w:b/>
                <w:sz w:val="22"/>
              </w:rPr>
            </w:pPr>
            <w:r>
              <w:rPr>
                <w:b/>
                <w:spacing w:val="-2"/>
                <w:sz w:val="22"/>
              </w:rPr>
              <w:t>117,143</w:t>
            </w:r>
          </w:p>
        </w:tc>
        <w:tc>
          <w:tcPr>
            <w:tcW w:w="1275" w:type="dxa"/>
            <w:tcBorders>
              <w:top w:val="double" w:sz="4" w:space="0" w:color="000000"/>
            </w:tcBorders>
          </w:tcPr>
          <w:p>
            <w:pPr>
              <w:pStyle w:val="TableParagraph"/>
              <w:spacing w:before="43"/>
              <w:rPr>
                <w:b/>
                <w:sz w:val="22"/>
              </w:rPr>
            </w:pPr>
          </w:p>
          <w:p>
            <w:pPr>
              <w:pStyle w:val="TableParagraph"/>
              <w:spacing w:before="1"/>
              <w:ind w:right="149"/>
              <w:jc w:val="right"/>
              <w:rPr>
                <w:b/>
                <w:sz w:val="22"/>
              </w:rPr>
            </w:pPr>
            <w:r>
              <w:rPr>
                <w:b/>
                <w:spacing w:val="-2"/>
                <w:sz w:val="22"/>
              </w:rPr>
              <w:t>1,332,201</w:t>
            </w:r>
          </w:p>
        </w:tc>
        <w:tc>
          <w:tcPr>
            <w:tcW w:w="1229" w:type="dxa"/>
            <w:tcBorders>
              <w:top w:val="double" w:sz="4" w:space="0" w:color="000000"/>
            </w:tcBorders>
          </w:tcPr>
          <w:p>
            <w:pPr>
              <w:pStyle w:val="TableParagraph"/>
              <w:spacing w:before="43"/>
              <w:rPr>
                <w:b/>
                <w:sz w:val="22"/>
              </w:rPr>
            </w:pPr>
          </w:p>
          <w:p>
            <w:pPr>
              <w:pStyle w:val="TableParagraph"/>
              <w:spacing w:before="1"/>
              <w:ind w:right="101"/>
              <w:jc w:val="right"/>
              <w:rPr>
                <w:b/>
                <w:sz w:val="22"/>
              </w:rPr>
            </w:pPr>
            <w:r>
              <w:rPr>
                <w:b/>
                <w:spacing w:val="-2"/>
                <w:sz w:val="22"/>
              </w:rPr>
              <w:t>1,572,322</w:t>
            </w:r>
          </w:p>
        </w:tc>
      </w:tr>
      <w:tr>
        <w:trPr>
          <w:trHeight w:val="354" w:hRule="atLeast"/>
        </w:trPr>
        <w:tc>
          <w:tcPr>
            <w:tcW w:w="2803" w:type="dxa"/>
          </w:tcPr>
          <w:p>
            <w:pPr>
              <w:pStyle w:val="TableParagraph"/>
              <w:spacing w:before="31"/>
              <w:ind w:left="50"/>
              <w:rPr>
                <w:sz w:val="22"/>
              </w:rPr>
            </w:pPr>
            <w:r>
              <w:rPr>
                <w:sz w:val="22"/>
              </w:rPr>
              <w:t>Charge</w:t>
            </w:r>
            <w:r>
              <w:rPr>
                <w:spacing w:val="-2"/>
                <w:sz w:val="22"/>
              </w:rPr>
              <w:t> </w:t>
            </w:r>
            <w:r>
              <w:rPr>
                <w:sz w:val="22"/>
              </w:rPr>
              <w:t>for</w:t>
            </w:r>
            <w:r>
              <w:rPr>
                <w:spacing w:val="-4"/>
                <w:sz w:val="22"/>
              </w:rPr>
              <w:t> </w:t>
            </w:r>
            <w:r>
              <w:rPr>
                <w:sz w:val="22"/>
              </w:rPr>
              <w:t>the</w:t>
            </w:r>
            <w:r>
              <w:rPr>
                <w:spacing w:val="-1"/>
                <w:sz w:val="22"/>
              </w:rPr>
              <w:t> </w:t>
            </w:r>
            <w:r>
              <w:rPr>
                <w:spacing w:val="-4"/>
                <w:sz w:val="22"/>
              </w:rPr>
              <w:t>year</w:t>
            </w:r>
          </w:p>
        </w:tc>
        <w:tc>
          <w:tcPr>
            <w:tcW w:w="1328" w:type="dxa"/>
            <w:tcBorders>
              <w:bottom w:val="single" w:sz="4" w:space="0" w:color="000000"/>
            </w:tcBorders>
          </w:tcPr>
          <w:p>
            <w:pPr>
              <w:pStyle w:val="TableParagraph"/>
              <w:spacing w:before="31"/>
              <w:ind w:right="131"/>
              <w:jc w:val="right"/>
              <w:rPr>
                <w:sz w:val="22"/>
              </w:rPr>
            </w:pPr>
            <w:r>
              <w:rPr>
                <w:spacing w:val="-2"/>
                <w:sz w:val="22"/>
              </w:rPr>
              <w:t>1,711</w:t>
            </w:r>
          </w:p>
        </w:tc>
        <w:tc>
          <w:tcPr>
            <w:tcW w:w="1419" w:type="dxa"/>
            <w:tcBorders>
              <w:bottom w:val="single" w:sz="4" w:space="0" w:color="000000"/>
            </w:tcBorders>
          </w:tcPr>
          <w:p>
            <w:pPr>
              <w:pStyle w:val="TableParagraph"/>
              <w:spacing w:before="31"/>
              <w:ind w:right="150"/>
              <w:jc w:val="right"/>
              <w:rPr>
                <w:sz w:val="22"/>
              </w:rPr>
            </w:pPr>
            <w:r>
              <w:rPr>
                <w:spacing w:val="-10"/>
                <w:sz w:val="22"/>
              </w:rPr>
              <w:t>-</w:t>
            </w:r>
          </w:p>
        </w:tc>
        <w:tc>
          <w:tcPr>
            <w:tcW w:w="1275" w:type="dxa"/>
            <w:tcBorders>
              <w:bottom w:val="single" w:sz="4" w:space="0" w:color="000000"/>
            </w:tcBorders>
          </w:tcPr>
          <w:p>
            <w:pPr>
              <w:pStyle w:val="TableParagraph"/>
              <w:spacing w:before="31"/>
              <w:ind w:right="147"/>
              <w:jc w:val="right"/>
              <w:rPr>
                <w:sz w:val="22"/>
              </w:rPr>
            </w:pPr>
            <w:r>
              <w:rPr>
                <w:spacing w:val="-2"/>
                <w:sz w:val="22"/>
              </w:rPr>
              <w:t>77,270</w:t>
            </w:r>
          </w:p>
        </w:tc>
        <w:tc>
          <w:tcPr>
            <w:tcW w:w="1229" w:type="dxa"/>
            <w:tcBorders>
              <w:bottom w:val="single" w:sz="4" w:space="0" w:color="000000"/>
            </w:tcBorders>
          </w:tcPr>
          <w:p>
            <w:pPr>
              <w:pStyle w:val="TableParagraph"/>
              <w:spacing w:before="31"/>
              <w:ind w:right="100"/>
              <w:jc w:val="right"/>
              <w:rPr>
                <w:b/>
                <w:sz w:val="22"/>
              </w:rPr>
            </w:pPr>
            <w:r>
              <w:rPr>
                <w:b/>
                <w:spacing w:val="-2"/>
                <w:sz w:val="22"/>
              </w:rPr>
              <w:t>78,981</w:t>
            </w:r>
          </w:p>
        </w:tc>
      </w:tr>
      <w:tr>
        <w:trPr>
          <w:trHeight w:val="336" w:hRule="atLeast"/>
        </w:trPr>
        <w:tc>
          <w:tcPr>
            <w:tcW w:w="2803" w:type="dxa"/>
          </w:tcPr>
          <w:p>
            <w:pPr>
              <w:pStyle w:val="TableParagraph"/>
              <w:spacing w:line="251" w:lineRule="exact"/>
              <w:ind w:left="50"/>
              <w:rPr>
                <w:b/>
                <w:sz w:val="22"/>
              </w:rPr>
            </w:pPr>
            <w:r>
              <w:rPr>
                <w:b/>
                <w:sz w:val="22"/>
              </w:rPr>
              <w:t>At</w:t>
            </w:r>
            <w:r>
              <w:rPr>
                <w:b/>
                <w:spacing w:val="-1"/>
                <w:sz w:val="22"/>
              </w:rPr>
              <w:t> </w:t>
            </w:r>
            <w:r>
              <w:rPr>
                <w:b/>
                <w:sz w:val="22"/>
              </w:rPr>
              <w:t>31</w:t>
            </w:r>
            <w:r>
              <w:rPr>
                <w:b/>
                <w:spacing w:val="-2"/>
                <w:sz w:val="22"/>
              </w:rPr>
              <w:t> December</w:t>
            </w:r>
          </w:p>
        </w:tc>
        <w:tc>
          <w:tcPr>
            <w:tcW w:w="1328" w:type="dxa"/>
            <w:tcBorders>
              <w:top w:val="single" w:sz="4" w:space="0" w:color="000000"/>
              <w:bottom w:val="double" w:sz="4" w:space="0" w:color="000000"/>
            </w:tcBorders>
          </w:tcPr>
          <w:p>
            <w:pPr>
              <w:pStyle w:val="TableParagraph"/>
              <w:spacing w:line="233" w:lineRule="exact"/>
              <w:ind w:right="131"/>
              <w:jc w:val="right"/>
              <w:rPr>
                <w:b/>
                <w:sz w:val="22"/>
              </w:rPr>
            </w:pPr>
            <w:r>
              <w:rPr>
                <w:b/>
                <w:spacing w:val="-2"/>
                <w:sz w:val="22"/>
              </w:rPr>
              <w:t>124,689</w:t>
            </w:r>
          </w:p>
        </w:tc>
        <w:tc>
          <w:tcPr>
            <w:tcW w:w="1419" w:type="dxa"/>
            <w:tcBorders>
              <w:top w:val="single" w:sz="4" w:space="0" w:color="000000"/>
              <w:bottom w:val="double" w:sz="4" w:space="0" w:color="000000"/>
            </w:tcBorders>
          </w:tcPr>
          <w:p>
            <w:pPr>
              <w:pStyle w:val="TableParagraph"/>
              <w:spacing w:line="233" w:lineRule="exact"/>
              <w:ind w:right="148"/>
              <w:jc w:val="right"/>
              <w:rPr>
                <w:b/>
                <w:sz w:val="22"/>
              </w:rPr>
            </w:pPr>
            <w:r>
              <w:rPr>
                <w:b/>
                <w:spacing w:val="-2"/>
                <w:sz w:val="22"/>
              </w:rPr>
              <w:t>117,143</w:t>
            </w:r>
          </w:p>
        </w:tc>
        <w:tc>
          <w:tcPr>
            <w:tcW w:w="1275" w:type="dxa"/>
            <w:tcBorders>
              <w:top w:val="single" w:sz="4" w:space="0" w:color="000000"/>
              <w:bottom w:val="double" w:sz="4" w:space="0" w:color="000000"/>
            </w:tcBorders>
          </w:tcPr>
          <w:p>
            <w:pPr>
              <w:pStyle w:val="TableParagraph"/>
              <w:spacing w:line="233" w:lineRule="exact"/>
              <w:ind w:right="149"/>
              <w:jc w:val="right"/>
              <w:rPr>
                <w:b/>
                <w:sz w:val="22"/>
              </w:rPr>
            </w:pPr>
            <w:r>
              <w:rPr>
                <w:b/>
                <w:spacing w:val="-2"/>
                <w:sz w:val="22"/>
              </w:rPr>
              <w:t>1,409,471</w:t>
            </w:r>
          </w:p>
        </w:tc>
        <w:tc>
          <w:tcPr>
            <w:tcW w:w="1229" w:type="dxa"/>
            <w:tcBorders>
              <w:top w:val="single" w:sz="4" w:space="0" w:color="000000"/>
              <w:bottom w:val="double" w:sz="4" w:space="0" w:color="000000"/>
            </w:tcBorders>
          </w:tcPr>
          <w:p>
            <w:pPr>
              <w:pStyle w:val="TableParagraph"/>
              <w:spacing w:line="233" w:lineRule="exact"/>
              <w:ind w:right="101"/>
              <w:jc w:val="right"/>
              <w:rPr>
                <w:b/>
                <w:sz w:val="22"/>
              </w:rPr>
            </w:pPr>
            <w:r>
              <w:rPr>
                <w:b/>
                <w:spacing w:val="-2"/>
                <w:sz w:val="22"/>
              </w:rPr>
              <w:t>1,651,303</w:t>
            </w:r>
          </w:p>
        </w:tc>
      </w:tr>
      <w:tr>
        <w:trPr>
          <w:trHeight w:val="586" w:hRule="atLeast"/>
        </w:trPr>
        <w:tc>
          <w:tcPr>
            <w:tcW w:w="2803" w:type="dxa"/>
          </w:tcPr>
          <w:p>
            <w:pPr>
              <w:pStyle w:val="TableParagraph"/>
              <w:spacing w:before="43"/>
              <w:rPr>
                <w:b/>
                <w:sz w:val="22"/>
              </w:rPr>
            </w:pPr>
          </w:p>
          <w:p>
            <w:pPr>
              <w:pStyle w:val="TableParagraph"/>
              <w:spacing w:before="1"/>
              <w:ind w:left="50"/>
              <w:rPr>
                <w:sz w:val="22"/>
              </w:rPr>
            </w:pPr>
            <w:r>
              <w:rPr>
                <w:sz w:val="22"/>
              </w:rPr>
              <w:t>Net</w:t>
            </w:r>
            <w:r>
              <w:rPr>
                <w:spacing w:val="-2"/>
                <w:sz w:val="22"/>
              </w:rPr>
              <w:t> </w:t>
            </w:r>
            <w:r>
              <w:rPr>
                <w:sz w:val="22"/>
              </w:rPr>
              <w:t>Book</w:t>
            </w:r>
            <w:r>
              <w:rPr>
                <w:spacing w:val="-2"/>
                <w:sz w:val="22"/>
              </w:rPr>
              <w:t> </w:t>
            </w:r>
            <w:r>
              <w:rPr>
                <w:sz w:val="22"/>
              </w:rPr>
              <w:t>Value</w:t>
            </w:r>
            <w:r>
              <w:rPr>
                <w:spacing w:val="-3"/>
                <w:sz w:val="22"/>
              </w:rPr>
              <w:t> </w:t>
            </w:r>
            <w:r>
              <w:rPr>
                <w:sz w:val="22"/>
              </w:rPr>
              <w:t>at</w:t>
            </w:r>
            <w:r>
              <w:rPr>
                <w:spacing w:val="-2"/>
                <w:sz w:val="22"/>
              </w:rPr>
              <w:t> </w:t>
            </w:r>
            <w:r>
              <w:rPr>
                <w:sz w:val="22"/>
              </w:rPr>
              <w:t>1</w:t>
            </w:r>
            <w:r>
              <w:rPr>
                <w:spacing w:val="1"/>
                <w:sz w:val="22"/>
              </w:rPr>
              <w:t> </w:t>
            </w:r>
            <w:r>
              <w:rPr>
                <w:spacing w:val="-2"/>
                <w:sz w:val="22"/>
              </w:rPr>
              <w:t>January</w:t>
            </w:r>
          </w:p>
        </w:tc>
        <w:tc>
          <w:tcPr>
            <w:tcW w:w="1328" w:type="dxa"/>
            <w:tcBorders>
              <w:top w:val="double" w:sz="4" w:space="0" w:color="000000"/>
            </w:tcBorders>
          </w:tcPr>
          <w:p>
            <w:pPr>
              <w:pStyle w:val="TableParagraph"/>
              <w:spacing w:before="43"/>
              <w:rPr>
                <w:b/>
                <w:sz w:val="22"/>
              </w:rPr>
            </w:pPr>
          </w:p>
          <w:p>
            <w:pPr>
              <w:pStyle w:val="TableParagraph"/>
              <w:spacing w:before="1"/>
              <w:ind w:right="131"/>
              <w:jc w:val="right"/>
              <w:rPr>
                <w:b/>
                <w:sz w:val="22"/>
              </w:rPr>
            </w:pPr>
            <w:r>
              <w:rPr>
                <w:b/>
                <w:spacing w:val="-2"/>
                <w:sz w:val="22"/>
              </w:rPr>
              <w:t>2,233</w:t>
            </w:r>
          </w:p>
        </w:tc>
        <w:tc>
          <w:tcPr>
            <w:tcW w:w="1419" w:type="dxa"/>
            <w:tcBorders>
              <w:top w:val="double" w:sz="4" w:space="0" w:color="000000"/>
            </w:tcBorders>
          </w:tcPr>
          <w:p>
            <w:pPr>
              <w:pStyle w:val="TableParagraph"/>
              <w:spacing w:before="43"/>
              <w:rPr>
                <w:b/>
                <w:sz w:val="22"/>
              </w:rPr>
            </w:pPr>
          </w:p>
          <w:p>
            <w:pPr>
              <w:pStyle w:val="TableParagraph"/>
              <w:spacing w:before="1"/>
              <w:ind w:right="150"/>
              <w:jc w:val="right"/>
              <w:rPr>
                <w:b/>
                <w:sz w:val="22"/>
              </w:rPr>
            </w:pPr>
            <w:r>
              <w:rPr>
                <w:b/>
                <w:spacing w:val="-10"/>
                <w:sz w:val="22"/>
              </w:rPr>
              <w:t>-</w:t>
            </w:r>
          </w:p>
        </w:tc>
        <w:tc>
          <w:tcPr>
            <w:tcW w:w="1275" w:type="dxa"/>
            <w:tcBorders>
              <w:top w:val="double" w:sz="4" w:space="0" w:color="000000"/>
            </w:tcBorders>
          </w:tcPr>
          <w:p>
            <w:pPr>
              <w:pStyle w:val="TableParagraph"/>
              <w:spacing w:before="43"/>
              <w:rPr>
                <w:b/>
                <w:sz w:val="22"/>
              </w:rPr>
            </w:pPr>
          </w:p>
          <w:p>
            <w:pPr>
              <w:pStyle w:val="TableParagraph"/>
              <w:spacing w:before="1"/>
              <w:ind w:right="149"/>
              <w:jc w:val="right"/>
              <w:rPr>
                <w:b/>
                <w:sz w:val="22"/>
              </w:rPr>
            </w:pPr>
            <w:r>
              <w:rPr>
                <w:b/>
                <w:spacing w:val="-2"/>
                <w:sz w:val="22"/>
              </w:rPr>
              <w:t>3,090,814</w:t>
            </w:r>
          </w:p>
        </w:tc>
        <w:tc>
          <w:tcPr>
            <w:tcW w:w="1229" w:type="dxa"/>
            <w:tcBorders>
              <w:top w:val="double" w:sz="4" w:space="0" w:color="000000"/>
            </w:tcBorders>
          </w:tcPr>
          <w:p>
            <w:pPr>
              <w:pStyle w:val="TableParagraph"/>
              <w:spacing w:before="43"/>
              <w:rPr>
                <w:b/>
                <w:sz w:val="22"/>
              </w:rPr>
            </w:pPr>
          </w:p>
          <w:p>
            <w:pPr>
              <w:pStyle w:val="TableParagraph"/>
              <w:spacing w:before="1"/>
              <w:ind w:right="101"/>
              <w:jc w:val="right"/>
              <w:rPr>
                <w:b/>
                <w:sz w:val="22"/>
              </w:rPr>
            </w:pPr>
            <w:r>
              <w:rPr>
                <w:b/>
                <w:spacing w:val="-2"/>
                <w:sz w:val="22"/>
              </w:rPr>
              <w:t>3,093,047</w:t>
            </w:r>
          </w:p>
        </w:tc>
      </w:tr>
      <w:tr>
        <w:trPr>
          <w:trHeight w:val="355" w:hRule="atLeast"/>
        </w:trPr>
        <w:tc>
          <w:tcPr>
            <w:tcW w:w="2803" w:type="dxa"/>
          </w:tcPr>
          <w:p>
            <w:pPr>
              <w:pStyle w:val="TableParagraph"/>
              <w:spacing w:before="32"/>
              <w:ind w:left="50"/>
              <w:rPr>
                <w:sz w:val="22"/>
              </w:rPr>
            </w:pPr>
            <w:r>
              <w:rPr>
                <w:sz w:val="22"/>
              </w:rPr>
              <w:t>Net</w:t>
            </w:r>
            <w:r>
              <w:rPr>
                <w:spacing w:val="-2"/>
                <w:sz w:val="22"/>
              </w:rPr>
              <w:t> </w:t>
            </w:r>
            <w:r>
              <w:rPr>
                <w:sz w:val="22"/>
              </w:rPr>
              <w:t>movement</w:t>
            </w:r>
            <w:r>
              <w:rPr>
                <w:spacing w:val="-3"/>
                <w:sz w:val="22"/>
              </w:rPr>
              <w:t> </w:t>
            </w:r>
            <w:r>
              <w:rPr>
                <w:sz w:val="22"/>
              </w:rPr>
              <w:t>for</w:t>
            </w:r>
            <w:r>
              <w:rPr>
                <w:spacing w:val="-2"/>
                <w:sz w:val="22"/>
              </w:rPr>
              <w:t> </w:t>
            </w:r>
            <w:r>
              <w:rPr>
                <w:sz w:val="22"/>
              </w:rPr>
              <w:t>the</w:t>
            </w:r>
            <w:r>
              <w:rPr>
                <w:spacing w:val="-3"/>
                <w:sz w:val="22"/>
              </w:rPr>
              <w:t> </w:t>
            </w:r>
            <w:r>
              <w:rPr>
                <w:spacing w:val="-4"/>
                <w:sz w:val="22"/>
              </w:rPr>
              <w:t>year</w:t>
            </w:r>
          </w:p>
        </w:tc>
        <w:tc>
          <w:tcPr>
            <w:tcW w:w="1328" w:type="dxa"/>
            <w:tcBorders>
              <w:bottom w:val="single" w:sz="4" w:space="0" w:color="000000"/>
            </w:tcBorders>
          </w:tcPr>
          <w:p>
            <w:pPr>
              <w:pStyle w:val="TableParagraph"/>
              <w:spacing w:before="32"/>
              <w:ind w:right="131"/>
              <w:jc w:val="right"/>
              <w:rPr>
                <w:sz w:val="22"/>
              </w:rPr>
            </w:pPr>
            <w:r>
              <w:rPr>
                <w:spacing w:val="-2"/>
                <w:sz w:val="22"/>
              </w:rPr>
              <w:t>(1,711)</w:t>
            </w:r>
          </w:p>
        </w:tc>
        <w:tc>
          <w:tcPr>
            <w:tcW w:w="1419" w:type="dxa"/>
            <w:tcBorders>
              <w:bottom w:val="single" w:sz="4" w:space="0" w:color="000000"/>
            </w:tcBorders>
          </w:tcPr>
          <w:p>
            <w:pPr>
              <w:pStyle w:val="TableParagraph"/>
              <w:spacing w:before="32"/>
              <w:ind w:right="150"/>
              <w:jc w:val="right"/>
              <w:rPr>
                <w:sz w:val="22"/>
              </w:rPr>
            </w:pPr>
            <w:r>
              <w:rPr>
                <w:spacing w:val="-10"/>
                <w:sz w:val="22"/>
              </w:rPr>
              <w:t>-</w:t>
            </w:r>
          </w:p>
        </w:tc>
        <w:tc>
          <w:tcPr>
            <w:tcW w:w="1275" w:type="dxa"/>
            <w:tcBorders>
              <w:bottom w:val="single" w:sz="4" w:space="0" w:color="000000"/>
            </w:tcBorders>
          </w:tcPr>
          <w:p>
            <w:pPr>
              <w:pStyle w:val="TableParagraph"/>
              <w:spacing w:before="32"/>
              <w:ind w:right="148"/>
              <w:jc w:val="right"/>
              <w:rPr>
                <w:sz w:val="22"/>
              </w:rPr>
            </w:pPr>
            <w:r>
              <w:rPr>
                <w:spacing w:val="-2"/>
                <w:sz w:val="22"/>
              </w:rPr>
              <w:t>(77,270)</w:t>
            </w:r>
          </w:p>
        </w:tc>
        <w:tc>
          <w:tcPr>
            <w:tcW w:w="1229" w:type="dxa"/>
            <w:tcBorders>
              <w:bottom w:val="single" w:sz="4" w:space="0" w:color="000000"/>
            </w:tcBorders>
          </w:tcPr>
          <w:p>
            <w:pPr>
              <w:pStyle w:val="TableParagraph"/>
              <w:spacing w:before="32"/>
              <w:ind w:right="99"/>
              <w:jc w:val="right"/>
              <w:rPr>
                <w:b/>
                <w:sz w:val="22"/>
              </w:rPr>
            </w:pPr>
            <w:r>
              <w:rPr>
                <w:b/>
                <w:spacing w:val="-2"/>
                <w:sz w:val="22"/>
              </w:rPr>
              <w:t>(78,981)</w:t>
            </w:r>
          </w:p>
        </w:tc>
      </w:tr>
      <w:tr>
        <w:trPr>
          <w:trHeight w:val="336" w:hRule="atLeast"/>
        </w:trPr>
        <w:tc>
          <w:tcPr>
            <w:tcW w:w="2803" w:type="dxa"/>
          </w:tcPr>
          <w:p>
            <w:pPr>
              <w:pStyle w:val="TableParagraph"/>
              <w:spacing w:line="251" w:lineRule="exact"/>
              <w:ind w:left="50"/>
              <w:rPr>
                <w:b/>
                <w:sz w:val="22"/>
              </w:rPr>
            </w:pPr>
            <w:r>
              <w:rPr>
                <w:b/>
                <w:sz w:val="22"/>
              </w:rPr>
              <w:t>At</w:t>
            </w:r>
            <w:r>
              <w:rPr>
                <w:b/>
                <w:spacing w:val="-1"/>
                <w:sz w:val="22"/>
              </w:rPr>
              <w:t> </w:t>
            </w:r>
            <w:r>
              <w:rPr>
                <w:b/>
                <w:sz w:val="22"/>
              </w:rPr>
              <w:t>31</w:t>
            </w:r>
            <w:r>
              <w:rPr>
                <w:b/>
                <w:spacing w:val="-2"/>
                <w:sz w:val="22"/>
              </w:rPr>
              <w:t> December</w:t>
            </w:r>
          </w:p>
        </w:tc>
        <w:tc>
          <w:tcPr>
            <w:tcW w:w="1328" w:type="dxa"/>
            <w:tcBorders>
              <w:top w:val="single" w:sz="4" w:space="0" w:color="000000"/>
              <w:bottom w:val="double" w:sz="4" w:space="0" w:color="000000"/>
            </w:tcBorders>
          </w:tcPr>
          <w:p>
            <w:pPr>
              <w:pStyle w:val="TableParagraph"/>
              <w:spacing w:line="235" w:lineRule="exact"/>
              <w:ind w:right="130"/>
              <w:jc w:val="right"/>
              <w:rPr>
                <w:b/>
                <w:sz w:val="22"/>
              </w:rPr>
            </w:pPr>
            <w:r>
              <w:rPr>
                <w:b/>
                <w:spacing w:val="-5"/>
                <w:sz w:val="22"/>
              </w:rPr>
              <w:t>522</w:t>
            </w:r>
          </w:p>
        </w:tc>
        <w:tc>
          <w:tcPr>
            <w:tcW w:w="1419" w:type="dxa"/>
            <w:tcBorders>
              <w:top w:val="single" w:sz="4" w:space="0" w:color="000000"/>
              <w:bottom w:val="double" w:sz="4" w:space="0" w:color="000000"/>
            </w:tcBorders>
          </w:tcPr>
          <w:p>
            <w:pPr>
              <w:pStyle w:val="TableParagraph"/>
              <w:spacing w:line="235" w:lineRule="exact"/>
              <w:ind w:right="150"/>
              <w:jc w:val="right"/>
              <w:rPr>
                <w:b/>
                <w:sz w:val="22"/>
              </w:rPr>
            </w:pPr>
            <w:r>
              <w:rPr>
                <w:b/>
                <w:spacing w:val="-10"/>
                <w:sz w:val="22"/>
              </w:rPr>
              <w:t>-</w:t>
            </w:r>
          </w:p>
        </w:tc>
        <w:tc>
          <w:tcPr>
            <w:tcW w:w="1275" w:type="dxa"/>
            <w:tcBorders>
              <w:top w:val="single" w:sz="4" w:space="0" w:color="000000"/>
              <w:bottom w:val="double" w:sz="4" w:space="0" w:color="000000"/>
            </w:tcBorders>
          </w:tcPr>
          <w:p>
            <w:pPr>
              <w:pStyle w:val="TableParagraph"/>
              <w:spacing w:line="235" w:lineRule="exact"/>
              <w:ind w:right="149"/>
              <w:jc w:val="right"/>
              <w:rPr>
                <w:b/>
                <w:sz w:val="22"/>
              </w:rPr>
            </w:pPr>
            <w:r>
              <w:rPr>
                <w:b/>
                <w:spacing w:val="-2"/>
                <w:sz w:val="22"/>
              </w:rPr>
              <w:t>3,013,544</w:t>
            </w:r>
          </w:p>
        </w:tc>
        <w:tc>
          <w:tcPr>
            <w:tcW w:w="1229" w:type="dxa"/>
            <w:tcBorders>
              <w:top w:val="single" w:sz="4" w:space="0" w:color="000000"/>
              <w:bottom w:val="double" w:sz="4" w:space="0" w:color="000000"/>
            </w:tcBorders>
          </w:tcPr>
          <w:p>
            <w:pPr>
              <w:pStyle w:val="TableParagraph"/>
              <w:spacing w:line="235" w:lineRule="exact"/>
              <w:ind w:right="101"/>
              <w:jc w:val="right"/>
              <w:rPr>
                <w:b/>
                <w:sz w:val="22"/>
              </w:rPr>
            </w:pPr>
            <w:r>
              <w:rPr>
                <w:b/>
                <w:spacing w:val="-2"/>
                <w:sz w:val="22"/>
              </w:rPr>
              <w:t>3,014,066</w:t>
            </w:r>
          </w:p>
        </w:tc>
      </w:tr>
    </w:tbl>
    <w:p>
      <w:pPr>
        <w:pStyle w:val="BodyText"/>
        <w:spacing w:before="51"/>
        <w:rPr>
          <w:b/>
          <w:sz w:val="24"/>
        </w:rPr>
      </w:pPr>
    </w:p>
    <w:p>
      <w:pPr>
        <w:spacing w:line="300" w:lineRule="auto" w:before="0"/>
        <w:ind w:left="1702" w:right="987" w:firstLine="0"/>
        <w:jc w:val="both"/>
        <w:rPr>
          <w:sz w:val="24"/>
        </w:rPr>
      </w:pPr>
      <w:r>
        <w:rPr>
          <w:sz w:val="24"/>
        </w:rPr>
        <w:t>The</w:t>
      </w:r>
      <w:r>
        <w:rPr>
          <w:spacing w:val="-1"/>
          <w:sz w:val="24"/>
        </w:rPr>
        <w:t> </w:t>
      </w:r>
      <w:r>
        <w:rPr>
          <w:sz w:val="24"/>
        </w:rPr>
        <w:t>Authority</w:t>
      </w:r>
      <w:r>
        <w:rPr>
          <w:spacing w:val="-1"/>
          <w:sz w:val="24"/>
        </w:rPr>
        <w:t> </w:t>
      </w:r>
      <w:r>
        <w:rPr>
          <w:sz w:val="24"/>
        </w:rPr>
        <w:t>operates</w:t>
      </w:r>
      <w:r>
        <w:rPr>
          <w:spacing w:val="-2"/>
          <w:sz w:val="24"/>
        </w:rPr>
        <w:t> </w:t>
      </w:r>
      <w:r>
        <w:rPr>
          <w:sz w:val="24"/>
        </w:rPr>
        <w:t>its</w:t>
      </w:r>
      <w:r>
        <w:rPr>
          <w:spacing w:val="-3"/>
          <w:sz w:val="24"/>
        </w:rPr>
        <w:t> </w:t>
      </w:r>
      <w:r>
        <w:rPr>
          <w:sz w:val="24"/>
        </w:rPr>
        <w:t>business</w:t>
      </w:r>
      <w:r>
        <w:rPr>
          <w:spacing w:val="-2"/>
          <w:sz w:val="24"/>
        </w:rPr>
        <w:t> </w:t>
      </w:r>
      <w:r>
        <w:rPr>
          <w:sz w:val="24"/>
        </w:rPr>
        <w:t>from</w:t>
      </w:r>
      <w:r>
        <w:rPr>
          <w:spacing w:val="-2"/>
          <w:sz w:val="24"/>
        </w:rPr>
        <w:t> </w:t>
      </w:r>
      <w:r>
        <w:rPr>
          <w:sz w:val="24"/>
        </w:rPr>
        <w:t>premises</w:t>
      </w:r>
      <w:r>
        <w:rPr>
          <w:spacing w:val="-2"/>
          <w:sz w:val="24"/>
        </w:rPr>
        <w:t> </w:t>
      </w:r>
      <w:r>
        <w:rPr>
          <w:sz w:val="24"/>
        </w:rPr>
        <w:t>at</w:t>
      </w:r>
      <w:r>
        <w:rPr>
          <w:spacing w:val="-1"/>
          <w:sz w:val="24"/>
        </w:rPr>
        <w:t> </w:t>
      </w:r>
      <w:r>
        <w:rPr>
          <w:sz w:val="24"/>
        </w:rPr>
        <w:t>25</w:t>
      </w:r>
      <w:r>
        <w:rPr>
          <w:spacing w:val="-1"/>
          <w:sz w:val="24"/>
        </w:rPr>
        <w:t> </w:t>
      </w:r>
      <w:r>
        <w:rPr>
          <w:sz w:val="24"/>
        </w:rPr>
        <w:t>Clyde</w:t>
      </w:r>
      <w:r>
        <w:rPr>
          <w:spacing w:val="-3"/>
          <w:sz w:val="24"/>
        </w:rPr>
        <w:t> </w:t>
      </w:r>
      <w:r>
        <w:rPr>
          <w:sz w:val="24"/>
        </w:rPr>
        <w:t>Road, Ballsbridge, Dublin</w:t>
      </w:r>
      <w:r>
        <w:rPr>
          <w:spacing w:val="-12"/>
          <w:sz w:val="24"/>
        </w:rPr>
        <w:t> </w:t>
      </w:r>
      <w:r>
        <w:rPr>
          <w:sz w:val="24"/>
        </w:rPr>
        <w:t>4,</w:t>
      </w:r>
      <w:r>
        <w:rPr>
          <w:spacing w:val="-13"/>
          <w:sz w:val="24"/>
        </w:rPr>
        <w:t> </w:t>
      </w:r>
      <w:r>
        <w:rPr>
          <w:sz w:val="24"/>
        </w:rPr>
        <w:t>which</w:t>
      </w:r>
      <w:r>
        <w:rPr>
          <w:spacing w:val="-15"/>
          <w:sz w:val="24"/>
        </w:rPr>
        <w:t> </w:t>
      </w:r>
      <w:r>
        <w:rPr>
          <w:sz w:val="24"/>
        </w:rPr>
        <w:t>it</w:t>
      </w:r>
      <w:r>
        <w:rPr>
          <w:spacing w:val="-13"/>
          <w:sz w:val="24"/>
        </w:rPr>
        <w:t> </w:t>
      </w:r>
      <w:r>
        <w:rPr>
          <w:sz w:val="24"/>
        </w:rPr>
        <w:t>owns.</w:t>
      </w:r>
      <w:r>
        <w:rPr>
          <w:spacing w:val="39"/>
          <w:sz w:val="24"/>
        </w:rPr>
        <w:t> </w:t>
      </w:r>
      <w:r>
        <w:rPr>
          <w:sz w:val="24"/>
        </w:rPr>
        <w:t>The</w:t>
      </w:r>
      <w:r>
        <w:rPr>
          <w:spacing w:val="-13"/>
          <w:sz w:val="24"/>
        </w:rPr>
        <w:t> </w:t>
      </w:r>
      <w:r>
        <w:rPr>
          <w:sz w:val="24"/>
        </w:rPr>
        <w:t>Authority</w:t>
      </w:r>
      <w:r>
        <w:rPr>
          <w:spacing w:val="-13"/>
          <w:sz w:val="24"/>
        </w:rPr>
        <w:t> </w:t>
      </w:r>
      <w:r>
        <w:rPr>
          <w:sz w:val="24"/>
        </w:rPr>
        <w:t>does</w:t>
      </w:r>
      <w:r>
        <w:rPr>
          <w:spacing w:val="-14"/>
          <w:sz w:val="24"/>
        </w:rPr>
        <w:t> </w:t>
      </w:r>
      <w:r>
        <w:rPr>
          <w:sz w:val="24"/>
        </w:rPr>
        <w:t>not</w:t>
      </w:r>
      <w:r>
        <w:rPr>
          <w:spacing w:val="-16"/>
          <w:sz w:val="24"/>
        </w:rPr>
        <w:t> </w:t>
      </w:r>
      <w:r>
        <w:rPr>
          <w:sz w:val="24"/>
        </w:rPr>
        <w:t>own</w:t>
      </w:r>
      <w:r>
        <w:rPr>
          <w:spacing w:val="-13"/>
          <w:sz w:val="24"/>
        </w:rPr>
        <w:t> </w:t>
      </w:r>
      <w:r>
        <w:rPr>
          <w:sz w:val="24"/>
        </w:rPr>
        <w:t>or</w:t>
      </w:r>
      <w:r>
        <w:rPr>
          <w:spacing w:val="-12"/>
          <w:sz w:val="24"/>
        </w:rPr>
        <w:t> </w:t>
      </w:r>
      <w:r>
        <w:rPr>
          <w:sz w:val="24"/>
        </w:rPr>
        <w:t>lease</w:t>
      </w:r>
      <w:r>
        <w:rPr>
          <w:spacing w:val="-15"/>
          <w:sz w:val="24"/>
        </w:rPr>
        <w:t> </w:t>
      </w:r>
      <w:r>
        <w:rPr>
          <w:sz w:val="24"/>
        </w:rPr>
        <w:t>any</w:t>
      </w:r>
      <w:r>
        <w:rPr>
          <w:spacing w:val="-12"/>
          <w:sz w:val="24"/>
        </w:rPr>
        <w:t> </w:t>
      </w:r>
      <w:r>
        <w:rPr>
          <w:sz w:val="24"/>
        </w:rPr>
        <w:t>other</w:t>
      </w:r>
      <w:r>
        <w:rPr>
          <w:spacing w:val="-11"/>
          <w:sz w:val="24"/>
        </w:rPr>
        <w:t> </w:t>
      </w:r>
      <w:r>
        <w:rPr>
          <w:spacing w:val="-2"/>
          <w:sz w:val="24"/>
        </w:rPr>
        <w:t>property.</w:t>
      </w:r>
    </w:p>
    <w:p>
      <w:pPr>
        <w:pStyle w:val="BodyText"/>
        <w:spacing w:before="70"/>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z w:val="24"/>
        </w:rPr>
        <w:t>Deficit/surplus</w:t>
      </w:r>
      <w:r>
        <w:rPr>
          <w:b/>
          <w:spacing w:val="-2"/>
          <w:sz w:val="24"/>
        </w:rPr>
        <w:t> </w:t>
      </w:r>
      <w:r>
        <w:rPr>
          <w:b/>
          <w:sz w:val="24"/>
        </w:rPr>
        <w:t>for</w:t>
      </w:r>
      <w:r>
        <w:rPr>
          <w:b/>
          <w:spacing w:val="-3"/>
          <w:sz w:val="24"/>
        </w:rPr>
        <w:t> </w:t>
      </w:r>
      <w:r>
        <w:rPr>
          <w:b/>
          <w:sz w:val="24"/>
        </w:rPr>
        <w:t>the</w:t>
      </w:r>
      <w:r>
        <w:rPr>
          <w:b/>
          <w:spacing w:val="-1"/>
          <w:sz w:val="24"/>
        </w:rPr>
        <w:t> </w:t>
      </w:r>
      <w:r>
        <w:rPr>
          <w:b/>
          <w:spacing w:val="-4"/>
          <w:sz w:val="24"/>
        </w:rPr>
        <w:t>Year</w:t>
      </w:r>
    </w:p>
    <w:p>
      <w:pPr>
        <w:pStyle w:val="BodyText"/>
        <w:spacing w:before="139"/>
        <w:rPr>
          <w:b/>
          <w:sz w:val="24"/>
        </w:rPr>
      </w:pPr>
    </w:p>
    <w:p>
      <w:pPr>
        <w:spacing w:line="300" w:lineRule="auto" w:before="0"/>
        <w:ind w:left="1702" w:right="988" w:firstLine="0"/>
        <w:jc w:val="both"/>
        <w:rPr>
          <w:sz w:val="24"/>
        </w:rPr>
      </w:pPr>
      <w:r>
        <w:rPr>
          <w:sz w:val="24"/>
        </w:rPr>
        <w:t>As noted in the accounting policies the Oireachtas grant is recognised on a cash receipts basis and represents the gross payments made by the Department on behalf of the NDA offset in some instances by receipts remitted to the Department. Other income and expenditure in these financial statements is recognised on an accruals basis. As a result, the balance on the income and expenditure</w:t>
      </w:r>
      <w:r>
        <w:rPr>
          <w:spacing w:val="-2"/>
          <w:sz w:val="24"/>
        </w:rPr>
        <w:t> </w:t>
      </w:r>
      <w:r>
        <w:rPr>
          <w:sz w:val="24"/>
        </w:rPr>
        <w:t>account</w:t>
      </w:r>
      <w:r>
        <w:rPr>
          <w:spacing w:val="-3"/>
          <w:sz w:val="24"/>
        </w:rPr>
        <w:t> </w:t>
      </w:r>
      <w:r>
        <w:rPr>
          <w:sz w:val="24"/>
        </w:rPr>
        <w:t>does</w:t>
      </w:r>
      <w:r>
        <w:rPr>
          <w:spacing w:val="-3"/>
          <w:sz w:val="24"/>
        </w:rPr>
        <w:t> </w:t>
      </w:r>
      <w:r>
        <w:rPr>
          <w:sz w:val="24"/>
        </w:rPr>
        <w:t>not</w:t>
      </w:r>
      <w:r>
        <w:rPr>
          <w:spacing w:val="-2"/>
          <w:sz w:val="24"/>
        </w:rPr>
        <w:t> </w:t>
      </w:r>
      <w:r>
        <w:rPr>
          <w:sz w:val="24"/>
        </w:rPr>
        <w:t>represent</w:t>
      </w:r>
      <w:r>
        <w:rPr>
          <w:spacing w:val="-2"/>
          <w:sz w:val="24"/>
        </w:rPr>
        <w:t> </w:t>
      </w:r>
      <w:r>
        <w:rPr>
          <w:sz w:val="24"/>
        </w:rPr>
        <w:t>a</w:t>
      </w:r>
      <w:r>
        <w:rPr>
          <w:spacing w:val="-2"/>
          <w:sz w:val="24"/>
        </w:rPr>
        <w:t> </w:t>
      </w:r>
      <w:r>
        <w:rPr>
          <w:sz w:val="24"/>
        </w:rPr>
        <w:t>normal</w:t>
      </w:r>
      <w:r>
        <w:rPr>
          <w:spacing w:val="-2"/>
          <w:sz w:val="24"/>
        </w:rPr>
        <w:t> </w:t>
      </w:r>
      <w:r>
        <w:rPr>
          <w:sz w:val="24"/>
        </w:rPr>
        <w:t>operating</w:t>
      </w:r>
      <w:r>
        <w:rPr>
          <w:spacing w:val="-2"/>
          <w:sz w:val="24"/>
        </w:rPr>
        <w:t> </w:t>
      </w:r>
      <w:r>
        <w:rPr>
          <w:sz w:val="24"/>
        </w:rPr>
        <w:t>deficit,</w:t>
      </w:r>
      <w:r>
        <w:rPr>
          <w:spacing w:val="-3"/>
          <w:sz w:val="24"/>
        </w:rPr>
        <w:t> </w:t>
      </w:r>
      <w:r>
        <w:rPr>
          <w:sz w:val="24"/>
        </w:rPr>
        <w:t>as</w:t>
      </w:r>
      <w:r>
        <w:rPr>
          <w:spacing w:val="-4"/>
          <w:sz w:val="24"/>
        </w:rPr>
        <w:t> </w:t>
      </w:r>
      <w:r>
        <w:rPr>
          <w:sz w:val="24"/>
        </w:rPr>
        <w:t>it</w:t>
      </w:r>
      <w:r>
        <w:rPr>
          <w:spacing w:val="-2"/>
          <w:sz w:val="24"/>
        </w:rPr>
        <w:t> </w:t>
      </w:r>
      <w:r>
        <w:rPr>
          <w:sz w:val="24"/>
        </w:rPr>
        <w:t>is</w:t>
      </w:r>
      <w:r>
        <w:rPr>
          <w:spacing w:val="-4"/>
          <w:sz w:val="24"/>
        </w:rPr>
        <w:t> </w:t>
      </w:r>
      <w:r>
        <w:rPr>
          <w:sz w:val="24"/>
        </w:rPr>
        <w:t>largely attributable to the difference between accruals expenditure and cash-based </w:t>
      </w:r>
      <w:r>
        <w:rPr>
          <w:spacing w:val="-2"/>
          <w:sz w:val="24"/>
        </w:rPr>
        <w:t>funding.</w:t>
      </w:r>
    </w:p>
    <w:p>
      <w:pPr>
        <w:spacing w:after="0" w:line="300" w:lineRule="auto"/>
        <w:jc w:val="both"/>
        <w:rPr>
          <w:sz w:val="24"/>
        </w:rPr>
        <w:sectPr>
          <w:pgSz w:w="11910" w:h="16850"/>
          <w:pgMar w:header="0" w:footer="811" w:top="1940" w:bottom="1000" w:left="283" w:right="992"/>
        </w:sectPr>
      </w:pPr>
    </w:p>
    <w:p>
      <w:pPr>
        <w:pStyle w:val="BodyText"/>
        <w:rPr>
          <w:sz w:val="24"/>
        </w:rPr>
      </w:pPr>
    </w:p>
    <w:p>
      <w:pPr>
        <w:pStyle w:val="BodyText"/>
        <w:spacing w:before="157"/>
        <w:rPr>
          <w:sz w:val="24"/>
        </w:rPr>
      </w:pPr>
    </w:p>
    <w:p>
      <w:pPr>
        <w:pStyle w:val="ListParagraph"/>
        <w:numPr>
          <w:ilvl w:val="0"/>
          <w:numId w:val="17"/>
        </w:numPr>
        <w:tabs>
          <w:tab w:pos="2060" w:val="left" w:leader="none"/>
        </w:tabs>
        <w:spacing w:line="240" w:lineRule="auto" w:before="0" w:after="0"/>
        <w:ind w:left="2060" w:right="0" w:hanging="358"/>
        <w:jc w:val="left"/>
        <w:rPr>
          <w:b/>
          <w:sz w:val="24"/>
        </w:rPr>
      </w:pPr>
      <w:r>
        <w:rPr>
          <w:b/>
          <w:spacing w:val="-2"/>
          <w:sz w:val="24"/>
        </w:rPr>
        <w:t>Receivables</w:t>
      </w:r>
    </w:p>
    <w:p>
      <w:pPr>
        <w:pStyle w:val="BodyText"/>
        <w:spacing w:before="10"/>
        <w:rPr>
          <w:b/>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98"/>
        <w:gridCol w:w="1089"/>
        <w:gridCol w:w="1428"/>
      </w:tblGrid>
      <w:tr>
        <w:trPr>
          <w:trHeight w:val="808" w:hRule="atLeast"/>
        </w:trPr>
        <w:tc>
          <w:tcPr>
            <w:tcW w:w="5398" w:type="dxa"/>
            <w:vMerge w:val="restart"/>
          </w:tcPr>
          <w:p>
            <w:pPr>
              <w:pStyle w:val="TableParagraph"/>
              <w:rPr>
                <w:b/>
                <w:sz w:val="24"/>
              </w:rPr>
            </w:pPr>
          </w:p>
          <w:p>
            <w:pPr>
              <w:pStyle w:val="TableParagraph"/>
              <w:spacing w:before="41"/>
              <w:rPr>
                <w:b/>
                <w:sz w:val="24"/>
              </w:rPr>
            </w:pPr>
          </w:p>
          <w:p>
            <w:pPr>
              <w:pStyle w:val="TableParagraph"/>
              <w:spacing w:line="350" w:lineRule="atLeast"/>
              <w:ind w:left="50" w:right="2017"/>
              <w:rPr>
                <w:sz w:val="24"/>
              </w:rPr>
            </w:pPr>
            <w:r>
              <w:rPr>
                <w:sz w:val="24"/>
              </w:rPr>
              <w:t>Department</w:t>
            </w:r>
            <w:r>
              <w:rPr>
                <w:spacing w:val="-13"/>
                <w:sz w:val="24"/>
              </w:rPr>
              <w:t> </w:t>
            </w:r>
            <w:r>
              <w:rPr>
                <w:sz w:val="24"/>
              </w:rPr>
              <w:t>of</w:t>
            </w:r>
            <w:r>
              <w:rPr>
                <w:spacing w:val="-13"/>
                <w:sz w:val="24"/>
              </w:rPr>
              <w:t> </w:t>
            </w:r>
            <w:r>
              <w:rPr>
                <w:sz w:val="24"/>
              </w:rPr>
              <w:t>Justice</w:t>
            </w:r>
            <w:r>
              <w:rPr>
                <w:spacing w:val="-13"/>
                <w:sz w:val="24"/>
              </w:rPr>
              <w:t> </w:t>
            </w:r>
            <w:r>
              <w:rPr>
                <w:sz w:val="24"/>
              </w:rPr>
              <w:t>and </w:t>
            </w:r>
            <w:r>
              <w:rPr>
                <w:spacing w:val="-2"/>
                <w:sz w:val="24"/>
              </w:rPr>
              <w:t>Equality*</w:t>
            </w:r>
          </w:p>
        </w:tc>
        <w:tc>
          <w:tcPr>
            <w:tcW w:w="1089" w:type="dxa"/>
          </w:tcPr>
          <w:p>
            <w:pPr>
              <w:pStyle w:val="TableParagraph"/>
              <w:spacing w:line="252" w:lineRule="exact"/>
              <w:ind w:right="107"/>
              <w:jc w:val="right"/>
              <w:rPr>
                <w:b/>
                <w:sz w:val="24"/>
              </w:rPr>
            </w:pPr>
            <w:r>
              <w:rPr>
                <w:b/>
                <w:spacing w:val="-4"/>
                <w:sz w:val="24"/>
              </w:rPr>
              <w:t>2017</w:t>
            </w:r>
          </w:p>
          <w:p>
            <w:pPr>
              <w:pStyle w:val="TableParagraph"/>
              <w:spacing w:before="69"/>
              <w:ind w:right="105"/>
              <w:jc w:val="right"/>
              <w:rPr>
                <w:b/>
                <w:sz w:val="24"/>
              </w:rPr>
            </w:pPr>
            <w:r>
              <w:rPr>
                <w:b/>
                <w:spacing w:val="-10"/>
                <w:sz w:val="24"/>
              </w:rPr>
              <w:t>€</w:t>
            </w:r>
          </w:p>
        </w:tc>
        <w:tc>
          <w:tcPr>
            <w:tcW w:w="1428" w:type="dxa"/>
            <w:shd w:val="clear" w:color="auto" w:fill="E4E4E4"/>
          </w:tcPr>
          <w:p>
            <w:pPr>
              <w:pStyle w:val="TableParagraph"/>
              <w:spacing w:line="252" w:lineRule="exact"/>
              <w:ind w:right="109"/>
              <w:jc w:val="right"/>
              <w:rPr>
                <w:b/>
                <w:sz w:val="24"/>
              </w:rPr>
            </w:pPr>
            <w:r>
              <w:rPr>
                <w:b/>
                <w:spacing w:val="-4"/>
                <w:sz w:val="24"/>
              </w:rPr>
              <w:t>2016</w:t>
            </w:r>
          </w:p>
          <w:p>
            <w:pPr>
              <w:pStyle w:val="TableParagraph"/>
              <w:spacing w:before="69"/>
              <w:ind w:right="107"/>
              <w:jc w:val="right"/>
              <w:rPr>
                <w:b/>
                <w:sz w:val="24"/>
              </w:rPr>
            </w:pPr>
            <w:r>
              <w:rPr>
                <w:b/>
                <w:spacing w:val="-10"/>
                <w:sz w:val="24"/>
              </w:rPr>
              <w:t>€</w:t>
            </w:r>
          </w:p>
        </w:tc>
      </w:tr>
      <w:tr>
        <w:trPr>
          <w:trHeight w:val="522" w:hRule="atLeast"/>
        </w:trPr>
        <w:tc>
          <w:tcPr>
            <w:tcW w:w="5398" w:type="dxa"/>
            <w:vMerge/>
            <w:tcBorders>
              <w:top w:val="nil"/>
            </w:tcBorders>
          </w:tcPr>
          <w:p>
            <w:pPr>
              <w:rPr>
                <w:sz w:val="2"/>
                <w:szCs w:val="2"/>
              </w:rPr>
            </w:pPr>
          </w:p>
        </w:tc>
        <w:tc>
          <w:tcPr>
            <w:tcW w:w="1089" w:type="dxa"/>
          </w:tcPr>
          <w:p>
            <w:pPr>
              <w:pStyle w:val="TableParagraph"/>
              <w:spacing w:before="209"/>
              <w:ind w:right="105"/>
              <w:jc w:val="right"/>
              <w:rPr>
                <w:sz w:val="24"/>
              </w:rPr>
            </w:pPr>
            <w:r>
              <w:rPr>
                <w:spacing w:val="-2"/>
                <w:sz w:val="24"/>
              </w:rPr>
              <w:t>354,033</w:t>
            </w:r>
          </w:p>
        </w:tc>
        <w:tc>
          <w:tcPr>
            <w:tcW w:w="1428" w:type="dxa"/>
            <w:shd w:val="clear" w:color="auto" w:fill="E4E4E4"/>
          </w:tcPr>
          <w:p>
            <w:pPr>
              <w:pStyle w:val="TableParagraph"/>
              <w:spacing w:before="209"/>
              <w:ind w:right="107"/>
              <w:jc w:val="right"/>
              <w:rPr>
                <w:sz w:val="24"/>
              </w:rPr>
            </w:pPr>
            <w:r>
              <w:rPr>
                <w:spacing w:val="-2"/>
                <w:sz w:val="24"/>
              </w:rPr>
              <w:t>351,297</w:t>
            </w:r>
          </w:p>
        </w:tc>
      </w:tr>
      <w:tr>
        <w:trPr>
          <w:trHeight w:val="348" w:hRule="atLeast"/>
        </w:trPr>
        <w:tc>
          <w:tcPr>
            <w:tcW w:w="5398" w:type="dxa"/>
          </w:tcPr>
          <w:p>
            <w:pPr>
              <w:pStyle w:val="TableParagraph"/>
              <w:spacing w:before="35"/>
              <w:ind w:left="50"/>
              <w:rPr>
                <w:sz w:val="24"/>
              </w:rPr>
            </w:pPr>
            <w:r>
              <w:rPr>
                <w:spacing w:val="-2"/>
                <w:sz w:val="24"/>
              </w:rPr>
              <w:t>Prepayments</w:t>
            </w:r>
          </w:p>
        </w:tc>
        <w:tc>
          <w:tcPr>
            <w:tcW w:w="1089" w:type="dxa"/>
          </w:tcPr>
          <w:p>
            <w:pPr>
              <w:pStyle w:val="TableParagraph"/>
              <w:spacing w:before="35"/>
              <w:ind w:right="105"/>
              <w:jc w:val="right"/>
              <w:rPr>
                <w:sz w:val="24"/>
              </w:rPr>
            </w:pPr>
            <w:r>
              <w:rPr>
                <w:spacing w:val="-2"/>
                <w:sz w:val="24"/>
              </w:rPr>
              <w:t>48,331</w:t>
            </w:r>
          </w:p>
        </w:tc>
        <w:tc>
          <w:tcPr>
            <w:tcW w:w="1428" w:type="dxa"/>
            <w:shd w:val="clear" w:color="auto" w:fill="E4E4E4"/>
          </w:tcPr>
          <w:p>
            <w:pPr>
              <w:pStyle w:val="TableParagraph"/>
              <w:spacing w:before="35"/>
              <w:ind w:right="107"/>
              <w:jc w:val="right"/>
              <w:rPr>
                <w:sz w:val="24"/>
              </w:rPr>
            </w:pPr>
            <w:r>
              <w:rPr>
                <w:spacing w:val="-2"/>
                <w:sz w:val="24"/>
              </w:rPr>
              <w:t>17,580</w:t>
            </w:r>
          </w:p>
        </w:tc>
      </w:tr>
      <w:tr>
        <w:trPr>
          <w:trHeight w:val="409" w:hRule="atLeast"/>
        </w:trPr>
        <w:tc>
          <w:tcPr>
            <w:tcW w:w="5398" w:type="dxa"/>
          </w:tcPr>
          <w:p>
            <w:pPr>
              <w:pStyle w:val="TableParagraph"/>
              <w:spacing w:before="35"/>
              <w:ind w:left="50"/>
              <w:rPr>
                <w:sz w:val="24"/>
              </w:rPr>
            </w:pPr>
            <w:r>
              <w:rPr>
                <w:sz w:val="24"/>
              </w:rPr>
              <w:t>Other</w:t>
            </w:r>
            <w:r>
              <w:rPr>
                <w:spacing w:val="-1"/>
                <w:sz w:val="24"/>
              </w:rPr>
              <w:t> </w:t>
            </w:r>
            <w:r>
              <w:rPr>
                <w:spacing w:val="-2"/>
                <w:sz w:val="24"/>
              </w:rPr>
              <w:t>Debtors</w:t>
            </w:r>
          </w:p>
        </w:tc>
        <w:tc>
          <w:tcPr>
            <w:tcW w:w="1089" w:type="dxa"/>
            <w:tcBorders>
              <w:bottom w:val="single" w:sz="4" w:space="0" w:color="000000"/>
            </w:tcBorders>
          </w:tcPr>
          <w:p>
            <w:pPr>
              <w:pStyle w:val="TableParagraph"/>
              <w:spacing w:before="35"/>
              <w:ind w:right="105"/>
              <w:jc w:val="right"/>
              <w:rPr>
                <w:sz w:val="24"/>
              </w:rPr>
            </w:pPr>
            <w:r>
              <w:rPr>
                <w:spacing w:val="-2"/>
                <w:sz w:val="24"/>
              </w:rPr>
              <w:t>49,866</w:t>
            </w:r>
          </w:p>
        </w:tc>
        <w:tc>
          <w:tcPr>
            <w:tcW w:w="1428" w:type="dxa"/>
            <w:tcBorders>
              <w:bottom w:val="single" w:sz="4" w:space="0" w:color="000000"/>
            </w:tcBorders>
            <w:shd w:val="clear" w:color="auto" w:fill="E4E4E4"/>
          </w:tcPr>
          <w:p>
            <w:pPr>
              <w:pStyle w:val="TableParagraph"/>
              <w:spacing w:before="35"/>
              <w:ind w:right="106"/>
              <w:jc w:val="right"/>
              <w:rPr>
                <w:sz w:val="24"/>
              </w:rPr>
            </w:pPr>
            <w:r>
              <w:rPr>
                <w:spacing w:val="-10"/>
                <w:sz w:val="24"/>
              </w:rPr>
              <w:t>-</w:t>
            </w:r>
          </w:p>
        </w:tc>
      </w:tr>
      <w:tr>
        <w:trPr>
          <w:trHeight w:val="347" w:hRule="atLeast"/>
        </w:trPr>
        <w:tc>
          <w:tcPr>
            <w:tcW w:w="5398" w:type="dxa"/>
          </w:tcPr>
          <w:p>
            <w:pPr>
              <w:pStyle w:val="TableParagraph"/>
              <w:rPr>
                <w:rFonts w:ascii="Times New Roman"/>
                <w:sz w:val="24"/>
              </w:rPr>
            </w:pPr>
          </w:p>
        </w:tc>
        <w:tc>
          <w:tcPr>
            <w:tcW w:w="1089" w:type="dxa"/>
            <w:tcBorders>
              <w:top w:val="single" w:sz="4" w:space="0" w:color="000000"/>
              <w:bottom w:val="double" w:sz="4" w:space="0" w:color="000000"/>
            </w:tcBorders>
          </w:tcPr>
          <w:p>
            <w:pPr>
              <w:pStyle w:val="TableParagraph"/>
              <w:spacing w:line="252" w:lineRule="exact"/>
              <w:ind w:right="106"/>
              <w:jc w:val="right"/>
              <w:rPr>
                <w:b/>
                <w:sz w:val="24"/>
              </w:rPr>
            </w:pPr>
            <w:r>
              <w:rPr>
                <w:b/>
                <w:spacing w:val="-2"/>
                <w:sz w:val="24"/>
              </w:rPr>
              <w:t>452,230</w:t>
            </w:r>
          </w:p>
        </w:tc>
        <w:tc>
          <w:tcPr>
            <w:tcW w:w="1428" w:type="dxa"/>
            <w:tcBorders>
              <w:top w:val="single" w:sz="4" w:space="0" w:color="000000"/>
              <w:bottom w:val="double" w:sz="4" w:space="0" w:color="000000"/>
            </w:tcBorders>
            <w:shd w:val="clear" w:color="auto" w:fill="E4E4E4"/>
          </w:tcPr>
          <w:p>
            <w:pPr>
              <w:pStyle w:val="TableParagraph"/>
              <w:spacing w:line="252" w:lineRule="exact"/>
              <w:ind w:right="108"/>
              <w:jc w:val="right"/>
              <w:rPr>
                <w:b/>
                <w:sz w:val="24"/>
              </w:rPr>
            </w:pPr>
            <w:r>
              <w:rPr>
                <w:b/>
                <w:spacing w:val="-2"/>
                <w:sz w:val="24"/>
              </w:rPr>
              <w:t>368,877</w:t>
            </w:r>
          </w:p>
        </w:tc>
      </w:tr>
    </w:tbl>
    <w:p>
      <w:pPr>
        <w:pStyle w:val="BodyText"/>
        <w:spacing w:before="63"/>
        <w:rPr>
          <w:b/>
          <w:sz w:val="24"/>
        </w:rPr>
      </w:pPr>
    </w:p>
    <w:p>
      <w:pPr>
        <w:spacing w:line="312" w:lineRule="auto" w:before="0"/>
        <w:ind w:left="1702" w:right="991" w:firstLine="0"/>
        <w:jc w:val="both"/>
        <w:rPr>
          <w:sz w:val="24"/>
        </w:rPr>
      </w:pPr>
      <w:r>
        <w:rPr>
          <w:sz w:val="24"/>
        </w:rPr>
        <w:t>* The costs of pension lump sums are met from a specific / suspense account maintained by the Department of Justice and Equality for that purpose. The Authority remits superannuation payments from all staff to that account each fortnight. Lump sum payments over the course of the year are charged to that account.</w:t>
      </w:r>
      <w:r>
        <w:rPr>
          <w:spacing w:val="40"/>
          <w:sz w:val="24"/>
        </w:rPr>
        <w:t> </w:t>
      </w:r>
      <w:r>
        <w:rPr>
          <w:sz w:val="24"/>
        </w:rPr>
        <w:t>The</w:t>
      </w:r>
      <w:r>
        <w:rPr>
          <w:spacing w:val="-10"/>
          <w:sz w:val="24"/>
        </w:rPr>
        <w:t> </w:t>
      </w:r>
      <w:r>
        <w:rPr>
          <w:sz w:val="24"/>
        </w:rPr>
        <w:t>balance</w:t>
      </w:r>
      <w:r>
        <w:rPr>
          <w:spacing w:val="-10"/>
          <w:sz w:val="24"/>
        </w:rPr>
        <w:t> </w:t>
      </w:r>
      <w:r>
        <w:rPr>
          <w:sz w:val="24"/>
        </w:rPr>
        <w:t>here</w:t>
      </w:r>
      <w:r>
        <w:rPr>
          <w:spacing w:val="-10"/>
          <w:sz w:val="24"/>
        </w:rPr>
        <w:t> </w:t>
      </w:r>
      <w:r>
        <w:rPr>
          <w:sz w:val="24"/>
        </w:rPr>
        <w:t>represents</w:t>
      </w:r>
      <w:r>
        <w:rPr>
          <w:spacing w:val="-11"/>
          <w:sz w:val="24"/>
        </w:rPr>
        <w:t> </w:t>
      </w:r>
      <w:r>
        <w:rPr>
          <w:sz w:val="24"/>
        </w:rPr>
        <w:t>the</w:t>
      </w:r>
      <w:r>
        <w:rPr>
          <w:spacing w:val="-11"/>
          <w:sz w:val="24"/>
        </w:rPr>
        <w:t> </w:t>
      </w:r>
      <w:r>
        <w:rPr>
          <w:sz w:val="24"/>
        </w:rPr>
        <w:t>amount</w:t>
      </w:r>
      <w:r>
        <w:rPr>
          <w:spacing w:val="-11"/>
          <w:sz w:val="24"/>
        </w:rPr>
        <w:t> </w:t>
      </w:r>
      <w:r>
        <w:rPr>
          <w:sz w:val="24"/>
        </w:rPr>
        <w:t>in</w:t>
      </w:r>
      <w:r>
        <w:rPr>
          <w:spacing w:val="-10"/>
          <w:sz w:val="24"/>
        </w:rPr>
        <w:t> </w:t>
      </w:r>
      <w:r>
        <w:rPr>
          <w:sz w:val="24"/>
        </w:rPr>
        <w:t>the</w:t>
      </w:r>
      <w:r>
        <w:rPr>
          <w:spacing w:val="-11"/>
          <w:sz w:val="24"/>
        </w:rPr>
        <w:t> </w:t>
      </w:r>
      <w:r>
        <w:rPr>
          <w:sz w:val="24"/>
        </w:rPr>
        <w:t>account</w:t>
      </w:r>
      <w:r>
        <w:rPr>
          <w:spacing w:val="-11"/>
          <w:sz w:val="24"/>
        </w:rPr>
        <w:t> </w:t>
      </w:r>
      <w:r>
        <w:rPr>
          <w:sz w:val="24"/>
        </w:rPr>
        <w:t>at</w:t>
      </w:r>
      <w:r>
        <w:rPr>
          <w:spacing w:val="-10"/>
          <w:sz w:val="24"/>
        </w:rPr>
        <w:t> </w:t>
      </w:r>
      <w:r>
        <w:rPr>
          <w:sz w:val="24"/>
        </w:rPr>
        <w:t>31</w:t>
      </w:r>
      <w:r>
        <w:rPr>
          <w:spacing w:val="-10"/>
          <w:sz w:val="24"/>
        </w:rPr>
        <w:t> </w:t>
      </w:r>
      <w:r>
        <w:rPr>
          <w:sz w:val="24"/>
        </w:rPr>
        <w:t>December </w:t>
      </w:r>
      <w:r>
        <w:rPr>
          <w:spacing w:val="-2"/>
          <w:sz w:val="24"/>
        </w:rPr>
        <w:t>2017.</w:t>
      </w:r>
    </w:p>
    <w:p>
      <w:pPr>
        <w:pStyle w:val="BodyText"/>
        <w:spacing w:before="71"/>
        <w:rPr>
          <w:sz w:val="24"/>
        </w:rPr>
      </w:pPr>
    </w:p>
    <w:p>
      <w:pPr>
        <w:pStyle w:val="ListParagraph"/>
        <w:numPr>
          <w:ilvl w:val="0"/>
          <w:numId w:val="17"/>
        </w:numPr>
        <w:tabs>
          <w:tab w:pos="2060" w:val="left" w:leader="none"/>
        </w:tabs>
        <w:spacing w:line="240" w:lineRule="auto" w:before="1" w:after="0"/>
        <w:ind w:left="2060" w:right="0" w:hanging="358"/>
        <w:jc w:val="left"/>
        <w:rPr>
          <w:b/>
          <w:sz w:val="24"/>
        </w:rPr>
      </w:pPr>
      <w:r>
        <w:rPr>
          <w:b/>
          <w:spacing w:val="-2"/>
          <w:sz w:val="24"/>
        </w:rPr>
        <w:t>Payables</w:t>
      </w:r>
    </w:p>
    <w:p>
      <w:pPr>
        <w:spacing w:before="69"/>
        <w:ind w:left="2062" w:right="0" w:firstLine="0"/>
        <w:jc w:val="left"/>
        <w:rPr>
          <w:b/>
          <w:i/>
          <w:sz w:val="24"/>
        </w:rPr>
      </w:pPr>
      <w:r>
        <w:rPr>
          <w:b/>
          <w:i/>
          <w:sz w:val="24"/>
        </w:rPr>
        <w:t>Amounts</w:t>
      </w:r>
      <w:r>
        <w:rPr>
          <w:b/>
          <w:i/>
          <w:spacing w:val="-1"/>
          <w:sz w:val="24"/>
        </w:rPr>
        <w:t> </w:t>
      </w:r>
      <w:r>
        <w:rPr>
          <w:b/>
          <w:i/>
          <w:sz w:val="24"/>
        </w:rPr>
        <w:t>falling</w:t>
      </w:r>
      <w:r>
        <w:rPr>
          <w:b/>
          <w:i/>
          <w:spacing w:val="-2"/>
          <w:sz w:val="24"/>
        </w:rPr>
        <w:t> </w:t>
      </w:r>
      <w:r>
        <w:rPr>
          <w:b/>
          <w:i/>
          <w:sz w:val="24"/>
        </w:rPr>
        <w:t>due</w:t>
      </w:r>
      <w:r>
        <w:rPr>
          <w:b/>
          <w:i/>
          <w:spacing w:val="-1"/>
          <w:sz w:val="24"/>
        </w:rPr>
        <w:t> </w:t>
      </w:r>
      <w:r>
        <w:rPr>
          <w:b/>
          <w:i/>
          <w:sz w:val="24"/>
        </w:rPr>
        <w:t>within</w:t>
      </w:r>
      <w:r>
        <w:rPr>
          <w:b/>
          <w:i/>
          <w:spacing w:val="-2"/>
          <w:sz w:val="24"/>
        </w:rPr>
        <w:t> </w:t>
      </w:r>
      <w:r>
        <w:rPr>
          <w:b/>
          <w:i/>
          <w:sz w:val="24"/>
        </w:rPr>
        <w:t>one</w:t>
      </w:r>
      <w:r>
        <w:rPr>
          <w:b/>
          <w:i/>
          <w:spacing w:val="-1"/>
          <w:sz w:val="24"/>
        </w:rPr>
        <w:t> </w:t>
      </w:r>
      <w:r>
        <w:rPr>
          <w:b/>
          <w:i/>
          <w:spacing w:val="-4"/>
          <w:sz w:val="24"/>
        </w:rPr>
        <w:t>year</w:t>
      </w:r>
    </w:p>
    <w:p>
      <w:pPr>
        <w:pStyle w:val="BodyText"/>
        <w:spacing w:before="10"/>
        <w:rPr>
          <w:b/>
          <w:i/>
          <w:sz w:val="7"/>
        </w:rPr>
      </w:pPr>
    </w:p>
    <w:tbl>
      <w:tblPr>
        <w:tblW w:w="0" w:type="auto"/>
        <w:jc w:val="left"/>
        <w:tblInd w:w="1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50"/>
        <w:gridCol w:w="1147"/>
        <w:gridCol w:w="1419"/>
      </w:tblGrid>
      <w:tr>
        <w:trPr>
          <w:trHeight w:val="632" w:hRule="atLeast"/>
        </w:trPr>
        <w:tc>
          <w:tcPr>
            <w:tcW w:w="5350" w:type="dxa"/>
          </w:tcPr>
          <w:p>
            <w:pPr>
              <w:pStyle w:val="TableParagraph"/>
              <w:rPr>
                <w:rFonts w:ascii="Times New Roman"/>
                <w:sz w:val="24"/>
              </w:rPr>
            </w:pPr>
          </w:p>
        </w:tc>
        <w:tc>
          <w:tcPr>
            <w:tcW w:w="1147" w:type="dxa"/>
          </w:tcPr>
          <w:p>
            <w:pPr>
              <w:pStyle w:val="TableParagraph"/>
              <w:spacing w:line="252" w:lineRule="exact"/>
              <w:ind w:right="109"/>
              <w:jc w:val="right"/>
              <w:rPr>
                <w:b/>
                <w:sz w:val="24"/>
              </w:rPr>
            </w:pPr>
            <w:r>
              <w:rPr>
                <w:b/>
                <w:spacing w:val="-4"/>
                <w:sz w:val="24"/>
              </w:rPr>
              <w:t>2017</w:t>
            </w:r>
          </w:p>
          <w:p>
            <w:pPr>
              <w:pStyle w:val="TableParagraph"/>
              <w:spacing w:before="67"/>
              <w:ind w:right="106"/>
              <w:jc w:val="right"/>
              <w:rPr>
                <w:b/>
                <w:sz w:val="24"/>
              </w:rPr>
            </w:pPr>
            <w:r>
              <w:rPr>
                <w:b/>
                <w:spacing w:val="-10"/>
                <w:sz w:val="24"/>
              </w:rPr>
              <w:t>€</w:t>
            </w:r>
          </w:p>
        </w:tc>
        <w:tc>
          <w:tcPr>
            <w:tcW w:w="1419" w:type="dxa"/>
            <w:shd w:val="clear" w:color="auto" w:fill="E4E4E4"/>
          </w:tcPr>
          <w:p>
            <w:pPr>
              <w:pStyle w:val="TableParagraph"/>
              <w:spacing w:line="252" w:lineRule="exact"/>
              <w:ind w:right="110"/>
              <w:jc w:val="right"/>
              <w:rPr>
                <w:b/>
                <w:sz w:val="24"/>
              </w:rPr>
            </w:pPr>
            <w:r>
              <w:rPr>
                <w:b/>
                <w:spacing w:val="-4"/>
                <w:sz w:val="24"/>
              </w:rPr>
              <w:t>2016</w:t>
            </w:r>
          </w:p>
          <w:p>
            <w:pPr>
              <w:pStyle w:val="TableParagraph"/>
              <w:spacing w:before="67"/>
              <w:ind w:right="108"/>
              <w:jc w:val="right"/>
              <w:rPr>
                <w:b/>
                <w:sz w:val="24"/>
              </w:rPr>
            </w:pPr>
            <w:r>
              <w:rPr>
                <w:b/>
                <w:spacing w:val="-10"/>
                <w:sz w:val="24"/>
              </w:rPr>
              <w:t>€</w:t>
            </w:r>
          </w:p>
        </w:tc>
      </w:tr>
      <w:tr>
        <w:trPr>
          <w:trHeight w:val="347" w:hRule="atLeast"/>
        </w:trPr>
        <w:tc>
          <w:tcPr>
            <w:tcW w:w="5350" w:type="dxa"/>
          </w:tcPr>
          <w:p>
            <w:pPr>
              <w:pStyle w:val="TableParagraph"/>
              <w:spacing w:before="35"/>
              <w:ind w:left="50"/>
              <w:rPr>
                <w:sz w:val="24"/>
              </w:rPr>
            </w:pPr>
            <w:r>
              <w:rPr>
                <w:sz w:val="24"/>
              </w:rPr>
              <w:t>Department</w:t>
            </w:r>
            <w:r>
              <w:rPr>
                <w:spacing w:val="-1"/>
                <w:sz w:val="24"/>
              </w:rPr>
              <w:t> </w:t>
            </w:r>
            <w:r>
              <w:rPr>
                <w:sz w:val="24"/>
              </w:rPr>
              <w:t>of </w:t>
            </w:r>
            <w:r>
              <w:rPr>
                <w:spacing w:val="-2"/>
                <w:sz w:val="24"/>
              </w:rPr>
              <w:t>Justice</w:t>
            </w:r>
          </w:p>
        </w:tc>
        <w:tc>
          <w:tcPr>
            <w:tcW w:w="1147" w:type="dxa"/>
          </w:tcPr>
          <w:p>
            <w:pPr>
              <w:pStyle w:val="TableParagraph"/>
              <w:spacing w:before="35"/>
              <w:ind w:right="105"/>
              <w:jc w:val="right"/>
              <w:rPr>
                <w:sz w:val="24"/>
              </w:rPr>
            </w:pPr>
            <w:r>
              <w:rPr>
                <w:spacing w:val="-2"/>
                <w:sz w:val="24"/>
              </w:rPr>
              <w:t>11,705</w:t>
            </w:r>
          </w:p>
        </w:tc>
        <w:tc>
          <w:tcPr>
            <w:tcW w:w="1419" w:type="dxa"/>
            <w:shd w:val="clear" w:color="auto" w:fill="E4E4E4"/>
          </w:tcPr>
          <w:p>
            <w:pPr>
              <w:pStyle w:val="TableParagraph"/>
              <w:spacing w:before="35"/>
              <w:ind w:right="108"/>
              <w:jc w:val="right"/>
              <w:rPr>
                <w:sz w:val="24"/>
              </w:rPr>
            </w:pPr>
            <w:r>
              <w:rPr>
                <w:spacing w:val="-2"/>
                <w:sz w:val="24"/>
              </w:rPr>
              <w:t>43,915</w:t>
            </w:r>
          </w:p>
        </w:tc>
      </w:tr>
      <w:tr>
        <w:trPr>
          <w:trHeight w:val="348" w:hRule="atLeast"/>
        </w:trPr>
        <w:tc>
          <w:tcPr>
            <w:tcW w:w="5350" w:type="dxa"/>
          </w:tcPr>
          <w:p>
            <w:pPr>
              <w:pStyle w:val="TableParagraph"/>
              <w:spacing w:before="35"/>
              <w:ind w:left="50"/>
              <w:rPr>
                <w:sz w:val="24"/>
              </w:rPr>
            </w:pPr>
            <w:r>
              <w:rPr>
                <w:sz w:val="24"/>
              </w:rPr>
              <w:t>Holiday pay</w:t>
            </w:r>
            <w:r>
              <w:rPr>
                <w:spacing w:val="-2"/>
                <w:sz w:val="24"/>
              </w:rPr>
              <w:t> accrual</w:t>
            </w:r>
          </w:p>
        </w:tc>
        <w:tc>
          <w:tcPr>
            <w:tcW w:w="1147" w:type="dxa"/>
          </w:tcPr>
          <w:p>
            <w:pPr>
              <w:pStyle w:val="TableParagraph"/>
              <w:spacing w:before="35"/>
              <w:ind w:right="105"/>
              <w:jc w:val="right"/>
              <w:rPr>
                <w:sz w:val="24"/>
              </w:rPr>
            </w:pPr>
            <w:r>
              <w:rPr>
                <w:spacing w:val="-2"/>
                <w:sz w:val="24"/>
              </w:rPr>
              <w:t>47,780</w:t>
            </w:r>
          </w:p>
        </w:tc>
        <w:tc>
          <w:tcPr>
            <w:tcW w:w="1419" w:type="dxa"/>
            <w:shd w:val="clear" w:color="auto" w:fill="E4E4E4"/>
          </w:tcPr>
          <w:p>
            <w:pPr>
              <w:pStyle w:val="TableParagraph"/>
              <w:spacing w:before="35"/>
              <w:ind w:right="108"/>
              <w:jc w:val="right"/>
              <w:rPr>
                <w:sz w:val="24"/>
              </w:rPr>
            </w:pPr>
            <w:r>
              <w:rPr>
                <w:spacing w:val="-2"/>
                <w:sz w:val="24"/>
              </w:rPr>
              <w:t>45,335</w:t>
            </w:r>
          </w:p>
        </w:tc>
      </w:tr>
      <w:tr>
        <w:trPr>
          <w:trHeight w:val="696" w:hRule="atLeast"/>
        </w:trPr>
        <w:tc>
          <w:tcPr>
            <w:tcW w:w="5350" w:type="dxa"/>
          </w:tcPr>
          <w:p>
            <w:pPr>
              <w:pStyle w:val="TableParagraph"/>
              <w:spacing w:before="35"/>
              <w:ind w:left="50"/>
              <w:rPr>
                <w:sz w:val="24"/>
              </w:rPr>
            </w:pPr>
            <w:r>
              <w:rPr>
                <w:sz w:val="24"/>
              </w:rPr>
              <w:t>Capital</w:t>
            </w:r>
            <w:r>
              <w:rPr>
                <w:spacing w:val="-4"/>
                <w:sz w:val="24"/>
              </w:rPr>
              <w:t> </w:t>
            </w:r>
            <w:r>
              <w:rPr>
                <w:sz w:val="24"/>
              </w:rPr>
              <w:t>accruals</w:t>
            </w:r>
            <w:r>
              <w:rPr>
                <w:spacing w:val="-6"/>
                <w:sz w:val="24"/>
              </w:rPr>
              <w:t> </w:t>
            </w:r>
            <w:r>
              <w:rPr>
                <w:spacing w:val="-2"/>
                <w:sz w:val="24"/>
              </w:rPr>
              <w:t>refurbishment</w:t>
            </w:r>
          </w:p>
          <w:p>
            <w:pPr>
              <w:pStyle w:val="TableParagraph"/>
              <w:spacing w:before="70"/>
              <w:ind w:left="50"/>
              <w:rPr>
                <w:sz w:val="24"/>
              </w:rPr>
            </w:pPr>
            <w:r>
              <w:rPr>
                <w:spacing w:val="-2"/>
                <w:sz w:val="24"/>
              </w:rPr>
              <w:t>works</w:t>
            </w:r>
          </w:p>
        </w:tc>
        <w:tc>
          <w:tcPr>
            <w:tcW w:w="1147" w:type="dxa"/>
          </w:tcPr>
          <w:p>
            <w:pPr>
              <w:pStyle w:val="TableParagraph"/>
              <w:spacing w:before="105"/>
              <w:rPr>
                <w:b/>
                <w:i/>
                <w:sz w:val="24"/>
              </w:rPr>
            </w:pPr>
          </w:p>
          <w:p>
            <w:pPr>
              <w:pStyle w:val="TableParagraph"/>
              <w:ind w:right="104"/>
              <w:jc w:val="right"/>
              <w:rPr>
                <w:sz w:val="24"/>
              </w:rPr>
            </w:pPr>
            <w:r>
              <w:rPr>
                <w:spacing w:val="-10"/>
                <w:sz w:val="24"/>
              </w:rPr>
              <w:t>-</w:t>
            </w:r>
          </w:p>
        </w:tc>
        <w:tc>
          <w:tcPr>
            <w:tcW w:w="1419" w:type="dxa"/>
            <w:shd w:val="clear" w:color="auto" w:fill="E4E4E4"/>
          </w:tcPr>
          <w:p>
            <w:pPr>
              <w:pStyle w:val="TableParagraph"/>
              <w:spacing w:before="105"/>
              <w:rPr>
                <w:b/>
                <w:i/>
                <w:sz w:val="24"/>
              </w:rPr>
            </w:pPr>
          </w:p>
          <w:p>
            <w:pPr>
              <w:pStyle w:val="TableParagraph"/>
              <w:ind w:right="108"/>
              <w:jc w:val="right"/>
              <w:rPr>
                <w:sz w:val="24"/>
              </w:rPr>
            </w:pPr>
            <w:r>
              <w:rPr>
                <w:spacing w:val="-2"/>
                <w:sz w:val="24"/>
              </w:rPr>
              <w:t>23,674</w:t>
            </w:r>
          </w:p>
        </w:tc>
      </w:tr>
      <w:tr>
        <w:trPr>
          <w:trHeight w:val="348" w:hRule="atLeast"/>
        </w:trPr>
        <w:tc>
          <w:tcPr>
            <w:tcW w:w="5350" w:type="dxa"/>
          </w:tcPr>
          <w:p>
            <w:pPr>
              <w:pStyle w:val="TableParagraph"/>
              <w:spacing w:before="35"/>
              <w:ind w:left="50"/>
              <w:rPr>
                <w:sz w:val="24"/>
              </w:rPr>
            </w:pPr>
            <w:r>
              <w:rPr>
                <w:sz w:val="24"/>
              </w:rPr>
              <w:t>Audit </w:t>
            </w:r>
            <w:r>
              <w:rPr>
                <w:spacing w:val="-5"/>
                <w:sz w:val="24"/>
              </w:rPr>
              <w:t>fee</w:t>
            </w:r>
          </w:p>
        </w:tc>
        <w:tc>
          <w:tcPr>
            <w:tcW w:w="1147" w:type="dxa"/>
          </w:tcPr>
          <w:p>
            <w:pPr>
              <w:pStyle w:val="TableParagraph"/>
              <w:spacing w:before="35"/>
              <w:ind w:right="105"/>
              <w:jc w:val="right"/>
              <w:rPr>
                <w:sz w:val="24"/>
              </w:rPr>
            </w:pPr>
            <w:r>
              <w:rPr>
                <w:spacing w:val="-2"/>
                <w:sz w:val="24"/>
              </w:rPr>
              <w:t>14,000</w:t>
            </w:r>
          </w:p>
        </w:tc>
        <w:tc>
          <w:tcPr>
            <w:tcW w:w="1419" w:type="dxa"/>
            <w:shd w:val="clear" w:color="auto" w:fill="E4E4E4"/>
          </w:tcPr>
          <w:p>
            <w:pPr>
              <w:pStyle w:val="TableParagraph"/>
              <w:spacing w:before="35"/>
              <w:ind w:right="108"/>
              <w:jc w:val="right"/>
              <w:rPr>
                <w:sz w:val="24"/>
              </w:rPr>
            </w:pPr>
            <w:r>
              <w:rPr>
                <w:spacing w:val="-2"/>
                <w:sz w:val="24"/>
              </w:rPr>
              <w:t>12,000</w:t>
            </w:r>
          </w:p>
        </w:tc>
      </w:tr>
      <w:tr>
        <w:trPr>
          <w:trHeight w:val="408" w:hRule="atLeast"/>
        </w:trPr>
        <w:tc>
          <w:tcPr>
            <w:tcW w:w="5350" w:type="dxa"/>
          </w:tcPr>
          <w:p>
            <w:pPr>
              <w:pStyle w:val="TableParagraph"/>
              <w:spacing w:before="35"/>
              <w:ind w:left="50"/>
              <w:rPr>
                <w:sz w:val="24"/>
              </w:rPr>
            </w:pPr>
            <w:r>
              <w:rPr>
                <w:sz w:val="24"/>
              </w:rPr>
              <w:t>Other</w:t>
            </w:r>
            <w:r>
              <w:rPr>
                <w:spacing w:val="-1"/>
                <w:sz w:val="24"/>
              </w:rPr>
              <w:t> </w:t>
            </w:r>
            <w:r>
              <w:rPr>
                <w:spacing w:val="-2"/>
                <w:sz w:val="24"/>
              </w:rPr>
              <w:t>accruals</w:t>
            </w:r>
          </w:p>
        </w:tc>
        <w:tc>
          <w:tcPr>
            <w:tcW w:w="1147" w:type="dxa"/>
            <w:tcBorders>
              <w:bottom w:val="single" w:sz="4" w:space="0" w:color="000000"/>
            </w:tcBorders>
          </w:tcPr>
          <w:p>
            <w:pPr>
              <w:pStyle w:val="TableParagraph"/>
              <w:spacing w:before="35"/>
              <w:ind w:right="105"/>
              <w:jc w:val="right"/>
              <w:rPr>
                <w:sz w:val="24"/>
              </w:rPr>
            </w:pPr>
            <w:r>
              <w:rPr>
                <w:spacing w:val="-2"/>
                <w:sz w:val="24"/>
              </w:rPr>
              <w:t>44,288</w:t>
            </w:r>
          </w:p>
        </w:tc>
        <w:tc>
          <w:tcPr>
            <w:tcW w:w="1419" w:type="dxa"/>
            <w:tcBorders>
              <w:bottom w:val="single" w:sz="4" w:space="0" w:color="000000"/>
            </w:tcBorders>
            <w:shd w:val="clear" w:color="auto" w:fill="E4E4E4"/>
          </w:tcPr>
          <w:p>
            <w:pPr>
              <w:pStyle w:val="TableParagraph"/>
              <w:spacing w:before="35"/>
              <w:ind w:right="108"/>
              <w:jc w:val="right"/>
              <w:rPr>
                <w:sz w:val="24"/>
              </w:rPr>
            </w:pPr>
            <w:r>
              <w:rPr>
                <w:spacing w:val="-2"/>
                <w:sz w:val="24"/>
              </w:rPr>
              <w:t>28,283</w:t>
            </w:r>
          </w:p>
        </w:tc>
      </w:tr>
      <w:tr>
        <w:trPr>
          <w:trHeight w:val="349" w:hRule="atLeast"/>
        </w:trPr>
        <w:tc>
          <w:tcPr>
            <w:tcW w:w="5350" w:type="dxa"/>
          </w:tcPr>
          <w:p>
            <w:pPr>
              <w:pStyle w:val="TableParagraph"/>
              <w:rPr>
                <w:rFonts w:ascii="Times New Roman"/>
                <w:sz w:val="24"/>
              </w:rPr>
            </w:pPr>
          </w:p>
        </w:tc>
        <w:tc>
          <w:tcPr>
            <w:tcW w:w="1147" w:type="dxa"/>
            <w:tcBorders>
              <w:top w:val="single" w:sz="4" w:space="0" w:color="000000"/>
              <w:bottom w:val="double" w:sz="4" w:space="0" w:color="000000"/>
            </w:tcBorders>
          </w:tcPr>
          <w:p>
            <w:pPr>
              <w:pStyle w:val="TableParagraph"/>
              <w:spacing w:line="252" w:lineRule="exact"/>
              <w:ind w:right="106"/>
              <w:jc w:val="right"/>
              <w:rPr>
                <w:b/>
                <w:sz w:val="24"/>
              </w:rPr>
            </w:pPr>
            <w:r>
              <w:rPr>
                <w:b/>
                <w:spacing w:val="-2"/>
                <w:sz w:val="24"/>
              </w:rPr>
              <w:t>117,773</w:t>
            </w:r>
          </w:p>
        </w:tc>
        <w:tc>
          <w:tcPr>
            <w:tcW w:w="1419" w:type="dxa"/>
            <w:tcBorders>
              <w:top w:val="single" w:sz="4" w:space="0" w:color="000000"/>
              <w:bottom w:val="double" w:sz="4" w:space="0" w:color="000000"/>
            </w:tcBorders>
            <w:shd w:val="clear" w:color="auto" w:fill="E4E4E4"/>
          </w:tcPr>
          <w:p>
            <w:pPr>
              <w:pStyle w:val="TableParagraph"/>
              <w:spacing w:line="252" w:lineRule="exact"/>
              <w:ind w:right="109"/>
              <w:jc w:val="right"/>
              <w:rPr>
                <w:b/>
                <w:sz w:val="24"/>
              </w:rPr>
            </w:pPr>
            <w:r>
              <w:rPr>
                <w:b/>
                <w:spacing w:val="-2"/>
                <w:sz w:val="24"/>
              </w:rPr>
              <w:t>153,207</w:t>
            </w:r>
          </w:p>
        </w:tc>
      </w:tr>
    </w:tbl>
    <w:p>
      <w:pPr>
        <w:pStyle w:val="BodyText"/>
        <w:rPr>
          <w:b/>
          <w:i/>
          <w:sz w:val="24"/>
        </w:rPr>
      </w:pPr>
    </w:p>
    <w:p>
      <w:pPr>
        <w:pStyle w:val="BodyText"/>
        <w:spacing w:before="120"/>
        <w:rPr>
          <w:b/>
          <w:i/>
          <w:sz w:val="24"/>
        </w:rPr>
      </w:pPr>
    </w:p>
    <w:p>
      <w:pPr>
        <w:pStyle w:val="ListParagraph"/>
        <w:numPr>
          <w:ilvl w:val="0"/>
          <w:numId w:val="17"/>
        </w:numPr>
        <w:tabs>
          <w:tab w:pos="2060" w:val="left" w:leader="none"/>
        </w:tabs>
        <w:spacing w:line="240" w:lineRule="auto" w:before="1" w:after="0"/>
        <w:ind w:left="2060" w:right="0" w:hanging="358"/>
        <w:jc w:val="left"/>
        <w:rPr>
          <w:b/>
          <w:sz w:val="24"/>
        </w:rPr>
      </w:pPr>
      <w:r>
        <w:rPr>
          <w:b/>
          <w:sz w:val="24"/>
        </w:rPr>
        <w:t>Payables</w:t>
      </w:r>
      <w:r>
        <w:rPr>
          <w:b/>
          <w:spacing w:val="-3"/>
          <w:sz w:val="24"/>
        </w:rPr>
        <w:t> </w:t>
      </w:r>
      <w:r>
        <w:rPr>
          <w:b/>
          <w:sz w:val="24"/>
        </w:rPr>
        <w:t>–</w:t>
      </w:r>
      <w:r>
        <w:rPr>
          <w:b/>
          <w:spacing w:val="-2"/>
          <w:sz w:val="24"/>
        </w:rPr>
        <w:t> </w:t>
      </w:r>
      <w:r>
        <w:rPr>
          <w:b/>
          <w:sz w:val="24"/>
        </w:rPr>
        <w:t>amounts</w:t>
      </w:r>
      <w:r>
        <w:rPr>
          <w:b/>
          <w:spacing w:val="-2"/>
          <w:sz w:val="24"/>
        </w:rPr>
        <w:t> </w:t>
      </w:r>
      <w:r>
        <w:rPr>
          <w:b/>
          <w:sz w:val="24"/>
        </w:rPr>
        <w:t>falling</w:t>
      </w:r>
      <w:r>
        <w:rPr>
          <w:b/>
          <w:spacing w:val="-2"/>
          <w:sz w:val="24"/>
        </w:rPr>
        <w:t> </w:t>
      </w:r>
      <w:r>
        <w:rPr>
          <w:b/>
          <w:sz w:val="24"/>
        </w:rPr>
        <w:t>due</w:t>
      </w:r>
      <w:r>
        <w:rPr>
          <w:b/>
          <w:spacing w:val="-3"/>
          <w:sz w:val="24"/>
        </w:rPr>
        <w:t> </w:t>
      </w:r>
      <w:r>
        <w:rPr>
          <w:b/>
          <w:sz w:val="24"/>
        </w:rPr>
        <w:t>after</w:t>
      </w:r>
      <w:r>
        <w:rPr>
          <w:b/>
          <w:spacing w:val="-2"/>
          <w:sz w:val="24"/>
        </w:rPr>
        <w:t> </w:t>
      </w:r>
      <w:r>
        <w:rPr>
          <w:b/>
          <w:sz w:val="24"/>
        </w:rPr>
        <w:t>one</w:t>
      </w:r>
      <w:r>
        <w:rPr>
          <w:b/>
          <w:spacing w:val="-2"/>
          <w:sz w:val="24"/>
        </w:rPr>
        <w:t> </w:t>
      </w:r>
      <w:r>
        <w:rPr>
          <w:b/>
          <w:spacing w:val="-4"/>
          <w:sz w:val="24"/>
        </w:rPr>
        <w:t>year</w:t>
      </w:r>
    </w:p>
    <w:p>
      <w:pPr>
        <w:pStyle w:val="BodyText"/>
        <w:spacing w:before="139"/>
        <w:rPr>
          <w:b/>
          <w:sz w:val="24"/>
        </w:rPr>
      </w:pPr>
    </w:p>
    <w:p>
      <w:pPr>
        <w:spacing w:line="300" w:lineRule="auto" w:before="0"/>
        <w:ind w:left="1702" w:right="989" w:firstLine="0"/>
        <w:jc w:val="both"/>
        <w:rPr>
          <w:sz w:val="24"/>
        </w:rPr>
      </w:pPr>
      <w:r>
        <w:rPr>
          <w:sz w:val="24"/>
        </w:rPr>
        <w:t>Creditors</w:t>
      </w:r>
      <w:r>
        <w:rPr>
          <w:spacing w:val="-8"/>
          <w:sz w:val="24"/>
        </w:rPr>
        <w:t> </w:t>
      </w:r>
      <w:r>
        <w:rPr>
          <w:sz w:val="24"/>
        </w:rPr>
        <w:t>falling</w:t>
      </w:r>
      <w:r>
        <w:rPr>
          <w:spacing w:val="-8"/>
          <w:sz w:val="24"/>
        </w:rPr>
        <w:t> </w:t>
      </w:r>
      <w:r>
        <w:rPr>
          <w:sz w:val="24"/>
        </w:rPr>
        <w:t>due</w:t>
      </w:r>
      <w:r>
        <w:rPr>
          <w:spacing w:val="-7"/>
          <w:sz w:val="24"/>
        </w:rPr>
        <w:t> </w:t>
      </w:r>
      <w:r>
        <w:rPr>
          <w:sz w:val="24"/>
        </w:rPr>
        <w:t>after</w:t>
      </w:r>
      <w:r>
        <w:rPr>
          <w:spacing w:val="-7"/>
          <w:sz w:val="24"/>
        </w:rPr>
        <w:t> </w:t>
      </w:r>
      <w:r>
        <w:rPr>
          <w:sz w:val="24"/>
        </w:rPr>
        <w:t>more</w:t>
      </w:r>
      <w:r>
        <w:rPr>
          <w:spacing w:val="-7"/>
          <w:sz w:val="24"/>
        </w:rPr>
        <w:t> </w:t>
      </w:r>
      <w:r>
        <w:rPr>
          <w:sz w:val="24"/>
        </w:rPr>
        <w:t>than</w:t>
      </w:r>
      <w:r>
        <w:rPr>
          <w:spacing w:val="-8"/>
          <w:sz w:val="24"/>
        </w:rPr>
        <w:t> </w:t>
      </w:r>
      <w:r>
        <w:rPr>
          <w:sz w:val="24"/>
        </w:rPr>
        <w:t>one</w:t>
      </w:r>
      <w:r>
        <w:rPr>
          <w:spacing w:val="-9"/>
          <w:sz w:val="24"/>
        </w:rPr>
        <w:t> </w:t>
      </w:r>
      <w:r>
        <w:rPr>
          <w:sz w:val="24"/>
        </w:rPr>
        <w:t>year</w:t>
      </w:r>
      <w:r>
        <w:rPr>
          <w:spacing w:val="-7"/>
          <w:sz w:val="24"/>
        </w:rPr>
        <w:t> </w:t>
      </w:r>
      <w:r>
        <w:rPr>
          <w:sz w:val="24"/>
        </w:rPr>
        <w:t>consists</w:t>
      </w:r>
      <w:r>
        <w:rPr>
          <w:spacing w:val="-8"/>
          <w:sz w:val="24"/>
        </w:rPr>
        <w:t> </w:t>
      </w:r>
      <w:r>
        <w:rPr>
          <w:sz w:val="24"/>
        </w:rPr>
        <w:t>of</w:t>
      </w:r>
      <w:r>
        <w:rPr>
          <w:spacing w:val="-7"/>
          <w:sz w:val="24"/>
        </w:rPr>
        <w:t> </w:t>
      </w:r>
      <w:r>
        <w:rPr>
          <w:sz w:val="24"/>
        </w:rPr>
        <w:t>€10,000</w:t>
      </w:r>
      <w:r>
        <w:rPr>
          <w:spacing w:val="-8"/>
          <w:sz w:val="24"/>
        </w:rPr>
        <w:t> </w:t>
      </w:r>
      <w:r>
        <w:rPr>
          <w:sz w:val="24"/>
        </w:rPr>
        <w:t>held</w:t>
      </w:r>
      <w:r>
        <w:rPr>
          <w:spacing w:val="-7"/>
          <w:sz w:val="24"/>
        </w:rPr>
        <w:t> </w:t>
      </w:r>
      <w:r>
        <w:rPr>
          <w:sz w:val="24"/>
        </w:rPr>
        <w:t>as</w:t>
      </w:r>
      <w:r>
        <w:rPr>
          <w:spacing w:val="-10"/>
          <w:sz w:val="24"/>
        </w:rPr>
        <w:t> </w:t>
      </w:r>
      <w:r>
        <w:rPr>
          <w:sz w:val="24"/>
        </w:rPr>
        <w:t>a</w:t>
      </w:r>
      <w:r>
        <w:rPr>
          <w:spacing w:val="-7"/>
          <w:sz w:val="24"/>
        </w:rPr>
        <w:t> </w:t>
      </w:r>
      <w:r>
        <w:rPr>
          <w:sz w:val="24"/>
        </w:rPr>
        <w:t>rental deposit in respect of the lease agreement regarding part of the property held at 25 Clyde Road.</w:t>
      </w:r>
    </w:p>
    <w:p>
      <w:pPr>
        <w:spacing w:after="0" w:line="300" w:lineRule="auto"/>
        <w:jc w:val="both"/>
        <w:rPr>
          <w:sz w:val="24"/>
        </w:rPr>
        <w:sectPr>
          <w:pgSz w:w="11910" w:h="16850"/>
          <w:pgMar w:header="0" w:footer="811" w:top="1940" w:bottom="1000" w:left="283" w:right="992"/>
        </w:sectPr>
      </w:pPr>
    </w:p>
    <w:p>
      <w:pPr>
        <w:pStyle w:val="ListParagraph"/>
        <w:numPr>
          <w:ilvl w:val="0"/>
          <w:numId w:val="17"/>
        </w:numPr>
        <w:tabs>
          <w:tab w:pos="2060" w:val="left" w:leader="none"/>
        </w:tabs>
        <w:spacing w:line="240" w:lineRule="auto" w:before="78" w:after="0"/>
        <w:ind w:left="2060" w:right="0" w:hanging="358"/>
        <w:jc w:val="left"/>
        <w:rPr>
          <w:b/>
          <w:sz w:val="24"/>
        </w:rPr>
      </w:pPr>
      <w:r>
        <w:rPr>
          <w:b/>
          <w:sz w:val="24"/>
        </w:rPr>
        <w:t>Related</w:t>
      </w:r>
      <w:r>
        <w:rPr>
          <w:b/>
          <w:spacing w:val="-2"/>
          <w:sz w:val="24"/>
        </w:rPr>
        <w:t> </w:t>
      </w:r>
      <w:r>
        <w:rPr>
          <w:b/>
          <w:sz w:val="24"/>
        </w:rPr>
        <w:t>Party</w:t>
      </w:r>
      <w:r>
        <w:rPr>
          <w:b/>
          <w:spacing w:val="1"/>
          <w:sz w:val="24"/>
        </w:rPr>
        <w:t> </w:t>
      </w:r>
      <w:r>
        <w:rPr>
          <w:b/>
          <w:spacing w:val="-2"/>
          <w:sz w:val="24"/>
        </w:rPr>
        <w:t>Disclosures</w:t>
      </w:r>
    </w:p>
    <w:p>
      <w:pPr>
        <w:pStyle w:val="BodyText"/>
        <w:spacing w:before="139"/>
        <w:rPr>
          <w:b/>
          <w:sz w:val="24"/>
        </w:rPr>
      </w:pPr>
    </w:p>
    <w:p>
      <w:pPr>
        <w:spacing w:line="300" w:lineRule="auto" w:before="0"/>
        <w:ind w:left="1702" w:right="988" w:firstLine="0"/>
        <w:jc w:val="both"/>
        <w:rPr>
          <w:sz w:val="24"/>
        </w:rPr>
      </w:pPr>
      <w:r>
        <w:rPr>
          <w:sz w:val="24"/>
        </w:rPr>
        <w:t>Key management personnel comprises the Director and Senior Managers. Total remuneration paid to key management personnel, and Board member's fees and expenses, amounted to €456,000 (2016: €444,826). Please refer to Note 6 for a breakdown of the remuneration and benefits paid to all staff, including the Director.</w:t>
      </w:r>
      <w:r>
        <w:rPr>
          <w:spacing w:val="48"/>
          <w:sz w:val="24"/>
        </w:rPr>
        <w:t> </w:t>
      </w:r>
      <w:r>
        <w:rPr>
          <w:sz w:val="24"/>
        </w:rPr>
        <w:t>Payments</w:t>
      </w:r>
      <w:r>
        <w:rPr>
          <w:spacing w:val="-10"/>
          <w:sz w:val="24"/>
        </w:rPr>
        <w:t> </w:t>
      </w:r>
      <w:r>
        <w:rPr>
          <w:sz w:val="24"/>
        </w:rPr>
        <w:t>to</w:t>
      </w:r>
      <w:r>
        <w:rPr>
          <w:spacing w:val="-9"/>
          <w:sz w:val="24"/>
        </w:rPr>
        <w:t> </w:t>
      </w:r>
      <w:r>
        <w:rPr>
          <w:sz w:val="24"/>
        </w:rPr>
        <w:t>Board</w:t>
      </w:r>
      <w:r>
        <w:rPr>
          <w:spacing w:val="-8"/>
          <w:sz w:val="24"/>
        </w:rPr>
        <w:t> </w:t>
      </w:r>
      <w:r>
        <w:rPr>
          <w:sz w:val="24"/>
        </w:rPr>
        <w:t>members</w:t>
      </w:r>
      <w:r>
        <w:rPr>
          <w:spacing w:val="-10"/>
          <w:sz w:val="24"/>
        </w:rPr>
        <w:t> </w:t>
      </w:r>
      <w:r>
        <w:rPr>
          <w:sz w:val="24"/>
        </w:rPr>
        <w:t>is</w:t>
      </w:r>
      <w:r>
        <w:rPr>
          <w:spacing w:val="-9"/>
          <w:sz w:val="24"/>
        </w:rPr>
        <w:t> </w:t>
      </w:r>
      <w:r>
        <w:rPr>
          <w:sz w:val="24"/>
        </w:rPr>
        <w:t>disclosed</w:t>
      </w:r>
      <w:r>
        <w:rPr>
          <w:spacing w:val="-8"/>
          <w:sz w:val="24"/>
        </w:rPr>
        <w:t> </w:t>
      </w:r>
      <w:r>
        <w:rPr>
          <w:sz w:val="24"/>
        </w:rPr>
        <w:t>in</w:t>
      </w:r>
      <w:r>
        <w:rPr>
          <w:spacing w:val="-9"/>
          <w:sz w:val="24"/>
        </w:rPr>
        <w:t> </w:t>
      </w:r>
      <w:r>
        <w:rPr>
          <w:sz w:val="24"/>
        </w:rPr>
        <w:t>the</w:t>
      </w:r>
      <w:r>
        <w:rPr>
          <w:spacing w:val="-9"/>
          <w:sz w:val="24"/>
        </w:rPr>
        <w:t> </w:t>
      </w:r>
      <w:r>
        <w:rPr>
          <w:sz w:val="24"/>
        </w:rPr>
        <w:t>Governance</w:t>
      </w:r>
      <w:r>
        <w:rPr>
          <w:spacing w:val="-7"/>
          <w:sz w:val="24"/>
        </w:rPr>
        <w:t> </w:t>
      </w:r>
      <w:r>
        <w:rPr>
          <w:spacing w:val="-2"/>
          <w:sz w:val="24"/>
        </w:rPr>
        <w:t>Statement.</w:t>
      </w:r>
    </w:p>
    <w:p>
      <w:pPr>
        <w:pStyle w:val="BodyText"/>
        <w:spacing w:before="71"/>
        <w:rPr>
          <w:sz w:val="24"/>
        </w:rPr>
      </w:pPr>
    </w:p>
    <w:p>
      <w:pPr>
        <w:spacing w:line="300" w:lineRule="auto" w:before="0"/>
        <w:ind w:left="1702" w:right="988" w:firstLine="0"/>
        <w:jc w:val="both"/>
        <w:rPr>
          <w:sz w:val="24"/>
        </w:rPr>
      </w:pPr>
      <w:r>
        <w:rPr>
          <w:sz w:val="24"/>
        </w:rPr>
        <w:t>The National Disability Authority adopts procedures in accordance with the guidelines issued by the Department of Public Expenditure and Reform covering the personal interests of Authority members. In the normal course of business, NDA may approve grants or enter into other contractual arrangements with entities</w:t>
      </w:r>
      <w:r>
        <w:rPr>
          <w:spacing w:val="-11"/>
          <w:sz w:val="24"/>
        </w:rPr>
        <w:t> </w:t>
      </w:r>
      <w:r>
        <w:rPr>
          <w:sz w:val="24"/>
        </w:rPr>
        <w:t>in</w:t>
      </w:r>
      <w:r>
        <w:rPr>
          <w:spacing w:val="-10"/>
          <w:sz w:val="24"/>
        </w:rPr>
        <w:t> </w:t>
      </w:r>
      <w:r>
        <w:rPr>
          <w:sz w:val="24"/>
        </w:rPr>
        <w:t>which</w:t>
      </w:r>
      <w:r>
        <w:rPr>
          <w:spacing w:val="-10"/>
          <w:sz w:val="24"/>
        </w:rPr>
        <w:t> </w:t>
      </w:r>
      <w:r>
        <w:rPr>
          <w:sz w:val="24"/>
        </w:rPr>
        <w:t>NDA</w:t>
      </w:r>
      <w:r>
        <w:rPr>
          <w:spacing w:val="-10"/>
          <w:sz w:val="24"/>
        </w:rPr>
        <w:t> </w:t>
      </w:r>
      <w:r>
        <w:rPr>
          <w:sz w:val="24"/>
        </w:rPr>
        <w:t>Board</w:t>
      </w:r>
      <w:r>
        <w:rPr>
          <w:spacing w:val="-10"/>
          <w:sz w:val="24"/>
        </w:rPr>
        <w:t> </w:t>
      </w:r>
      <w:r>
        <w:rPr>
          <w:sz w:val="24"/>
        </w:rPr>
        <w:t>members</w:t>
      </w:r>
      <w:r>
        <w:rPr>
          <w:spacing w:val="-14"/>
          <w:sz w:val="24"/>
        </w:rPr>
        <w:t> </w:t>
      </w:r>
      <w:r>
        <w:rPr>
          <w:sz w:val="24"/>
        </w:rPr>
        <w:t>are</w:t>
      </w:r>
      <w:r>
        <w:rPr>
          <w:spacing w:val="-10"/>
          <w:sz w:val="24"/>
        </w:rPr>
        <w:t> </w:t>
      </w:r>
      <w:r>
        <w:rPr>
          <w:sz w:val="24"/>
        </w:rPr>
        <w:t>employed</w:t>
      </w:r>
      <w:r>
        <w:rPr>
          <w:spacing w:val="-10"/>
          <w:sz w:val="24"/>
        </w:rPr>
        <w:t> </w:t>
      </w:r>
      <w:r>
        <w:rPr>
          <w:sz w:val="24"/>
        </w:rPr>
        <w:t>or</w:t>
      </w:r>
      <w:r>
        <w:rPr>
          <w:spacing w:val="-12"/>
          <w:sz w:val="24"/>
        </w:rPr>
        <w:t> </w:t>
      </w:r>
      <w:r>
        <w:rPr>
          <w:sz w:val="24"/>
        </w:rPr>
        <w:t>are</w:t>
      </w:r>
      <w:r>
        <w:rPr>
          <w:spacing w:val="-10"/>
          <w:sz w:val="24"/>
        </w:rPr>
        <w:t> </w:t>
      </w:r>
      <w:r>
        <w:rPr>
          <w:sz w:val="24"/>
        </w:rPr>
        <w:t>otherwise</w:t>
      </w:r>
      <w:r>
        <w:rPr>
          <w:spacing w:val="-10"/>
          <w:sz w:val="24"/>
        </w:rPr>
        <w:t> </w:t>
      </w:r>
      <w:r>
        <w:rPr>
          <w:sz w:val="24"/>
        </w:rPr>
        <w:t>interested. In</w:t>
      </w:r>
      <w:r>
        <w:rPr>
          <w:spacing w:val="-5"/>
          <w:sz w:val="24"/>
        </w:rPr>
        <w:t> </w:t>
      </w:r>
      <w:r>
        <w:rPr>
          <w:sz w:val="24"/>
        </w:rPr>
        <w:t>cases</w:t>
      </w:r>
      <w:r>
        <w:rPr>
          <w:spacing w:val="-6"/>
          <w:sz w:val="24"/>
        </w:rPr>
        <w:t> </w:t>
      </w:r>
      <w:r>
        <w:rPr>
          <w:sz w:val="24"/>
        </w:rPr>
        <w:t>of</w:t>
      </w:r>
      <w:r>
        <w:rPr>
          <w:spacing w:val="-6"/>
          <w:sz w:val="24"/>
        </w:rPr>
        <w:t> </w:t>
      </w:r>
      <w:r>
        <w:rPr>
          <w:sz w:val="24"/>
        </w:rPr>
        <w:t>potential</w:t>
      </w:r>
      <w:r>
        <w:rPr>
          <w:spacing w:val="-5"/>
          <w:sz w:val="24"/>
        </w:rPr>
        <w:t> </w:t>
      </w:r>
      <w:r>
        <w:rPr>
          <w:sz w:val="24"/>
        </w:rPr>
        <w:t>conflict</w:t>
      </w:r>
      <w:r>
        <w:rPr>
          <w:spacing w:val="-6"/>
          <w:sz w:val="24"/>
        </w:rPr>
        <w:t> </w:t>
      </w:r>
      <w:r>
        <w:rPr>
          <w:sz w:val="24"/>
        </w:rPr>
        <w:t>of</w:t>
      </w:r>
      <w:r>
        <w:rPr>
          <w:spacing w:val="-6"/>
          <w:sz w:val="24"/>
        </w:rPr>
        <w:t> </w:t>
      </w:r>
      <w:r>
        <w:rPr>
          <w:sz w:val="24"/>
        </w:rPr>
        <w:t>interest,</w:t>
      </w:r>
      <w:r>
        <w:rPr>
          <w:spacing w:val="-6"/>
          <w:sz w:val="24"/>
        </w:rPr>
        <w:t> </w:t>
      </w:r>
      <w:r>
        <w:rPr>
          <w:sz w:val="24"/>
        </w:rPr>
        <w:t>Authority</w:t>
      </w:r>
      <w:r>
        <w:rPr>
          <w:spacing w:val="-6"/>
          <w:sz w:val="24"/>
        </w:rPr>
        <w:t> </w:t>
      </w:r>
      <w:r>
        <w:rPr>
          <w:sz w:val="24"/>
        </w:rPr>
        <w:t>members</w:t>
      </w:r>
      <w:r>
        <w:rPr>
          <w:spacing w:val="-7"/>
          <w:sz w:val="24"/>
        </w:rPr>
        <w:t> </w:t>
      </w:r>
      <w:r>
        <w:rPr>
          <w:sz w:val="24"/>
        </w:rPr>
        <w:t>do</w:t>
      </w:r>
      <w:r>
        <w:rPr>
          <w:spacing w:val="-6"/>
          <w:sz w:val="24"/>
        </w:rPr>
        <w:t> </w:t>
      </w:r>
      <w:r>
        <w:rPr>
          <w:sz w:val="24"/>
        </w:rPr>
        <w:t>not</w:t>
      </w:r>
      <w:r>
        <w:rPr>
          <w:spacing w:val="-7"/>
          <w:sz w:val="24"/>
        </w:rPr>
        <w:t> </w:t>
      </w:r>
      <w:r>
        <w:rPr>
          <w:sz w:val="24"/>
        </w:rPr>
        <w:t>receive</w:t>
      </w:r>
      <w:r>
        <w:rPr>
          <w:spacing w:val="-7"/>
          <w:sz w:val="24"/>
        </w:rPr>
        <w:t> </w:t>
      </w:r>
      <w:r>
        <w:rPr>
          <w:sz w:val="24"/>
        </w:rPr>
        <w:t>Board documentation, otherwise participate in, or attend discussions regarding these transactions.</w:t>
      </w:r>
      <w:r>
        <w:rPr>
          <w:spacing w:val="-11"/>
          <w:sz w:val="24"/>
        </w:rPr>
        <w:t> </w:t>
      </w:r>
      <w:r>
        <w:rPr>
          <w:sz w:val="24"/>
        </w:rPr>
        <w:t>A</w:t>
      </w:r>
      <w:r>
        <w:rPr>
          <w:spacing w:val="-10"/>
          <w:sz w:val="24"/>
        </w:rPr>
        <w:t> </w:t>
      </w:r>
      <w:r>
        <w:rPr>
          <w:sz w:val="24"/>
        </w:rPr>
        <w:t>register</w:t>
      </w:r>
      <w:r>
        <w:rPr>
          <w:spacing w:val="-11"/>
          <w:sz w:val="24"/>
        </w:rPr>
        <w:t> </w:t>
      </w:r>
      <w:r>
        <w:rPr>
          <w:sz w:val="24"/>
        </w:rPr>
        <w:t>is</w:t>
      </w:r>
      <w:r>
        <w:rPr>
          <w:spacing w:val="-11"/>
          <w:sz w:val="24"/>
        </w:rPr>
        <w:t> </w:t>
      </w:r>
      <w:r>
        <w:rPr>
          <w:sz w:val="24"/>
        </w:rPr>
        <w:t>maintained</w:t>
      </w:r>
      <w:r>
        <w:rPr>
          <w:spacing w:val="-11"/>
          <w:sz w:val="24"/>
        </w:rPr>
        <w:t> </w:t>
      </w:r>
      <w:r>
        <w:rPr>
          <w:sz w:val="24"/>
        </w:rPr>
        <w:t>and</w:t>
      </w:r>
      <w:r>
        <w:rPr>
          <w:spacing w:val="-10"/>
          <w:sz w:val="24"/>
        </w:rPr>
        <w:t> </w:t>
      </w:r>
      <w:r>
        <w:rPr>
          <w:sz w:val="24"/>
        </w:rPr>
        <w:t>available</w:t>
      </w:r>
      <w:r>
        <w:rPr>
          <w:spacing w:val="-13"/>
          <w:sz w:val="24"/>
        </w:rPr>
        <w:t> </w:t>
      </w:r>
      <w:r>
        <w:rPr>
          <w:sz w:val="24"/>
        </w:rPr>
        <w:t>on</w:t>
      </w:r>
      <w:r>
        <w:rPr>
          <w:spacing w:val="-12"/>
          <w:sz w:val="24"/>
        </w:rPr>
        <w:t> </w:t>
      </w:r>
      <w:r>
        <w:rPr>
          <w:sz w:val="24"/>
        </w:rPr>
        <w:t>request</w:t>
      </w:r>
      <w:r>
        <w:rPr>
          <w:spacing w:val="-12"/>
          <w:sz w:val="24"/>
        </w:rPr>
        <w:t> </w:t>
      </w:r>
      <w:r>
        <w:rPr>
          <w:sz w:val="24"/>
        </w:rPr>
        <w:t>of</w:t>
      </w:r>
      <w:r>
        <w:rPr>
          <w:spacing w:val="-12"/>
          <w:sz w:val="24"/>
        </w:rPr>
        <w:t> </w:t>
      </w:r>
      <w:r>
        <w:rPr>
          <w:sz w:val="24"/>
        </w:rPr>
        <w:t>all</w:t>
      </w:r>
      <w:r>
        <w:rPr>
          <w:spacing w:val="-10"/>
          <w:sz w:val="24"/>
        </w:rPr>
        <w:t> </w:t>
      </w:r>
      <w:r>
        <w:rPr>
          <w:sz w:val="24"/>
        </w:rPr>
        <w:t>such</w:t>
      </w:r>
      <w:r>
        <w:rPr>
          <w:spacing w:val="-10"/>
          <w:sz w:val="24"/>
        </w:rPr>
        <w:t> </w:t>
      </w:r>
      <w:r>
        <w:rPr>
          <w:spacing w:val="-2"/>
          <w:sz w:val="24"/>
        </w:rPr>
        <w:t>instances.</w:t>
      </w:r>
    </w:p>
    <w:p>
      <w:pPr>
        <w:pStyle w:val="BodyText"/>
        <w:spacing w:before="68"/>
        <w:rPr>
          <w:sz w:val="24"/>
        </w:rPr>
      </w:pPr>
    </w:p>
    <w:p>
      <w:pPr>
        <w:spacing w:line="300" w:lineRule="auto" w:before="1"/>
        <w:ind w:left="1702" w:right="990" w:firstLine="0"/>
        <w:jc w:val="both"/>
        <w:rPr>
          <w:sz w:val="24"/>
        </w:rPr>
      </w:pPr>
      <w:r>
        <w:rPr>
          <w:sz w:val="24"/>
        </w:rPr>
        <w:t>There were no transactions in the year in relation to the Authority’s activities in which Authority members had any beneficial interest.</w:t>
      </w:r>
    </w:p>
    <w:p>
      <w:pPr>
        <w:pStyle w:val="BodyText"/>
        <w:spacing w:before="69"/>
        <w:rPr>
          <w:sz w:val="24"/>
        </w:rPr>
      </w:pPr>
    </w:p>
    <w:p>
      <w:pPr>
        <w:pStyle w:val="ListParagraph"/>
        <w:numPr>
          <w:ilvl w:val="0"/>
          <w:numId w:val="17"/>
        </w:numPr>
        <w:tabs>
          <w:tab w:pos="2097" w:val="left" w:leader="none"/>
        </w:tabs>
        <w:spacing w:line="240" w:lineRule="auto" w:before="0" w:after="0"/>
        <w:ind w:left="2097" w:right="0" w:hanging="395"/>
        <w:jc w:val="left"/>
        <w:rPr>
          <w:b/>
          <w:sz w:val="24"/>
        </w:rPr>
      </w:pPr>
      <w:r>
        <w:rPr>
          <w:b/>
          <w:sz w:val="24"/>
        </w:rPr>
        <w:t>Approval of</w:t>
      </w:r>
      <w:r>
        <w:rPr>
          <w:b/>
          <w:spacing w:val="-2"/>
          <w:sz w:val="24"/>
        </w:rPr>
        <w:t> </w:t>
      </w:r>
      <w:r>
        <w:rPr>
          <w:b/>
          <w:sz w:val="24"/>
        </w:rPr>
        <w:t>the</w:t>
      </w:r>
      <w:r>
        <w:rPr>
          <w:b/>
          <w:spacing w:val="-2"/>
          <w:sz w:val="24"/>
        </w:rPr>
        <w:t> </w:t>
      </w:r>
      <w:r>
        <w:rPr>
          <w:b/>
          <w:sz w:val="24"/>
        </w:rPr>
        <w:t>financial</w:t>
      </w:r>
      <w:r>
        <w:rPr>
          <w:b/>
          <w:spacing w:val="-2"/>
          <w:sz w:val="24"/>
        </w:rPr>
        <w:t> statements</w:t>
      </w:r>
    </w:p>
    <w:p>
      <w:pPr>
        <w:pStyle w:val="BodyText"/>
        <w:spacing w:before="140"/>
        <w:rPr>
          <w:b/>
          <w:sz w:val="24"/>
        </w:rPr>
      </w:pPr>
    </w:p>
    <w:p>
      <w:pPr>
        <w:spacing w:line="300" w:lineRule="auto" w:before="0"/>
        <w:ind w:left="1702" w:right="993" w:firstLine="0"/>
        <w:jc w:val="both"/>
        <w:rPr>
          <w:sz w:val="24"/>
        </w:rPr>
      </w:pPr>
      <w:r>
        <w:rPr>
          <w:sz w:val="24"/>
        </w:rPr>
        <w:t>The financial statements were approved by the Board of National Disability Authority on 24 May 2018.</w:t>
      </w:r>
    </w:p>
    <w:p>
      <w:pPr>
        <w:spacing w:after="0" w:line="300" w:lineRule="auto"/>
        <w:jc w:val="both"/>
        <w:rPr>
          <w:sz w:val="24"/>
        </w:rPr>
        <w:sectPr>
          <w:pgSz w:w="11910" w:h="16850"/>
          <w:pgMar w:header="0" w:footer="811" w:top="1880" w:bottom="1000" w:left="283" w:right="992"/>
        </w:sectPr>
      </w:pPr>
    </w:p>
    <w:p>
      <w:pPr>
        <w:pStyle w:val="Heading2"/>
      </w:pPr>
      <w:bookmarkStart w:name="_bookmark7" w:id="8"/>
      <w:bookmarkEnd w:id="8"/>
      <w:r>
        <w:rPr>
          <w:b w:val="0"/>
        </w:rPr>
      </w:r>
      <w:r>
        <w:rPr>
          <w:color w:val="BE2195"/>
        </w:rPr>
        <w:t>General</w:t>
      </w:r>
      <w:r>
        <w:rPr>
          <w:color w:val="BE2195"/>
          <w:spacing w:val="-24"/>
        </w:rPr>
        <w:t> </w:t>
      </w:r>
      <w:r>
        <w:rPr>
          <w:color w:val="BE2195"/>
          <w:spacing w:val="-2"/>
        </w:rPr>
        <w:t>Information</w:t>
      </w:r>
    </w:p>
    <w:p>
      <w:pPr>
        <w:pStyle w:val="BodyText"/>
        <w:spacing w:before="5"/>
        <w:rPr>
          <w:rFonts w:ascii="Rockwell"/>
          <w:b/>
          <w:sz w:val="56"/>
        </w:rPr>
      </w:pPr>
    </w:p>
    <w:p>
      <w:pPr>
        <w:tabs>
          <w:tab w:pos="3862" w:val="left" w:leader="none"/>
        </w:tabs>
        <w:spacing w:before="0"/>
        <w:ind w:left="1702" w:right="0" w:firstLine="0"/>
        <w:jc w:val="left"/>
        <w:rPr>
          <w:sz w:val="26"/>
        </w:rPr>
      </w:pPr>
      <w:r>
        <w:rPr>
          <w:b/>
          <w:sz w:val="26"/>
        </w:rPr>
        <w:t>Head</w:t>
      </w:r>
      <w:r>
        <w:rPr>
          <w:b/>
          <w:spacing w:val="-9"/>
          <w:sz w:val="26"/>
        </w:rPr>
        <w:t> </w:t>
      </w:r>
      <w:r>
        <w:rPr>
          <w:b/>
          <w:sz w:val="26"/>
        </w:rPr>
        <w:t>office</w:t>
      </w:r>
      <w:r>
        <w:rPr>
          <w:b/>
          <w:spacing w:val="-15"/>
          <w:sz w:val="26"/>
        </w:rPr>
        <w:t> </w:t>
      </w:r>
      <w:r>
        <w:rPr>
          <w:b/>
          <w:spacing w:val="-10"/>
          <w:sz w:val="26"/>
        </w:rPr>
        <w:t>:</w:t>
      </w:r>
      <w:r>
        <w:rPr>
          <w:b/>
          <w:sz w:val="26"/>
        </w:rPr>
        <w:tab/>
      </w:r>
      <w:r>
        <w:rPr>
          <w:sz w:val="26"/>
        </w:rPr>
        <w:t>25</w:t>
      </w:r>
      <w:r>
        <w:rPr>
          <w:spacing w:val="-11"/>
          <w:sz w:val="26"/>
        </w:rPr>
        <w:t> </w:t>
      </w:r>
      <w:r>
        <w:rPr>
          <w:sz w:val="26"/>
        </w:rPr>
        <w:t>Clyde</w:t>
      </w:r>
      <w:r>
        <w:rPr>
          <w:spacing w:val="-11"/>
          <w:sz w:val="26"/>
        </w:rPr>
        <w:t> </w:t>
      </w:r>
      <w:r>
        <w:rPr>
          <w:sz w:val="26"/>
        </w:rPr>
        <w:t>Road,</w:t>
      </w:r>
      <w:r>
        <w:rPr>
          <w:spacing w:val="-10"/>
          <w:sz w:val="26"/>
        </w:rPr>
        <w:t> </w:t>
      </w:r>
      <w:r>
        <w:rPr>
          <w:sz w:val="26"/>
        </w:rPr>
        <w:t>Ballsbridge,</w:t>
      </w:r>
      <w:r>
        <w:rPr>
          <w:spacing w:val="-9"/>
          <w:sz w:val="26"/>
        </w:rPr>
        <w:t> </w:t>
      </w:r>
      <w:r>
        <w:rPr>
          <w:sz w:val="26"/>
        </w:rPr>
        <w:t>Dublin</w:t>
      </w:r>
      <w:r>
        <w:rPr>
          <w:spacing w:val="-11"/>
          <w:sz w:val="26"/>
        </w:rPr>
        <w:t> </w:t>
      </w:r>
      <w:r>
        <w:rPr>
          <w:spacing w:val="-10"/>
          <w:sz w:val="26"/>
        </w:rPr>
        <w:t>4</w:t>
      </w:r>
    </w:p>
    <w:p>
      <w:pPr>
        <w:pStyle w:val="BodyText"/>
      </w:pPr>
    </w:p>
    <w:p>
      <w:pPr>
        <w:pStyle w:val="BodyText"/>
        <w:spacing w:before="178"/>
      </w:pPr>
    </w:p>
    <w:p>
      <w:pPr>
        <w:tabs>
          <w:tab w:pos="3142" w:val="left" w:leader="none"/>
          <w:tab w:pos="3862" w:val="left" w:leader="none"/>
        </w:tabs>
        <w:spacing w:before="0"/>
        <w:ind w:left="1702" w:right="0" w:firstLine="0"/>
        <w:jc w:val="left"/>
        <w:rPr>
          <w:sz w:val="26"/>
        </w:rPr>
      </w:pPr>
      <w:r>
        <w:rPr>
          <w:b/>
          <w:spacing w:val="-2"/>
          <w:sz w:val="26"/>
        </w:rPr>
        <w:t>Director</w:t>
      </w:r>
      <w:r>
        <w:rPr>
          <w:b/>
          <w:sz w:val="26"/>
        </w:rPr>
        <w:tab/>
      </w:r>
      <w:r>
        <w:rPr>
          <w:b/>
          <w:spacing w:val="-10"/>
          <w:sz w:val="26"/>
        </w:rPr>
        <w:t>:</w:t>
      </w:r>
      <w:r>
        <w:rPr>
          <w:b/>
          <w:sz w:val="26"/>
        </w:rPr>
        <w:tab/>
      </w:r>
      <w:r>
        <w:rPr>
          <w:sz w:val="26"/>
        </w:rPr>
        <w:t>Siobhan</w:t>
      </w:r>
      <w:r>
        <w:rPr>
          <w:spacing w:val="-12"/>
          <w:sz w:val="26"/>
        </w:rPr>
        <w:t> </w:t>
      </w:r>
      <w:r>
        <w:rPr>
          <w:spacing w:val="-2"/>
          <w:sz w:val="26"/>
        </w:rPr>
        <w:t>Barron</w:t>
      </w:r>
    </w:p>
    <w:p>
      <w:pPr>
        <w:pStyle w:val="BodyText"/>
      </w:pPr>
    </w:p>
    <w:p>
      <w:pPr>
        <w:pStyle w:val="BodyText"/>
        <w:spacing w:before="178"/>
      </w:pPr>
    </w:p>
    <w:p>
      <w:pPr>
        <w:tabs>
          <w:tab w:pos="3142" w:val="left" w:leader="none"/>
          <w:tab w:pos="3862" w:val="left" w:leader="none"/>
        </w:tabs>
        <w:spacing w:before="1"/>
        <w:ind w:left="1702" w:right="0" w:firstLine="0"/>
        <w:jc w:val="left"/>
        <w:rPr>
          <w:sz w:val="26"/>
        </w:rPr>
      </w:pPr>
      <w:r>
        <w:rPr>
          <w:b/>
          <w:spacing w:val="-2"/>
          <w:sz w:val="26"/>
        </w:rPr>
        <w:t>Solicitors</w:t>
      </w:r>
      <w:r>
        <w:rPr>
          <w:b/>
          <w:sz w:val="26"/>
        </w:rPr>
        <w:tab/>
      </w:r>
      <w:r>
        <w:rPr>
          <w:b/>
          <w:spacing w:val="-10"/>
          <w:sz w:val="26"/>
        </w:rPr>
        <w:t>:</w:t>
      </w:r>
      <w:r>
        <w:rPr>
          <w:b/>
          <w:sz w:val="26"/>
        </w:rPr>
        <w:tab/>
      </w:r>
      <w:r>
        <w:rPr>
          <w:sz w:val="26"/>
        </w:rPr>
        <w:t>Messrs.</w:t>
      </w:r>
      <w:r>
        <w:rPr>
          <w:spacing w:val="-9"/>
          <w:sz w:val="26"/>
        </w:rPr>
        <w:t> </w:t>
      </w:r>
      <w:r>
        <w:rPr>
          <w:sz w:val="26"/>
        </w:rPr>
        <w:t>Beauchamps,</w:t>
      </w:r>
      <w:r>
        <w:rPr>
          <w:spacing w:val="-7"/>
          <w:sz w:val="26"/>
        </w:rPr>
        <w:t> </w:t>
      </w:r>
      <w:r>
        <w:rPr>
          <w:sz w:val="26"/>
        </w:rPr>
        <w:t>Grand</w:t>
      </w:r>
      <w:r>
        <w:rPr>
          <w:spacing w:val="-8"/>
          <w:sz w:val="26"/>
        </w:rPr>
        <w:t> </w:t>
      </w:r>
      <w:r>
        <w:rPr>
          <w:sz w:val="26"/>
        </w:rPr>
        <w:t>Canal</w:t>
      </w:r>
      <w:r>
        <w:rPr>
          <w:spacing w:val="-9"/>
          <w:sz w:val="26"/>
        </w:rPr>
        <w:t> </w:t>
      </w:r>
      <w:r>
        <w:rPr>
          <w:sz w:val="26"/>
        </w:rPr>
        <w:t>Dock,</w:t>
      </w:r>
      <w:r>
        <w:rPr>
          <w:spacing w:val="-10"/>
          <w:sz w:val="26"/>
        </w:rPr>
        <w:t> </w:t>
      </w:r>
      <w:r>
        <w:rPr>
          <w:sz w:val="26"/>
        </w:rPr>
        <w:t>Dublin</w:t>
      </w:r>
      <w:r>
        <w:rPr>
          <w:spacing w:val="-10"/>
          <w:sz w:val="26"/>
        </w:rPr>
        <w:t> 2</w:t>
      </w:r>
    </w:p>
    <w:p>
      <w:pPr>
        <w:pStyle w:val="BodyText"/>
      </w:pPr>
    </w:p>
    <w:p>
      <w:pPr>
        <w:pStyle w:val="BodyText"/>
        <w:spacing w:before="180"/>
      </w:pPr>
    </w:p>
    <w:p>
      <w:pPr>
        <w:tabs>
          <w:tab w:pos="3142" w:val="left" w:leader="none"/>
          <w:tab w:pos="3862" w:val="left" w:leader="none"/>
        </w:tabs>
        <w:spacing w:before="0"/>
        <w:ind w:left="1702" w:right="0" w:firstLine="0"/>
        <w:jc w:val="left"/>
        <w:rPr>
          <w:sz w:val="26"/>
        </w:rPr>
      </w:pPr>
      <w:r>
        <w:rPr>
          <w:b/>
          <w:spacing w:val="-2"/>
          <w:sz w:val="26"/>
        </w:rPr>
        <w:t>Bankers</w:t>
      </w:r>
      <w:r>
        <w:rPr>
          <w:b/>
          <w:sz w:val="26"/>
        </w:rPr>
        <w:tab/>
      </w:r>
      <w:r>
        <w:rPr>
          <w:b/>
          <w:spacing w:val="-10"/>
          <w:sz w:val="26"/>
        </w:rPr>
        <w:t>:</w:t>
      </w:r>
      <w:r>
        <w:rPr>
          <w:b/>
          <w:sz w:val="26"/>
        </w:rPr>
        <w:tab/>
      </w:r>
      <w:r>
        <w:rPr>
          <w:sz w:val="26"/>
        </w:rPr>
        <w:t>Bank</w:t>
      </w:r>
      <w:r>
        <w:rPr>
          <w:spacing w:val="-8"/>
          <w:sz w:val="26"/>
        </w:rPr>
        <w:t> </w:t>
      </w:r>
      <w:r>
        <w:rPr>
          <w:sz w:val="26"/>
        </w:rPr>
        <w:t>of</w:t>
      </w:r>
      <w:r>
        <w:rPr>
          <w:spacing w:val="-8"/>
          <w:sz w:val="26"/>
        </w:rPr>
        <w:t> </w:t>
      </w:r>
      <w:r>
        <w:rPr>
          <w:sz w:val="26"/>
        </w:rPr>
        <w:t>Ireland,</w:t>
      </w:r>
      <w:r>
        <w:rPr>
          <w:spacing w:val="-9"/>
          <w:sz w:val="26"/>
        </w:rPr>
        <w:t> </w:t>
      </w:r>
      <w:r>
        <w:rPr>
          <w:sz w:val="26"/>
        </w:rPr>
        <w:t>104</w:t>
      </w:r>
      <w:r>
        <w:rPr>
          <w:spacing w:val="-5"/>
          <w:sz w:val="26"/>
        </w:rPr>
        <w:t> </w:t>
      </w:r>
      <w:r>
        <w:rPr>
          <w:sz w:val="26"/>
        </w:rPr>
        <w:t>Ranelagh,</w:t>
      </w:r>
      <w:r>
        <w:rPr>
          <w:spacing w:val="-9"/>
          <w:sz w:val="26"/>
        </w:rPr>
        <w:t> </w:t>
      </w:r>
      <w:r>
        <w:rPr>
          <w:sz w:val="26"/>
        </w:rPr>
        <w:t>Dublin</w:t>
      </w:r>
      <w:r>
        <w:rPr>
          <w:spacing w:val="-8"/>
          <w:sz w:val="26"/>
        </w:rPr>
        <w:t> </w:t>
      </w:r>
      <w:r>
        <w:rPr>
          <w:spacing w:val="-10"/>
          <w:sz w:val="26"/>
        </w:rPr>
        <w:t>6</w:t>
      </w:r>
    </w:p>
    <w:p>
      <w:pPr>
        <w:pStyle w:val="BodyText"/>
        <w:spacing w:before="238"/>
        <w:ind w:left="3862"/>
      </w:pPr>
      <w:r>
        <w:rPr/>
        <w:t>Bank</w:t>
      </w:r>
      <w:r>
        <w:rPr>
          <w:spacing w:val="-10"/>
        </w:rPr>
        <w:t> </w:t>
      </w:r>
      <w:r>
        <w:rPr/>
        <w:t>of</w:t>
      </w:r>
      <w:r>
        <w:rPr>
          <w:spacing w:val="-10"/>
        </w:rPr>
        <w:t> </w:t>
      </w:r>
      <w:r>
        <w:rPr/>
        <w:t>Ireland,</w:t>
      </w:r>
      <w:r>
        <w:rPr>
          <w:spacing w:val="-11"/>
        </w:rPr>
        <w:t> </w:t>
      </w:r>
      <w:r>
        <w:rPr/>
        <w:t>Ballsbridge,</w:t>
      </w:r>
      <w:r>
        <w:rPr>
          <w:spacing w:val="-9"/>
        </w:rPr>
        <w:t> </w:t>
      </w:r>
      <w:r>
        <w:rPr/>
        <w:t>Dublin</w:t>
      </w:r>
      <w:r>
        <w:rPr>
          <w:spacing w:val="-10"/>
        </w:rPr>
        <w:t> 4</w:t>
      </w:r>
    </w:p>
    <w:p>
      <w:pPr>
        <w:pStyle w:val="BodyText"/>
      </w:pPr>
    </w:p>
    <w:p>
      <w:pPr>
        <w:pStyle w:val="BodyText"/>
        <w:spacing w:before="178"/>
      </w:pPr>
    </w:p>
    <w:p>
      <w:pPr>
        <w:pStyle w:val="BodyText"/>
        <w:tabs>
          <w:tab w:pos="3142" w:val="left" w:leader="none"/>
          <w:tab w:pos="3862" w:val="left" w:leader="none"/>
        </w:tabs>
        <w:spacing w:before="1"/>
        <w:ind w:left="1702" w:right="1099"/>
      </w:pPr>
      <w:r>
        <w:rPr>
          <w:b/>
          <w:spacing w:val="-2"/>
        </w:rPr>
        <w:t>Auditors</w:t>
      </w:r>
      <w:r>
        <w:rPr>
          <w:b/>
        </w:rPr>
        <w:tab/>
      </w:r>
      <w:r>
        <w:rPr>
          <w:b/>
          <w:spacing w:val="-10"/>
        </w:rPr>
        <w:t>:</w:t>
      </w:r>
      <w:r>
        <w:rPr>
          <w:b/>
        </w:rPr>
        <w:tab/>
      </w:r>
      <w:r>
        <w:rPr/>
        <w:t>Comptroller</w:t>
      </w:r>
      <w:r>
        <w:rPr>
          <w:spacing w:val="40"/>
        </w:rPr>
        <w:t> </w:t>
      </w:r>
      <w:r>
        <w:rPr/>
        <w:t>&amp;</w:t>
      </w:r>
      <w:r>
        <w:rPr>
          <w:spacing w:val="40"/>
        </w:rPr>
        <w:t> </w:t>
      </w:r>
      <w:r>
        <w:rPr/>
        <w:t>Auditor</w:t>
      </w:r>
      <w:r>
        <w:rPr>
          <w:spacing w:val="40"/>
        </w:rPr>
        <w:t> </w:t>
      </w:r>
      <w:r>
        <w:rPr/>
        <w:t>General,</w:t>
      </w:r>
      <w:r>
        <w:rPr>
          <w:spacing w:val="40"/>
        </w:rPr>
        <w:t> </w:t>
      </w:r>
      <w:r>
        <w:rPr/>
        <w:t>3a</w:t>
      </w:r>
      <w:r>
        <w:rPr>
          <w:spacing w:val="40"/>
        </w:rPr>
        <w:t> </w:t>
      </w:r>
      <w:r>
        <w:rPr/>
        <w:t>Mayor</w:t>
      </w:r>
      <w:r>
        <w:rPr>
          <w:spacing w:val="40"/>
        </w:rPr>
        <w:t> </w:t>
      </w:r>
      <w:r>
        <w:rPr/>
        <w:t>Street</w:t>
      </w:r>
      <w:r>
        <w:rPr>
          <w:spacing w:val="80"/>
        </w:rPr>
        <w:t> </w:t>
      </w:r>
      <w:r>
        <w:rPr>
          <w:spacing w:val="-2"/>
        </w:rPr>
        <w:t>Upper,</w:t>
      </w:r>
    </w:p>
    <w:p>
      <w:pPr>
        <w:pStyle w:val="BodyText"/>
        <w:spacing w:before="241"/>
        <w:ind w:right="1997"/>
        <w:jc w:val="center"/>
      </w:pPr>
      <w:r>
        <w:rPr/>
        <w:t>Dublin</w:t>
      </w:r>
      <w:r>
        <w:rPr>
          <w:spacing w:val="-7"/>
        </w:rPr>
        <w:t> </w:t>
      </w:r>
      <w:r>
        <w:rPr>
          <w:spacing w:val="-10"/>
        </w:rPr>
        <w:t>1</w:t>
      </w:r>
    </w:p>
    <w:p>
      <w:pPr>
        <w:pStyle w:val="BodyText"/>
        <w:spacing w:after="0"/>
        <w:jc w:val="center"/>
        <w:sectPr>
          <w:pgSz w:w="11910" w:h="16850"/>
          <w:pgMar w:header="0" w:footer="811" w:top="1880" w:bottom="1000" w:left="283" w:right="992"/>
        </w:sectPr>
      </w:pPr>
    </w:p>
    <w:p>
      <w:pPr>
        <w:pStyle w:val="Heading2"/>
        <w:ind w:right="988"/>
      </w:pPr>
      <w:bookmarkStart w:name="_bookmark8" w:id="9"/>
      <w:bookmarkEnd w:id="9"/>
      <w:r>
        <w:rPr>
          <w:b w:val="0"/>
        </w:rPr>
      </w:r>
      <w:r>
        <w:rPr>
          <w:color w:val="BE2195"/>
        </w:rPr>
        <w:t>Appendix</w:t>
      </w:r>
      <w:r>
        <w:rPr>
          <w:color w:val="BE2195"/>
          <w:spacing w:val="-14"/>
        </w:rPr>
        <w:t> </w:t>
      </w:r>
      <w:r>
        <w:rPr>
          <w:color w:val="BE2195"/>
        </w:rPr>
        <w:t>1:</w:t>
      </w:r>
      <w:r>
        <w:rPr>
          <w:color w:val="BE2195"/>
          <w:spacing w:val="-45"/>
        </w:rPr>
        <w:t> </w:t>
      </w:r>
      <w:r>
        <w:rPr>
          <w:color w:val="BE2195"/>
        </w:rPr>
        <w:t>Authority</w:t>
      </w:r>
      <w:r>
        <w:rPr>
          <w:color w:val="BE2195"/>
          <w:spacing w:val="-8"/>
        </w:rPr>
        <w:t> </w:t>
      </w:r>
      <w:r>
        <w:rPr>
          <w:color w:val="BE2195"/>
        </w:rPr>
        <w:t>and other committees in 2017</w:t>
      </w:r>
    </w:p>
    <w:p>
      <w:pPr>
        <w:pStyle w:val="BodyText"/>
        <w:spacing w:line="333" w:lineRule="auto" w:before="543"/>
        <w:ind w:left="1702" w:right="5345"/>
      </w:pPr>
      <w:r>
        <w:rPr/>
        <w:t>Ms.</w:t>
      </w:r>
      <w:r>
        <w:rPr>
          <w:spacing w:val="-12"/>
        </w:rPr>
        <w:t> </w:t>
      </w:r>
      <w:r>
        <w:rPr/>
        <w:t>Helen</w:t>
      </w:r>
      <w:r>
        <w:rPr>
          <w:spacing w:val="-12"/>
        </w:rPr>
        <w:t> </w:t>
      </w:r>
      <w:r>
        <w:rPr/>
        <w:t>Guinan</w:t>
      </w:r>
      <w:r>
        <w:rPr>
          <w:spacing w:val="-12"/>
        </w:rPr>
        <w:t> </w:t>
      </w:r>
      <w:r>
        <w:rPr/>
        <w:t>(Chairperson) Mr. Frank Cunneen</w:t>
      </w:r>
    </w:p>
    <w:p>
      <w:pPr>
        <w:pStyle w:val="BodyText"/>
        <w:spacing w:before="5"/>
        <w:ind w:left="1702"/>
      </w:pPr>
      <w:r>
        <w:rPr/>
        <w:t>Mr.</w:t>
      </w:r>
      <w:r>
        <w:rPr>
          <w:spacing w:val="-5"/>
        </w:rPr>
        <w:t> </w:t>
      </w:r>
      <w:r>
        <w:rPr/>
        <w:t>Des</w:t>
      </w:r>
      <w:r>
        <w:rPr>
          <w:spacing w:val="-4"/>
        </w:rPr>
        <w:t> Kenny</w:t>
      </w:r>
    </w:p>
    <w:p>
      <w:pPr>
        <w:pStyle w:val="BodyText"/>
        <w:spacing w:line="333" w:lineRule="auto" w:before="121"/>
        <w:ind w:left="1702" w:right="6542"/>
      </w:pPr>
      <w:r>
        <w:rPr/>
        <w:t>Ms.</w:t>
      </w:r>
      <w:r>
        <w:rPr>
          <w:spacing w:val="-13"/>
        </w:rPr>
        <w:t> </w:t>
      </w:r>
      <w:r>
        <w:rPr/>
        <w:t>Ruthann</w:t>
      </w:r>
      <w:r>
        <w:rPr>
          <w:spacing w:val="-14"/>
        </w:rPr>
        <w:t> </w:t>
      </w:r>
      <w:r>
        <w:rPr/>
        <w:t>La</w:t>
      </w:r>
      <w:r>
        <w:rPr>
          <w:spacing w:val="-12"/>
        </w:rPr>
        <w:t> </w:t>
      </w:r>
      <w:r>
        <w:rPr/>
        <w:t>Malfa Ms. Mary Lavelle</w:t>
      </w:r>
    </w:p>
    <w:p>
      <w:pPr>
        <w:pStyle w:val="BodyText"/>
        <w:spacing w:before="4"/>
        <w:ind w:left="1702"/>
      </w:pPr>
      <w:r>
        <w:rPr/>
        <w:t>Ms.</w:t>
      </w:r>
      <w:r>
        <w:rPr>
          <w:spacing w:val="-6"/>
        </w:rPr>
        <w:t> </w:t>
      </w:r>
      <w:r>
        <w:rPr/>
        <w:t>Aisling</w:t>
      </w:r>
      <w:r>
        <w:rPr>
          <w:spacing w:val="-5"/>
        </w:rPr>
        <w:t> </w:t>
      </w:r>
      <w:r>
        <w:rPr>
          <w:spacing w:val="-2"/>
        </w:rPr>
        <w:t>Glynn</w:t>
      </w:r>
      <w:r>
        <w:rPr>
          <w:spacing w:val="-2"/>
          <w:vertAlign w:val="superscript"/>
        </w:rPr>
        <w:t>2</w:t>
      </w:r>
    </w:p>
    <w:p>
      <w:pPr>
        <w:pStyle w:val="BodyText"/>
        <w:spacing w:line="336" w:lineRule="auto" w:before="121"/>
        <w:ind w:left="1702" w:right="6500"/>
      </w:pPr>
      <w:r>
        <w:rPr/>
        <w:t>Ms. Teresa McDonnell Mr. Deaglán Ó Bríain Ms.</w:t>
      </w:r>
      <w:r>
        <w:rPr>
          <w:spacing w:val="-19"/>
        </w:rPr>
        <w:t> </w:t>
      </w:r>
      <w:r>
        <w:rPr/>
        <w:t>Deirdre</w:t>
      </w:r>
      <w:r>
        <w:rPr>
          <w:spacing w:val="-18"/>
        </w:rPr>
        <w:t> </w:t>
      </w:r>
      <w:r>
        <w:rPr/>
        <w:t>O’Connor Mr. James O’Grady</w:t>
      </w:r>
      <w:r>
        <w:rPr>
          <w:spacing w:val="40"/>
        </w:rPr>
        <w:t> </w:t>
      </w:r>
      <w:r>
        <w:rPr/>
        <w:t>Mr. Donie O’Leary</w:t>
      </w:r>
    </w:p>
    <w:p>
      <w:pPr>
        <w:pStyle w:val="BodyText"/>
        <w:spacing w:line="333" w:lineRule="auto"/>
        <w:ind w:left="1702" w:right="7245"/>
      </w:pPr>
      <w:r>
        <w:rPr/>
        <w:t>Mr. Dónal Rice Ms.</w:t>
      </w:r>
      <w:r>
        <w:rPr>
          <w:spacing w:val="-7"/>
        </w:rPr>
        <w:t> </w:t>
      </w:r>
      <w:r>
        <w:rPr/>
        <w:t>Alison</w:t>
      </w:r>
      <w:r>
        <w:rPr>
          <w:spacing w:val="-7"/>
        </w:rPr>
        <w:t> </w:t>
      </w:r>
      <w:r>
        <w:rPr>
          <w:spacing w:val="-4"/>
        </w:rPr>
        <w:t>Ryan</w:t>
      </w:r>
    </w:p>
    <w:p>
      <w:pPr>
        <w:pStyle w:val="BodyText"/>
        <w:spacing w:before="135"/>
      </w:pPr>
    </w:p>
    <w:p>
      <w:pPr>
        <w:pStyle w:val="Heading3"/>
        <w:spacing w:before="0"/>
      </w:pPr>
      <w:r>
        <w:rPr>
          <w:color w:val="BE2195"/>
        </w:rPr>
        <w:t>Finance</w:t>
      </w:r>
      <w:r>
        <w:rPr>
          <w:color w:val="BE2195"/>
          <w:spacing w:val="-18"/>
        </w:rPr>
        <w:t> </w:t>
      </w:r>
      <w:r>
        <w:rPr>
          <w:color w:val="BE2195"/>
          <w:spacing w:val="-2"/>
        </w:rPr>
        <w:t>Committee</w:t>
      </w:r>
    </w:p>
    <w:p>
      <w:pPr>
        <w:pStyle w:val="BodyText"/>
        <w:spacing w:line="336" w:lineRule="auto" w:before="105"/>
        <w:ind w:left="1702" w:right="5017"/>
      </w:pPr>
      <w:r>
        <w:rPr/>
        <w:t>Mr.</w:t>
      </w:r>
      <w:r>
        <w:rPr>
          <w:spacing w:val="-11"/>
        </w:rPr>
        <w:t> </w:t>
      </w:r>
      <w:r>
        <w:rPr/>
        <w:t>Frank</w:t>
      </w:r>
      <w:r>
        <w:rPr>
          <w:spacing w:val="-12"/>
        </w:rPr>
        <w:t> </w:t>
      </w:r>
      <w:r>
        <w:rPr/>
        <w:t>Cunneen</w:t>
      </w:r>
      <w:r>
        <w:rPr>
          <w:spacing w:val="-12"/>
        </w:rPr>
        <w:t> </w:t>
      </w:r>
      <w:r>
        <w:rPr/>
        <w:t>(Chairperson) Mr. Des Kenny</w:t>
      </w:r>
    </w:p>
    <w:p>
      <w:pPr>
        <w:pStyle w:val="BodyText"/>
        <w:spacing w:line="336" w:lineRule="auto"/>
        <w:ind w:left="1702" w:right="6715"/>
      </w:pPr>
      <w:r>
        <w:rPr/>
        <w:t>Ms.</w:t>
      </w:r>
      <w:r>
        <w:rPr>
          <w:spacing w:val="-13"/>
        </w:rPr>
        <w:t> </w:t>
      </w:r>
      <w:r>
        <w:rPr/>
        <w:t>Ruthann</w:t>
      </w:r>
      <w:r>
        <w:rPr>
          <w:spacing w:val="-14"/>
        </w:rPr>
        <w:t> </w:t>
      </w:r>
      <w:r>
        <w:rPr/>
        <w:t>La</w:t>
      </w:r>
      <w:r>
        <w:rPr>
          <w:spacing w:val="-12"/>
        </w:rPr>
        <w:t> </w:t>
      </w:r>
      <w:r>
        <w:rPr/>
        <w:t>Malfa Ms. Aisling Glynn</w:t>
      </w:r>
      <w:r>
        <w:rPr>
          <w:spacing w:val="40"/>
        </w:rPr>
        <w:t> </w:t>
      </w:r>
      <w:r>
        <w:rPr/>
        <w:t>Mr. David Scott</w:t>
      </w:r>
    </w:p>
    <w:p>
      <w:pPr>
        <w:pStyle w:val="BodyText"/>
        <w:spacing w:line="300" w:lineRule="exact"/>
        <w:ind w:left="1702"/>
      </w:pPr>
      <w:r>
        <w:rPr/>
        <w:t>Mr.</w:t>
      </w:r>
      <w:r>
        <w:rPr>
          <w:spacing w:val="-5"/>
        </w:rPr>
        <w:t> </w:t>
      </w:r>
      <w:r>
        <w:rPr/>
        <w:t>Pat</w:t>
      </w:r>
      <w:r>
        <w:rPr>
          <w:spacing w:val="-5"/>
        </w:rPr>
        <w:t> </w:t>
      </w:r>
      <w:r>
        <w:rPr>
          <w:spacing w:val="-2"/>
        </w:rPr>
        <w:t>Fitzsimons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3"/>
        <w:rPr>
          <w:sz w:val="20"/>
        </w:rPr>
      </w:pPr>
      <w:r>
        <w:rPr>
          <w:sz w:val="20"/>
        </w:rPr>
        <mc:AlternateContent>
          <mc:Choice Requires="wps">
            <w:drawing>
              <wp:anchor distT="0" distB="0" distL="0" distR="0" allowOverlap="1" layoutInCell="1" locked="0" behindDoc="1" simplePos="0" relativeHeight="487602176">
                <wp:simplePos x="0" y="0"/>
                <wp:positionH relativeFrom="page">
                  <wp:posOffset>1260652</wp:posOffset>
                </wp:positionH>
                <wp:positionV relativeFrom="paragraph">
                  <wp:posOffset>190121</wp:posOffset>
                </wp:positionV>
                <wp:extent cx="1829435" cy="762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14.9702pt;width:144.020pt;height:.599980pt;mso-position-horizontal-relative:page;mso-position-vertical-relative:paragraph;z-index:-15714304;mso-wrap-distance-left:0;mso-wrap-distance-right:0" id="docshape19" filled="true" fillcolor="#000000" stroked="false">
                <v:fill type="solid"/>
                <w10:wrap type="topAndBottom"/>
              </v:rect>
            </w:pict>
          </mc:Fallback>
        </mc:AlternateContent>
      </w:r>
    </w:p>
    <w:p>
      <w:pPr>
        <w:pStyle w:val="BodyText"/>
        <w:spacing w:before="138"/>
        <w:rPr>
          <w:sz w:val="22"/>
        </w:rPr>
      </w:pPr>
    </w:p>
    <w:p>
      <w:pPr>
        <w:spacing w:before="0"/>
        <w:ind w:left="1702" w:right="0" w:firstLine="0"/>
        <w:jc w:val="left"/>
        <w:rPr>
          <w:sz w:val="22"/>
        </w:rPr>
      </w:pPr>
      <w:r>
        <w:rPr>
          <w:sz w:val="22"/>
          <w:vertAlign w:val="superscript"/>
        </w:rPr>
        <w:t>2</w:t>
      </w:r>
      <w:r>
        <w:rPr>
          <w:spacing w:val="4"/>
          <w:sz w:val="22"/>
          <w:vertAlign w:val="baseline"/>
        </w:rPr>
        <w:t> </w:t>
      </w:r>
      <w:r>
        <w:rPr>
          <w:sz w:val="22"/>
          <w:vertAlign w:val="baseline"/>
        </w:rPr>
        <w:t>Appointed June </w:t>
      </w:r>
      <w:r>
        <w:rPr>
          <w:spacing w:val="-4"/>
          <w:sz w:val="22"/>
          <w:vertAlign w:val="baseline"/>
        </w:rPr>
        <w:t>2017</w:t>
      </w:r>
    </w:p>
    <w:p>
      <w:pPr>
        <w:spacing w:after="0"/>
        <w:jc w:val="left"/>
        <w:rPr>
          <w:sz w:val="22"/>
        </w:rPr>
        <w:sectPr>
          <w:pgSz w:w="11910" w:h="16850"/>
          <w:pgMar w:header="0" w:footer="811" w:top="1880" w:bottom="1000" w:left="283" w:right="992"/>
        </w:sectPr>
      </w:pPr>
    </w:p>
    <w:p>
      <w:pPr>
        <w:pStyle w:val="Heading3"/>
        <w:spacing w:before="72"/>
      </w:pPr>
      <w:r>
        <w:rPr>
          <w:color w:val="BE2195"/>
        </w:rPr>
        <w:t>Audit</w:t>
      </w:r>
      <w:r>
        <w:rPr>
          <w:color w:val="BE2195"/>
          <w:spacing w:val="-14"/>
        </w:rPr>
        <w:t> </w:t>
      </w:r>
      <w:r>
        <w:rPr>
          <w:color w:val="BE2195"/>
          <w:spacing w:val="-2"/>
        </w:rPr>
        <w:t>Committee</w:t>
      </w:r>
    </w:p>
    <w:p>
      <w:pPr>
        <w:spacing w:line="338" w:lineRule="auto" w:before="107"/>
        <w:ind w:left="1702" w:right="5345" w:firstLine="0"/>
        <w:jc w:val="left"/>
        <w:rPr>
          <w:sz w:val="25"/>
        </w:rPr>
      </w:pPr>
      <w:r>
        <w:rPr>
          <w:sz w:val="25"/>
        </w:rPr>
        <w:t>Mr.</w:t>
      </w:r>
      <w:r>
        <w:rPr>
          <w:spacing w:val="-13"/>
          <w:sz w:val="25"/>
        </w:rPr>
        <w:t> </w:t>
      </w:r>
      <w:r>
        <w:rPr>
          <w:sz w:val="25"/>
        </w:rPr>
        <w:t>Donal</w:t>
      </w:r>
      <w:r>
        <w:rPr>
          <w:spacing w:val="-13"/>
          <w:sz w:val="25"/>
        </w:rPr>
        <w:t> </w:t>
      </w:r>
      <w:r>
        <w:rPr>
          <w:sz w:val="25"/>
        </w:rPr>
        <w:t>Lawlor</w:t>
      </w:r>
      <w:r>
        <w:rPr>
          <w:spacing w:val="-13"/>
          <w:sz w:val="25"/>
        </w:rPr>
        <w:t> </w:t>
      </w:r>
      <w:r>
        <w:rPr>
          <w:sz w:val="25"/>
        </w:rPr>
        <w:t>(Chairperson) Mr. Frank Cunneen</w:t>
      </w:r>
    </w:p>
    <w:p>
      <w:pPr>
        <w:spacing w:line="340" w:lineRule="auto" w:before="1"/>
        <w:ind w:left="1702" w:right="6991" w:firstLine="0"/>
        <w:jc w:val="left"/>
        <w:rPr>
          <w:sz w:val="25"/>
        </w:rPr>
      </w:pPr>
      <w:r>
        <w:rPr>
          <w:sz w:val="25"/>
        </w:rPr>
        <w:t>Mr. Des Kenny</w:t>
      </w:r>
      <w:r>
        <w:rPr>
          <w:spacing w:val="40"/>
          <w:sz w:val="25"/>
        </w:rPr>
        <w:t> </w:t>
      </w:r>
      <w:r>
        <w:rPr>
          <w:sz w:val="25"/>
        </w:rPr>
        <w:t>Mr.</w:t>
      </w:r>
      <w:r>
        <w:rPr>
          <w:spacing w:val="-18"/>
          <w:sz w:val="25"/>
        </w:rPr>
        <w:t> </w:t>
      </w:r>
      <w:r>
        <w:rPr>
          <w:sz w:val="25"/>
        </w:rPr>
        <w:t>Robert</w:t>
      </w:r>
      <w:r>
        <w:rPr>
          <w:spacing w:val="-17"/>
          <w:sz w:val="25"/>
        </w:rPr>
        <w:t> </w:t>
      </w:r>
      <w:r>
        <w:rPr>
          <w:sz w:val="25"/>
        </w:rPr>
        <w:t>Cashell</w:t>
      </w:r>
    </w:p>
    <w:p>
      <w:pPr>
        <w:spacing w:line="338" w:lineRule="auto" w:before="0"/>
        <w:ind w:left="1702" w:right="6542" w:firstLine="0"/>
        <w:jc w:val="left"/>
        <w:rPr>
          <w:sz w:val="25"/>
        </w:rPr>
      </w:pPr>
      <w:r>
        <w:rPr>
          <w:sz w:val="25"/>
        </w:rPr>
        <w:t>Mr. Lawrence Byrne Ms.</w:t>
      </w:r>
      <w:r>
        <w:rPr>
          <w:spacing w:val="-18"/>
          <w:sz w:val="25"/>
        </w:rPr>
        <w:t> </w:t>
      </w:r>
      <w:r>
        <w:rPr>
          <w:sz w:val="25"/>
        </w:rPr>
        <w:t>Teresa</w:t>
      </w:r>
      <w:r>
        <w:rPr>
          <w:spacing w:val="-17"/>
          <w:sz w:val="25"/>
        </w:rPr>
        <w:t> </w:t>
      </w:r>
      <w:r>
        <w:rPr>
          <w:sz w:val="25"/>
        </w:rPr>
        <w:t>McDonnell Mr. Tony Fitzpatrick</w:t>
      </w:r>
      <w:r>
        <w:rPr>
          <w:sz w:val="25"/>
          <w:vertAlign w:val="superscript"/>
        </w:rPr>
        <w:t>3</w:t>
      </w:r>
      <w:r>
        <w:rPr>
          <w:sz w:val="25"/>
          <w:vertAlign w:val="baseline"/>
        </w:rPr>
        <w:t> Mr. John Fitzgerald</w:t>
      </w:r>
      <w:r>
        <w:rPr>
          <w:sz w:val="25"/>
          <w:vertAlign w:val="superscript"/>
        </w:rPr>
        <w:t>4</w:t>
      </w:r>
    </w:p>
    <w:p>
      <w:pPr>
        <w:pStyle w:val="Heading3"/>
        <w:spacing w:before="16"/>
      </w:pPr>
      <w:r>
        <w:rPr>
          <w:color w:val="BE2195"/>
        </w:rPr>
        <w:t>Risk</w:t>
      </w:r>
      <w:r>
        <w:rPr>
          <w:color w:val="BE2195"/>
          <w:spacing w:val="-17"/>
        </w:rPr>
        <w:t> </w:t>
      </w:r>
      <w:r>
        <w:rPr>
          <w:color w:val="BE2195"/>
        </w:rPr>
        <w:t>Management</w:t>
      </w:r>
      <w:r>
        <w:rPr>
          <w:color w:val="BE2195"/>
          <w:spacing w:val="-17"/>
        </w:rPr>
        <w:t> </w:t>
      </w:r>
      <w:r>
        <w:rPr>
          <w:color w:val="BE2195"/>
          <w:spacing w:val="-2"/>
        </w:rPr>
        <w:t>Committee</w:t>
      </w:r>
    </w:p>
    <w:p>
      <w:pPr>
        <w:spacing w:line="338" w:lineRule="auto" w:before="107"/>
        <w:ind w:left="1702" w:right="2567" w:firstLine="0"/>
        <w:jc w:val="left"/>
        <w:rPr>
          <w:sz w:val="25"/>
        </w:rPr>
      </w:pPr>
      <w:r>
        <w:rPr>
          <w:sz w:val="25"/>
        </w:rPr>
        <w:t>Mr.</w:t>
      </w:r>
      <w:r>
        <w:rPr>
          <w:spacing w:val="-6"/>
          <w:sz w:val="25"/>
        </w:rPr>
        <w:t> </w:t>
      </w:r>
      <w:r>
        <w:rPr>
          <w:sz w:val="25"/>
        </w:rPr>
        <w:t>Robert</w:t>
      </w:r>
      <w:r>
        <w:rPr>
          <w:spacing w:val="-7"/>
          <w:sz w:val="25"/>
        </w:rPr>
        <w:t> </w:t>
      </w:r>
      <w:r>
        <w:rPr>
          <w:sz w:val="25"/>
        </w:rPr>
        <w:t>Cashell</w:t>
      </w:r>
      <w:r>
        <w:rPr>
          <w:spacing w:val="-6"/>
          <w:sz w:val="25"/>
        </w:rPr>
        <w:t> </w:t>
      </w:r>
      <w:r>
        <w:rPr>
          <w:sz w:val="25"/>
        </w:rPr>
        <w:t>(Chairperson)</w:t>
      </w:r>
      <w:r>
        <w:rPr>
          <w:spacing w:val="-6"/>
          <w:sz w:val="25"/>
        </w:rPr>
        <w:t> </w:t>
      </w:r>
      <w:r>
        <w:rPr>
          <w:sz w:val="25"/>
        </w:rPr>
        <w:t>(NDA</w:t>
      </w:r>
      <w:r>
        <w:rPr>
          <w:spacing w:val="-8"/>
          <w:sz w:val="25"/>
        </w:rPr>
        <w:t> </w:t>
      </w:r>
      <w:r>
        <w:rPr>
          <w:sz w:val="25"/>
        </w:rPr>
        <w:t>Audit</w:t>
      </w:r>
      <w:r>
        <w:rPr>
          <w:spacing w:val="-3"/>
          <w:sz w:val="25"/>
        </w:rPr>
        <w:t> </w:t>
      </w:r>
      <w:r>
        <w:rPr>
          <w:sz w:val="25"/>
        </w:rPr>
        <w:t>Committee) Mr. Pat Fitzsimons (NDA Finance Committee)</w:t>
      </w:r>
    </w:p>
    <w:p>
      <w:pPr>
        <w:spacing w:before="1"/>
        <w:ind w:left="1702" w:right="0" w:firstLine="0"/>
        <w:jc w:val="left"/>
        <w:rPr>
          <w:sz w:val="25"/>
        </w:rPr>
      </w:pPr>
      <w:r>
        <w:rPr>
          <w:sz w:val="25"/>
        </w:rPr>
        <w:t>NDA</w:t>
      </w:r>
      <w:r>
        <w:rPr>
          <w:spacing w:val="-11"/>
          <w:sz w:val="25"/>
        </w:rPr>
        <w:t> </w:t>
      </w:r>
      <w:r>
        <w:rPr>
          <w:sz w:val="25"/>
        </w:rPr>
        <w:t>Senior</w:t>
      </w:r>
      <w:r>
        <w:rPr>
          <w:spacing w:val="-10"/>
          <w:sz w:val="25"/>
        </w:rPr>
        <w:t> </w:t>
      </w:r>
      <w:r>
        <w:rPr>
          <w:sz w:val="25"/>
        </w:rPr>
        <w:t>Management</w:t>
      </w:r>
      <w:r>
        <w:rPr>
          <w:spacing w:val="-8"/>
          <w:sz w:val="25"/>
        </w:rPr>
        <w:t> </w:t>
      </w:r>
      <w:r>
        <w:rPr>
          <w:spacing w:val="-4"/>
          <w:sz w:val="25"/>
        </w:rPr>
        <w:t>Group</w:t>
      </w:r>
    </w:p>
    <w:p>
      <w:pPr>
        <w:pStyle w:val="Heading3"/>
        <w:spacing w:before="135"/>
      </w:pPr>
      <w:r>
        <w:rPr>
          <w:color w:val="BE2195"/>
        </w:rPr>
        <w:t>Strategic</w:t>
      </w:r>
      <w:r>
        <w:rPr>
          <w:color w:val="BE2195"/>
          <w:spacing w:val="-15"/>
        </w:rPr>
        <w:t> </w:t>
      </w:r>
      <w:r>
        <w:rPr>
          <w:color w:val="BE2195"/>
        </w:rPr>
        <w:t>Planning</w:t>
      </w:r>
      <w:r>
        <w:rPr>
          <w:color w:val="BE2195"/>
          <w:spacing w:val="-13"/>
        </w:rPr>
        <w:t> </w:t>
      </w:r>
      <w:r>
        <w:rPr>
          <w:color w:val="BE2195"/>
          <w:spacing w:val="-2"/>
        </w:rPr>
        <w:t>Committee</w:t>
      </w:r>
    </w:p>
    <w:p>
      <w:pPr>
        <w:spacing w:line="436" w:lineRule="auto" w:before="107"/>
        <w:ind w:left="1702" w:right="5531" w:firstLine="0"/>
        <w:jc w:val="left"/>
        <w:rPr>
          <w:sz w:val="25"/>
        </w:rPr>
      </w:pPr>
      <w:r>
        <w:rPr>
          <w:sz w:val="25"/>
        </w:rPr>
        <w:t>Helen</w:t>
      </w:r>
      <w:r>
        <w:rPr>
          <w:spacing w:val="-18"/>
          <w:sz w:val="25"/>
        </w:rPr>
        <w:t> </w:t>
      </w:r>
      <w:r>
        <w:rPr>
          <w:sz w:val="25"/>
        </w:rPr>
        <w:t>Guinan</w:t>
      </w:r>
      <w:r>
        <w:rPr>
          <w:spacing w:val="-17"/>
          <w:sz w:val="25"/>
        </w:rPr>
        <w:t> </w:t>
      </w:r>
      <w:r>
        <w:rPr>
          <w:sz w:val="25"/>
        </w:rPr>
        <w:t>(Chairperson) Frank Cunneen</w:t>
      </w:r>
    </w:p>
    <w:p>
      <w:pPr>
        <w:spacing w:before="3"/>
        <w:ind w:left="1702" w:right="0" w:firstLine="0"/>
        <w:jc w:val="left"/>
        <w:rPr>
          <w:sz w:val="25"/>
        </w:rPr>
      </w:pPr>
      <w:r>
        <w:rPr>
          <w:sz w:val="25"/>
        </w:rPr>
        <w:t>Des</w:t>
      </w:r>
      <w:r>
        <w:rPr>
          <w:spacing w:val="-6"/>
          <w:sz w:val="25"/>
        </w:rPr>
        <w:t> </w:t>
      </w:r>
      <w:r>
        <w:rPr>
          <w:spacing w:val="-2"/>
          <w:sz w:val="25"/>
        </w:rPr>
        <w:t>Kenny</w:t>
      </w:r>
    </w:p>
    <w:p>
      <w:pPr>
        <w:spacing w:line="439" w:lineRule="auto" w:before="240"/>
        <w:ind w:left="1702" w:right="7245" w:firstLine="0"/>
        <w:jc w:val="left"/>
        <w:rPr>
          <w:sz w:val="25"/>
        </w:rPr>
      </w:pPr>
      <w:r>
        <w:rPr>
          <w:sz w:val="25"/>
        </w:rPr>
        <w:t>Donie</w:t>
      </w:r>
      <w:r>
        <w:rPr>
          <w:spacing w:val="-18"/>
          <w:sz w:val="25"/>
        </w:rPr>
        <w:t> </w:t>
      </w:r>
      <w:r>
        <w:rPr>
          <w:sz w:val="25"/>
        </w:rPr>
        <w:t>O’Leary Alison Ryan Mary Lavelle</w:t>
      </w:r>
    </w:p>
    <w:p>
      <w:pPr>
        <w:spacing w:line="439" w:lineRule="auto" w:before="0"/>
        <w:ind w:left="1702" w:right="6991" w:firstLine="0"/>
        <w:jc w:val="left"/>
        <w:rPr>
          <w:sz w:val="25"/>
        </w:rPr>
      </w:pPr>
      <w:r>
        <w:rPr>
          <w:sz w:val="25"/>
        </w:rPr>
        <w:t>James O’Grady Teresa</w:t>
      </w:r>
      <w:r>
        <w:rPr>
          <w:spacing w:val="-18"/>
          <w:sz w:val="25"/>
        </w:rPr>
        <w:t> </w:t>
      </w:r>
      <w:r>
        <w:rPr>
          <w:sz w:val="25"/>
        </w:rPr>
        <w:t>McDonnell Donal Rice</w:t>
      </w:r>
    </w:p>
    <w:p>
      <w:pPr>
        <w:spacing w:line="289" w:lineRule="exact" w:before="0"/>
        <w:ind w:left="1702" w:right="0" w:firstLine="0"/>
        <w:jc w:val="left"/>
        <w:rPr>
          <w:sz w:val="25"/>
        </w:rPr>
      </w:pPr>
      <w:r>
        <w:rPr>
          <w:sz w:val="25"/>
        </w:rPr>
        <w:t>NDA</w:t>
      </w:r>
      <w:r>
        <w:rPr>
          <w:spacing w:val="-11"/>
          <w:sz w:val="25"/>
        </w:rPr>
        <w:t> </w:t>
      </w:r>
      <w:r>
        <w:rPr>
          <w:sz w:val="25"/>
        </w:rPr>
        <w:t>Senior</w:t>
      </w:r>
      <w:r>
        <w:rPr>
          <w:spacing w:val="-10"/>
          <w:sz w:val="25"/>
        </w:rPr>
        <w:t> </w:t>
      </w:r>
      <w:r>
        <w:rPr>
          <w:sz w:val="25"/>
        </w:rPr>
        <w:t>Management</w:t>
      </w:r>
      <w:r>
        <w:rPr>
          <w:spacing w:val="-8"/>
          <w:sz w:val="25"/>
        </w:rPr>
        <w:t> </w:t>
      </w:r>
      <w:r>
        <w:rPr>
          <w:spacing w:val="-4"/>
          <w:sz w:val="25"/>
        </w:rPr>
        <w:t>Group</w:t>
      </w:r>
    </w:p>
    <w:p>
      <w:pPr>
        <w:pStyle w:val="BodyText"/>
        <w:rPr>
          <w:sz w:val="20"/>
        </w:rPr>
      </w:pPr>
    </w:p>
    <w:p>
      <w:pPr>
        <w:pStyle w:val="BodyText"/>
        <w:spacing w:before="194"/>
        <w:rPr>
          <w:sz w:val="20"/>
        </w:rPr>
      </w:pPr>
      <w:r>
        <w:rPr>
          <w:sz w:val="20"/>
        </w:rPr>
        <mc:AlternateContent>
          <mc:Choice Requires="wps">
            <w:drawing>
              <wp:anchor distT="0" distB="0" distL="0" distR="0" allowOverlap="1" layoutInCell="1" locked="0" behindDoc="1" simplePos="0" relativeHeight="487602688">
                <wp:simplePos x="0" y="0"/>
                <wp:positionH relativeFrom="page">
                  <wp:posOffset>1260652</wp:posOffset>
                </wp:positionH>
                <wp:positionV relativeFrom="paragraph">
                  <wp:posOffset>286132</wp:posOffset>
                </wp:positionV>
                <wp:extent cx="1829435" cy="762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9.264pt;margin-top:22.530104pt;width:144.020pt;height:.599980pt;mso-position-horizontal-relative:page;mso-position-vertical-relative:paragraph;z-index:-15713792;mso-wrap-distance-left:0;mso-wrap-distance-right:0" id="docshape20" filled="true" fillcolor="#000000" stroked="false">
                <v:fill type="solid"/>
                <w10:wrap type="topAndBottom"/>
              </v:rect>
            </w:pict>
          </mc:Fallback>
        </mc:AlternateContent>
      </w:r>
    </w:p>
    <w:p>
      <w:pPr>
        <w:pStyle w:val="BodyText"/>
        <w:spacing w:before="138"/>
        <w:rPr>
          <w:sz w:val="22"/>
        </w:rPr>
      </w:pPr>
    </w:p>
    <w:p>
      <w:pPr>
        <w:spacing w:before="0"/>
        <w:ind w:left="1702" w:right="0" w:firstLine="0"/>
        <w:jc w:val="left"/>
        <w:rPr>
          <w:sz w:val="22"/>
        </w:rPr>
      </w:pPr>
      <w:r>
        <w:rPr>
          <w:sz w:val="22"/>
          <w:vertAlign w:val="superscript"/>
        </w:rPr>
        <w:t>3</w:t>
      </w:r>
      <w:r>
        <w:rPr>
          <w:spacing w:val="4"/>
          <w:sz w:val="22"/>
          <w:vertAlign w:val="baseline"/>
        </w:rPr>
        <w:t> </w:t>
      </w:r>
      <w:r>
        <w:rPr>
          <w:sz w:val="22"/>
          <w:vertAlign w:val="baseline"/>
        </w:rPr>
        <w:t>Appointed June </w:t>
      </w:r>
      <w:r>
        <w:rPr>
          <w:spacing w:val="-4"/>
          <w:sz w:val="22"/>
          <w:vertAlign w:val="baseline"/>
        </w:rPr>
        <w:t>2017</w:t>
      </w:r>
    </w:p>
    <w:p>
      <w:pPr>
        <w:spacing w:before="127"/>
        <w:ind w:left="1702" w:right="0" w:firstLine="0"/>
        <w:jc w:val="left"/>
        <w:rPr>
          <w:sz w:val="22"/>
        </w:rPr>
      </w:pPr>
      <w:r>
        <w:rPr>
          <w:sz w:val="22"/>
          <w:vertAlign w:val="superscript"/>
        </w:rPr>
        <w:t>4</w:t>
      </w:r>
      <w:r>
        <w:rPr>
          <w:spacing w:val="3"/>
          <w:sz w:val="22"/>
          <w:vertAlign w:val="baseline"/>
        </w:rPr>
        <w:t> </w:t>
      </w:r>
      <w:r>
        <w:rPr>
          <w:sz w:val="22"/>
          <w:vertAlign w:val="baseline"/>
        </w:rPr>
        <w:t>Appointed</w:t>
      </w:r>
      <w:r>
        <w:rPr>
          <w:spacing w:val="-1"/>
          <w:sz w:val="22"/>
          <w:vertAlign w:val="baseline"/>
        </w:rPr>
        <w:t> </w:t>
      </w:r>
      <w:r>
        <w:rPr>
          <w:sz w:val="22"/>
          <w:vertAlign w:val="baseline"/>
        </w:rPr>
        <w:t>March</w:t>
      </w:r>
      <w:r>
        <w:rPr>
          <w:spacing w:val="2"/>
          <w:sz w:val="22"/>
          <w:vertAlign w:val="baseline"/>
        </w:rPr>
        <w:t> </w:t>
      </w:r>
      <w:r>
        <w:rPr>
          <w:spacing w:val="-4"/>
          <w:sz w:val="22"/>
          <w:vertAlign w:val="baseline"/>
        </w:rPr>
        <w:t>2017</w:t>
      </w:r>
    </w:p>
    <w:p>
      <w:pPr>
        <w:spacing w:after="0"/>
        <w:jc w:val="left"/>
        <w:rPr>
          <w:sz w:val="22"/>
        </w:rPr>
        <w:sectPr>
          <w:pgSz w:w="11910" w:h="16850"/>
          <w:pgMar w:header="0" w:footer="811" w:top="1900" w:bottom="1000" w:left="283" w:right="992"/>
        </w:sectPr>
      </w:pPr>
    </w:p>
    <w:p>
      <w:pPr>
        <w:pStyle w:val="Heading2"/>
        <w:ind w:right="988"/>
      </w:pPr>
      <w:bookmarkStart w:name="_bookmark9" w:id="10"/>
      <w:bookmarkEnd w:id="10"/>
      <w:r>
        <w:rPr>
          <w:b w:val="0"/>
        </w:rPr>
      </w:r>
      <w:r>
        <w:rPr>
          <w:color w:val="BE2195"/>
        </w:rPr>
        <w:t>Appendix</w:t>
      </w:r>
      <w:r>
        <w:rPr>
          <w:color w:val="BE2195"/>
          <w:spacing w:val="-35"/>
        </w:rPr>
        <w:t> </w:t>
      </w:r>
      <w:r>
        <w:rPr>
          <w:color w:val="BE2195"/>
        </w:rPr>
        <w:t>2:</w:t>
      </w:r>
      <w:r>
        <w:rPr>
          <w:color w:val="BE2195"/>
          <w:spacing w:val="-45"/>
        </w:rPr>
        <w:t> </w:t>
      </w:r>
      <w:r>
        <w:rPr>
          <w:color w:val="BE2195"/>
        </w:rPr>
        <w:t>Representation on external bodies in 2017</w:t>
      </w:r>
    </w:p>
    <w:p>
      <w:pPr>
        <w:pStyle w:val="BodyText"/>
        <w:spacing w:before="5"/>
        <w:rPr>
          <w:rFonts w:ascii="Rockwell"/>
          <w:b/>
          <w:sz w:val="56"/>
        </w:rPr>
      </w:pPr>
    </w:p>
    <w:p>
      <w:pPr>
        <w:pStyle w:val="BodyText"/>
        <w:ind w:left="1702"/>
      </w:pPr>
      <w:r>
        <w:rPr/>
        <w:t>IDS</w:t>
      </w:r>
      <w:r>
        <w:rPr>
          <w:spacing w:val="-8"/>
        </w:rPr>
        <w:t> </w:t>
      </w:r>
      <w:r>
        <w:rPr/>
        <w:t>TILDA</w:t>
      </w:r>
      <w:r>
        <w:rPr>
          <w:spacing w:val="-6"/>
        </w:rPr>
        <w:t> </w:t>
      </w:r>
      <w:r>
        <w:rPr/>
        <w:t>Steering</w:t>
      </w:r>
      <w:r>
        <w:rPr>
          <w:spacing w:val="-6"/>
        </w:rPr>
        <w:t> </w:t>
      </w:r>
      <w:r>
        <w:rPr>
          <w:spacing w:val="-2"/>
        </w:rPr>
        <w:t>Committee</w:t>
      </w:r>
    </w:p>
    <w:p>
      <w:pPr>
        <w:pStyle w:val="BodyText"/>
      </w:pPr>
    </w:p>
    <w:p>
      <w:pPr>
        <w:pStyle w:val="BodyText"/>
        <w:spacing w:before="192"/>
      </w:pPr>
    </w:p>
    <w:p>
      <w:pPr>
        <w:pStyle w:val="Heading3"/>
        <w:spacing w:before="0"/>
      </w:pPr>
      <w:r>
        <w:rPr>
          <w:color w:val="BE2195"/>
        </w:rPr>
        <w:t>Public</w:t>
      </w:r>
      <w:r>
        <w:rPr>
          <w:color w:val="BE2195"/>
          <w:spacing w:val="-12"/>
        </w:rPr>
        <w:t> </w:t>
      </w:r>
      <w:r>
        <w:rPr>
          <w:color w:val="BE2195"/>
          <w:spacing w:val="-2"/>
        </w:rPr>
        <w:t>sector:</w:t>
      </w:r>
    </w:p>
    <w:p>
      <w:pPr>
        <w:pStyle w:val="Heading5"/>
        <w:spacing w:before="120"/>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rPr>
        <w:t>Children</w:t>
      </w:r>
      <w:r>
        <w:rPr>
          <w:rFonts w:ascii="Rockwell"/>
          <w:color w:val="BE2195"/>
          <w:spacing w:val="-8"/>
        </w:rPr>
        <w:t> </w:t>
      </w:r>
      <w:r>
        <w:rPr>
          <w:rFonts w:ascii="Rockwell"/>
          <w:color w:val="BE2195"/>
        </w:rPr>
        <w:t>and</w:t>
      </w:r>
      <w:r>
        <w:rPr>
          <w:rFonts w:ascii="Rockwell"/>
          <w:color w:val="BE2195"/>
          <w:spacing w:val="-8"/>
        </w:rPr>
        <w:t> </w:t>
      </w:r>
      <w:r>
        <w:rPr>
          <w:rFonts w:ascii="Rockwell"/>
          <w:color w:val="BE2195"/>
        </w:rPr>
        <w:t>Youth</w:t>
      </w:r>
      <w:r>
        <w:rPr>
          <w:rFonts w:ascii="Rockwell"/>
          <w:color w:val="BE2195"/>
          <w:spacing w:val="-8"/>
        </w:rPr>
        <w:t> </w:t>
      </w:r>
      <w:r>
        <w:rPr>
          <w:rFonts w:ascii="Rockwell"/>
          <w:color w:val="BE2195"/>
          <w:spacing w:val="-2"/>
        </w:rPr>
        <w:t>Affairs</w:t>
      </w:r>
    </w:p>
    <w:p>
      <w:pPr>
        <w:pStyle w:val="ListParagraph"/>
        <w:numPr>
          <w:ilvl w:val="0"/>
          <w:numId w:val="21"/>
        </w:numPr>
        <w:tabs>
          <w:tab w:pos="2422" w:val="left" w:leader="none"/>
        </w:tabs>
        <w:spacing w:line="240" w:lineRule="auto" w:before="26" w:after="0"/>
        <w:ind w:left="2422" w:right="1458" w:hanging="360"/>
        <w:jc w:val="left"/>
        <w:rPr>
          <w:sz w:val="26"/>
        </w:rPr>
      </w:pPr>
      <w:r>
        <w:rPr>
          <w:sz w:val="26"/>
        </w:rPr>
        <w:t>Member</w:t>
      </w:r>
      <w:r>
        <w:rPr>
          <w:spacing w:val="-5"/>
          <w:sz w:val="26"/>
        </w:rPr>
        <w:t> </w:t>
      </w:r>
      <w:r>
        <w:rPr>
          <w:sz w:val="26"/>
        </w:rPr>
        <w:t>of</w:t>
      </w:r>
      <w:r>
        <w:rPr>
          <w:spacing w:val="-5"/>
          <w:sz w:val="26"/>
        </w:rPr>
        <w:t> </w:t>
      </w:r>
      <w:r>
        <w:rPr>
          <w:sz w:val="26"/>
        </w:rPr>
        <w:t>Department</w:t>
      </w:r>
      <w:r>
        <w:rPr>
          <w:spacing w:val="-6"/>
          <w:sz w:val="26"/>
        </w:rPr>
        <w:t> </w:t>
      </w:r>
      <w:r>
        <w:rPr>
          <w:sz w:val="26"/>
        </w:rPr>
        <w:t>of</w:t>
      </w:r>
      <w:r>
        <w:rPr>
          <w:spacing w:val="-6"/>
          <w:sz w:val="26"/>
        </w:rPr>
        <w:t> </w:t>
      </w:r>
      <w:r>
        <w:rPr>
          <w:sz w:val="26"/>
        </w:rPr>
        <w:t>Children</w:t>
      </w:r>
      <w:r>
        <w:rPr>
          <w:spacing w:val="-6"/>
          <w:sz w:val="26"/>
        </w:rPr>
        <w:t> </w:t>
      </w:r>
      <w:r>
        <w:rPr>
          <w:sz w:val="26"/>
        </w:rPr>
        <w:t>and</w:t>
      </w:r>
      <w:r>
        <w:rPr>
          <w:spacing w:val="-4"/>
          <w:sz w:val="26"/>
        </w:rPr>
        <w:t> </w:t>
      </w:r>
      <w:r>
        <w:rPr>
          <w:sz w:val="26"/>
        </w:rPr>
        <w:t>Youth</w:t>
      </w:r>
      <w:r>
        <w:rPr>
          <w:spacing w:val="-6"/>
          <w:sz w:val="26"/>
        </w:rPr>
        <w:t> </w:t>
      </w:r>
      <w:r>
        <w:rPr>
          <w:sz w:val="26"/>
        </w:rPr>
        <w:t>Affairs</w:t>
      </w:r>
      <w:r>
        <w:rPr>
          <w:spacing w:val="-2"/>
          <w:sz w:val="26"/>
        </w:rPr>
        <w:t> </w:t>
      </w:r>
      <w:r>
        <w:rPr>
          <w:sz w:val="26"/>
        </w:rPr>
        <w:t>Disability Advisory Committee</w:t>
      </w:r>
    </w:p>
    <w:p>
      <w:pPr>
        <w:pStyle w:val="ListParagraph"/>
        <w:numPr>
          <w:ilvl w:val="0"/>
          <w:numId w:val="21"/>
        </w:numPr>
        <w:tabs>
          <w:tab w:pos="2422" w:val="left" w:leader="none"/>
        </w:tabs>
        <w:spacing w:line="240" w:lineRule="auto" w:before="0" w:after="0"/>
        <w:ind w:left="2422" w:right="1305" w:hanging="360"/>
        <w:jc w:val="left"/>
        <w:rPr>
          <w:sz w:val="26"/>
        </w:rPr>
      </w:pPr>
      <w:r>
        <w:rPr>
          <w:sz w:val="26"/>
        </w:rPr>
        <w:t>Member of (AIM) - model of supports designed to ensure that children</w:t>
      </w:r>
      <w:r>
        <w:rPr>
          <w:spacing w:val="-6"/>
          <w:sz w:val="26"/>
        </w:rPr>
        <w:t> </w:t>
      </w:r>
      <w:r>
        <w:rPr>
          <w:sz w:val="26"/>
        </w:rPr>
        <w:t>with</w:t>
      </w:r>
      <w:r>
        <w:rPr>
          <w:spacing w:val="-6"/>
          <w:sz w:val="26"/>
        </w:rPr>
        <w:t> </w:t>
      </w:r>
      <w:r>
        <w:rPr>
          <w:sz w:val="26"/>
        </w:rPr>
        <w:t>disabilities</w:t>
      </w:r>
      <w:r>
        <w:rPr>
          <w:spacing w:val="-4"/>
          <w:sz w:val="26"/>
        </w:rPr>
        <w:t> </w:t>
      </w:r>
      <w:r>
        <w:rPr>
          <w:sz w:val="26"/>
        </w:rPr>
        <w:t>can</w:t>
      </w:r>
      <w:r>
        <w:rPr>
          <w:spacing w:val="-6"/>
          <w:sz w:val="26"/>
        </w:rPr>
        <w:t> </w:t>
      </w:r>
      <w:r>
        <w:rPr>
          <w:sz w:val="26"/>
        </w:rPr>
        <w:t>access</w:t>
      </w:r>
      <w:r>
        <w:rPr>
          <w:spacing w:val="-5"/>
          <w:sz w:val="26"/>
        </w:rPr>
        <w:t> </w:t>
      </w:r>
      <w:r>
        <w:rPr>
          <w:sz w:val="26"/>
        </w:rPr>
        <w:t>the</w:t>
      </w:r>
      <w:r>
        <w:rPr>
          <w:spacing w:val="-6"/>
          <w:sz w:val="26"/>
        </w:rPr>
        <w:t> </w:t>
      </w:r>
      <w:r>
        <w:rPr>
          <w:sz w:val="26"/>
        </w:rPr>
        <w:t>Early</w:t>
      </w:r>
      <w:r>
        <w:rPr>
          <w:spacing w:val="-4"/>
          <w:sz w:val="26"/>
        </w:rPr>
        <w:t> </w:t>
      </w:r>
      <w:r>
        <w:rPr>
          <w:sz w:val="26"/>
        </w:rPr>
        <w:t>Childhood</w:t>
      </w:r>
      <w:r>
        <w:rPr>
          <w:spacing w:val="-6"/>
          <w:sz w:val="26"/>
        </w:rPr>
        <w:t> </w:t>
      </w:r>
      <w:r>
        <w:rPr>
          <w:sz w:val="26"/>
        </w:rPr>
        <w:t>Care</w:t>
      </w:r>
      <w:r>
        <w:rPr>
          <w:spacing w:val="-5"/>
          <w:sz w:val="26"/>
        </w:rPr>
        <w:t> </w:t>
      </w:r>
      <w:r>
        <w:rPr>
          <w:sz w:val="26"/>
        </w:rPr>
        <w:t>and Education (ECCE) – Project Team</w:t>
      </w:r>
    </w:p>
    <w:p>
      <w:pPr>
        <w:pStyle w:val="ListParagraph"/>
        <w:numPr>
          <w:ilvl w:val="0"/>
          <w:numId w:val="21"/>
        </w:numPr>
        <w:tabs>
          <w:tab w:pos="2422" w:val="left" w:leader="none"/>
        </w:tabs>
        <w:spacing w:line="240" w:lineRule="auto" w:before="0" w:after="0"/>
        <w:ind w:left="2422" w:right="1301" w:hanging="360"/>
        <w:jc w:val="left"/>
        <w:rPr>
          <w:sz w:val="26"/>
        </w:rPr>
      </w:pPr>
      <w:r>
        <w:rPr>
          <w:sz w:val="26"/>
        </w:rPr>
        <w:t>Member of (AIM) - model of supports designed to ensure that children</w:t>
      </w:r>
      <w:r>
        <w:rPr>
          <w:spacing w:val="-5"/>
          <w:sz w:val="26"/>
        </w:rPr>
        <w:t> </w:t>
      </w:r>
      <w:r>
        <w:rPr>
          <w:sz w:val="26"/>
        </w:rPr>
        <w:t>with</w:t>
      </w:r>
      <w:r>
        <w:rPr>
          <w:spacing w:val="-5"/>
          <w:sz w:val="26"/>
        </w:rPr>
        <w:t> </w:t>
      </w:r>
      <w:r>
        <w:rPr>
          <w:sz w:val="26"/>
        </w:rPr>
        <w:t>disabilities</w:t>
      </w:r>
      <w:r>
        <w:rPr>
          <w:spacing w:val="-3"/>
          <w:sz w:val="26"/>
        </w:rPr>
        <w:t> </w:t>
      </w:r>
      <w:r>
        <w:rPr>
          <w:sz w:val="26"/>
        </w:rPr>
        <w:t>can</w:t>
      </w:r>
      <w:r>
        <w:rPr>
          <w:spacing w:val="-5"/>
          <w:sz w:val="26"/>
        </w:rPr>
        <w:t> </w:t>
      </w:r>
      <w:r>
        <w:rPr>
          <w:sz w:val="26"/>
        </w:rPr>
        <w:t>access</w:t>
      </w:r>
      <w:r>
        <w:rPr>
          <w:spacing w:val="-4"/>
          <w:sz w:val="26"/>
        </w:rPr>
        <w:t> </w:t>
      </w:r>
      <w:r>
        <w:rPr>
          <w:sz w:val="26"/>
        </w:rPr>
        <w:t>the</w:t>
      </w:r>
      <w:r>
        <w:rPr>
          <w:spacing w:val="-5"/>
          <w:sz w:val="26"/>
        </w:rPr>
        <w:t> </w:t>
      </w:r>
      <w:r>
        <w:rPr>
          <w:sz w:val="26"/>
        </w:rPr>
        <w:t>Early</w:t>
      </w:r>
      <w:r>
        <w:rPr>
          <w:spacing w:val="-3"/>
          <w:sz w:val="26"/>
        </w:rPr>
        <w:t> </w:t>
      </w:r>
      <w:r>
        <w:rPr>
          <w:sz w:val="26"/>
        </w:rPr>
        <w:t>Childhood</w:t>
      </w:r>
      <w:r>
        <w:rPr>
          <w:spacing w:val="-5"/>
          <w:sz w:val="26"/>
        </w:rPr>
        <w:t> </w:t>
      </w:r>
      <w:r>
        <w:rPr>
          <w:sz w:val="26"/>
        </w:rPr>
        <w:t>Care</w:t>
      </w:r>
      <w:r>
        <w:rPr>
          <w:spacing w:val="-4"/>
          <w:sz w:val="26"/>
        </w:rPr>
        <w:t> </w:t>
      </w:r>
      <w:r>
        <w:rPr>
          <w:sz w:val="26"/>
        </w:rPr>
        <w:t>and Education (ECCE) – Cross-sectoral Implementation Group</w:t>
      </w:r>
    </w:p>
    <w:p>
      <w:pPr>
        <w:pStyle w:val="ListParagraph"/>
        <w:numPr>
          <w:ilvl w:val="0"/>
          <w:numId w:val="21"/>
        </w:numPr>
        <w:tabs>
          <w:tab w:pos="2422" w:val="left" w:leader="none"/>
        </w:tabs>
        <w:spacing w:line="240" w:lineRule="auto" w:before="0" w:after="0"/>
        <w:ind w:left="2422" w:right="0" w:hanging="360"/>
        <w:jc w:val="left"/>
        <w:rPr>
          <w:sz w:val="26"/>
        </w:rPr>
      </w:pPr>
      <w:r>
        <w:rPr>
          <w:sz w:val="26"/>
        </w:rPr>
        <w:t>Member</w:t>
      </w:r>
      <w:r>
        <w:rPr>
          <w:spacing w:val="-6"/>
          <w:sz w:val="26"/>
        </w:rPr>
        <w:t> </w:t>
      </w:r>
      <w:r>
        <w:rPr>
          <w:sz w:val="26"/>
        </w:rPr>
        <w:t>of</w:t>
      </w:r>
      <w:r>
        <w:rPr>
          <w:spacing w:val="-7"/>
          <w:sz w:val="26"/>
        </w:rPr>
        <w:t> </w:t>
      </w:r>
      <w:r>
        <w:rPr>
          <w:sz w:val="26"/>
        </w:rPr>
        <w:t>TÚSLA</w:t>
      </w:r>
      <w:r>
        <w:rPr>
          <w:spacing w:val="63"/>
          <w:sz w:val="26"/>
        </w:rPr>
        <w:t> </w:t>
      </w:r>
      <w:r>
        <w:rPr>
          <w:sz w:val="26"/>
        </w:rPr>
        <w:t>–</w:t>
      </w:r>
      <w:r>
        <w:rPr>
          <w:spacing w:val="-3"/>
          <w:sz w:val="26"/>
        </w:rPr>
        <w:t> </w:t>
      </w:r>
      <w:r>
        <w:rPr>
          <w:sz w:val="26"/>
        </w:rPr>
        <w:t>Early</w:t>
      </w:r>
      <w:r>
        <w:rPr>
          <w:spacing w:val="-7"/>
          <w:sz w:val="26"/>
        </w:rPr>
        <w:t> </w:t>
      </w:r>
      <w:r>
        <w:rPr>
          <w:sz w:val="26"/>
        </w:rPr>
        <w:t>Years</w:t>
      </w:r>
      <w:r>
        <w:rPr>
          <w:spacing w:val="-5"/>
          <w:sz w:val="26"/>
        </w:rPr>
        <w:t> </w:t>
      </w:r>
      <w:r>
        <w:rPr>
          <w:sz w:val="26"/>
        </w:rPr>
        <w:t>Inspectorate</w:t>
      </w:r>
      <w:r>
        <w:rPr>
          <w:spacing w:val="-5"/>
          <w:sz w:val="26"/>
        </w:rPr>
        <w:t> </w:t>
      </w:r>
      <w:r>
        <w:rPr>
          <w:spacing w:val="-4"/>
          <w:sz w:val="26"/>
        </w:rPr>
        <w:t>Forum</w:t>
      </w:r>
    </w:p>
    <w:p>
      <w:pPr>
        <w:pStyle w:val="Heading5"/>
        <w:spacing w:before="254"/>
        <w:ind w:right="3080"/>
        <w:rPr>
          <w:rFonts w:ascii="Rockwell"/>
        </w:rPr>
      </w:pPr>
      <w:r>
        <w:rPr>
          <w:rFonts w:ascii="Rockwell"/>
          <w:color w:val="BE2195"/>
        </w:rPr>
        <w:t>Department</w:t>
      </w:r>
      <w:r>
        <w:rPr>
          <w:rFonts w:ascii="Rockwell"/>
          <w:color w:val="BE2195"/>
          <w:spacing w:val="-10"/>
        </w:rPr>
        <w:t> </w:t>
      </w:r>
      <w:r>
        <w:rPr>
          <w:rFonts w:ascii="Rockwell"/>
          <w:color w:val="BE2195"/>
        </w:rPr>
        <w:t>of</w:t>
      </w:r>
      <w:r>
        <w:rPr>
          <w:rFonts w:ascii="Rockwell"/>
          <w:color w:val="BE2195"/>
          <w:spacing w:val="-10"/>
        </w:rPr>
        <w:t> </w:t>
      </w:r>
      <w:r>
        <w:rPr>
          <w:rFonts w:ascii="Rockwell"/>
          <w:color w:val="BE2195"/>
        </w:rPr>
        <w:t>Communications,</w:t>
      </w:r>
      <w:r>
        <w:rPr>
          <w:rFonts w:ascii="Rockwell"/>
          <w:color w:val="BE2195"/>
          <w:spacing w:val="-10"/>
        </w:rPr>
        <w:t> </w:t>
      </w:r>
      <w:r>
        <w:rPr>
          <w:rFonts w:ascii="Rockwell"/>
          <w:color w:val="BE2195"/>
        </w:rPr>
        <w:t>Energy</w:t>
      </w:r>
      <w:r>
        <w:rPr>
          <w:rFonts w:ascii="Rockwell"/>
          <w:color w:val="BE2195"/>
          <w:spacing w:val="-10"/>
        </w:rPr>
        <w:t> </w:t>
      </w:r>
      <w:r>
        <w:rPr>
          <w:rFonts w:ascii="Rockwell"/>
          <w:color w:val="BE2195"/>
        </w:rPr>
        <w:t>and Natural Resources</w:t>
      </w:r>
    </w:p>
    <w:p>
      <w:pPr>
        <w:pStyle w:val="ListParagraph"/>
        <w:numPr>
          <w:ilvl w:val="0"/>
          <w:numId w:val="21"/>
        </w:numPr>
        <w:tabs>
          <w:tab w:pos="2422" w:val="left" w:leader="none"/>
        </w:tabs>
        <w:spacing w:line="240" w:lineRule="auto" w:before="27" w:after="0"/>
        <w:ind w:left="2422" w:right="0" w:hanging="360"/>
        <w:jc w:val="left"/>
        <w:rPr>
          <w:sz w:val="26"/>
        </w:rPr>
      </w:pPr>
      <w:r>
        <w:rPr>
          <w:sz w:val="26"/>
        </w:rPr>
        <w:t>EU</w:t>
      </w:r>
      <w:r>
        <w:rPr>
          <w:spacing w:val="-8"/>
          <w:sz w:val="26"/>
        </w:rPr>
        <w:t> </w:t>
      </w:r>
      <w:r>
        <w:rPr>
          <w:sz w:val="26"/>
        </w:rPr>
        <w:t>Web</w:t>
      </w:r>
      <w:r>
        <w:rPr>
          <w:spacing w:val="-5"/>
          <w:sz w:val="26"/>
        </w:rPr>
        <w:t> </w:t>
      </w:r>
      <w:r>
        <w:rPr>
          <w:sz w:val="26"/>
        </w:rPr>
        <w:t>directive</w:t>
      </w:r>
      <w:r>
        <w:rPr>
          <w:spacing w:val="-6"/>
          <w:sz w:val="26"/>
        </w:rPr>
        <w:t> </w:t>
      </w:r>
      <w:r>
        <w:rPr>
          <w:sz w:val="26"/>
        </w:rPr>
        <w:t>advisory</w:t>
      </w:r>
      <w:r>
        <w:rPr>
          <w:spacing w:val="62"/>
          <w:sz w:val="26"/>
        </w:rPr>
        <w:t> </w:t>
      </w:r>
      <w:r>
        <w:rPr>
          <w:spacing w:val="-4"/>
          <w:sz w:val="26"/>
        </w:rPr>
        <w:t>Group</w:t>
      </w:r>
    </w:p>
    <w:p>
      <w:pPr>
        <w:pStyle w:val="ListParagraph"/>
        <w:numPr>
          <w:ilvl w:val="0"/>
          <w:numId w:val="21"/>
        </w:numPr>
        <w:tabs>
          <w:tab w:pos="2422" w:val="left" w:leader="none"/>
        </w:tabs>
        <w:spacing w:line="240" w:lineRule="auto" w:before="1" w:after="0"/>
        <w:ind w:left="2422" w:right="0" w:hanging="360"/>
        <w:jc w:val="left"/>
        <w:rPr>
          <w:sz w:val="26"/>
        </w:rPr>
      </w:pPr>
      <w:r>
        <w:rPr>
          <w:sz w:val="26"/>
        </w:rPr>
        <w:t>BROADCASTING</w:t>
      </w:r>
      <w:r>
        <w:rPr>
          <w:spacing w:val="-16"/>
          <w:sz w:val="26"/>
        </w:rPr>
        <w:t> </w:t>
      </w:r>
      <w:r>
        <w:rPr>
          <w:sz w:val="26"/>
        </w:rPr>
        <w:t>Accessibility</w:t>
      </w:r>
      <w:r>
        <w:rPr>
          <w:spacing w:val="-17"/>
          <w:sz w:val="26"/>
        </w:rPr>
        <w:t> </w:t>
      </w:r>
      <w:r>
        <w:rPr>
          <w:spacing w:val="-2"/>
          <w:sz w:val="26"/>
        </w:rPr>
        <w:t>Committee</w:t>
      </w:r>
    </w:p>
    <w:p>
      <w:pPr>
        <w:pStyle w:val="BodyText"/>
        <w:spacing w:before="296"/>
      </w:pPr>
    </w:p>
    <w:p>
      <w:pPr>
        <w:pStyle w:val="Heading5"/>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rPr>
        <w:t>Education</w:t>
      </w:r>
      <w:r>
        <w:rPr>
          <w:rFonts w:ascii="Rockwell"/>
          <w:color w:val="BE2195"/>
          <w:spacing w:val="-8"/>
        </w:rPr>
        <w:t> </w:t>
      </w:r>
      <w:r>
        <w:rPr>
          <w:rFonts w:ascii="Rockwell"/>
          <w:color w:val="BE2195"/>
        </w:rPr>
        <w:t>and</w:t>
      </w:r>
      <w:r>
        <w:rPr>
          <w:rFonts w:ascii="Rockwell"/>
          <w:color w:val="BE2195"/>
          <w:spacing w:val="-8"/>
        </w:rPr>
        <w:t> </w:t>
      </w:r>
      <w:r>
        <w:rPr>
          <w:rFonts w:ascii="Rockwell"/>
          <w:color w:val="BE2195"/>
          <w:spacing w:val="-2"/>
        </w:rPr>
        <w:t>Skills</w:t>
      </w:r>
    </w:p>
    <w:p>
      <w:pPr>
        <w:pStyle w:val="ListParagraph"/>
        <w:numPr>
          <w:ilvl w:val="0"/>
          <w:numId w:val="21"/>
        </w:numPr>
        <w:tabs>
          <w:tab w:pos="2422" w:val="left" w:leader="none"/>
        </w:tabs>
        <w:spacing w:line="303" w:lineRule="exact" w:before="28" w:after="0"/>
        <w:ind w:left="2422" w:right="0" w:hanging="360"/>
        <w:jc w:val="left"/>
        <w:rPr>
          <w:sz w:val="26"/>
        </w:rPr>
      </w:pPr>
      <w:r>
        <w:rPr>
          <w:sz w:val="26"/>
        </w:rPr>
        <w:t>Member</w:t>
      </w:r>
      <w:r>
        <w:rPr>
          <w:spacing w:val="-8"/>
          <w:sz w:val="26"/>
        </w:rPr>
        <w:t> </w:t>
      </w:r>
      <w:r>
        <w:rPr>
          <w:sz w:val="26"/>
        </w:rPr>
        <w:t>of</w:t>
      </w:r>
      <w:r>
        <w:rPr>
          <w:spacing w:val="-7"/>
          <w:sz w:val="26"/>
        </w:rPr>
        <w:t> </w:t>
      </w:r>
      <w:r>
        <w:rPr>
          <w:sz w:val="26"/>
        </w:rPr>
        <w:t>the</w:t>
      </w:r>
      <w:r>
        <w:rPr>
          <w:spacing w:val="-6"/>
          <w:sz w:val="26"/>
        </w:rPr>
        <w:t> </w:t>
      </w:r>
      <w:r>
        <w:rPr>
          <w:sz w:val="26"/>
        </w:rPr>
        <w:t>Dublin</w:t>
      </w:r>
      <w:r>
        <w:rPr>
          <w:spacing w:val="-6"/>
          <w:sz w:val="26"/>
        </w:rPr>
        <w:t> </w:t>
      </w:r>
      <w:r>
        <w:rPr>
          <w:sz w:val="26"/>
        </w:rPr>
        <w:t>Regional</w:t>
      </w:r>
      <w:r>
        <w:rPr>
          <w:spacing w:val="-8"/>
          <w:sz w:val="26"/>
        </w:rPr>
        <w:t> </w:t>
      </w:r>
      <w:r>
        <w:rPr>
          <w:sz w:val="26"/>
        </w:rPr>
        <w:t>Skills</w:t>
      </w:r>
      <w:r>
        <w:rPr>
          <w:spacing w:val="-7"/>
          <w:sz w:val="26"/>
        </w:rPr>
        <w:t> </w:t>
      </w:r>
      <w:r>
        <w:rPr>
          <w:spacing w:val="-2"/>
          <w:sz w:val="26"/>
        </w:rPr>
        <w:t>Forum</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Member</w:t>
      </w:r>
      <w:r>
        <w:rPr>
          <w:spacing w:val="-9"/>
          <w:sz w:val="26"/>
        </w:rPr>
        <w:t> </w:t>
      </w:r>
      <w:r>
        <w:rPr>
          <w:sz w:val="26"/>
        </w:rPr>
        <w:t>of</w:t>
      </w:r>
      <w:r>
        <w:rPr>
          <w:spacing w:val="-10"/>
          <w:sz w:val="26"/>
        </w:rPr>
        <w:t> </w:t>
      </w:r>
      <w:r>
        <w:rPr>
          <w:sz w:val="26"/>
        </w:rPr>
        <w:t>Disability</w:t>
      </w:r>
      <w:r>
        <w:rPr>
          <w:spacing w:val="-9"/>
          <w:sz w:val="26"/>
        </w:rPr>
        <w:t> </w:t>
      </w:r>
      <w:r>
        <w:rPr>
          <w:sz w:val="26"/>
        </w:rPr>
        <w:t>Advisory</w:t>
      </w:r>
      <w:r>
        <w:rPr>
          <w:spacing w:val="-9"/>
          <w:sz w:val="26"/>
        </w:rPr>
        <w:t> </w:t>
      </w:r>
      <w:r>
        <w:rPr>
          <w:spacing w:val="-2"/>
          <w:sz w:val="26"/>
        </w:rPr>
        <w:t>Committee</w:t>
      </w:r>
    </w:p>
    <w:p>
      <w:pPr>
        <w:pStyle w:val="ListParagraph"/>
        <w:numPr>
          <w:ilvl w:val="0"/>
          <w:numId w:val="21"/>
        </w:numPr>
        <w:tabs>
          <w:tab w:pos="2422" w:val="left" w:leader="none"/>
        </w:tabs>
        <w:spacing w:line="240" w:lineRule="auto" w:before="1" w:after="0"/>
        <w:ind w:left="2422" w:right="1918" w:hanging="360"/>
        <w:jc w:val="left"/>
        <w:rPr>
          <w:sz w:val="26"/>
        </w:rPr>
      </w:pPr>
      <w:r>
        <w:rPr>
          <w:sz w:val="26"/>
        </w:rPr>
        <w:t>Membership</w:t>
      </w:r>
      <w:r>
        <w:rPr>
          <w:spacing w:val="-6"/>
          <w:sz w:val="26"/>
        </w:rPr>
        <w:t> </w:t>
      </w:r>
      <w:r>
        <w:rPr>
          <w:sz w:val="26"/>
        </w:rPr>
        <w:t>of</w:t>
      </w:r>
      <w:r>
        <w:rPr>
          <w:spacing w:val="-6"/>
          <w:sz w:val="26"/>
        </w:rPr>
        <w:t> </w:t>
      </w:r>
      <w:r>
        <w:rPr>
          <w:sz w:val="26"/>
        </w:rPr>
        <w:t>the</w:t>
      </w:r>
      <w:r>
        <w:rPr>
          <w:spacing w:val="-3"/>
          <w:sz w:val="26"/>
        </w:rPr>
        <w:t> </w:t>
      </w:r>
      <w:r>
        <w:rPr>
          <w:sz w:val="26"/>
        </w:rPr>
        <w:t>National</w:t>
      </w:r>
      <w:r>
        <w:rPr>
          <w:spacing w:val="-6"/>
          <w:sz w:val="26"/>
        </w:rPr>
        <w:t> </w:t>
      </w:r>
      <w:r>
        <w:rPr>
          <w:sz w:val="26"/>
        </w:rPr>
        <w:t>Council</w:t>
      </w:r>
      <w:r>
        <w:rPr>
          <w:spacing w:val="-5"/>
          <w:sz w:val="26"/>
        </w:rPr>
        <w:t> </w:t>
      </w:r>
      <w:r>
        <w:rPr>
          <w:sz w:val="26"/>
        </w:rPr>
        <w:t>for</w:t>
      </w:r>
      <w:r>
        <w:rPr>
          <w:spacing w:val="-6"/>
          <w:sz w:val="26"/>
        </w:rPr>
        <w:t> </w:t>
      </w:r>
      <w:r>
        <w:rPr>
          <w:sz w:val="26"/>
        </w:rPr>
        <w:t>Special</w:t>
      </w:r>
      <w:r>
        <w:rPr>
          <w:spacing w:val="-6"/>
          <w:sz w:val="26"/>
        </w:rPr>
        <w:t> </w:t>
      </w:r>
      <w:r>
        <w:rPr>
          <w:sz w:val="26"/>
        </w:rPr>
        <w:t>Education’s Consultative Forum</w:t>
      </w:r>
    </w:p>
    <w:p>
      <w:pPr>
        <w:pStyle w:val="Heading5"/>
        <w:spacing w:before="252"/>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7"/>
        </w:rPr>
        <w:t> </w:t>
      </w:r>
      <w:r>
        <w:rPr>
          <w:rFonts w:ascii="Rockwell"/>
          <w:color w:val="BE2195"/>
        </w:rPr>
        <w:t>Housing,</w:t>
      </w:r>
      <w:r>
        <w:rPr>
          <w:rFonts w:ascii="Rockwell"/>
          <w:color w:val="BE2195"/>
          <w:spacing w:val="-8"/>
        </w:rPr>
        <w:t> </w:t>
      </w:r>
      <w:r>
        <w:rPr>
          <w:rFonts w:ascii="Rockwell"/>
          <w:color w:val="BE2195"/>
        </w:rPr>
        <w:t>Planning</w:t>
      </w:r>
      <w:r>
        <w:rPr>
          <w:rFonts w:ascii="Rockwell"/>
          <w:color w:val="BE2195"/>
          <w:spacing w:val="-7"/>
        </w:rPr>
        <w:t> </w:t>
      </w:r>
      <w:r>
        <w:rPr>
          <w:rFonts w:ascii="Rockwell"/>
          <w:color w:val="BE2195"/>
        </w:rPr>
        <w:t>and</w:t>
      </w:r>
      <w:r>
        <w:rPr>
          <w:rFonts w:ascii="Rockwell"/>
          <w:color w:val="BE2195"/>
          <w:spacing w:val="-7"/>
        </w:rPr>
        <w:t> </w:t>
      </w:r>
      <w:r>
        <w:rPr>
          <w:rFonts w:ascii="Rockwell"/>
          <w:color w:val="BE2195"/>
        </w:rPr>
        <w:t>Local</w:t>
      </w:r>
      <w:r>
        <w:rPr>
          <w:rFonts w:ascii="Rockwell"/>
          <w:color w:val="BE2195"/>
          <w:spacing w:val="-8"/>
        </w:rPr>
        <w:t> </w:t>
      </w:r>
      <w:r>
        <w:rPr>
          <w:rFonts w:ascii="Rockwell"/>
          <w:color w:val="BE2195"/>
          <w:spacing w:val="-2"/>
        </w:rPr>
        <w:t>Government</w:t>
      </w:r>
    </w:p>
    <w:p>
      <w:pPr>
        <w:pStyle w:val="ListParagraph"/>
        <w:numPr>
          <w:ilvl w:val="0"/>
          <w:numId w:val="21"/>
        </w:numPr>
        <w:tabs>
          <w:tab w:pos="2422" w:val="left" w:leader="none"/>
        </w:tabs>
        <w:spacing w:line="240" w:lineRule="auto" w:before="27" w:after="0"/>
        <w:ind w:left="2422" w:right="2530" w:hanging="360"/>
        <w:jc w:val="left"/>
        <w:rPr>
          <w:sz w:val="26"/>
        </w:rPr>
      </w:pPr>
      <w:r>
        <w:rPr>
          <w:sz w:val="26"/>
        </w:rPr>
        <w:t>National</w:t>
      </w:r>
      <w:r>
        <w:rPr>
          <w:spacing w:val="-6"/>
          <w:sz w:val="26"/>
        </w:rPr>
        <w:t> </w:t>
      </w:r>
      <w:r>
        <w:rPr>
          <w:sz w:val="26"/>
        </w:rPr>
        <w:t>Housing</w:t>
      </w:r>
      <w:r>
        <w:rPr>
          <w:spacing w:val="-6"/>
          <w:sz w:val="26"/>
        </w:rPr>
        <w:t> </w:t>
      </w:r>
      <w:r>
        <w:rPr>
          <w:sz w:val="26"/>
        </w:rPr>
        <w:t>Strategy</w:t>
      </w:r>
      <w:r>
        <w:rPr>
          <w:spacing w:val="-6"/>
          <w:sz w:val="26"/>
        </w:rPr>
        <w:t> </w:t>
      </w:r>
      <w:r>
        <w:rPr>
          <w:sz w:val="26"/>
        </w:rPr>
        <w:t>for</w:t>
      </w:r>
      <w:r>
        <w:rPr>
          <w:spacing w:val="-5"/>
          <w:sz w:val="26"/>
        </w:rPr>
        <w:t> </w:t>
      </w:r>
      <w:r>
        <w:rPr>
          <w:sz w:val="26"/>
        </w:rPr>
        <w:t>People</w:t>
      </w:r>
      <w:r>
        <w:rPr>
          <w:spacing w:val="-6"/>
          <w:sz w:val="26"/>
        </w:rPr>
        <w:t> </w:t>
      </w:r>
      <w:r>
        <w:rPr>
          <w:sz w:val="26"/>
        </w:rPr>
        <w:t>with</w:t>
      </w:r>
      <w:r>
        <w:rPr>
          <w:spacing w:val="-6"/>
          <w:sz w:val="26"/>
        </w:rPr>
        <w:t> </w:t>
      </w:r>
      <w:r>
        <w:rPr>
          <w:sz w:val="26"/>
        </w:rPr>
        <w:t>a</w:t>
      </w:r>
      <w:r>
        <w:rPr>
          <w:spacing w:val="-4"/>
          <w:sz w:val="26"/>
        </w:rPr>
        <w:t> </w:t>
      </w:r>
      <w:r>
        <w:rPr>
          <w:sz w:val="26"/>
        </w:rPr>
        <w:t>Disability Implementation Monitoring Group</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Disability</w:t>
      </w:r>
      <w:r>
        <w:rPr>
          <w:spacing w:val="-16"/>
          <w:sz w:val="26"/>
        </w:rPr>
        <w:t> </w:t>
      </w:r>
      <w:r>
        <w:rPr>
          <w:sz w:val="26"/>
        </w:rPr>
        <w:t>Consultative</w:t>
      </w:r>
      <w:r>
        <w:rPr>
          <w:spacing w:val="-13"/>
          <w:sz w:val="26"/>
        </w:rPr>
        <w:t> </w:t>
      </w:r>
      <w:r>
        <w:rPr>
          <w:spacing w:val="-2"/>
          <w:sz w:val="26"/>
        </w:rPr>
        <w:t>Committee</w:t>
      </w:r>
    </w:p>
    <w:p>
      <w:pPr>
        <w:pStyle w:val="ListParagraph"/>
        <w:spacing w:after="0" w:line="303" w:lineRule="exact"/>
        <w:jc w:val="left"/>
        <w:rPr>
          <w:sz w:val="26"/>
        </w:rPr>
        <w:sectPr>
          <w:pgSz w:w="11910" w:h="16850"/>
          <w:pgMar w:header="0" w:footer="811" w:top="1880" w:bottom="1000" w:left="283" w:right="992"/>
        </w:sectPr>
      </w:pPr>
    </w:p>
    <w:p>
      <w:pPr>
        <w:pStyle w:val="Heading5"/>
        <w:spacing w:before="79"/>
      </w:pPr>
      <w:r>
        <w:rPr/>
        <w:t>Housing</w:t>
      </w:r>
      <w:r>
        <w:rPr>
          <w:spacing w:val="-9"/>
        </w:rPr>
        <w:t> </w:t>
      </w:r>
      <w:r>
        <w:rPr>
          <w:spacing w:val="-2"/>
        </w:rPr>
        <w:t>Agency</w:t>
      </w:r>
    </w:p>
    <w:p>
      <w:pPr>
        <w:pStyle w:val="ListParagraph"/>
        <w:numPr>
          <w:ilvl w:val="0"/>
          <w:numId w:val="21"/>
        </w:numPr>
        <w:tabs>
          <w:tab w:pos="2422" w:val="left" w:leader="none"/>
        </w:tabs>
        <w:spacing w:line="240" w:lineRule="auto" w:before="238" w:after="0"/>
        <w:ind w:left="2422" w:right="1598" w:hanging="360"/>
        <w:jc w:val="left"/>
        <w:rPr>
          <w:sz w:val="26"/>
        </w:rPr>
      </w:pPr>
      <w:r>
        <w:rPr>
          <w:sz w:val="26"/>
        </w:rPr>
        <w:t>National</w:t>
      </w:r>
      <w:r>
        <w:rPr>
          <w:spacing w:val="-6"/>
          <w:sz w:val="26"/>
        </w:rPr>
        <w:t> </w:t>
      </w:r>
      <w:r>
        <w:rPr>
          <w:sz w:val="26"/>
        </w:rPr>
        <w:t>Housing</w:t>
      </w:r>
      <w:r>
        <w:rPr>
          <w:spacing w:val="-6"/>
          <w:sz w:val="26"/>
        </w:rPr>
        <w:t> </w:t>
      </w:r>
      <w:r>
        <w:rPr>
          <w:sz w:val="26"/>
        </w:rPr>
        <w:t>Strategy</w:t>
      </w:r>
      <w:r>
        <w:rPr>
          <w:spacing w:val="-6"/>
          <w:sz w:val="26"/>
        </w:rPr>
        <w:t> </w:t>
      </w:r>
      <w:r>
        <w:rPr>
          <w:sz w:val="26"/>
        </w:rPr>
        <w:t>for</w:t>
      </w:r>
      <w:r>
        <w:rPr>
          <w:spacing w:val="-5"/>
          <w:sz w:val="26"/>
        </w:rPr>
        <w:t> </w:t>
      </w:r>
      <w:r>
        <w:rPr>
          <w:sz w:val="26"/>
        </w:rPr>
        <w:t>People</w:t>
      </w:r>
      <w:r>
        <w:rPr>
          <w:spacing w:val="-6"/>
          <w:sz w:val="26"/>
        </w:rPr>
        <w:t> </w:t>
      </w:r>
      <w:r>
        <w:rPr>
          <w:sz w:val="26"/>
        </w:rPr>
        <w:t>with</w:t>
      </w:r>
      <w:r>
        <w:rPr>
          <w:spacing w:val="-6"/>
          <w:sz w:val="26"/>
        </w:rPr>
        <w:t> </w:t>
      </w:r>
      <w:r>
        <w:rPr>
          <w:sz w:val="26"/>
        </w:rPr>
        <w:t>a</w:t>
      </w:r>
      <w:r>
        <w:rPr>
          <w:spacing w:val="-4"/>
          <w:sz w:val="26"/>
        </w:rPr>
        <w:t> </w:t>
      </w:r>
      <w:r>
        <w:rPr>
          <w:sz w:val="26"/>
        </w:rPr>
        <w:t>Disability</w:t>
      </w:r>
      <w:r>
        <w:rPr>
          <w:spacing w:val="-6"/>
          <w:sz w:val="26"/>
        </w:rPr>
        <w:t> </w:t>
      </w:r>
      <w:r>
        <w:rPr>
          <w:sz w:val="26"/>
        </w:rPr>
        <w:t>Housing </w:t>
      </w:r>
      <w:r>
        <w:rPr>
          <w:spacing w:val="-2"/>
          <w:sz w:val="26"/>
        </w:rPr>
        <w:t>Subgroup</w:t>
      </w:r>
    </w:p>
    <w:p>
      <w:pPr>
        <w:pStyle w:val="ListParagraph"/>
        <w:numPr>
          <w:ilvl w:val="0"/>
          <w:numId w:val="21"/>
        </w:numPr>
        <w:tabs>
          <w:tab w:pos="2422" w:val="left" w:leader="none"/>
        </w:tabs>
        <w:spacing w:line="240" w:lineRule="auto" w:before="2" w:after="0"/>
        <w:ind w:left="2422" w:right="1213" w:hanging="360"/>
        <w:jc w:val="left"/>
        <w:rPr>
          <w:sz w:val="26"/>
        </w:rPr>
      </w:pPr>
      <w:r>
        <w:rPr>
          <w:sz w:val="26"/>
        </w:rPr>
        <w:t>National</w:t>
      </w:r>
      <w:r>
        <w:rPr>
          <w:spacing w:val="-6"/>
          <w:sz w:val="26"/>
        </w:rPr>
        <w:t> </w:t>
      </w:r>
      <w:r>
        <w:rPr>
          <w:sz w:val="26"/>
        </w:rPr>
        <w:t>Housing</w:t>
      </w:r>
      <w:r>
        <w:rPr>
          <w:spacing w:val="-6"/>
          <w:sz w:val="26"/>
        </w:rPr>
        <w:t> </w:t>
      </w:r>
      <w:r>
        <w:rPr>
          <w:sz w:val="26"/>
        </w:rPr>
        <w:t>Strategy</w:t>
      </w:r>
      <w:r>
        <w:rPr>
          <w:spacing w:val="-6"/>
          <w:sz w:val="26"/>
        </w:rPr>
        <w:t> </w:t>
      </w:r>
      <w:r>
        <w:rPr>
          <w:sz w:val="26"/>
        </w:rPr>
        <w:t>for</w:t>
      </w:r>
      <w:r>
        <w:rPr>
          <w:spacing w:val="-5"/>
          <w:sz w:val="26"/>
        </w:rPr>
        <w:t> </w:t>
      </w:r>
      <w:r>
        <w:rPr>
          <w:sz w:val="26"/>
        </w:rPr>
        <w:t>People</w:t>
      </w:r>
      <w:r>
        <w:rPr>
          <w:spacing w:val="-6"/>
          <w:sz w:val="26"/>
        </w:rPr>
        <w:t> </w:t>
      </w:r>
      <w:r>
        <w:rPr>
          <w:sz w:val="26"/>
        </w:rPr>
        <w:t>with</w:t>
      </w:r>
      <w:r>
        <w:rPr>
          <w:spacing w:val="-6"/>
          <w:sz w:val="26"/>
        </w:rPr>
        <w:t> </w:t>
      </w:r>
      <w:r>
        <w:rPr>
          <w:sz w:val="26"/>
        </w:rPr>
        <w:t>a</w:t>
      </w:r>
      <w:r>
        <w:rPr>
          <w:spacing w:val="-4"/>
          <w:sz w:val="26"/>
        </w:rPr>
        <w:t> </w:t>
      </w:r>
      <w:r>
        <w:rPr>
          <w:sz w:val="26"/>
        </w:rPr>
        <w:t>Disability</w:t>
      </w:r>
      <w:r>
        <w:rPr>
          <w:spacing w:val="-6"/>
          <w:sz w:val="26"/>
        </w:rPr>
        <w:t> </w:t>
      </w:r>
      <w:r>
        <w:rPr>
          <w:sz w:val="26"/>
        </w:rPr>
        <w:t>Community Living Task Group</w:t>
      </w:r>
    </w:p>
    <w:p>
      <w:pPr>
        <w:pStyle w:val="Heading5"/>
        <w:spacing w:before="239"/>
      </w:pPr>
      <w:r>
        <w:rPr/>
        <w:t>Irish</w:t>
      </w:r>
      <w:r>
        <w:rPr>
          <w:spacing w:val="-7"/>
        </w:rPr>
        <w:t> </w:t>
      </w:r>
      <w:r>
        <w:rPr>
          <w:spacing w:val="-2"/>
        </w:rPr>
        <w:t>Water</w:t>
      </w:r>
    </w:p>
    <w:p>
      <w:pPr>
        <w:pStyle w:val="ListParagraph"/>
        <w:numPr>
          <w:ilvl w:val="0"/>
          <w:numId w:val="21"/>
        </w:numPr>
        <w:tabs>
          <w:tab w:pos="2422" w:val="left" w:leader="none"/>
        </w:tabs>
        <w:spacing w:line="240" w:lineRule="auto" w:before="242" w:after="0"/>
        <w:ind w:left="2422" w:right="0" w:hanging="360"/>
        <w:jc w:val="left"/>
        <w:rPr>
          <w:sz w:val="26"/>
        </w:rPr>
      </w:pPr>
      <w:r>
        <w:rPr>
          <w:sz w:val="26"/>
        </w:rPr>
        <w:t>Stakeholder</w:t>
      </w:r>
      <w:r>
        <w:rPr>
          <w:spacing w:val="-15"/>
          <w:sz w:val="26"/>
        </w:rPr>
        <w:t> </w:t>
      </w:r>
      <w:r>
        <w:rPr>
          <w:spacing w:val="-4"/>
          <w:sz w:val="26"/>
        </w:rPr>
        <w:t>Forum</w:t>
      </w:r>
    </w:p>
    <w:p>
      <w:pPr>
        <w:pStyle w:val="Heading5"/>
        <w:spacing w:before="251"/>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9"/>
        </w:rPr>
        <w:t> </w:t>
      </w:r>
      <w:r>
        <w:rPr>
          <w:rFonts w:ascii="Rockwell"/>
          <w:color w:val="BE2195"/>
          <w:spacing w:val="-2"/>
        </w:rPr>
        <w:t>Health</w:t>
      </w:r>
    </w:p>
    <w:p>
      <w:pPr>
        <w:pStyle w:val="ListParagraph"/>
        <w:numPr>
          <w:ilvl w:val="0"/>
          <w:numId w:val="21"/>
        </w:numPr>
        <w:tabs>
          <w:tab w:pos="2422" w:val="left" w:leader="none"/>
        </w:tabs>
        <w:spacing w:line="360" w:lineRule="auto" w:before="25" w:after="0"/>
        <w:ind w:left="2422" w:right="1125" w:hanging="360"/>
        <w:jc w:val="left"/>
        <w:rPr>
          <w:sz w:val="26"/>
        </w:rPr>
      </w:pPr>
      <w:r>
        <w:rPr>
          <w:sz w:val="26"/>
        </w:rPr>
        <w:t>Member of Implementation Steering Group of Value for Money Policy</w:t>
      </w:r>
      <w:r>
        <w:rPr>
          <w:spacing w:val="-5"/>
          <w:sz w:val="26"/>
        </w:rPr>
        <w:t> </w:t>
      </w:r>
      <w:r>
        <w:rPr>
          <w:sz w:val="26"/>
        </w:rPr>
        <w:t>Review</w:t>
      </w:r>
      <w:r>
        <w:rPr>
          <w:spacing w:val="-3"/>
          <w:sz w:val="26"/>
        </w:rPr>
        <w:t> </w:t>
      </w:r>
      <w:r>
        <w:rPr>
          <w:sz w:val="26"/>
        </w:rPr>
        <w:t>of</w:t>
      </w:r>
      <w:r>
        <w:rPr>
          <w:spacing w:val="-4"/>
          <w:sz w:val="26"/>
        </w:rPr>
        <w:t> </w:t>
      </w:r>
      <w:r>
        <w:rPr>
          <w:sz w:val="26"/>
        </w:rPr>
        <w:t>Disability</w:t>
      </w:r>
      <w:r>
        <w:rPr>
          <w:spacing w:val="-4"/>
          <w:sz w:val="26"/>
        </w:rPr>
        <w:t> </w:t>
      </w:r>
      <w:r>
        <w:rPr>
          <w:sz w:val="26"/>
        </w:rPr>
        <w:t>Services,</w:t>
      </w:r>
      <w:r>
        <w:rPr>
          <w:spacing w:val="-4"/>
          <w:sz w:val="26"/>
        </w:rPr>
        <w:t> </w:t>
      </w:r>
      <w:r>
        <w:rPr>
          <w:sz w:val="26"/>
        </w:rPr>
        <w:t>and</w:t>
      </w:r>
      <w:r>
        <w:rPr>
          <w:spacing w:val="-4"/>
          <w:sz w:val="26"/>
        </w:rPr>
        <w:t> </w:t>
      </w:r>
      <w:r>
        <w:rPr>
          <w:sz w:val="26"/>
        </w:rPr>
        <w:t>of</w:t>
      </w:r>
      <w:r>
        <w:rPr>
          <w:spacing w:val="-4"/>
          <w:sz w:val="26"/>
        </w:rPr>
        <w:t> </w:t>
      </w:r>
      <w:r>
        <w:rPr>
          <w:sz w:val="26"/>
        </w:rPr>
        <w:t>Working</w:t>
      </w:r>
      <w:r>
        <w:rPr>
          <w:spacing w:val="-4"/>
          <w:sz w:val="26"/>
        </w:rPr>
        <w:t> </w:t>
      </w:r>
      <w:r>
        <w:rPr>
          <w:sz w:val="26"/>
        </w:rPr>
        <w:t>Groups</w:t>
      </w:r>
      <w:r>
        <w:rPr>
          <w:spacing w:val="-4"/>
          <w:sz w:val="26"/>
        </w:rPr>
        <w:t> </w:t>
      </w:r>
      <w:r>
        <w:rPr>
          <w:sz w:val="26"/>
        </w:rPr>
        <w:t>1,</w:t>
      </w:r>
      <w:r>
        <w:rPr>
          <w:spacing w:val="-4"/>
          <w:sz w:val="26"/>
        </w:rPr>
        <w:t> </w:t>
      </w:r>
      <w:r>
        <w:rPr>
          <w:sz w:val="26"/>
        </w:rPr>
        <w:t>2,</w:t>
      </w:r>
      <w:r>
        <w:rPr>
          <w:spacing w:val="-4"/>
          <w:sz w:val="26"/>
        </w:rPr>
        <w:t> </w:t>
      </w:r>
      <w:r>
        <w:rPr>
          <w:sz w:val="26"/>
        </w:rPr>
        <w:t>4 and of the implementation process</w:t>
      </w:r>
    </w:p>
    <w:p>
      <w:pPr>
        <w:pStyle w:val="ListParagraph"/>
        <w:numPr>
          <w:ilvl w:val="0"/>
          <w:numId w:val="21"/>
        </w:numPr>
        <w:tabs>
          <w:tab w:pos="2422" w:val="left" w:leader="none"/>
        </w:tabs>
        <w:spacing w:line="240" w:lineRule="auto" w:before="122" w:after="0"/>
        <w:ind w:left="2422" w:right="0" w:hanging="360"/>
        <w:jc w:val="left"/>
        <w:rPr>
          <w:sz w:val="26"/>
        </w:rPr>
      </w:pPr>
      <w:r>
        <w:rPr>
          <w:sz w:val="26"/>
        </w:rPr>
        <w:t>Member</w:t>
      </w:r>
      <w:r>
        <w:rPr>
          <w:spacing w:val="-9"/>
          <w:sz w:val="26"/>
        </w:rPr>
        <w:t> </w:t>
      </w:r>
      <w:r>
        <w:rPr>
          <w:sz w:val="26"/>
        </w:rPr>
        <w:t>of</w:t>
      </w:r>
      <w:r>
        <w:rPr>
          <w:spacing w:val="-10"/>
          <w:sz w:val="26"/>
        </w:rPr>
        <w:t> </w:t>
      </w:r>
      <w:r>
        <w:rPr>
          <w:sz w:val="26"/>
        </w:rPr>
        <w:t>Disability</w:t>
      </w:r>
      <w:r>
        <w:rPr>
          <w:spacing w:val="-9"/>
          <w:sz w:val="26"/>
        </w:rPr>
        <w:t> </w:t>
      </w:r>
      <w:r>
        <w:rPr>
          <w:sz w:val="26"/>
        </w:rPr>
        <w:t>Advisory</w:t>
      </w:r>
      <w:r>
        <w:rPr>
          <w:spacing w:val="-9"/>
          <w:sz w:val="26"/>
        </w:rPr>
        <w:t> </w:t>
      </w:r>
      <w:r>
        <w:rPr>
          <w:spacing w:val="-2"/>
          <w:sz w:val="26"/>
        </w:rPr>
        <w:t>Committee</w:t>
      </w:r>
    </w:p>
    <w:p>
      <w:pPr>
        <w:pStyle w:val="ListParagraph"/>
        <w:numPr>
          <w:ilvl w:val="0"/>
          <w:numId w:val="21"/>
        </w:numPr>
        <w:tabs>
          <w:tab w:pos="2422" w:val="left" w:leader="none"/>
        </w:tabs>
        <w:spacing w:line="240" w:lineRule="auto" w:before="270" w:after="0"/>
        <w:ind w:left="2422" w:right="0" w:hanging="360"/>
        <w:jc w:val="left"/>
        <w:rPr>
          <w:sz w:val="26"/>
        </w:rPr>
      </w:pPr>
      <w:r>
        <w:rPr>
          <w:sz w:val="26"/>
        </w:rPr>
        <w:t>Member</w:t>
      </w:r>
      <w:r>
        <w:rPr>
          <w:spacing w:val="-8"/>
          <w:sz w:val="26"/>
        </w:rPr>
        <w:t> </w:t>
      </w:r>
      <w:r>
        <w:rPr>
          <w:sz w:val="26"/>
        </w:rPr>
        <w:t>of</w:t>
      </w:r>
      <w:r>
        <w:rPr>
          <w:spacing w:val="-9"/>
          <w:sz w:val="26"/>
        </w:rPr>
        <w:t> </w:t>
      </w:r>
      <w:r>
        <w:rPr>
          <w:sz w:val="26"/>
        </w:rPr>
        <w:t>the</w:t>
      </w:r>
      <w:r>
        <w:rPr>
          <w:spacing w:val="-5"/>
          <w:sz w:val="26"/>
        </w:rPr>
        <w:t> </w:t>
      </w:r>
      <w:r>
        <w:rPr>
          <w:sz w:val="26"/>
        </w:rPr>
        <w:t>National</w:t>
      </w:r>
      <w:r>
        <w:rPr>
          <w:spacing w:val="-9"/>
          <w:sz w:val="26"/>
        </w:rPr>
        <w:t> </w:t>
      </w:r>
      <w:r>
        <w:rPr>
          <w:sz w:val="26"/>
        </w:rPr>
        <w:t>Disability</w:t>
      </w:r>
      <w:r>
        <w:rPr>
          <w:spacing w:val="-9"/>
          <w:sz w:val="26"/>
        </w:rPr>
        <w:t> </w:t>
      </w:r>
      <w:r>
        <w:rPr>
          <w:sz w:val="26"/>
        </w:rPr>
        <w:t>Databases</w:t>
      </w:r>
      <w:r>
        <w:rPr>
          <w:spacing w:val="-6"/>
          <w:sz w:val="26"/>
        </w:rPr>
        <w:t> </w:t>
      </w:r>
      <w:r>
        <w:rPr>
          <w:spacing w:val="-2"/>
          <w:sz w:val="26"/>
        </w:rPr>
        <w:t>Committee</w:t>
      </w:r>
    </w:p>
    <w:p>
      <w:pPr>
        <w:pStyle w:val="ListParagraph"/>
        <w:numPr>
          <w:ilvl w:val="0"/>
          <w:numId w:val="21"/>
        </w:numPr>
        <w:tabs>
          <w:tab w:pos="2422" w:val="left" w:leader="none"/>
        </w:tabs>
        <w:spacing w:line="360" w:lineRule="auto" w:before="270" w:after="0"/>
        <w:ind w:left="2422" w:right="1155" w:hanging="360"/>
        <w:jc w:val="left"/>
        <w:rPr>
          <w:sz w:val="26"/>
        </w:rPr>
      </w:pPr>
      <w:r>
        <w:rPr>
          <w:sz w:val="26"/>
        </w:rPr>
        <w:t>Member</w:t>
      </w:r>
      <w:r>
        <w:rPr>
          <w:spacing w:val="-4"/>
          <w:sz w:val="26"/>
        </w:rPr>
        <w:t> </w:t>
      </w:r>
      <w:r>
        <w:rPr>
          <w:sz w:val="26"/>
        </w:rPr>
        <w:t>of</w:t>
      </w:r>
      <w:r>
        <w:rPr>
          <w:spacing w:val="-4"/>
          <w:sz w:val="26"/>
        </w:rPr>
        <w:t> </w:t>
      </w:r>
      <w:r>
        <w:rPr>
          <w:sz w:val="26"/>
        </w:rPr>
        <w:t>Taskforce</w:t>
      </w:r>
      <w:r>
        <w:rPr>
          <w:spacing w:val="-3"/>
          <w:sz w:val="26"/>
        </w:rPr>
        <w:t> </w:t>
      </w:r>
      <w:r>
        <w:rPr>
          <w:sz w:val="26"/>
        </w:rPr>
        <w:t>on</w:t>
      </w:r>
      <w:r>
        <w:rPr>
          <w:spacing w:val="-5"/>
          <w:sz w:val="26"/>
        </w:rPr>
        <w:t> </w:t>
      </w:r>
      <w:r>
        <w:rPr>
          <w:sz w:val="26"/>
        </w:rPr>
        <w:t>Personalised</w:t>
      </w:r>
      <w:r>
        <w:rPr>
          <w:spacing w:val="-5"/>
          <w:sz w:val="26"/>
        </w:rPr>
        <w:t> </w:t>
      </w:r>
      <w:r>
        <w:rPr>
          <w:sz w:val="26"/>
        </w:rPr>
        <w:t>Budgets</w:t>
      </w:r>
      <w:r>
        <w:rPr>
          <w:spacing w:val="-4"/>
          <w:sz w:val="26"/>
        </w:rPr>
        <w:t> </w:t>
      </w:r>
      <w:r>
        <w:rPr>
          <w:sz w:val="26"/>
        </w:rPr>
        <w:t>and</w:t>
      </w:r>
      <w:r>
        <w:rPr>
          <w:spacing w:val="-5"/>
          <w:sz w:val="26"/>
        </w:rPr>
        <w:t> </w:t>
      </w:r>
      <w:r>
        <w:rPr>
          <w:sz w:val="26"/>
        </w:rPr>
        <w:t>its</w:t>
      </w:r>
      <w:r>
        <w:rPr>
          <w:spacing w:val="-2"/>
          <w:sz w:val="26"/>
        </w:rPr>
        <w:t> </w:t>
      </w:r>
      <w:r>
        <w:rPr>
          <w:sz w:val="26"/>
        </w:rPr>
        <w:t>Strategy</w:t>
      </w:r>
      <w:r>
        <w:rPr>
          <w:spacing w:val="-5"/>
          <w:sz w:val="26"/>
        </w:rPr>
        <w:t> </w:t>
      </w:r>
      <w:r>
        <w:rPr>
          <w:sz w:val="26"/>
        </w:rPr>
        <w:t>and Policy Group</w:t>
      </w:r>
    </w:p>
    <w:p>
      <w:pPr>
        <w:pStyle w:val="ListParagraph"/>
        <w:numPr>
          <w:ilvl w:val="0"/>
          <w:numId w:val="21"/>
        </w:numPr>
        <w:tabs>
          <w:tab w:pos="2422" w:val="left" w:leader="none"/>
        </w:tabs>
        <w:spacing w:line="360" w:lineRule="auto" w:before="121" w:after="0"/>
        <w:ind w:left="2422" w:right="1009" w:hanging="360"/>
        <w:jc w:val="left"/>
        <w:rPr>
          <w:sz w:val="26"/>
        </w:rPr>
      </w:pPr>
      <w:r>
        <w:rPr>
          <w:sz w:val="26"/>
        </w:rPr>
        <w:t>Chair</w:t>
      </w:r>
      <w:r>
        <w:rPr>
          <w:spacing w:val="-5"/>
          <w:sz w:val="26"/>
        </w:rPr>
        <w:t> </w:t>
      </w:r>
      <w:r>
        <w:rPr>
          <w:sz w:val="26"/>
        </w:rPr>
        <w:t>and</w:t>
      </w:r>
      <w:r>
        <w:rPr>
          <w:spacing w:val="-6"/>
          <w:sz w:val="26"/>
        </w:rPr>
        <w:t> </w:t>
      </w:r>
      <w:r>
        <w:rPr>
          <w:sz w:val="26"/>
        </w:rPr>
        <w:t>Secretary</w:t>
      </w:r>
      <w:r>
        <w:rPr>
          <w:spacing w:val="-5"/>
          <w:sz w:val="26"/>
        </w:rPr>
        <w:t> </w:t>
      </w:r>
      <w:r>
        <w:rPr>
          <w:sz w:val="26"/>
        </w:rPr>
        <w:t>of</w:t>
      </w:r>
      <w:r>
        <w:rPr>
          <w:spacing w:val="-3"/>
          <w:sz w:val="26"/>
        </w:rPr>
        <w:t> </w:t>
      </w:r>
      <w:r>
        <w:rPr>
          <w:sz w:val="26"/>
        </w:rPr>
        <w:t>Taskforce</w:t>
      </w:r>
      <w:r>
        <w:rPr>
          <w:spacing w:val="-6"/>
          <w:sz w:val="26"/>
        </w:rPr>
        <w:t> </w:t>
      </w:r>
      <w:r>
        <w:rPr>
          <w:sz w:val="26"/>
        </w:rPr>
        <w:t>on</w:t>
      </w:r>
      <w:r>
        <w:rPr>
          <w:spacing w:val="-6"/>
          <w:sz w:val="26"/>
        </w:rPr>
        <w:t> </w:t>
      </w:r>
      <w:r>
        <w:rPr>
          <w:sz w:val="26"/>
        </w:rPr>
        <w:t>Personalised</w:t>
      </w:r>
      <w:r>
        <w:rPr>
          <w:spacing w:val="-6"/>
          <w:sz w:val="26"/>
        </w:rPr>
        <w:t> </w:t>
      </w:r>
      <w:r>
        <w:rPr>
          <w:sz w:val="26"/>
        </w:rPr>
        <w:t>Budgets,</w:t>
      </w:r>
      <w:r>
        <w:rPr>
          <w:spacing w:val="-5"/>
          <w:sz w:val="26"/>
        </w:rPr>
        <w:t> </w:t>
      </w:r>
      <w:r>
        <w:rPr>
          <w:sz w:val="26"/>
        </w:rPr>
        <w:t>Advisory and Consultative Group</w:t>
      </w:r>
    </w:p>
    <w:p>
      <w:pPr>
        <w:pStyle w:val="ListParagraph"/>
        <w:numPr>
          <w:ilvl w:val="0"/>
          <w:numId w:val="21"/>
        </w:numPr>
        <w:tabs>
          <w:tab w:pos="2422" w:val="left" w:leader="none"/>
        </w:tabs>
        <w:spacing w:line="240" w:lineRule="auto" w:before="120" w:after="0"/>
        <w:ind w:left="2422" w:right="0" w:hanging="360"/>
        <w:jc w:val="left"/>
        <w:rPr>
          <w:sz w:val="26"/>
        </w:rPr>
      </w:pPr>
      <w:r>
        <w:rPr>
          <w:sz w:val="26"/>
        </w:rPr>
        <w:t>Member</w:t>
      </w:r>
      <w:r>
        <w:rPr>
          <w:spacing w:val="-9"/>
          <w:sz w:val="26"/>
        </w:rPr>
        <w:t> </w:t>
      </w:r>
      <w:r>
        <w:rPr>
          <w:sz w:val="26"/>
        </w:rPr>
        <w:t>of</w:t>
      </w:r>
      <w:r>
        <w:rPr>
          <w:spacing w:val="-10"/>
          <w:sz w:val="26"/>
        </w:rPr>
        <w:t> </w:t>
      </w:r>
      <w:r>
        <w:rPr>
          <w:sz w:val="26"/>
        </w:rPr>
        <w:t>HSE’s</w:t>
      </w:r>
      <w:r>
        <w:rPr>
          <w:spacing w:val="-9"/>
          <w:sz w:val="26"/>
        </w:rPr>
        <w:t> </w:t>
      </w:r>
      <w:r>
        <w:rPr>
          <w:sz w:val="26"/>
        </w:rPr>
        <w:t>National</w:t>
      </w:r>
      <w:r>
        <w:rPr>
          <w:spacing w:val="-10"/>
          <w:sz w:val="26"/>
        </w:rPr>
        <w:t> </w:t>
      </w:r>
      <w:r>
        <w:rPr>
          <w:sz w:val="26"/>
        </w:rPr>
        <w:t>Consultative</w:t>
      </w:r>
      <w:r>
        <w:rPr>
          <w:spacing w:val="-10"/>
          <w:sz w:val="26"/>
        </w:rPr>
        <w:t> </w:t>
      </w:r>
      <w:r>
        <w:rPr>
          <w:spacing w:val="-2"/>
          <w:sz w:val="26"/>
        </w:rPr>
        <w:t>Forum</w:t>
      </w:r>
    </w:p>
    <w:p>
      <w:pPr>
        <w:pStyle w:val="ListParagraph"/>
        <w:numPr>
          <w:ilvl w:val="0"/>
          <w:numId w:val="21"/>
        </w:numPr>
        <w:tabs>
          <w:tab w:pos="2422" w:val="left" w:leader="none"/>
        </w:tabs>
        <w:spacing w:line="240" w:lineRule="auto" w:before="270" w:after="0"/>
        <w:ind w:left="2422" w:right="0" w:hanging="360"/>
        <w:jc w:val="left"/>
        <w:rPr>
          <w:sz w:val="26"/>
        </w:rPr>
      </w:pPr>
      <w:r>
        <w:rPr>
          <w:sz w:val="26"/>
        </w:rPr>
        <w:t>Member</w:t>
      </w:r>
      <w:r>
        <w:rPr>
          <w:spacing w:val="-9"/>
          <w:sz w:val="26"/>
        </w:rPr>
        <w:t> </w:t>
      </w:r>
      <w:r>
        <w:rPr>
          <w:sz w:val="26"/>
        </w:rPr>
        <w:t>of</w:t>
      </w:r>
      <w:r>
        <w:rPr>
          <w:spacing w:val="-9"/>
          <w:sz w:val="26"/>
        </w:rPr>
        <w:t> </w:t>
      </w:r>
      <w:r>
        <w:rPr>
          <w:sz w:val="26"/>
        </w:rPr>
        <w:t>HSE’s</w:t>
      </w:r>
      <w:r>
        <w:rPr>
          <w:spacing w:val="-9"/>
          <w:sz w:val="26"/>
        </w:rPr>
        <w:t> </w:t>
      </w:r>
      <w:r>
        <w:rPr>
          <w:sz w:val="26"/>
        </w:rPr>
        <w:t>National</w:t>
      </w:r>
      <w:r>
        <w:rPr>
          <w:spacing w:val="-9"/>
          <w:sz w:val="26"/>
        </w:rPr>
        <w:t> </w:t>
      </w:r>
      <w:r>
        <w:rPr>
          <w:sz w:val="26"/>
        </w:rPr>
        <w:t>Disability</w:t>
      </w:r>
      <w:r>
        <w:rPr>
          <w:spacing w:val="-10"/>
          <w:sz w:val="26"/>
        </w:rPr>
        <w:t> </w:t>
      </w:r>
      <w:r>
        <w:rPr>
          <w:sz w:val="26"/>
        </w:rPr>
        <w:t>ICT</w:t>
      </w:r>
      <w:r>
        <w:rPr>
          <w:spacing w:val="-9"/>
          <w:sz w:val="26"/>
        </w:rPr>
        <w:t> </w:t>
      </w:r>
      <w:r>
        <w:rPr>
          <w:spacing w:val="-4"/>
          <w:sz w:val="26"/>
        </w:rPr>
        <w:t>Board</w:t>
      </w:r>
    </w:p>
    <w:p>
      <w:pPr>
        <w:pStyle w:val="ListParagraph"/>
        <w:numPr>
          <w:ilvl w:val="0"/>
          <w:numId w:val="21"/>
        </w:numPr>
        <w:tabs>
          <w:tab w:pos="2422" w:val="left" w:leader="none"/>
        </w:tabs>
        <w:spacing w:line="240" w:lineRule="auto" w:before="273" w:after="0"/>
        <w:ind w:left="2422" w:right="0" w:hanging="360"/>
        <w:jc w:val="left"/>
        <w:rPr>
          <w:sz w:val="26"/>
        </w:rPr>
      </w:pPr>
      <w:r>
        <w:rPr>
          <w:sz w:val="26"/>
        </w:rPr>
        <w:t>Member</w:t>
      </w:r>
      <w:r>
        <w:rPr>
          <w:spacing w:val="-11"/>
          <w:sz w:val="26"/>
        </w:rPr>
        <w:t> </w:t>
      </w:r>
      <w:r>
        <w:rPr>
          <w:sz w:val="26"/>
        </w:rPr>
        <w:t>of</w:t>
      </w:r>
      <w:r>
        <w:rPr>
          <w:spacing w:val="-9"/>
          <w:sz w:val="26"/>
        </w:rPr>
        <w:t> </w:t>
      </w:r>
      <w:r>
        <w:rPr>
          <w:sz w:val="26"/>
        </w:rPr>
        <w:t>National</w:t>
      </w:r>
      <w:r>
        <w:rPr>
          <w:spacing w:val="-11"/>
          <w:sz w:val="26"/>
        </w:rPr>
        <w:t> </w:t>
      </w:r>
      <w:r>
        <w:rPr>
          <w:sz w:val="26"/>
        </w:rPr>
        <w:t>New</w:t>
      </w:r>
      <w:r>
        <w:rPr>
          <w:spacing w:val="-9"/>
          <w:sz w:val="26"/>
        </w:rPr>
        <w:t> </w:t>
      </w:r>
      <w:r>
        <w:rPr>
          <w:sz w:val="26"/>
        </w:rPr>
        <w:t>Directions</w:t>
      </w:r>
      <w:r>
        <w:rPr>
          <w:spacing w:val="-10"/>
          <w:sz w:val="26"/>
        </w:rPr>
        <w:t> </w:t>
      </w:r>
      <w:r>
        <w:rPr>
          <w:sz w:val="26"/>
        </w:rPr>
        <w:t>Implementation</w:t>
      </w:r>
      <w:r>
        <w:rPr>
          <w:spacing w:val="-11"/>
          <w:sz w:val="26"/>
        </w:rPr>
        <w:t> </w:t>
      </w:r>
      <w:r>
        <w:rPr>
          <w:spacing w:val="-2"/>
          <w:sz w:val="26"/>
        </w:rPr>
        <w:t>Group</w:t>
      </w:r>
    </w:p>
    <w:p>
      <w:pPr>
        <w:pStyle w:val="ListParagraph"/>
        <w:numPr>
          <w:ilvl w:val="0"/>
          <w:numId w:val="21"/>
        </w:numPr>
        <w:tabs>
          <w:tab w:pos="2422" w:val="left" w:leader="none"/>
        </w:tabs>
        <w:spacing w:line="240" w:lineRule="auto" w:before="269" w:after="0"/>
        <w:ind w:left="2422" w:right="0" w:hanging="360"/>
        <w:jc w:val="left"/>
        <w:rPr>
          <w:sz w:val="26"/>
        </w:rPr>
      </w:pPr>
      <w:r>
        <w:rPr>
          <w:sz w:val="26"/>
        </w:rPr>
        <w:t>Member</w:t>
      </w:r>
      <w:r>
        <w:rPr>
          <w:spacing w:val="-6"/>
          <w:sz w:val="26"/>
        </w:rPr>
        <w:t> </w:t>
      </w:r>
      <w:r>
        <w:rPr>
          <w:sz w:val="26"/>
        </w:rPr>
        <w:t>of</w:t>
      </w:r>
      <w:r>
        <w:rPr>
          <w:spacing w:val="-7"/>
          <w:sz w:val="26"/>
        </w:rPr>
        <w:t> </w:t>
      </w:r>
      <w:r>
        <w:rPr>
          <w:sz w:val="26"/>
        </w:rPr>
        <w:t>the</w:t>
      </w:r>
      <w:r>
        <w:rPr>
          <w:spacing w:val="-7"/>
          <w:sz w:val="26"/>
        </w:rPr>
        <w:t> </w:t>
      </w:r>
      <w:r>
        <w:rPr>
          <w:sz w:val="26"/>
        </w:rPr>
        <w:t>HSE</w:t>
      </w:r>
      <w:r>
        <w:rPr>
          <w:spacing w:val="-7"/>
          <w:sz w:val="26"/>
        </w:rPr>
        <w:t> </w:t>
      </w:r>
      <w:r>
        <w:rPr>
          <w:sz w:val="26"/>
        </w:rPr>
        <w:t>task</w:t>
      </w:r>
      <w:r>
        <w:rPr>
          <w:spacing w:val="-7"/>
          <w:sz w:val="26"/>
        </w:rPr>
        <w:t> </w:t>
      </w:r>
      <w:r>
        <w:rPr>
          <w:sz w:val="26"/>
        </w:rPr>
        <w:t>force</w:t>
      </w:r>
      <w:r>
        <w:rPr>
          <w:spacing w:val="-4"/>
          <w:sz w:val="26"/>
        </w:rPr>
        <w:t> </w:t>
      </w:r>
      <w:r>
        <w:rPr>
          <w:sz w:val="26"/>
        </w:rPr>
        <w:t>–</w:t>
      </w:r>
      <w:r>
        <w:rPr>
          <w:spacing w:val="-7"/>
          <w:sz w:val="26"/>
        </w:rPr>
        <w:t> </w:t>
      </w:r>
      <w:r>
        <w:rPr>
          <w:sz w:val="26"/>
        </w:rPr>
        <w:t>disability</w:t>
      </w:r>
      <w:r>
        <w:rPr>
          <w:spacing w:val="-7"/>
          <w:sz w:val="26"/>
        </w:rPr>
        <w:t> </w:t>
      </w:r>
      <w:r>
        <w:rPr>
          <w:sz w:val="26"/>
        </w:rPr>
        <w:t>residential</w:t>
      </w:r>
      <w:r>
        <w:rPr>
          <w:spacing w:val="-7"/>
          <w:sz w:val="26"/>
        </w:rPr>
        <w:t> </w:t>
      </w:r>
      <w:r>
        <w:rPr>
          <w:spacing w:val="-2"/>
          <w:sz w:val="26"/>
        </w:rPr>
        <w:t>services</w:t>
      </w:r>
    </w:p>
    <w:p>
      <w:pPr>
        <w:pStyle w:val="ListParagraph"/>
        <w:numPr>
          <w:ilvl w:val="0"/>
          <w:numId w:val="21"/>
        </w:numPr>
        <w:tabs>
          <w:tab w:pos="2422" w:val="left" w:leader="none"/>
        </w:tabs>
        <w:spacing w:line="240" w:lineRule="auto" w:before="273" w:after="0"/>
        <w:ind w:left="2422" w:right="0" w:hanging="360"/>
        <w:jc w:val="left"/>
        <w:rPr>
          <w:sz w:val="26"/>
        </w:rPr>
      </w:pPr>
      <w:r>
        <w:rPr>
          <w:sz w:val="26"/>
        </w:rPr>
        <w:t>Member</w:t>
      </w:r>
      <w:r>
        <w:rPr>
          <w:spacing w:val="-8"/>
          <w:sz w:val="26"/>
        </w:rPr>
        <w:t> </w:t>
      </w:r>
      <w:r>
        <w:rPr>
          <w:sz w:val="26"/>
        </w:rPr>
        <w:t>of</w:t>
      </w:r>
      <w:r>
        <w:rPr>
          <w:spacing w:val="-9"/>
          <w:sz w:val="26"/>
        </w:rPr>
        <w:t> </w:t>
      </w:r>
      <w:r>
        <w:rPr>
          <w:sz w:val="26"/>
        </w:rPr>
        <w:t>HSE’s</w:t>
      </w:r>
      <w:r>
        <w:rPr>
          <w:spacing w:val="-8"/>
          <w:sz w:val="26"/>
        </w:rPr>
        <w:t> </w:t>
      </w:r>
      <w:r>
        <w:rPr>
          <w:sz w:val="26"/>
        </w:rPr>
        <w:t>Universal</w:t>
      </w:r>
      <w:r>
        <w:rPr>
          <w:spacing w:val="-8"/>
          <w:sz w:val="26"/>
        </w:rPr>
        <w:t> </w:t>
      </w:r>
      <w:r>
        <w:rPr>
          <w:sz w:val="26"/>
        </w:rPr>
        <w:t>Access</w:t>
      </w:r>
      <w:r>
        <w:rPr>
          <w:spacing w:val="-4"/>
          <w:sz w:val="26"/>
        </w:rPr>
        <w:t> </w:t>
      </w:r>
      <w:r>
        <w:rPr>
          <w:spacing w:val="-2"/>
          <w:sz w:val="26"/>
        </w:rPr>
        <w:t>Committee</w:t>
      </w:r>
    </w:p>
    <w:p>
      <w:pPr>
        <w:pStyle w:val="ListParagraph"/>
        <w:numPr>
          <w:ilvl w:val="0"/>
          <w:numId w:val="21"/>
        </w:numPr>
        <w:tabs>
          <w:tab w:pos="2422" w:val="left" w:leader="none"/>
        </w:tabs>
        <w:spacing w:line="240" w:lineRule="auto" w:before="269" w:after="0"/>
        <w:ind w:left="2422" w:right="0" w:hanging="360"/>
        <w:jc w:val="left"/>
        <w:rPr>
          <w:sz w:val="26"/>
        </w:rPr>
      </w:pPr>
      <w:r>
        <w:rPr>
          <w:sz w:val="26"/>
        </w:rPr>
        <w:t>Advance</w:t>
      </w:r>
      <w:r>
        <w:rPr>
          <w:spacing w:val="-13"/>
          <w:sz w:val="26"/>
        </w:rPr>
        <w:t> </w:t>
      </w:r>
      <w:r>
        <w:rPr>
          <w:sz w:val="26"/>
        </w:rPr>
        <w:t>Healthcare</w:t>
      </w:r>
      <w:r>
        <w:rPr>
          <w:spacing w:val="-12"/>
          <w:sz w:val="26"/>
        </w:rPr>
        <w:t> </w:t>
      </w:r>
      <w:r>
        <w:rPr>
          <w:sz w:val="26"/>
        </w:rPr>
        <w:t>Directives</w:t>
      </w:r>
      <w:r>
        <w:rPr>
          <w:spacing w:val="-11"/>
          <w:sz w:val="26"/>
        </w:rPr>
        <w:t> </w:t>
      </w:r>
      <w:r>
        <w:rPr>
          <w:sz w:val="26"/>
        </w:rPr>
        <w:t>Multidisciplinary</w:t>
      </w:r>
      <w:r>
        <w:rPr>
          <w:spacing w:val="-13"/>
          <w:sz w:val="26"/>
        </w:rPr>
        <w:t> </w:t>
      </w:r>
      <w:r>
        <w:rPr>
          <w:sz w:val="26"/>
        </w:rPr>
        <w:t>Working</w:t>
      </w:r>
      <w:r>
        <w:rPr>
          <w:spacing w:val="-12"/>
          <w:sz w:val="26"/>
        </w:rPr>
        <w:t> </w:t>
      </w:r>
      <w:r>
        <w:rPr>
          <w:spacing w:val="-2"/>
          <w:sz w:val="26"/>
        </w:rPr>
        <w:t>Group</w:t>
      </w:r>
    </w:p>
    <w:p>
      <w:pPr>
        <w:pStyle w:val="ListParagraph"/>
        <w:numPr>
          <w:ilvl w:val="0"/>
          <w:numId w:val="21"/>
        </w:numPr>
        <w:tabs>
          <w:tab w:pos="2422" w:val="left" w:leader="none"/>
        </w:tabs>
        <w:spacing w:line="360" w:lineRule="auto" w:before="270" w:after="0"/>
        <w:ind w:left="2422" w:right="1202" w:hanging="360"/>
        <w:jc w:val="left"/>
        <w:rPr>
          <w:sz w:val="26"/>
        </w:rPr>
      </w:pPr>
      <w:r>
        <w:rPr>
          <w:sz w:val="26"/>
        </w:rPr>
        <w:t>Assisted</w:t>
      </w:r>
      <w:r>
        <w:rPr>
          <w:spacing w:val="-5"/>
          <w:sz w:val="26"/>
        </w:rPr>
        <w:t> </w:t>
      </w:r>
      <w:r>
        <w:rPr>
          <w:sz w:val="26"/>
        </w:rPr>
        <w:t>Decision</w:t>
      </w:r>
      <w:r>
        <w:rPr>
          <w:spacing w:val="-5"/>
          <w:sz w:val="26"/>
        </w:rPr>
        <w:t> </w:t>
      </w:r>
      <w:r>
        <w:rPr>
          <w:sz w:val="26"/>
        </w:rPr>
        <w:t>Making</w:t>
      </w:r>
      <w:r>
        <w:rPr>
          <w:spacing w:val="-5"/>
          <w:sz w:val="26"/>
        </w:rPr>
        <w:t> </w:t>
      </w:r>
      <w:r>
        <w:rPr>
          <w:sz w:val="26"/>
        </w:rPr>
        <w:t>(Capacity)</w:t>
      </w:r>
      <w:r>
        <w:rPr>
          <w:spacing w:val="-5"/>
          <w:sz w:val="26"/>
        </w:rPr>
        <w:t> </w:t>
      </w:r>
      <w:r>
        <w:rPr>
          <w:sz w:val="26"/>
        </w:rPr>
        <w:t>Act</w:t>
      </w:r>
      <w:r>
        <w:rPr>
          <w:spacing w:val="-5"/>
          <w:sz w:val="26"/>
        </w:rPr>
        <w:t> </w:t>
      </w:r>
      <w:r>
        <w:rPr>
          <w:sz w:val="26"/>
        </w:rPr>
        <w:t>2015</w:t>
      </w:r>
      <w:r>
        <w:rPr>
          <w:spacing w:val="-3"/>
          <w:sz w:val="26"/>
        </w:rPr>
        <w:t> </w:t>
      </w:r>
      <w:r>
        <w:rPr>
          <w:sz w:val="26"/>
        </w:rPr>
        <w:t>Steering</w:t>
      </w:r>
      <w:r>
        <w:rPr>
          <w:spacing w:val="-5"/>
          <w:sz w:val="26"/>
        </w:rPr>
        <w:t> </w:t>
      </w:r>
      <w:r>
        <w:rPr>
          <w:sz w:val="26"/>
        </w:rPr>
        <w:t>Group</w:t>
      </w:r>
      <w:r>
        <w:rPr>
          <w:spacing w:val="-5"/>
          <w:sz w:val="26"/>
        </w:rPr>
        <w:t> </w:t>
      </w:r>
      <w:r>
        <w:rPr>
          <w:sz w:val="26"/>
        </w:rPr>
        <w:t>and Guidance and Documentation Sub-Group</w:t>
      </w:r>
    </w:p>
    <w:p>
      <w:pPr>
        <w:pStyle w:val="ListParagraph"/>
        <w:spacing w:after="0" w:line="360" w:lineRule="auto"/>
        <w:jc w:val="left"/>
        <w:rPr>
          <w:sz w:val="26"/>
        </w:rPr>
        <w:sectPr>
          <w:pgSz w:w="11910" w:h="16850"/>
          <w:pgMar w:header="0" w:footer="811" w:top="1880" w:bottom="1000" w:left="283" w:right="992"/>
        </w:sectPr>
      </w:pPr>
    </w:p>
    <w:p>
      <w:pPr>
        <w:pStyle w:val="BodyText"/>
        <w:spacing w:before="272"/>
      </w:pPr>
    </w:p>
    <w:p>
      <w:pPr>
        <w:pStyle w:val="Heading5"/>
        <w:rPr>
          <w:rFonts w:ascii="Rockwell"/>
        </w:rPr>
      </w:pPr>
      <w:r>
        <w:rPr>
          <w:rFonts w:ascii="Rockwell"/>
          <w:color w:val="BE2195"/>
        </w:rPr>
        <w:t>Department</w:t>
      </w:r>
      <w:r>
        <w:rPr>
          <w:rFonts w:ascii="Rockwell"/>
          <w:color w:val="BE2195"/>
          <w:spacing w:val="-9"/>
        </w:rPr>
        <w:t> </w:t>
      </w:r>
      <w:r>
        <w:rPr>
          <w:rFonts w:ascii="Rockwell"/>
          <w:color w:val="BE2195"/>
        </w:rPr>
        <w:t>of</w:t>
      </w:r>
      <w:r>
        <w:rPr>
          <w:rFonts w:ascii="Rockwell"/>
          <w:color w:val="BE2195"/>
          <w:spacing w:val="-8"/>
        </w:rPr>
        <w:t> </w:t>
      </w:r>
      <w:r>
        <w:rPr>
          <w:rFonts w:ascii="Rockwell"/>
          <w:color w:val="BE2195"/>
        </w:rPr>
        <w:t>Justice</w:t>
      </w:r>
      <w:r>
        <w:rPr>
          <w:rFonts w:ascii="Rockwell"/>
          <w:color w:val="BE2195"/>
          <w:spacing w:val="-9"/>
        </w:rPr>
        <w:t> </w:t>
      </w:r>
      <w:r>
        <w:rPr>
          <w:rFonts w:ascii="Rockwell"/>
          <w:color w:val="BE2195"/>
        </w:rPr>
        <w:t>and</w:t>
      </w:r>
      <w:r>
        <w:rPr>
          <w:rFonts w:ascii="Rockwell"/>
          <w:color w:val="BE2195"/>
          <w:spacing w:val="-5"/>
        </w:rPr>
        <w:t> </w:t>
      </w:r>
      <w:r>
        <w:rPr>
          <w:rFonts w:ascii="Rockwell"/>
          <w:color w:val="BE2195"/>
          <w:spacing w:val="-2"/>
        </w:rPr>
        <w:t>Equality</w:t>
      </w:r>
    </w:p>
    <w:p>
      <w:pPr>
        <w:pStyle w:val="BodyText"/>
        <w:spacing w:before="65"/>
        <w:rPr>
          <w:rFonts w:ascii="Rockwell"/>
          <w:b/>
        </w:rPr>
      </w:pPr>
    </w:p>
    <w:p>
      <w:pPr>
        <w:pStyle w:val="ListParagraph"/>
        <w:numPr>
          <w:ilvl w:val="0"/>
          <w:numId w:val="21"/>
        </w:numPr>
        <w:tabs>
          <w:tab w:pos="2422" w:val="left" w:leader="none"/>
        </w:tabs>
        <w:spacing w:line="240" w:lineRule="auto" w:before="1" w:after="0"/>
        <w:ind w:left="2422" w:right="1991" w:hanging="360"/>
        <w:jc w:val="left"/>
        <w:rPr>
          <w:sz w:val="26"/>
        </w:rPr>
      </w:pPr>
      <w:r>
        <w:rPr>
          <w:sz w:val="26"/>
        </w:rPr>
        <w:t>Monitoring</w:t>
      </w:r>
      <w:r>
        <w:rPr>
          <w:spacing w:val="-7"/>
          <w:sz w:val="26"/>
        </w:rPr>
        <w:t> </w:t>
      </w:r>
      <w:r>
        <w:rPr>
          <w:sz w:val="26"/>
        </w:rPr>
        <w:t>Committee</w:t>
      </w:r>
      <w:r>
        <w:rPr>
          <w:spacing w:val="-4"/>
          <w:sz w:val="26"/>
        </w:rPr>
        <w:t> </w:t>
      </w:r>
      <w:r>
        <w:rPr>
          <w:sz w:val="26"/>
        </w:rPr>
        <w:t>of</w:t>
      </w:r>
      <w:r>
        <w:rPr>
          <w:spacing w:val="-7"/>
          <w:sz w:val="26"/>
        </w:rPr>
        <w:t> </w:t>
      </w:r>
      <w:r>
        <w:rPr>
          <w:sz w:val="26"/>
        </w:rPr>
        <w:t>the</w:t>
      </w:r>
      <w:r>
        <w:rPr>
          <w:spacing w:val="-7"/>
          <w:sz w:val="26"/>
        </w:rPr>
        <w:t> </w:t>
      </w:r>
      <w:r>
        <w:rPr>
          <w:sz w:val="26"/>
        </w:rPr>
        <w:t>Second</w:t>
      </w:r>
      <w:r>
        <w:rPr>
          <w:spacing w:val="-4"/>
          <w:sz w:val="26"/>
        </w:rPr>
        <w:t> </w:t>
      </w:r>
      <w:r>
        <w:rPr>
          <w:sz w:val="26"/>
        </w:rPr>
        <w:t>National</w:t>
      </w:r>
      <w:r>
        <w:rPr>
          <w:spacing w:val="-6"/>
          <w:sz w:val="26"/>
        </w:rPr>
        <w:t> </w:t>
      </w:r>
      <w:r>
        <w:rPr>
          <w:sz w:val="26"/>
        </w:rPr>
        <w:t>Strategy</w:t>
      </w:r>
      <w:r>
        <w:rPr>
          <w:spacing w:val="-8"/>
          <w:sz w:val="26"/>
        </w:rPr>
        <w:t> </w:t>
      </w:r>
      <w:r>
        <w:rPr>
          <w:sz w:val="26"/>
        </w:rPr>
        <w:t>on Domestic, Sexual and Gender-based Violence</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EU</w:t>
      </w:r>
      <w:r>
        <w:rPr>
          <w:spacing w:val="-8"/>
          <w:sz w:val="26"/>
        </w:rPr>
        <w:t> </w:t>
      </w:r>
      <w:r>
        <w:rPr>
          <w:sz w:val="26"/>
        </w:rPr>
        <w:t>Accessibility</w:t>
      </w:r>
      <w:r>
        <w:rPr>
          <w:spacing w:val="-6"/>
          <w:sz w:val="26"/>
        </w:rPr>
        <w:t> </w:t>
      </w:r>
      <w:r>
        <w:rPr>
          <w:sz w:val="26"/>
        </w:rPr>
        <w:t>ACT</w:t>
      </w:r>
      <w:r>
        <w:rPr>
          <w:spacing w:val="-7"/>
          <w:sz w:val="26"/>
        </w:rPr>
        <w:t> </w:t>
      </w:r>
      <w:r>
        <w:rPr>
          <w:sz w:val="26"/>
        </w:rPr>
        <w:t>review</w:t>
      </w:r>
      <w:r>
        <w:rPr>
          <w:spacing w:val="-5"/>
          <w:sz w:val="26"/>
        </w:rPr>
        <w:t> </w:t>
      </w:r>
      <w:r>
        <w:rPr>
          <w:spacing w:val="-4"/>
          <w:sz w:val="26"/>
        </w:rPr>
        <w:t>Group</w:t>
      </w:r>
    </w:p>
    <w:p>
      <w:pPr>
        <w:pStyle w:val="ListParagraph"/>
        <w:numPr>
          <w:ilvl w:val="0"/>
          <w:numId w:val="21"/>
        </w:numPr>
        <w:tabs>
          <w:tab w:pos="2422" w:val="left" w:leader="none"/>
        </w:tabs>
        <w:spacing w:line="240" w:lineRule="auto" w:before="1" w:after="0"/>
        <w:ind w:left="2422" w:right="0" w:hanging="360"/>
        <w:jc w:val="left"/>
        <w:rPr>
          <w:sz w:val="26"/>
        </w:rPr>
      </w:pPr>
      <w:r>
        <w:rPr>
          <w:sz w:val="26"/>
        </w:rPr>
        <w:t>National</w:t>
      </w:r>
      <w:r>
        <w:rPr>
          <w:spacing w:val="-18"/>
          <w:sz w:val="26"/>
        </w:rPr>
        <w:t> </w:t>
      </w:r>
      <w:r>
        <w:rPr>
          <w:sz w:val="26"/>
        </w:rPr>
        <w:t>Disability</w:t>
      </w:r>
      <w:r>
        <w:rPr>
          <w:spacing w:val="-17"/>
          <w:sz w:val="26"/>
        </w:rPr>
        <w:t> </w:t>
      </w:r>
      <w:r>
        <w:rPr>
          <w:sz w:val="26"/>
        </w:rPr>
        <w:t>Implementation</w:t>
      </w:r>
      <w:r>
        <w:rPr>
          <w:spacing w:val="-17"/>
          <w:sz w:val="26"/>
        </w:rPr>
        <w:t> </w:t>
      </w:r>
      <w:r>
        <w:rPr>
          <w:spacing w:val="-4"/>
          <w:sz w:val="26"/>
        </w:rPr>
        <w:t>Group</w:t>
      </w:r>
    </w:p>
    <w:p>
      <w:pPr>
        <w:pStyle w:val="ListParagraph"/>
        <w:numPr>
          <w:ilvl w:val="0"/>
          <w:numId w:val="21"/>
        </w:numPr>
        <w:tabs>
          <w:tab w:pos="2422" w:val="left" w:leader="none"/>
        </w:tabs>
        <w:spacing w:line="240" w:lineRule="auto" w:before="1" w:after="0"/>
        <w:ind w:left="2422" w:right="0" w:hanging="360"/>
        <w:jc w:val="left"/>
        <w:rPr>
          <w:sz w:val="26"/>
        </w:rPr>
      </w:pPr>
      <w:r>
        <w:rPr>
          <w:sz w:val="26"/>
        </w:rPr>
        <w:t>Comprehensive</w:t>
      </w:r>
      <w:r>
        <w:rPr>
          <w:spacing w:val="-16"/>
          <w:sz w:val="26"/>
        </w:rPr>
        <w:t> </w:t>
      </w:r>
      <w:r>
        <w:rPr>
          <w:sz w:val="26"/>
        </w:rPr>
        <w:t>Employment</w:t>
      </w:r>
      <w:r>
        <w:rPr>
          <w:spacing w:val="-12"/>
          <w:sz w:val="26"/>
        </w:rPr>
        <w:t> </w:t>
      </w:r>
      <w:r>
        <w:rPr>
          <w:sz w:val="26"/>
        </w:rPr>
        <w:t>Strategy</w:t>
      </w:r>
      <w:r>
        <w:rPr>
          <w:spacing w:val="-15"/>
          <w:sz w:val="26"/>
        </w:rPr>
        <w:t> </w:t>
      </w:r>
      <w:r>
        <w:rPr>
          <w:sz w:val="26"/>
        </w:rPr>
        <w:t>Implementation</w:t>
      </w:r>
      <w:r>
        <w:rPr>
          <w:spacing w:val="-15"/>
          <w:sz w:val="26"/>
        </w:rPr>
        <w:t> </w:t>
      </w:r>
      <w:r>
        <w:rPr>
          <w:spacing w:val="-2"/>
          <w:sz w:val="26"/>
        </w:rPr>
        <w:t>Group</w:t>
      </w:r>
    </w:p>
    <w:p>
      <w:pPr>
        <w:pStyle w:val="BodyText"/>
      </w:pPr>
    </w:p>
    <w:p>
      <w:pPr>
        <w:pStyle w:val="BodyText"/>
        <w:spacing w:before="190"/>
      </w:pPr>
    </w:p>
    <w:p>
      <w:pPr>
        <w:pStyle w:val="Heading5"/>
        <w:spacing w:before="1"/>
        <w:rPr>
          <w:rFonts w:ascii="Rockwell"/>
        </w:rPr>
      </w:pPr>
      <w:r>
        <w:rPr>
          <w:rFonts w:ascii="Rockwell"/>
          <w:color w:val="BE2195"/>
        </w:rPr>
        <w:t>Department</w:t>
      </w:r>
      <w:r>
        <w:rPr>
          <w:rFonts w:ascii="Rockwell"/>
          <w:color w:val="BE2195"/>
          <w:spacing w:val="-10"/>
        </w:rPr>
        <w:t> </w:t>
      </w:r>
      <w:r>
        <w:rPr>
          <w:rFonts w:ascii="Rockwell"/>
          <w:color w:val="BE2195"/>
        </w:rPr>
        <w:t>of</w:t>
      </w:r>
      <w:r>
        <w:rPr>
          <w:rFonts w:ascii="Rockwell"/>
          <w:color w:val="BE2195"/>
          <w:spacing w:val="-10"/>
        </w:rPr>
        <w:t> </w:t>
      </w:r>
      <w:r>
        <w:rPr>
          <w:rFonts w:ascii="Rockwell"/>
          <w:color w:val="BE2195"/>
        </w:rPr>
        <w:t>Employment</w:t>
      </w:r>
      <w:r>
        <w:rPr>
          <w:rFonts w:ascii="Rockwell"/>
          <w:color w:val="BE2195"/>
          <w:spacing w:val="-8"/>
        </w:rPr>
        <w:t> </w:t>
      </w:r>
      <w:r>
        <w:rPr>
          <w:rFonts w:ascii="Rockwell"/>
          <w:color w:val="BE2195"/>
        </w:rPr>
        <w:t>Affairs</w:t>
      </w:r>
      <w:r>
        <w:rPr>
          <w:rFonts w:ascii="Rockwell"/>
          <w:color w:val="BE2195"/>
          <w:spacing w:val="-10"/>
        </w:rPr>
        <w:t> </w:t>
      </w:r>
      <w:r>
        <w:rPr>
          <w:rFonts w:ascii="Rockwell"/>
          <w:color w:val="BE2195"/>
        </w:rPr>
        <w:t>and</w:t>
      </w:r>
      <w:r>
        <w:rPr>
          <w:rFonts w:ascii="Rockwell"/>
          <w:color w:val="BE2195"/>
          <w:spacing w:val="-5"/>
        </w:rPr>
        <w:t> </w:t>
      </w:r>
      <w:r>
        <w:rPr>
          <w:rFonts w:ascii="Rockwell"/>
          <w:color w:val="BE2195"/>
        </w:rPr>
        <w:t>Social</w:t>
      </w:r>
      <w:r>
        <w:rPr>
          <w:rFonts w:ascii="Rockwell"/>
          <w:color w:val="BE2195"/>
          <w:spacing w:val="-10"/>
        </w:rPr>
        <w:t> </w:t>
      </w:r>
      <w:r>
        <w:rPr>
          <w:rFonts w:ascii="Rockwell"/>
          <w:color w:val="BE2195"/>
          <w:spacing w:val="-2"/>
        </w:rPr>
        <w:t>Protection</w:t>
      </w:r>
    </w:p>
    <w:p>
      <w:pPr>
        <w:pStyle w:val="ListParagraph"/>
        <w:numPr>
          <w:ilvl w:val="0"/>
          <w:numId w:val="21"/>
        </w:numPr>
        <w:tabs>
          <w:tab w:pos="2422" w:val="left" w:leader="none"/>
        </w:tabs>
        <w:spacing w:line="303" w:lineRule="exact" w:before="28" w:after="0"/>
        <w:ind w:left="2422" w:right="0" w:hanging="360"/>
        <w:jc w:val="left"/>
        <w:rPr>
          <w:sz w:val="26"/>
        </w:rPr>
      </w:pPr>
      <w:r>
        <w:rPr>
          <w:sz w:val="26"/>
        </w:rPr>
        <w:t>Disability</w:t>
      </w:r>
      <w:r>
        <w:rPr>
          <w:spacing w:val="-15"/>
          <w:sz w:val="26"/>
        </w:rPr>
        <w:t> </w:t>
      </w:r>
      <w:r>
        <w:rPr>
          <w:sz w:val="26"/>
        </w:rPr>
        <w:t>Consultative</w:t>
      </w:r>
      <w:r>
        <w:rPr>
          <w:spacing w:val="-11"/>
          <w:sz w:val="26"/>
        </w:rPr>
        <w:t> </w:t>
      </w:r>
      <w:r>
        <w:rPr>
          <w:spacing w:val="-2"/>
          <w:sz w:val="26"/>
        </w:rPr>
        <w:t>Committee</w:t>
      </w:r>
    </w:p>
    <w:p>
      <w:pPr>
        <w:pStyle w:val="ListParagraph"/>
        <w:numPr>
          <w:ilvl w:val="0"/>
          <w:numId w:val="21"/>
        </w:numPr>
        <w:tabs>
          <w:tab w:pos="2422" w:val="left" w:leader="none"/>
        </w:tabs>
        <w:spacing w:line="240" w:lineRule="auto" w:before="0" w:after="0"/>
        <w:ind w:left="2422" w:right="2585" w:hanging="360"/>
        <w:jc w:val="left"/>
        <w:rPr>
          <w:sz w:val="26"/>
        </w:rPr>
      </w:pPr>
      <w:r>
        <w:rPr>
          <w:sz w:val="26"/>
        </w:rPr>
        <w:t>Stakeholder</w:t>
      </w:r>
      <w:r>
        <w:rPr>
          <w:spacing w:val="-6"/>
          <w:sz w:val="26"/>
        </w:rPr>
        <w:t> </w:t>
      </w:r>
      <w:r>
        <w:rPr>
          <w:sz w:val="26"/>
        </w:rPr>
        <w:t>Consultation</w:t>
      </w:r>
      <w:r>
        <w:rPr>
          <w:spacing w:val="-7"/>
          <w:sz w:val="26"/>
        </w:rPr>
        <w:t> </w:t>
      </w:r>
      <w:r>
        <w:rPr>
          <w:sz w:val="26"/>
        </w:rPr>
        <w:t>Group</w:t>
      </w:r>
      <w:r>
        <w:rPr>
          <w:spacing w:val="-7"/>
          <w:sz w:val="26"/>
        </w:rPr>
        <w:t> </w:t>
      </w:r>
      <w:r>
        <w:rPr>
          <w:sz w:val="26"/>
        </w:rPr>
        <w:t>for</w:t>
      </w:r>
      <w:r>
        <w:rPr>
          <w:spacing w:val="-3"/>
          <w:sz w:val="26"/>
        </w:rPr>
        <w:t> </w:t>
      </w:r>
      <w:r>
        <w:rPr>
          <w:sz w:val="26"/>
        </w:rPr>
        <w:t>Make</w:t>
      </w:r>
      <w:r>
        <w:rPr>
          <w:spacing w:val="-6"/>
          <w:sz w:val="26"/>
        </w:rPr>
        <w:t> </w:t>
      </w:r>
      <w:r>
        <w:rPr>
          <w:sz w:val="26"/>
        </w:rPr>
        <w:t>Work</w:t>
      </w:r>
      <w:r>
        <w:rPr>
          <w:spacing w:val="-6"/>
          <w:sz w:val="26"/>
        </w:rPr>
        <w:t> </w:t>
      </w:r>
      <w:r>
        <w:rPr>
          <w:sz w:val="26"/>
        </w:rPr>
        <w:t>Pay recommendations 9 &amp; 10</w:t>
      </w:r>
    </w:p>
    <w:p>
      <w:pPr>
        <w:pStyle w:val="ListParagraph"/>
        <w:numPr>
          <w:ilvl w:val="0"/>
          <w:numId w:val="21"/>
        </w:numPr>
        <w:tabs>
          <w:tab w:pos="2422" w:val="left" w:leader="none"/>
        </w:tabs>
        <w:spacing w:line="240" w:lineRule="auto" w:before="1" w:after="0"/>
        <w:ind w:left="2422" w:right="0" w:hanging="360"/>
        <w:jc w:val="left"/>
        <w:rPr>
          <w:sz w:val="26"/>
        </w:rPr>
      </w:pPr>
      <w:r>
        <w:rPr>
          <w:sz w:val="26"/>
        </w:rPr>
        <w:t>Domiciliary</w:t>
      </w:r>
      <w:r>
        <w:rPr>
          <w:spacing w:val="-13"/>
          <w:sz w:val="26"/>
        </w:rPr>
        <w:t> </w:t>
      </w:r>
      <w:r>
        <w:rPr>
          <w:sz w:val="26"/>
        </w:rPr>
        <w:t>Care</w:t>
      </w:r>
      <w:r>
        <w:rPr>
          <w:spacing w:val="-12"/>
          <w:sz w:val="26"/>
        </w:rPr>
        <w:t> </w:t>
      </w:r>
      <w:r>
        <w:rPr>
          <w:sz w:val="26"/>
        </w:rPr>
        <w:t>Allowance</w:t>
      </w:r>
      <w:r>
        <w:rPr>
          <w:spacing w:val="-13"/>
          <w:sz w:val="26"/>
        </w:rPr>
        <w:t> </w:t>
      </w:r>
      <w:r>
        <w:rPr>
          <w:spacing w:val="-4"/>
          <w:sz w:val="26"/>
        </w:rPr>
        <w:t>Group</w:t>
      </w:r>
    </w:p>
    <w:p>
      <w:pPr>
        <w:pStyle w:val="BodyText"/>
      </w:pPr>
    </w:p>
    <w:p>
      <w:pPr>
        <w:pStyle w:val="BodyText"/>
        <w:spacing w:before="190"/>
      </w:pPr>
    </w:p>
    <w:p>
      <w:pPr>
        <w:pStyle w:val="Heading5"/>
        <w:rPr>
          <w:rFonts w:ascii="Rockwell"/>
        </w:rPr>
      </w:pPr>
      <w:r>
        <w:rPr>
          <w:rFonts w:ascii="Rockwell"/>
          <w:color w:val="BE2195"/>
        </w:rPr>
        <w:t>Department</w:t>
      </w:r>
      <w:r>
        <w:rPr>
          <w:rFonts w:ascii="Rockwell"/>
          <w:color w:val="BE2195"/>
          <w:spacing w:val="-10"/>
        </w:rPr>
        <w:t> </w:t>
      </w:r>
      <w:r>
        <w:rPr>
          <w:rFonts w:ascii="Rockwell"/>
          <w:color w:val="BE2195"/>
        </w:rPr>
        <w:t>of</w:t>
      </w:r>
      <w:r>
        <w:rPr>
          <w:rFonts w:ascii="Rockwell"/>
          <w:color w:val="BE2195"/>
          <w:spacing w:val="-10"/>
        </w:rPr>
        <w:t> </w:t>
      </w:r>
      <w:r>
        <w:rPr>
          <w:rFonts w:ascii="Rockwell"/>
          <w:color w:val="BE2195"/>
        </w:rPr>
        <w:t>Transport,</w:t>
      </w:r>
      <w:r>
        <w:rPr>
          <w:rFonts w:ascii="Rockwell"/>
          <w:color w:val="BE2195"/>
          <w:spacing w:val="-9"/>
        </w:rPr>
        <w:t> </w:t>
      </w:r>
      <w:r>
        <w:rPr>
          <w:rFonts w:ascii="Rockwell"/>
          <w:color w:val="BE2195"/>
        </w:rPr>
        <w:t>Tourism</w:t>
      </w:r>
      <w:r>
        <w:rPr>
          <w:rFonts w:ascii="Rockwell"/>
          <w:color w:val="BE2195"/>
          <w:spacing w:val="-10"/>
        </w:rPr>
        <w:t> </w:t>
      </w:r>
      <w:r>
        <w:rPr>
          <w:rFonts w:ascii="Rockwell"/>
          <w:color w:val="BE2195"/>
        </w:rPr>
        <w:t>and</w:t>
      </w:r>
      <w:r>
        <w:rPr>
          <w:rFonts w:ascii="Rockwell"/>
          <w:color w:val="BE2195"/>
          <w:spacing w:val="-8"/>
        </w:rPr>
        <w:t> </w:t>
      </w:r>
      <w:r>
        <w:rPr>
          <w:rFonts w:ascii="Rockwell"/>
          <w:color w:val="BE2195"/>
          <w:spacing w:val="-2"/>
        </w:rPr>
        <w:t>Sport</w:t>
      </w:r>
    </w:p>
    <w:p>
      <w:pPr>
        <w:pStyle w:val="ListParagraph"/>
        <w:numPr>
          <w:ilvl w:val="0"/>
          <w:numId w:val="21"/>
        </w:numPr>
        <w:tabs>
          <w:tab w:pos="2422" w:val="left" w:leader="none"/>
        </w:tabs>
        <w:spacing w:line="240" w:lineRule="auto" w:before="26" w:after="0"/>
        <w:ind w:left="2422" w:right="0" w:hanging="360"/>
        <w:jc w:val="left"/>
        <w:rPr>
          <w:sz w:val="26"/>
        </w:rPr>
      </w:pPr>
      <w:r>
        <w:rPr>
          <w:sz w:val="26"/>
        </w:rPr>
        <w:t>Consultative</w:t>
      </w:r>
      <w:r>
        <w:rPr>
          <w:spacing w:val="-10"/>
          <w:sz w:val="26"/>
        </w:rPr>
        <w:t> </w:t>
      </w:r>
      <w:r>
        <w:rPr>
          <w:sz w:val="26"/>
        </w:rPr>
        <w:t>Committee</w:t>
      </w:r>
      <w:r>
        <w:rPr>
          <w:spacing w:val="-11"/>
          <w:sz w:val="26"/>
        </w:rPr>
        <w:t> </w:t>
      </w:r>
      <w:r>
        <w:rPr>
          <w:sz w:val="26"/>
        </w:rPr>
        <w:t>on</w:t>
      </w:r>
      <w:r>
        <w:rPr>
          <w:spacing w:val="-12"/>
          <w:sz w:val="26"/>
        </w:rPr>
        <w:t> </w:t>
      </w:r>
      <w:r>
        <w:rPr>
          <w:spacing w:val="-2"/>
          <w:sz w:val="26"/>
        </w:rPr>
        <w:t>Disability</w:t>
      </w:r>
    </w:p>
    <w:p>
      <w:pPr>
        <w:pStyle w:val="ListParagraph"/>
        <w:numPr>
          <w:ilvl w:val="0"/>
          <w:numId w:val="21"/>
        </w:numPr>
        <w:tabs>
          <w:tab w:pos="2422" w:val="left" w:leader="none"/>
        </w:tabs>
        <w:spacing w:line="240" w:lineRule="auto" w:before="1" w:after="0"/>
        <w:ind w:left="2422" w:right="0" w:hanging="360"/>
        <w:jc w:val="left"/>
        <w:rPr>
          <w:sz w:val="26"/>
        </w:rPr>
      </w:pPr>
      <w:r>
        <w:rPr>
          <w:sz w:val="26"/>
        </w:rPr>
        <w:t>Taxi</w:t>
      </w:r>
      <w:r>
        <w:rPr>
          <w:spacing w:val="-8"/>
          <w:sz w:val="26"/>
        </w:rPr>
        <w:t> </w:t>
      </w:r>
      <w:r>
        <w:rPr>
          <w:sz w:val="26"/>
        </w:rPr>
        <w:t>Advisory</w:t>
      </w:r>
      <w:r>
        <w:rPr>
          <w:spacing w:val="-8"/>
          <w:sz w:val="26"/>
        </w:rPr>
        <w:t> </w:t>
      </w:r>
      <w:r>
        <w:rPr>
          <w:spacing w:val="-2"/>
          <w:sz w:val="26"/>
        </w:rPr>
        <w:t>Group</w:t>
      </w:r>
    </w:p>
    <w:p>
      <w:pPr>
        <w:pStyle w:val="Heading5"/>
        <w:spacing w:before="253"/>
        <w:rPr>
          <w:rFonts w:ascii="Rockwell"/>
        </w:rPr>
      </w:pPr>
      <w:r>
        <w:rPr>
          <w:rFonts w:ascii="Rockwell"/>
          <w:color w:val="BE2195"/>
        </w:rPr>
        <w:t>Universal</w:t>
      </w:r>
      <w:r>
        <w:rPr>
          <w:rFonts w:ascii="Rockwell"/>
          <w:color w:val="BE2195"/>
          <w:spacing w:val="-11"/>
        </w:rPr>
        <w:t> </w:t>
      </w:r>
      <w:r>
        <w:rPr>
          <w:rFonts w:ascii="Rockwell"/>
          <w:color w:val="BE2195"/>
        </w:rPr>
        <w:t>Design</w:t>
      </w:r>
      <w:r>
        <w:rPr>
          <w:rFonts w:ascii="Rockwell"/>
          <w:color w:val="BE2195"/>
          <w:spacing w:val="-8"/>
        </w:rPr>
        <w:t> </w:t>
      </w:r>
      <w:r>
        <w:rPr>
          <w:rFonts w:ascii="Rockwell"/>
          <w:color w:val="BE2195"/>
        </w:rPr>
        <w:t>Groups</w:t>
      </w:r>
      <w:r>
        <w:rPr>
          <w:rFonts w:ascii="Rockwell"/>
          <w:color w:val="BE2195"/>
          <w:spacing w:val="-10"/>
        </w:rPr>
        <w:t> </w:t>
      </w:r>
      <w:r>
        <w:rPr>
          <w:rFonts w:ascii="Rockwell"/>
          <w:color w:val="BE2195"/>
        </w:rPr>
        <w:t>and</w:t>
      </w:r>
      <w:r>
        <w:rPr>
          <w:rFonts w:ascii="Rockwell"/>
          <w:color w:val="BE2195"/>
          <w:spacing w:val="-9"/>
        </w:rPr>
        <w:t> </w:t>
      </w:r>
      <w:r>
        <w:rPr>
          <w:rFonts w:ascii="Rockwell"/>
          <w:color w:val="BE2195"/>
          <w:spacing w:val="-2"/>
        </w:rPr>
        <w:t>Bodies</w:t>
      </w:r>
    </w:p>
    <w:p>
      <w:pPr>
        <w:pStyle w:val="ListParagraph"/>
        <w:numPr>
          <w:ilvl w:val="0"/>
          <w:numId w:val="21"/>
        </w:numPr>
        <w:tabs>
          <w:tab w:pos="2422" w:val="left" w:leader="none"/>
        </w:tabs>
        <w:spacing w:line="303" w:lineRule="exact" w:before="227" w:after="0"/>
        <w:ind w:left="2422" w:right="0" w:hanging="360"/>
        <w:jc w:val="left"/>
        <w:rPr>
          <w:sz w:val="26"/>
        </w:rPr>
      </w:pPr>
      <w:r>
        <w:rPr>
          <w:sz w:val="26"/>
        </w:rPr>
        <w:t>Universal</w:t>
      </w:r>
      <w:r>
        <w:rPr>
          <w:spacing w:val="-10"/>
          <w:sz w:val="26"/>
        </w:rPr>
        <w:t> </w:t>
      </w:r>
      <w:r>
        <w:rPr>
          <w:sz w:val="26"/>
        </w:rPr>
        <w:t>Design</w:t>
      </w:r>
      <w:r>
        <w:rPr>
          <w:spacing w:val="-10"/>
          <w:sz w:val="26"/>
        </w:rPr>
        <w:t> </w:t>
      </w:r>
      <w:r>
        <w:rPr>
          <w:sz w:val="26"/>
        </w:rPr>
        <w:t>Task</w:t>
      </w:r>
      <w:r>
        <w:rPr>
          <w:spacing w:val="-6"/>
          <w:sz w:val="26"/>
        </w:rPr>
        <w:t> </w:t>
      </w:r>
      <w:r>
        <w:rPr>
          <w:spacing w:val="-2"/>
          <w:sz w:val="26"/>
        </w:rPr>
        <w:t>Force</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National</w:t>
      </w:r>
      <w:r>
        <w:rPr>
          <w:spacing w:val="-9"/>
          <w:sz w:val="26"/>
        </w:rPr>
        <w:t> </w:t>
      </w:r>
      <w:r>
        <w:rPr>
          <w:sz w:val="26"/>
        </w:rPr>
        <w:t>Standards</w:t>
      </w:r>
      <w:r>
        <w:rPr>
          <w:spacing w:val="-8"/>
          <w:sz w:val="26"/>
        </w:rPr>
        <w:t> </w:t>
      </w:r>
      <w:r>
        <w:rPr>
          <w:sz w:val="26"/>
        </w:rPr>
        <w:t>Authority</w:t>
      </w:r>
      <w:r>
        <w:rPr>
          <w:spacing w:val="-9"/>
          <w:sz w:val="26"/>
        </w:rPr>
        <w:t> </w:t>
      </w:r>
      <w:r>
        <w:rPr>
          <w:sz w:val="26"/>
        </w:rPr>
        <w:t>of</w:t>
      </w:r>
      <w:r>
        <w:rPr>
          <w:spacing w:val="-8"/>
          <w:sz w:val="26"/>
        </w:rPr>
        <w:t> </w:t>
      </w:r>
      <w:r>
        <w:rPr>
          <w:spacing w:val="-2"/>
          <w:sz w:val="26"/>
        </w:rPr>
        <w:t>Ireland</w:t>
      </w:r>
    </w:p>
    <w:p>
      <w:pPr>
        <w:pStyle w:val="ListParagraph"/>
        <w:numPr>
          <w:ilvl w:val="0"/>
          <w:numId w:val="21"/>
        </w:numPr>
        <w:tabs>
          <w:tab w:pos="2422" w:val="left" w:leader="none"/>
        </w:tabs>
        <w:spacing w:line="240" w:lineRule="auto" w:before="1" w:after="0"/>
        <w:ind w:left="2422" w:right="0" w:hanging="360"/>
        <w:jc w:val="left"/>
        <w:rPr>
          <w:sz w:val="26"/>
        </w:rPr>
      </w:pPr>
      <w:r>
        <w:rPr>
          <w:sz w:val="26"/>
        </w:rPr>
        <w:t>Irish</w:t>
      </w:r>
      <w:r>
        <w:rPr>
          <w:spacing w:val="-9"/>
          <w:sz w:val="26"/>
        </w:rPr>
        <w:t> </w:t>
      </w:r>
      <w:r>
        <w:rPr>
          <w:sz w:val="26"/>
        </w:rPr>
        <w:t>Designers</w:t>
      </w:r>
      <w:r>
        <w:rPr>
          <w:spacing w:val="-7"/>
          <w:sz w:val="26"/>
        </w:rPr>
        <w:t> </w:t>
      </w:r>
      <w:r>
        <w:rPr>
          <w:sz w:val="26"/>
        </w:rPr>
        <w:t>of</w:t>
      </w:r>
      <w:r>
        <w:rPr>
          <w:spacing w:val="-8"/>
          <w:sz w:val="26"/>
        </w:rPr>
        <w:t> </w:t>
      </w:r>
      <w:r>
        <w:rPr>
          <w:sz w:val="26"/>
        </w:rPr>
        <w:t>Ireland</w:t>
      </w:r>
      <w:r>
        <w:rPr>
          <w:spacing w:val="-8"/>
          <w:sz w:val="26"/>
        </w:rPr>
        <w:t> </w:t>
      </w:r>
      <w:r>
        <w:rPr>
          <w:spacing w:val="-2"/>
          <w:sz w:val="26"/>
        </w:rPr>
        <w:t>(IDI)</w:t>
      </w:r>
    </w:p>
    <w:p>
      <w:pPr>
        <w:pStyle w:val="ListParagraph"/>
        <w:numPr>
          <w:ilvl w:val="0"/>
          <w:numId w:val="21"/>
        </w:numPr>
        <w:tabs>
          <w:tab w:pos="2422" w:val="left" w:leader="none"/>
        </w:tabs>
        <w:spacing w:line="303" w:lineRule="exact" w:before="1" w:after="0"/>
        <w:ind w:left="2422" w:right="0" w:hanging="360"/>
        <w:jc w:val="left"/>
        <w:rPr>
          <w:sz w:val="26"/>
        </w:rPr>
      </w:pPr>
      <w:r>
        <w:rPr>
          <w:sz w:val="26"/>
        </w:rPr>
        <w:t>Irish</w:t>
      </w:r>
      <w:r>
        <w:rPr>
          <w:spacing w:val="-8"/>
          <w:sz w:val="26"/>
        </w:rPr>
        <w:t> </w:t>
      </w:r>
      <w:r>
        <w:rPr>
          <w:sz w:val="26"/>
        </w:rPr>
        <w:t>Design</w:t>
      </w:r>
      <w:r>
        <w:rPr>
          <w:spacing w:val="-5"/>
          <w:sz w:val="26"/>
        </w:rPr>
        <w:t> </w:t>
      </w:r>
      <w:r>
        <w:rPr>
          <w:sz w:val="26"/>
        </w:rPr>
        <w:t>and</w:t>
      </w:r>
      <w:r>
        <w:rPr>
          <w:spacing w:val="-7"/>
          <w:sz w:val="26"/>
        </w:rPr>
        <w:t> </w:t>
      </w:r>
      <w:r>
        <w:rPr>
          <w:sz w:val="26"/>
        </w:rPr>
        <w:t>Craft</w:t>
      </w:r>
      <w:r>
        <w:rPr>
          <w:spacing w:val="-5"/>
          <w:sz w:val="26"/>
        </w:rPr>
        <w:t> </w:t>
      </w:r>
      <w:r>
        <w:rPr>
          <w:sz w:val="26"/>
        </w:rPr>
        <w:t>Council</w:t>
      </w:r>
      <w:r>
        <w:rPr>
          <w:spacing w:val="-6"/>
          <w:sz w:val="26"/>
        </w:rPr>
        <w:t> </w:t>
      </w:r>
      <w:r>
        <w:rPr>
          <w:sz w:val="26"/>
        </w:rPr>
        <w:t>of</w:t>
      </w:r>
      <w:r>
        <w:rPr>
          <w:spacing w:val="-8"/>
          <w:sz w:val="26"/>
        </w:rPr>
        <w:t> </w:t>
      </w:r>
      <w:r>
        <w:rPr>
          <w:spacing w:val="-2"/>
          <w:sz w:val="26"/>
        </w:rPr>
        <w:t>Ireland</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Association</w:t>
      </w:r>
      <w:r>
        <w:rPr>
          <w:spacing w:val="-9"/>
          <w:sz w:val="26"/>
        </w:rPr>
        <w:t> </w:t>
      </w:r>
      <w:r>
        <w:rPr>
          <w:sz w:val="26"/>
        </w:rPr>
        <w:t>for</w:t>
      </w:r>
      <w:r>
        <w:rPr>
          <w:spacing w:val="-9"/>
          <w:sz w:val="26"/>
        </w:rPr>
        <w:t> </w:t>
      </w:r>
      <w:r>
        <w:rPr>
          <w:sz w:val="26"/>
        </w:rPr>
        <w:t>the</w:t>
      </w:r>
      <w:r>
        <w:rPr>
          <w:spacing w:val="-8"/>
          <w:sz w:val="26"/>
        </w:rPr>
        <w:t> </w:t>
      </w:r>
      <w:r>
        <w:rPr>
          <w:sz w:val="26"/>
        </w:rPr>
        <w:t>Advancement</w:t>
      </w:r>
      <w:r>
        <w:rPr>
          <w:spacing w:val="-8"/>
          <w:sz w:val="26"/>
        </w:rPr>
        <w:t> </w:t>
      </w:r>
      <w:r>
        <w:rPr>
          <w:sz w:val="26"/>
        </w:rPr>
        <w:t>of</w:t>
      </w:r>
      <w:r>
        <w:rPr>
          <w:spacing w:val="-9"/>
          <w:sz w:val="26"/>
        </w:rPr>
        <w:t> </w:t>
      </w:r>
      <w:r>
        <w:rPr>
          <w:sz w:val="26"/>
        </w:rPr>
        <w:t>Assistive</w:t>
      </w:r>
      <w:r>
        <w:rPr>
          <w:spacing w:val="-8"/>
          <w:sz w:val="26"/>
        </w:rPr>
        <w:t> </w:t>
      </w:r>
      <w:r>
        <w:rPr>
          <w:sz w:val="26"/>
        </w:rPr>
        <w:t>Technology</w:t>
      </w:r>
      <w:r>
        <w:rPr>
          <w:spacing w:val="-10"/>
          <w:sz w:val="26"/>
        </w:rPr>
        <w:t> </w:t>
      </w:r>
      <w:r>
        <w:rPr>
          <w:sz w:val="26"/>
        </w:rPr>
        <w:t>in</w:t>
      </w:r>
      <w:r>
        <w:rPr>
          <w:spacing w:val="-6"/>
          <w:sz w:val="26"/>
        </w:rPr>
        <w:t> </w:t>
      </w:r>
      <w:r>
        <w:rPr>
          <w:spacing w:val="-2"/>
          <w:sz w:val="26"/>
        </w:rPr>
        <w:t>Europe</w:t>
      </w:r>
    </w:p>
    <w:p>
      <w:pPr>
        <w:pStyle w:val="ListParagraph"/>
        <w:numPr>
          <w:ilvl w:val="0"/>
          <w:numId w:val="21"/>
        </w:numPr>
        <w:tabs>
          <w:tab w:pos="2422" w:val="left" w:leader="none"/>
        </w:tabs>
        <w:spacing w:line="303" w:lineRule="exact" w:before="1" w:after="0"/>
        <w:ind w:left="2422" w:right="0" w:hanging="360"/>
        <w:jc w:val="left"/>
        <w:rPr>
          <w:sz w:val="26"/>
        </w:rPr>
      </w:pPr>
      <w:r>
        <w:rPr>
          <w:sz w:val="26"/>
        </w:rPr>
        <w:t>Royal</w:t>
      </w:r>
      <w:r>
        <w:rPr>
          <w:spacing w:val="-9"/>
          <w:sz w:val="26"/>
        </w:rPr>
        <w:t> </w:t>
      </w:r>
      <w:r>
        <w:rPr>
          <w:sz w:val="26"/>
        </w:rPr>
        <w:t>Institute</w:t>
      </w:r>
      <w:r>
        <w:rPr>
          <w:spacing w:val="-8"/>
          <w:sz w:val="26"/>
        </w:rPr>
        <w:t> </w:t>
      </w:r>
      <w:r>
        <w:rPr>
          <w:sz w:val="26"/>
        </w:rPr>
        <w:t>Architects</w:t>
      </w:r>
      <w:r>
        <w:rPr>
          <w:spacing w:val="-8"/>
          <w:sz w:val="26"/>
        </w:rPr>
        <w:t> </w:t>
      </w:r>
      <w:r>
        <w:rPr>
          <w:sz w:val="26"/>
        </w:rPr>
        <w:t>of</w:t>
      </w:r>
      <w:r>
        <w:rPr>
          <w:spacing w:val="-9"/>
          <w:sz w:val="26"/>
        </w:rPr>
        <w:t> </w:t>
      </w:r>
      <w:r>
        <w:rPr>
          <w:sz w:val="26"/>
        </w:rPr>
        <w:t>Ireland</w:t>
      </w:r>
      <w:r>
        <w:rPr>
          <w:spacing w:val="-9"/>
          <w:sz w:val="26"/>
        </w:rPr>
        <w:t> </w:t>
      </w:r>
      <w:r>
        <w:rPr>
          <w:spacing w:val="-2"/>
          <w:sz w:val="26"/>
        </w:rPr>
        <w:t>(RIAI)</w:t>
      </w:r>
    </w:p>
    <w:p>
      <w:pPr>
        <w:pStyle w:val="ListParagraph"/>
        <w:numPr>
          <w:ilvl w:val="0"/>
          <w:numId w:val="21"/>
        </w:numPr>
        <w:tabs>
          <w:tab w:pos="2422" w:val="left" w:leader="none"/>
        </w:tabs>
        <w:spacing w:line="303" w:lineRule="exact" w:before="0" w:after="0"/>
        <w:ind w:left="2422" w:right="0" w:hanging="360"/>
        <w:jc w:val="left"/>
        <w:rPr>
          <w:sz w:val="26"/>
        </w:rPr>
      </w:pPr>
      <w:r>
        <w:rPr>
          <w:sz w:val="26"/>
        </w:rPr>
        <w:t>Irish</w:t>
      </w:r>
      <w:r>
        <w:rPr>
          <w:spacing w:val="-11"/>
          <w:sz w:val="26"/>
        </w:rPr>
        <w:t> </w:t>
      </w:r>
      <w:r>
        <w:rPr>
          <w:sz w:val="26"/>
        </w:rPr>
        <w:t>Computer</w:t>
      </w:r>
      <w:r>
        <w:rPr>
          <w:spacing w:val="-8"/>
          <w:sz w:val="26"/>
        </w:rPr>
        <w:t> </w:t>
      </w:r>
      <w:r>
        <w:rPr>
          <w:spacing w:val="-2"/>
          <w:sz w:val="26"/>
        </w:rPr>
        <w:t>Society</w:t>
      </w:r>
    </w:p>
    <w:p>
      <w:pPr>
        <w:pStyle w:val="ListParagraph"/>
        <w:numPr>
          <w:ilvl w:val="0"/>
          <w:numId w:val="21"/>
        </w:numPr>
        <w:tabs>
          <w:tab w:pos="2422" w:val="left" w:leader="none"/>
        </w:tabs>
        <w:spacing w:line="240" w:lineRule="auto" w:before="1" w:after="0"/>
        <w:ind w:left="2422" w:right="0" w:hanging="360"/>
        <w:jc w:val="left"/>
        <w:rPr>
          <w:sz w:val="26"/>
        </w:rPr>
      </w:pPr>
      <w:r>
        <w:rPr>
          <w:sz w:val="26"/>
        </w:rPr>
        <w:t>Enterprise</w:t>
      </w:r>
      <w:r>
        <w:rPr>
          <w:spacing w:val="-13"/>
          <w:sz w:val="26"/>
        </w:rPr>
        <w:t> </w:t>
      </w:r>
      <w:r>
        <w:rPr>
          <w:spacing w:val="-2"/>
          <w:sz w:val="26"/>
        </w:rPr>
        <w:t>Ireland</w:t>
      </w:r>
    </w:p>
    <w:p>
      <w:pPr>
        <w:pStyle w:val="ListParagraph"/>
        <w:numPr>
          <w:ilvl w:val="0"/>
          <w:numId w:val="21"/>
        </w:numPr>
        <w:tabs>
          <w:tab w:pos="2422" w:val="left" w:leader="none"/>
        </w:tabs>
        <w:spacing w:line="429" w:lineRule="auto" w:before="1" w:after="0"/>
        <w:ind w:left="1702" w:right="5542" w:firstLine="359"/>
        <w:jc w:val="left"/>
        <w:rPr>
          <w:sz w:val="26"/>
        </w:rPr>
      </w:pPr>
      <w:r>
        <w:rPr>
          <w:sz w:val="26"/>
        </w:rPr>
        <w:t>Irish</w:t>
      </w:r>
      <w:r>
        <w:rPr>
          <w:spacing w:val="-18"/>
          <w:sz w:val="26"/>
        </w:rPr>
        <w:t> </w:t>
      </w:r>
      <w:r>
        <w:rPr>
          <w:sz w:val="26"/>
        </w:rPr>
        <w:t>Internet</w:t>
      </w:r>
      <w:r>
        <w:rPr>
          <w:spacing w:val="-18"/>
          <w:sz w:val="26"/>
        </w:rPr>
        <w:t> </w:t>
      </w:r>
      <w:r>
        <w:rPr>
          <w:sz w:val="26"/>
        </w:rPr>
        <w:t>Association European Committees</w:t>
      </w:r>
    </w:p>
    <w:p>
      <w:pPr>
        <w:pStyle w:val="ListParagraph"/>
        <w:numPr>
          <w:ilvl w:val="0"/>
          <w:numId w:val="21"/>
        </w:numPr>
        <w:tabs>
          <w:tab w:pos="2422" w:val="left" w:leader="none"/>
        </w:tabs>
        <w:spacing w:line="240" w:lineRule="auto" w:before="4" w:after="0"/>
        <w:ind w:left="2422" w:right="1559" w:hanging="360"/>
        <w:jc w:val="left"/>
        <w:rPr>
          <w:sz w:val="26"/>
        </w:rPr>
      </w:pPr>
      <w:r>
        <w:rPr>
          <w:sz w:val="26"/>
        </w:rPr>
        <w:t>Chair</w:t>
      </w:r>
      <w:r>
        <w:rPr>
          <w:spacing w:val="-6"/>
          <w:sz w:val="26"/>
        </w:rPr>
        <w:t> </w:t>
      </w:r>
      <w:r>
        <w:rPr>
          <w:sz w:val="26"/>
        </w:rPr>
        <w:t>of</w:t>
      </w:r>
      <w:r>
        <w:rPr>
          <w:spacing w:val="-5"/>
          <w:sz w:val="26"/>
        </w:rPr>
        <w:t> </w:t>
      </w:r>
      <w:r>
        <w:rPr>
          <w:sz w:val="26"/>
        </w:rPr>
        <w:t>CEN/CEN/CENELEC</w:t>
      </w:r>
      <w:r>
        <w:rPr>
          <w:spacing w:val="-8"/>
          <w:sz w:val="26"/>
        </w:rPr>
        <w:t> </w:t>
      </w:r>
      <w:r>
        <w:rPr>
          <w:sz w:val="26"/>
        </w:rPr>
        <w:t>Standards</w:t>
      </w:r>
      <w:r>
        <w:rPr>
          <w:spacing w:val="-6"/>
          <w:sz w:val="26"/>
        </w:rPr>
        <w:t> </w:t>
      </w:r>
      <w:r>
        <w:rPr>
          <w:sz w:val="26"/>
        </w:rPr>
        <w:t>working</w:t>
      </w:r>
      <w:r>
        <w:rPr>
          <w:spacing w:val="-7"/>
          <w:sz w:val="26"/>
        </w:rPr>
        <w:t> </w:t>
      </w:r>
      <w:r>
        <w:rPr>
          <w:sz w:val="26"/>
        </w:rPr>
        <w:t>group</w:t>
      </w:r>
      <w:r>
        <w:rPr>
          <w:spacing w:val="-7"/>
          <w:sz w:val="26"/>
        </w:rPr>
        <w:t> </w:t>
      </w:r>
      <w:r>
        <w:rPr>
          <w:sz w:val="26"/>
        </w:rPr>
        <w:t>on</w:t>
      </w:r>
      <w:r>
        <w:rPr>
          <w:spacing w:val="-7"/>
          <w:sz w:val="26"/>
        </w:rPr>
        <w:t> </w:t>
      </w:r>
      <w:r>
        <w:rPr>
          <w:sz w:val="26"/>
        </w:rPr>
        <w:t>EU mandate 473</w:t>
      </w:r>
    </w:p>
    <w:p>
      <w:pPr>
        <w:pStyle w:val="ListParagraph"/>
        <w:spacing w:after="0" w:line="240" w:lineRule="auto"/>
        <w:jc w:val="left"/>
        <w:rPr>
          <w:sz w:val="26"/>
        </w:rPr>
        <w:sectPr>
          <w:pgSz w:w="11910" w:h="16850"/>
          <w:pgMar w:header="0" w:footer="811" w:top="1940" w:bottom="1000" w:left="283" w:right="992"/>
        </w:sectPr>
      </w:pPr>
    </w:p>
    <w:p>
      <w:pPr>
        <w:pStyle w:val="Heading2"/>
      </w:pPr>
      <w:bookmarkStart w:name="_bookmark10" w:id="11"/>
      <w:bookmarkEnd w:id="11"/>
      <w:r>
        <w:rPr>
          <w:b w:val="0"/>
        </w:rPr>
      </w:r>
      <w:r>
        <w:rPr>
          <w:color w:val="BE2195"/>
        </w:rPr>
        <w:t>Appendix</w:t>
      </w:r>
      <w:r>
        <w:rPr>
          <w:color w:val="BE2195"/>
          <w:spacing w:val="-31"/>
        </w:rPr>
        <w:t> </w:t>
      </w:r>
      <w:r>
        <w:rPr>
          <w:color w:val="BE2195"/>
        </w:rPr>
        <w:t>3:</w:t>
      </w:r>
      <w:r>
        <w:rPr>
          <w:color w:val="BE2195"/>
          <w:spacing w:val="-44"/>
        </w:rPr>
        <w:t> </w:t>
      </w:r>
      <w:r>
        <w:rPr>
          <w:color w:val="BE2195"/>
          <w:spacing w:val="-2"/>
        </w:rPr>
        <w:t>Publications</w:t>
      </w:r>
    </w:p>
    <w:p>
      <w:pPr>
        <w:spacing w:before="0"/>
        <w:ind w:left="1702" w:right="0" w:firstLine="0"/>
        <w:jc w:val="left"/>
        <w:rPr>
          <w:rFonts w:ascii="Rockwell"/>
          <w:b/>
          <w:sz w:val="56"/>
        </w:rPr>
      </w:pPr>
      <w:r>
        <w:rPr>
          <w:rFonts w:ascii="Rockwell"/>
          <w:b/>
          <w:color w:val="BE2195"/>
          <w:sz w:val="56"/>
        </w:rPr>
        <w:t>in</w:t>
      </w:r>
      <w:r>
        <w:rPr>
          <w:rFonts w:ascii="Rockwell"/>
          <w:b/>
          <w:color w:val="BE2195"/>
          <w:spacing w:val="-8"/>
          <w:sz w:val="56"/>
        </w:rPr>
        <w:t> </w:t>
      </w:r>
      <w:r>
        <w:rPr>
          <w:rFonts w:ascii="Rockwell"/>
          <w:b/>
          <w:color w:val="BE2195"/>
          <w:spacing w:val="-4"/>
          <w:sz w:val="56"/>
        </w:rPr>
        <w:t>2017</w:t>
      </w:r>
    </w:p>
    <w:p>
      <w:pPr>
        <w:pStyle w:val="ListParagraph"/>
        <w:numPr>
          <w:ilvl w:val="0"/>
          <w:numId w:val="22"/>
        </w:numPr>
        <w:tabs>
          <w:tab w:pos="2422" w:val="left" w:leader="none"/>
        </w:tabs>
        <w:spacing w:line="240" w:lineRule="auto" w:before="120" w:after="0"/>
        <w:ind w:left="2422" w:right="0" w:hanging="360"/>
        <w:jc w:val="left"/>
        <w:rPr>
          <w:sz w:val="26"/>
        </w:rPr>
      </w:pPr>
      <w:r>
        <w:rPr>
          <w:sz w:val="26"/>
        </w:rPr>
        <w:t>National</w:t>
      </w:r>
      <w:r>
        <w:rPr>
          <w:spacing w:val="-8"/>
          <w:sz w:val="26"/>
        </w:rPr>
        <w:t> </w:t>
      </w:r>
      <w:r>
        <w:rPr>
          <w:sz w:val="26"/>
        </w:rPr>
        <w:t>Survey</w:t>
      </w:r>
      <w:r>
        <w:rPr>
          <w:spacing w:val="-8"/>
          <w:sz w:val="26"/>
        </w:rPr>
        <w:t> </w:t>
      </w:r>
      <w:r>
        <w:rPr>
          <w:sz w:val="26"/>
        </w:rPr>
        <w:t>of</w:t>
      </w:r>
      <w:r>
        <w:rPr>
          <w:spacing w:val="-7"/>
          <w:sz w:val="26"/>
        </w:rPr>
        <w:t> </w:t>
      </w:r>
      <w:r>
        <w:rPr>
          <w:sz w:val="26"/>
        </w:rPr>
        <w:t>Public</w:t>
      </w:r>
      <w:r>
        <w:rPr>
          <w:spacing w:val="-8"/>
          <w:sz w:val="26"/>
        </w:rPr>
        <w:t> </w:t>
      </w:r>
      <w:r>
        <w:rPr>
          <w:sz w:val="26"/>
        </w:rPr>
        <w:t>Attitudes</w:t>
      </w:r>
      <w:r>
        <w:rPr>
          <w:spacing w:val="-5"/>
          <w:sz w:val="26"/>
        </w:rPr>
        <w:t> </w:t>
      </w:r>
      <w:r>
        <w:rPr>
          <w:sz w:val="26"/>
        </w:rPr>
        <w:t>to</w:t>
      </w:r>
      <w:r>
        <w:rPr>
          <w:spacing w:val="-7"/>
          <w:sz w:val="26"/>
        </w:rPr>
        <w:t> </w:t>
      </w:r>
      <w:r>
        <w:rPr>
          <w:sz w:val="26"/>
        </w:rPr>
        <w:t>Disability</w:t>
      </w:r>
      <w:r>
        <w:rPr>
          <w:spacing w:val="-8"/>
          <w:sz w:val="26"/>
        </w:rPr>
        <w:t> </w:t>
      </w:r>
      <w:r>
        <w:rPr>
          <w:sz w:val="26"/>
        </w:rPr>
        <w:t>in</w:t>
      </w:r>
      <w:r>
        <w:rPr>
          <w:spacing w:val="-7"/>
          <w:sz w:val="26"/>
        </w:rPr>
        <w:t> </w:t>
      </w:r>
      <w:r>
        <w:rPr>
          <w:sz w:val="26"/>
        </w:rPr>
        <w:t>Ireland,</w:t>
      </w:r>
      <w:r>
        <w:rPr>
          <w:spacing w:val="-2"/>
          <w:sz w:val="26"/>
        </w:rPr>
        <w:t> </w:t>
      </w:r>
      <w:r>
        <w:rPr>
          <w:spacing w:val="-4"/>
          <w:sz w:val="26"/>
        </w:rPr>
        <w:t>2017</w:t>
      </w:r>
    </w:p>
    <w:p>
      <w:pPr>
        <w:pStyle w:val="ListParagraph"/>
        <w:numPr>
          <w:ilvl w:val="0"/>
          <w:numId w:val="22"/>
        </w:numPr>
        <w:tabs>
          <w:tab w:pos="2422" w:val="left" w:leader="none"/>
        </w:tabs>
        <w:spacing w:line="240" w:lineRule="auto" w:before="300" w:after="0"/>
        <w:ind w:left="2422" w:right="1418" w:hanging="360"/>
        <w:jc w:val="left"/>
        <w:rPr>
          <w:sz w:val="26"/>
        </w:rPr>
      </w:pPr>
      <w:r>
        <w:rPr>
          <w:sz w:val="26"/>
        </w:rPr>
        <w:t>Models of Good Practice in Effectively Supporting the Needs of Adults</w:t>
      </w:r>
      <w:r>
        <w:rPr>
          <w:spacing w:val="-5"/>
          <w:sz w:val="26"/>
        </w:rPr>
        <w:t> </w:t>
      </w:r>
      <w:r>
        <w:rPr>
          <w:sz w:val="26"/>
        </w:rPr>
        <w:t>with</w:t>
      </w:r>
      <w:r>
        <w:rPr>
          <w:spacing w:val="-6"/>
          <w:sz w:val="26"/>
        </w:rPr>
        <w:t> </w:t>
      </w:r>
      <w:r>
        <w:rPr>
          <w:sz w:val="26"/>
        </w:rPr>
        <w:t>Autism,</w:t>
      </w:r>
      <w:r>
        <w:rPr>
          <w:spacing w:val="-6"/>
          <w:sz w:val="26"/>
        </w:rPr>
        <w:t> </w:t>
      </w:r>
      <w:r>
        <w:rPr>
          <w:sz w:val="26"/>
        </w:rPr>
        <w:t>without</w:t>
      </w:r>
      <w:r>
        <w:rPr>
          <w:spacing w:val="-6"/>
          <w:sz w:val="26"/>
        </w:rPr>
        <w:t> </w:t>
      </w:r>
      <w:r>
        <w:rPr>
          <w:sz w:val="26"/>
        </w:rPr>
        <w:t>a</w:t>
      </w:r>
      <w:r>
        <w:rPr>
          <w:spacing w:val="-6"/>
          <w:sz w:val="26"/>
        </w:rPr>
        <w:t> </w:t>
      </w:r>
      <w:r>
        <w:rPr>
          <w:sz w:val="26"/>
        </w:rPr>
        <w:t>Concurrent</w:t>
      </w:r>
      <w:r>
        <w:rPr>
          <w:spacing w:val="-6"/>
          <w:sz w:val="26"/>
        </w:rPr>
        <w:t> </w:t>
      </w:r>
      <w:r>
        <w:rPr>
          <w:sz w:val="26"/>
        </w:rPr>
        <w:t>Intellectual</w:t>
      </w:r>
      <w:r>
        <w:rPr>
          <w:spacing w:val="-6"/>
          <w:sz w:val="26"/>
        </w:rPr>
        <w:t> </w:t>
      </w:r>
      <w:r>
        <w:rPr>
          <w:sz w:val="26"/>
        </w:rPr>
        <w:t>Disability, Living in the Community, 2017</w:t>
      </w:r>
    </w:p>
    <w:p>
      <w:pPr>
        <w:pStyle w:val="BodyText"/>
        <w:spacing w:before="1"/>
      </w:pPr>
    </w:p>
    <w:p>
      <w:pPr>
        <w:pStyle w:val="ListParagraph"/>
        <w:numPr>
          <w:ilvl w:val="0"/>
          <w:numId w:val="22"/>
        </w:numPr>
        <w:tabs>
          <w:tab w:pos="2422" w:val="left" w:leader="none"/>
        </w:tabs>
        <w:spacing w:line="240" w:lineRule="auto" w:before="0" w:after="0"/>
        <w:ind w:left="2422" w:right="1233" w:hanging="360"/>
        <w:jc w:val="left"/>
        <w:rPr>
          <w:sz w:val="26"/>
        </w:rPr>
      </w:pPr>
      <w:r>
        <w:rPr>
          <w:sz w:val="26"/>
        </w:rPr>
        <w:t>Employment</w:t>
      </w:r>
      <w:r>
        <w:rPr>
          <w:spacing w:val="-6"/>
          <w:sz w:val="26"/>
        </w:rPr>
        <w:t> </w:t>
      </w:r>
      <w:r>
        <w:rPr>
          <w:sz w:val="26"/>
        </w:rPr>
        <w:t>Transitions</w:t>
      </w:r>
      <w:r>
        <w:rPr>
          <w:spacing w:val="-5"/>
          <w:sz w:val="26"/>
        </w:rPr>
        <w:t> </w:t>
      </w:r>
      <w:r>
        <w:rPr>
          <w:sz w:val="26"/>
        </w:rPr>
        <w:t>among</w:t>
      </w:r>
      <w:r>
        <w:rPr>
          <w:spacing w:val="-6"/>
          <w:sz w:val="26"/>
        </w:rPr>
        <w:t> </w:t>
      </w:r>
      <w:r>
        <w:rPr>
          <w:sz w:val="26"/>
        </w:rPr>
        <w:t>People</w:t>
      </w:r>
      <w:r>
        <w:rPr>
          <w:spacing w:val="-6"/>
          <w:sz w:val="26"/>
        </w:rPr>
        <w:t> </w:t>
      </w:r>
      <w:r>
        <w:rPr>
          <w:sz w:val="26"/>
        </w:rPr>
        <w:t>with</w:t>
      </w:r>
      <w:r>
        <w:rPr>
          <w:spacing w:val="-4"/>
          <w:sz w:val="26"/>
        </w:rPr>
        <w:t> </w:t>
      </w:r>
      <w:r>
        <w:rPr>
          <w:sz w:val="26"/>
        </w:rPr>
        <w:t>a</w:t>
      </w:r>
      <w:r>
        <w:rPr>
          <w:spacing w:val="-6"/>
          <w:sz w:val="26"/>
        </w:rPr>
        <w:t> </w:t>
      </w:r>
      <w:r>
        <w:rPr>
          <w:sz w:val="26"/>
        </w:rPr>
        <w:t>Disability</w:t>
      </w:r>
      <w:r>
        <w:rPr>
          <w:spacing w:val="-6"/>
          <w:sz w:val="26"/>
        </w:rPr>
        <w:t> </w:t>
      </w:r>
      <w:r>
        <w:rPr>
          <w:sz w:val="26"/>
        </w:rPr>
        <w:t>in</w:t>
      </w:r>
      <w:r>
        <w:rPr>
          <w:spacing w:val="-6"/>
          <w:sz w:val="26"/>
        </w:rPr>
        <w:t> </w:t>
      </w:r>
      <w:r>
        <w:rPr>
          <w:sz w:val="26"/>
        </w:rPr>
        <w:t>Ireland: An Analysis of the Quarterly National Household Survey, ESRI, </w:t>
      </w:r>
      <w:r>
        <w:rPr>
          <w:spacing w:val="-4"/>
          <w:sz w:val="26"/>
        </w:rPr>
        <w:t>2017</w:t>
      </w:r>
    </w:p>
    <w:p>
      <w:pPr>
        <w:pStyle w:val="BodyText"/>
        <w:spacing w:before="1"/>
      </w:pPr>
    </w:p>
    <w:p>
      <w:pPr>
        <w:pStyle w:val="ListParagraph"/>
        <w:numPr>
          <w:ilvl w:val="0"/>
          <w:numId w:val="22"/>
        </w:numPr>
        <w:tabs>
          <w:tab w:pos="2422" w:val="left" w:leader="none"/>
        </w:tabs>
        <w:spacing w:line="240" w:lineRule="auto" w:before="0" w:after="0"/>
        <w:ind w:left="2422" w:right="1118" w:hanging="360"/>
        <w:jc w:val="both"/>
        <w:rPr>
          <w:sz w:val="26"/>
        </w:rPr>
      </w:pPr>
      <w:r>
        <w:rPr>
          <w:sz w:val="26"/>
        </w:rPr>
        <w:t>Research</w:t>
      </w:r>
      <w:r>
        <w:rPr>
          <w:spacing w:val="-7"/>
          <w:sz w:val="26"/>
        </w:rPr>
        <w:t> </w:t>
      </w:r>
      <w:r>
        <w:rPr>
          <w:sz w:val="26"/>
        </w:rPr>
        <w:t>Promotion</w:t>
      </w:r>
      <w:r>
        <w:rPr>
          <w:spacing w:val="-5"/>
          <w:sz w:val="26"/>
        </w:rPr>
        <w:t> </w:t>
      </w:r>
      <w:r>
        <w:rPr>
          <w:sz w:val="26"/>
        </w:rPr>
        <w:t>Scheme</w:t>
      </w:r>
      <w:r>
        <w:rPr>
          <w:spacing w:val="-7"/>
          <w:sz w:val="26"/>
        </w:rPr>
        <w:t> </w:t>
      </w:r>
      <w:r>
        <w:rPr>
          <w:sz w:val="26"/>
        </w:rPr>
        <w:t>2014:</w:t>
      </w:r>
      <w:r>
        <w:rPr>
          <w:spacing w:val="-6"/>
          <w:sz w:val="26"/>
        </w:rPr>
        <w:t> </w:t>
      </w:r>
      <w:r>
        <w:rPr>
          <w:sz w:val="26"/>
        </w:rPr>
        <w:t>Transitions</w:t>
      </w:r>
      <w:r>
        <w:rPr>
          <w:spacing w:val="-6"/>
          <w:sz w:val="26"/>
        </w:rPr>
        <w:t> </w:t>
      </w:r>
      <w:r>
        <w:rPr>
          <w:sz w:val="26"/>
        </w:rPr>
        <w:t>from</w:t>
      </w:r>
      <w:r>
        <w:rPr>
          <w:spacing w:val="-7"/>
          <w:sz w:val="26"/>
        </w:rPr>
        <w:t> </w:t>
      </w:r>
      <w:r>
        <w:rPr>
          <w:sz w:val="26"/>
        </w:rPr>
        <w:t>Education</w:t>
      </w:r>
      <w:r>
        <w:rPr>
          <w:spacing w:val="-7"/>
          <w:sz w:val="26"/>
        </w:rPr>
        <w:t> </w:t>
      </w:r>
      <w:r>
        <w:rPr>
          <w:sz w:val="26"/>
        </w:rPr>
        <w:t>and Training</w:t>
      </w:r>
      <w:r>
        <w:rPr>
          <w:spacing w:val="-4"/>
          <w:sz w:val="26"/>
        </w:rPr>
        <w:t> </w:t>
      </w:r>
      <w:r>
        <w:rPr>
          <w:sz w:val="26"/>
        </w:rPr>
        <w:t>to</w:t>
      </w:r>
      <w:r>
        <w:rPr>
          <w:spacing w:val="-4"/>
          <w:sz w:val="26"/>
        </w:rPr>
        <w:t> </w:t>
      </w:r>
      <w:r>
        <w:rPr>
          <w:sz w:val="26"/>
        </w:rPr>
        <w:t>Employment</w:t>
      </w:r>
      <w:r>
        <w:rPr>
          <w:spacing w:val="-4"/>
          <w:sz w:val="26"/>
        </w:rPr>
        <w:t> </w:t>
      </w:r>
      <w:r>
        <w:rPr>
          <w:sz w:val="26"/>
        </w:rPr>
        <w:t>for</w:t>
      </w:r>
      <w:r>
        <w:rPr>
          <w:spacing w:val="-4"/>
          <w:sz w:val="26"/>
        </w:rPr>
        <w:t> </w:t>
      </w:r>
      <w:r>
        <w:rPr>
          <w:sz w:val="26"/>
        </w:rPr>
        <w:t>People</w:t>
      </w:r>
      <w:r>
        <w:rPr>
          <w:spacing w:val="-4"/>
          <w:sz w:val="26"/>
        </w:rPr>
        <w:t> </w:t>
      </w:r>
      <w:r>
        <w:rPr>
          <w:sz w:val="26"/>
        </w:rPr>
        <w:t>with</w:t>
      </w:r>
      <w:r>
        <w:rPr>
          <w:spacing w:val="-4"/>
          <w:sz w:val="26"/>
        </w:rPr>
        <w:t> </w:t>
      </w:r>
      <w:r>
        <w:rPr>
          <w:sz w:val="26"/>
        </w:rPr>
        <w:t>Disabilities,</w:t>
      </w:r>
      <w:r>
        <w:rPr>
          <w:spacing w:val="-3"/>
          <w:sz w:val="26"/>
        </w:rPr>
        <w:t> </w:t>
      </w:r>
      <w:r>
        <w:rPr>
          <w:sz w:val="26"/>
        </w:rPr>
        <w:t>DCU,</w:t>
      </w:r>
      <w:r>
        <w:rPr>
          <w:spacing w:val="-3"/>
          <w:sz w:val="26"/>
        </w:rPr>
        <w:t> </w:t>
      </w:r>
      <w:r>
        <w:rPr>
          <w:sz w:val="26"/>
        </w:rPr>
        <w:t>Scanlon and Kamp, 2017</w:t>
      </w:r>
    </w:p>
    <w:p>
      <w:pPr>
        <w:pStyle w:val="BodyText"/>
        <w:spacing w:before="1"/>
      </w:pPr>
    </w:p>
    <w:p>
      <w:pPr>
        <w:pStyle w:val="ListParagraph"/>
        <w:numPr>
          <w:ilvl w:val="0"/>
          <w:numId w:val="22"/>
        </w:numPr>
        <w:tabs>
          <w:tab w:pos="2422" w:val="left" w:leader="none"/>
        </w:tabs>
        <w:spacing w:line="240" w:lineRule="auto" w:before="0" w:after="0"/>
        <w:ind w:left="2422" w:right="1366" w:hanging="360"/>
        <w:jc w:val="left"/>
        <w:rPr>
          <w:sz w:val="26"/>
        </w:rPr>
      </w:pPr>
      <w:r>
        <w:rPr>
          <w:sz w:val="26"/>
        </w:rPr>
        <w:t>International</w:t>
      </w:r>
      <w:r>
        <w:rPr>
          <w:spacing w:val="-6"/>
          <w:sz w:val="26"/>
        </w:rPr>
        <w:t> </w:t>
      </w:r>
      <w:r>
        <w:rPr>
          <w:sz w:val="26"/>
        </w:rPr>
        <w:t>Good</w:t>
      </w:r>
      <w:r>
        <w:rPr>
          <w:spacing w:val="-6"/>
          <w:sz w:val="26"/>
        </w:rPr>
        <w:t> </w:t>
      </w:r>
      <w:r>
        <w:rPr>
          <w:sz w:val="26"/>
        </w:rPr>
        <w:t>Practice</w:t>
      </w:r>
      <w:r>
        <w:rPr>
          <w:spacing w:val="-6"/>
          <w:sz w:val="26"/>
        </w:rPr>
        <w:t> </w:t>
      </w:r>
      <w:r>
        <w:rPr>
          <w:sz w:val="26"/>
        </w:rPr>
        <w:t>in</w:t>
      </w:r>
      <w:r>
        <w:rPr>
          <w:spacing w:val="-6"/>
          <w:sz w:val="26"/>
        </w:rPr>
        <w:t> </w:t>
      </w:r>
      <w:r>
        <w:rPr>
          <w:sz w:val="26"/>
        </w:rPr>
        <w:t>Vocational</w:t>
      </w:r>
      <w:r>
        <w:rPr>
          <w:spacing w:val="-6"/>
          <w:sz w:val="26"/>
        </w:rPr>
        <w:t> </w:t>
      </w:r>
      <w:r>
        <w:rPr>
          <w:sz w:val="26"/>
        </w:rPr>
        <w:t>Rehabilitation:</w:t>
      </w:r>
      <w:r>
        <w:rPr>
          <w:spacing w:val="-5"/>
          <w:sz w:val="26"/>
        </w:rPr>
        <w:t> </w:t>
      </w:r>
      <w:r>
        <w:rPr>
          <w:sz w:val="26"/>
        </w:rPr>
        <w:t>Lessons for Ireland, WRC, 2017</w:t>
      </w:r>
    </w:p>
    <w:p>
      <w:pPr>
        <w:pStyle w:val="ListParagraph"/>
        <w:numPr>
          <w:ilvl w:val="0"/>
          <w:numId w:val="22"/>
        </w:numPr>
        <w:tabs>
          <w:tab w:pos="2422" w:val="left" w:leader="none"/>
        </w:tabs>
        <w:spacing w:line="240" w:lineRule="auto" w:before="301" w:after="0"/>
        <w:ind w:left="2422" w:right="0" w:hanging="360"/>
        <w:jc w:val="left"/>
        <w:rPr>
          <w:sz w:val="26"/>
        </w:rPr>
      </w:pPr>
      <w:r>
        <w:rPr>
          <w:sz w:val="26"/>
        </w:rPr>
        <w:t>NDA</w:t>
      </w:r>
      <w:r>
        <w:rPr>
          <w:spacing w:val="-10"/>
          <w:sz w:val="26"/>
        </w:rPr>
        <w:t> </w:t>
      </w:r>
      <w:r>
        <w:rPr>
          <w:sz w:val="26"/>
        </w:rPr>
        <w:t>Annual</w:t>
      </w:r>
      <w:r>
        <w:rPr>
          <w:spacing w:val="-6"/>
          <w:sz w:val="26"/>
        </w:rPr>
        <w:t> </w:t>
      </w:r>
      <w:r>
        <w:rPr>
          <w:sz w:val="26"/>
        </w:rPr>
        <w:t>Report</w:t>
      </w:r>
      <w:r>
        <w:rPr>
          <w:spacing w:val="-9"/>
          <w:sz w:val="26"/>
        </w:rPr>
        <w:t> </w:t>
      </w:r>
      <w:r>
        <w:rPr>
          <w:spacing w:val="-4"/>
          <w:sz w:val="26"/>
        </w:rPr>
        <w:t>2016</w:t>
      </w:r>
    </w:p>
    <w:p>
      <w:pPr>
        <w:pStyle w:val="ListParagraph"/>
        <w:numPr>
          <w:ilvl w:val="0"/>
          <w:numId w:val="22"/>
        </w:numPr>
        <w:tabs>
          <w:tab w:pos="2422" w:val="left" w:leader="none"/>
        </w:tabs>
        <w:spacing w:line="240" w:lineRule="auto" w:before="300" w:after="0"/>
        <w:ind w:left="2422" w:right="1250" w:hanging="360"/>
        <w:jc w:val="both"/>
        <w:rPr>
          <w:sz w:val="26"/>
        </w:rPr>
      </w:pPr>
      <w:r>
        <w:rPr>
          <w:sz w:val="26"/>
        </w:rPr>
        <w:t>Research</w:t>
      </w:r>
      <w:r>
        <w:rPr>
          <w:spacing w:val="-6"/>
          <w:sz w:val="26"/>
        </w:rPr>
        <w:t> </w:t>
      </w:r>
      <w:r>
        <w:rPr>
          <w:sz w:val="26"/>
        </w:rPr>
        <w:t>into</w:t>
      </w:r>
      <w:r>
        <w:rPr>
          <w:spacing w:val="-5"/>
          <w:sz w:val="26"/>
        </w:rPr>
        <w:t> </w:t>
      </w:r>
      <w:r>
        <w:rPr>
          <w:sz w:val="26"/>
        </w:rPr>
        <w:t>the</w:t>
      </w:r>
      <w:r>
        <w:rPr>
          <w:spacing w:val="-6"/>
          <w:sz w:val="26"/>
        </w:rPr>
        <w:t> </w:t>
      </w:r>
      <w:r>
        <w:rPr>
          <w:sz w:val="26"/>
        </w:rPr>
        <w:t>implementation</w:t>
      </w:r>
      <w:r>
        <w:rPr>
          <w:spacing w:val="-6"/>
          <w:sz w:val="26"/>
        </w:rPr>
        <w:t> </w:t>
      </w:r>
      <w:r>
        <w:rPr>
          <w:sz w:val="26"/>
        </w:rPr>
        <w:t>of</w:t>
      </w:r>
      <w:r>
        <w:rPr>
          <w:spacing w:val="-6"/>
          <w:sz w:val="26"/>
        </w:rPr>
        <w:t> </w:t>
      </w:r>
      <w:r>
        <w:rPr>
          <w:sz w:val="26"/>
        </w:rPr>
        <w:t>Resource</w:t>
      </w:r>
      <w:r>
        <w:rPr>
          <w:spacing w:val="-6"/>
          <w:sz w:val="26"/>
        </w:rPr>
        <w:t> </w:t>
      </w:r>
      <w:r>
        <w:rPr>
          <w:sz w:val="26"/>
        </w:rPr>
        <w:t>Allocation</w:t>
      </w:r>
      <w:r>
        <w:rPr>
          <w:spacing w:val="-6"/>
          <w:sz w:val="26"/>
        </w:rPr>
        <w:t> </w:t>
      </w:r>
      <w:r>
        <w:rPr>
          <w:sz w:val="26"/>
        </w:rPr>
        <w:t>Models, SQW, 2017</w:t>
      </w:r>
    </w:p>
    <w:p>
      <w:pPr>
        <w:pStyle w:val="BodyText"/>
        <w:spacing w:before="2"/>
      </w:pPr>
    </w:p>
    <w:p>
      <w:pPr>
        <w:pStyle w:val="ListParagraph"/>
        <w:numPr>
          <w:ilvl w:val="0"/>
          <w:numId w:val="22"/>
        </w:numPr>
        <w:tabs>
          <w:tab w:pos="2422" w:val="left" w:leader="none"/>
        </w:tabs>
        <w:spacing w:line="240" w:lineRule="auto" w:before="0" w:after="0"/>
        <w:ind w:left="2422" w:right="0" w:hanging="360"/>
        <w:jc w:val="left"/>
        <w:rPr>
          <w:sz w:val="26"/>
        </w:rPr>
      </w:pPr>
      <w:r>
        <w:rPr>
          <w:sz w:val="26"/>
        </w:rPr>
        <w:t>NDA</w:t>
      </w:r>
      <w:r>
        <w:rPr>
          <w:spacing w:val="-7"/>
          <w:sz w:val="26"/>
        </w:rPr>
        <w:t> </w:t>
      </w:r>
      <w:r>
        <w:rPr>
          <w:sz w:val="26"/>
        </w:rPr>
        <w:t>Synthesis</w:t>
      </w:r>
      <w:r>
        <w:rPr>
          <w:spacing w:val="-8"/>
          <w:sz w:val="26"/>
        </w:rPr>
        <w:t> </w:t>
      </w:r>
      <w:r>
        <w:rPr>
          <w:sz w:val="26"/>
        </w:rPr>
        <w:t>of</w:t>
      </w:r>
      <w:r>
        <w:rPr>
          <w:spacing w:val="-9"/>
          <w:sz w:val="26"/>
        </w:rPr>
        <w:t> </w:t>
      </w:r>
      <w:r>
        <w:rPr>
          <w:sz w:val="26"/>
        </w:rPr>
        <w:t>Research</w:t>
      </w:r>
      <w:r>
        <w:rPr>
          <w:spacing w:val="-8"/>
          <w:sz w:val="26"/>
        </w:rPr>
        <w:t> </w:t>
      </w:r>
      <w:r>
        <w:rPr>
          <w:sz w:val="26"/>
        </w:rPr>
        <w:t>on</w:t>
      </w:r>
      <w:r>
        <w:rPr>
          <w:spacing w:val="-9"/>
          <w:sz w:val="26"/>
        </w:rPr>
        <w:t> </w:t>
      </w:r>
      <w:r>
        <w:rPr>
          <w:sz w:val="26"/>
        </w:rPr>
        <w:t>Personalised</w:t>
      </w:r>
      <w:r>
        <w:rPr>
          <w:spacing w:val="-8"/>
          <w:sz w:val="26"/>
        </w:rPr>
        <w:t> </w:t>
      </w:r>
      <w:r>
        <w:rPr>
          <w:sz w:val="26"/>
        </w:rPr>
        <w:t>Budgets,</w:t>
      </w:r>
      <w:r>
        <w:rPr>
          <w:spacing w:val="-8"/>
          <w:sz w:val="26"/>
        </w:rPr>
        <w:t> </w:t>
      </w:r>
      <w:r>
        <w:rPr>
          <w:sz w:val="26"/>
        </w:rPr>
        <w:t>NDA</w:t>
      </w:r>
      <w:r>
        <w:rPr>
          <w:spacing w:val="-7"/>
          <w:sz w:val="26"/>
        </w:rPr>
        <w:t> </w:t>
      </w:r>
      <w:r>
        <w:rPr>
          <w:spacing w:val="-4"/>
          <w:sz w:val="26"/>
        </w:rPr>
        <w:t>2017</w:t>
      </w:r>
    </w:p>
    <w:p>
      <w:pPr>
        <w:pStyle w:val="ListParagraph"/>
        <w:numPr>
          <w:ilvl w:val="0"/>
          <w:numId w:val="22"/>
        </w:numPr>
        <w:tabs>
          <w:tab w:pos="2422" w:val="left" w:leader="none"/>
        </w:tabs>
        <w:spacing w:line="240" w:lineRule="auto" w:before="301" w:after="0"/>
        <w:ind w:left="2422" w:right="1047" w:hanging="360"/>
        <w:jc w:val="left"/>
        <w:rPr>
          <w:sz w:val="26"/>
        </w:rPr>
      </w:pPr>
      <w:r>
        <w:rPr>
          <w:sz w:val="26"/>
        </w:rPr>
        <w:t>Issues 14 (March), 15 (May), 16 (September) and 17 (December) of the NDA Newsletter: </w:t>
      </w:r>
      <w:hyperlink r:id="rId15">
        <w:r>
          <w:rPr>
            <w:spacing w:val="-2"/>
            <w:sz w:val="26"/>
          </w:rPr>
          <w:t>http://nationaldisabilityauthority.newsweaver.com/Newsletter/1xu8r</w:t>
        </w:r>
      </w:hyperlink>
      <w:r>
        <w:rPr>
          <w:spacing w:val="-2"/>
          <w:sz w:val="26"/>
        </w:rPr>
        <w:t> bw52y4</w:t>
      </w:r>
    </w:p>
    <w:p>
      <w:pPr>
        <w:pStyle w:val="ListParagraph"/>
        <w:spacing w:after="0" w:line="240" w:lineRule="auto"/>
        <w:jc w:val="left"/>
        <w:rPr>
          <w:sz w:val="26"/>
        </w:rPr>
        <w:sectPr>
          <w:pgSz w:w="11910" w:h="16850"/>
          <w:pgMar w:header="0" w:footer="811" w:top="1880" w:bottom="1000" w:left="283" w:right="992"/>
        </w:sectPr>
      </w:pPr>
    </w:p>
    <w:p>
      <w:pPr>
        <w:pStyle w:val="Heading2"/>
        <w:ind w:right="988"/>
      </w:pPr>
      <w:bookmarkStart w:name="_bookmark11" w:id="12"/>
      <w:bookmarkEnd w:id="12"/>
      <w:r>
        <w:rPr>
          <w:b w:val="0"/>
        </w:rPr>
      </w:r>
      <w:r>
        <w:rPr>
          <w:color w:val="BE2195"/>
        </w:rPr>
        <w:t>Appendix</w:t>
      </w:r>
      <w:r>
        <w:rPr>
          <w:color w:val="BE2195"/>
          <w:spacing w:val="-35"/>
        </w:rPr>
        <w:t> </w:t>
      </w:r>
      <w:r>
        <w:rPr>
          <w:color w:val="BE2195"/>
        </w:rPr>
        <w:t>4:</w:t>
      </w:r>
      <w:r>
        <w:rPr>
          <w:color w:val="BE2195"/>
          <w:spacing w:val="-44"/>
        </w:rPr>
        <w:t> </w:t>
      </w:r>
      <w:r>
        <w:rPr>
          <w:color w:val="BE2195"/>
        </w:rPr>
        <w:t>Policy</w:t>
      </w:r>
      <w:r>
        <w:rPr>
          <w:color w:val="BE2195"/>
          <w:spacing w:val="-26"/>
        </w:rPr>
        <w:t> </w:t>
      </w:r>
      <w:r>
        <w:rPr>
          <w:color w:val="BE2195"/>
        </w:rPr>
        <w:t>advice papers in 2017</w:t>
      </w:r>
    </w:p>
    <w:p>
      <w:pPr>
        <w:pStyle w:val="BodyText"/>
        <w:spacing w:before="120"/>
        <w:ind w:left="1702"/>
      </w:pPr>
      <w:r>
        <w:rPr/>
        <w:t>Policy</w:t>
      </w:r>
      <w:r>
        <w:rPr>
          <w:spacing w:val="-8"/>
        </w:rPr>
        <w:t> </w:t>
      </w:r>
      <w:r>
        <w:rPr/>
        <w:t>advice</w:t>
      </w:r>
      <w:r>
        <w:rPr>
          <w:spacing w:val="-6"/>
        </w:rPr>
        <w:t> </w:t>
      </w:r>
      <w:r>
        <w:rPr/>
        <w:t>papers</w:t>
      </w:r>
      <w:r>
        <w:rPr>
          <w:spacing w:val="-5"/>
        </w:rPr>
        <w:t> </w:t>
      </w:r>
      <w:r>
        <w:rPr/>
        <w:t>issued</w:t>
      </w:r>
      <w:r>
        <w:rPr>
          <w:spacing w:val="-7"/>
        </w:rPr>
        <w:t> </w:t>
      </w:r>
      <w:r>
        <w:rPr/>
        <w:t>in</w:t>
      </w:r>
      <w:r>
        <w:rPr>
          <w:spacing w:val="-4"/>
        </w:rPr>
        <w:t> </w:t>
      </w:r>
      <w:r>
        <w:rPr/>
        <w:t>2017</w:t>
      </w:r>
      <w:r>
        <w:rPr>
          <w:spacing w:val="-7"/>
        </w:rPr>
        <w:t> </w:t>
      </w:r>
      <w:r>
        <w:rPr>
          <w:spacing w:val="-2"/>
        </w:rPr>
        <w:t>included:</w:t>
      </w:r>
    </w:p>
    <w:p>
      <w:pPr>
        <w:pStyle w:val="ListParagraph"/>
        <w:numPr>
          <w:ilvl w:val="0"/>
          <w:numId w:val="23"/>
        </w:numPr>
        <w:tabs>
          <w:tab w:pos="2059" w:val="left" w:leader="none"/>
        </w:tabs>
        <w:spacing w:line="360" w:lineRule="auto" w:before="239" w:after="0"/>
        <w:ind w:left="2059" w:right="1533" w:hanging="358"/>
        <w:jc w:val="left"/>
        <w:rPr>
          <w:sz w:val="26"/>
        </w:rPr>
      </w:pPr>
      <w:r>
        <w:rPr>
          <w:sz w:val="26"/>
        </w:rPr>
        <w:t>HSE:</w:t>
      </w:r>
      <w:r>
        <w:rPr>
          <w:spacing w:val="-4"/>
          <w:sz w:val="26"/>
        </w:rPr>
        <w:t> </w:t>
      </w:r>
      <w:r>
        <w:rPr>
          <w:sz w:val="26"/>
        </w:rPr>
        <w:t>Best</w:t>
      </w:r>
      <w:r>
        <w:rPr>
          <w:spacing w:val="-4"/>
          <w:sz w:val="26"/>
        </w:rPr>
        <w:t> </w:t>
      </w:r>
      <w:r>
        <w:rPr>
          <w:sz w:val="26"/>
        </w:rPr>
        <w:t>practice</w:t>
      </w:r>
      <w:r>
        <w:rPr>
          <w:spacing w:val="-4"/>
          <w:sz w:val="26"/>
        </w:rPr>
        <w:t> </w:t>
      </w:r>
      <w:r>
        <w:rPr>
          <w:sz w:val="26"/>
        </w:rPr>
        <w:t>in</w:t>
      </w:r>
      <w:r>
        <w:rPr>
          <w:spacing w:val="-4"/>
          <w:sz w:val="26"/>
        </w:rPr>
        <w:t> </w:t>
      </w:r>
      <w:r>
        <w:rPr>
          <w:sz w:val="26"/>
        </w:rPr>
        <w:t>selection</w:t>
      </w:r>
      <w:r>
        <w:rPr>
          <w:spacing w:val="-4"/>
          <w:sz w:val="26"/>
        </w:rPr>
        <w:t> </w:t>
      </w:r>
      <w:r>
        <w:rPr>
          <w:sz w:val="26"/>
        </w:rPr>
        <w:t>and</w:t>
      </w:r>
      <w:r>
        <w:rPr>
          <w:spacing w:val="-4"/>
          <w:sz w:val="26"/>
        </w:rPr>
        <w:t> </w:t>
      </w:r>
      <w:r>
        <w:rPr>
          <w:sz w:val="26"/>
        </w:rPr>
        <w:t>adaptation</w:t>
      </w:r>
      <w:r>
        <w:rPr>
          <w:spacing w:val="-3"/>
          <w:sz w:val="26"/>
        </w:rPr>
        <w:t> </w:t>
      </w:r>
      <w:r>
        <w:rPr>
          <w:sz w:val="26"/>
        </w:rPr>
        <w:t>of</w:t>
      </w:r>
      <w:r>
        <w:rPr>
          <w:spacing w:val="-4"/>
          <w:sz w:val="26"/>
        </w:rPr>
        <w:t> </w:t>
      </w:r>
      <w:r>
        <w:rPr>
          <w:sz w:val="26"/>
        </w:rPr>
        <w:t>homes</w:t>
      </w:r>
      <w:r>
        <w:rPr>
          <w:spacing w:val="-4"/>
          <w:sz w:val="26"/>
        </w:rPr>
        <w:t> </w:t>
      </w:r>
      <w:r>
        <w:rPr>
          <w:sz w:val="26"/>
        </w:rPr>
        <w:t>for</w:t>
      </w:r>
      <w:r>
        <w:rPr>
          <w:spacing w:val="-4"/>
          <w:sz w:val="26"/>
        </w:rPr>
        <w:t> </w:t>
      </w:r>
      <w:r>
        <w:rPr>
          <w:sz w:val="26"/>
        </w:rPr>
        <w:t>people moving from congregated settings</w:t>
      </w:r>
    </w:p>
    <w:p>
      <w:pPr>
        <w:pStyle w:val="ListParagraph"/>
        <w:numPr>
          <w:ilvl w:val="0"/>
          <w:numId w:val="23"/>
        </w:numPr>
        <w:tabs>
          <w:tab w:pos="2062" w:val="left" w:leader="none"/>
        </w:tabs>
        <w:spacing w:line="360" w:lineRule="auto" w:before="1" w:after="0"/>
        <w:ind w:left="2062" w:right="1154" w:hanging="360"/>
        <w:jc w:val="left"/>
        <w:rPr>
          <w:sz w:val="26"/>
        </w:rPr>
      </w:pPr>
      <w:r>
        <w:rPr>
          <w:sz w:val="26"/>
        </w:rPr>
        <w:t>Department</w:t>
      </w:r>
      <w:r>
        <w:rPr>
          <w:spacing w:val="-6"/>
          <w:sz w:val="26"/>
        </w:rPr>
        <w:t> </w:t>
      </w:r>
      <w:r>
        <w:rPr>
          <w:sz w:val="26"/>
        </w:rPr>
        <w:t>of</w:t>
      </w:r>
      <w:r>
        <w:rPr>
          <w:spacing w:val="-6"/>
          <w:sz w:val="26"/>
        </w:rPr>
        <w:t> </w:t>
      </w:r>
      <w:r>
        <w:rPr>
          <w:sz w:val="26"/>
        </w:rPr>
        <w:t>Housing,</w:t>
      </w:r>
      <w:r>
        <w:rPr>
          <w:spacing w:val="-6"/>
          <w:sz w:val="26"/>
        </w:rPr>
        <w:t> </w:t>
      </w:r>
      <w:r>
        <w:rPr>
          <w:sz w:val="26"/>
        </w:rPr>
        <w:t>Planning,</w:t>
      </w:r>
      <w:r>
        <w:rPr>
          <w:spacing w:val="-5"/>
          <w:sz w:val="26"/>
        </w:rPr>
        <w:t> </w:t>
      </w:r>
      <w:r>
        <w:rPr>
          <w:sz w:val="26"/>
        </w:rPr>
        <w:t>Community</w:t>
      </w:r>
      <w:r>
        <w:rPr>
          <w:spacing w:val="-6"/>
          <w:sz w:val="26"/>
        </w:rPr>
        <w:t> </w:t>
      </w:r>
      <w:r>
        <w:rPr>
          <w:sz w:val="26"/>
        </w:rPr>
        <w:t>and</w:t>
      </w:r>
      <w:r>
        <w:rPr>
          <w:spacing w:val="-6"/>
          <w:sz w:val="26"/>
        </w:rPr>
        <w:t> </w:t>
      </w:r>
      <w:r>
        <w:rPr>
          <w:sz w:val="26"/>
        </w:rPr>
        <w:t>Local</w:t>
      </w:r>
      <w:r>
        <w:rPr>
          <w:spacing w:val="-5"/>
          <w:sz w:val="26"/>
        </w:rPr>
        <w:t> </w:t>
      </w:r>
      <w:r>
        <w:rPr>
          <w:sz w:val="26"/>
        </w:rPr>
        <w:t>Government: Submission to the Public Consultation on the Review of Part B (Fire Safety) of the Building Regulations 2017</w:t>
      </w:r>
    </w:p>
    <w:p>
      <w:pPr>
        <w:pStyle w:val="ListParagraph"/>
        <w:numPr>
          <w:ilvl w:val="0"/>
          <w:numId w:val="23"/>
        </w:numPr>
        <w:tabs>
          <w:tab w:pos="2062" w:val="left" w:leader="none"/>
        </w:tabs>
        <w:spacing w:line="360" w:lineRule="auto" w:before="0" w:after="0"/>
        <w:ind w:left="2062" w:right="1110" w:hanging="360"/>
        <w:jc w:val="left"/>
        <w:rPr>
          <w:sz w:val="26"/>
        </w:rPr>
      </w:pPr>
      <w:r>
        <w:rPr>
          <w:sz w:val="26"/>
        </w:rPr>
        <w:t>Dublin</w:t>
      </w:r>
      <w:r>
        <w:rPr>
          <w:spacing w:val="-6"/>
          <w:sz w:val="26"/>
        </w:rPr>
        <w:t> </w:t>
      </w:r>
      <w:r>
        <w:rPr>
          <w:sz w:val="26"/>
        </w:rPr>
        <w:t>City</w:t>
      </w:r>
      <w:r>
        <w:rPr>
          <w:spacing w:val="-4"/>
          <w:sz w:val="26"/>
        </w:rPr>
        <w:t> </w:t>
      </w:r>
      <w:r>
        <w:rPr>
          <w:sz w:val="26"/>
        </w:rPr>
        <w:t>Council:</w:t>
      </w:r>
      <w:r>
        <w:rPr>
          <w:spacing w:val="-5"/>
          <w:sz w:val="26"/>
        </w:rPr>
        <w:t> </w:t>
      </w:r>
      <w:r>
        <w:rPr>
          <w:sz w:val="26"/>
        </w:rPr>
        <w:t>Submission</w:t>
      </w:r>
      <w:r>
        <w:rPr>
          <w:spacing w:val="-6"/>
          <w:sz w:val="26"/>
        </w:rPr>
        <w:t> </w:t>
      </w:r>
      <w:r>
        <w:rPr>
          <w:sz w:val="26"/>
        </w:rPr>
        <w:t>to</w:t>
      </w:r>
      <w:r>
        <w:rPr>
          <w:spacing w:val="-5"/>
          <w:sz w:val="26"/>
        </w:rPr>
        <w:t> </w:t>
      </w:r>
      <w:r>
        <w:rPr>
          <w:sz w:val="26"/>
        </w:rPr>
        <w:t>the</w:t>
      </w:r>
      <w:r>
        <w:rPr>
          <w:spacing w:val="-6"/>
          <w:sz w:val="26"/>
        </w:rPr>
        <w:t> </w:t>
      </w:r>
      <w:r>
        <w:rPr>
          <w:sz w:val="26"/>
        </w:rPr>
        <w:t>Public</w:t>
      </w:r>
      <w:r>
        <w:rPr>
          <w:spacing w:val="-6"/>
          <w:sz w:val="26"/>
        </w:rPr>
        <w:t> </w:t>
      </w:r>
      <w:r>
        <w:rPr>
          <w:sz w:val="26"/>
        </w:rPr>
        <w:t>Consultation</w:t>
      </w:r>
      <w:r>
        <w:rPr>
          <w:spacing w:val="-6"/>
          <w:sz w:val="26"/>
        </w:rPr>
        <w:t> </w:t>
      </w:r>
      <w:r>
        <w:rPr>
          <w:sz w:val="26"/>
        </w:rPr>
        <w:t>on College Green Traffic Management Measures</w:t>
      </w:r>
    </w:p>
    <w:p>
      <w:pPr>
        <w:pStyle w:val="ListParagraph"/>
        <w:numPr>
          <w:ilvl w:val="0"/>
          <w:numId w:val="23"/>
        </w:numPr>
        <w:tabs>
          <w:tab w:pos="2059" w:val="left" w:leader="none"/>
        </w:tabs>
        <w:spacing w:line="240" w:lineRule="auto" w:before="0" w:after="0"/>
        <w:ind w:left="2059" w:right="0" w:hanging="357"/>
        <w:jc w:val="left"/>
        <w:rPr>
          <w:sz w:val="26"/>
        </w:rPr>
      </w:pPr>
      <w:r>
        <w:rPr>
          <w:sz w:val="26"/>
        </w:rPr>
        <w:t>Department</w:t>
      </w:r>
      <w:r>
        <w:rPr>
          <w:spacing w:val="-9"/>
          <w:sz w:val="26"/>
        </w:rPr>
        <w:t> </w:t>
      </w:r>
      <w:r>
        <w:rPr>
          <w:sz w:val="26"/>
        </w:rPr>
        <w:t>of</w:t>
      </w:r>
      <w:r>
        <w:rPr>
          <w:spacing w:val="-7"/>
          <w:sz w:val="26"/>
        </w:rPr>
        <w:t> </w:t>
      </w:r>
      <w:r>
        <w:rPr>
          <w:sz w:val="26"/>
        </w:rPr>
        <w:t>Children</w:t>
      </w:r>
      <w:r>
        <w:rPr>
          <w:spacing w:val="-9"/>
          <w:sz w:val="26"/>
        </w:rPr>
        <w:t> </w:t>
      </w:r>
      <w:r>
        <w:rPr>
          <w:sz w:val="26"/>
        </w:rPr>
        <w:t>and</w:t>
      </w:r>
      <w:r>
        <w:rPr>
          <w:spacing w:val="-9"/>
          <w:sz w:val="26"/>
        </w:rPr>
        <w:t> </w:t>
      </w:r>
      <w:r>
        <w:rPr>
          <w:sz w:val="26"/>
        </w:rPr>
        <w:t>Youth</w:t>
      </w:r>
      <w:r>
        <w:rPr>
          <w:spacing w:val="-9"/>
          <w:sz w:val="26"/>
        </w:rPr>
        <w:t> </w:t>
      </w:r>
      <w:r>
        <w:rPr>
          <w:sz w:val="26"/>
        </w:rPr>
        <w:t>Affairs:</w:t>
      </w:r>
      <w:r>
        <w:rPr>
          <w:spacing w:val="-7"/>
          <w:sz w:val="26"/>
        </w:rPr>
        <w:t> </w:t>
      </w:r>
      <w:r>
        <w:rPr>
          <w:sz w:val="26"/>
        </w:rPr>
        <w:t>Affordable</w:t>
      </w:r>
      <w:r>
        <w:rPr>
          <w:spacing w:val="-9"/>
          <w:sz w:val="26"/>
        </w:rPr>
        <w:t> </w:t>
      </w:r>
      <w:r>
        <w:rPr>
          <w:spacing w:val="-2"/>
          <w:sz w:val="26"/>
        </w:rPr>
        <w:t>Childcare</w:t>
      </w:r>
    </w:p>
    <w:p>
      <w:pPr>
        <w:pStyle w:val="ListParagraph"/>
        <w:numPr>
          <w:ilvl w:val="0"/>
          <w:numId w:val="23"/>
        </w:numPr>
        <w:tabs>
          <w:tab w:pos="2059" w:val="left" w:leader="none"/>
        </w:tabs>
        <w:spacing w:line="360" w:lineRule="auto" w:before="149" w:after="0"/>
        <w:ind w:left="2059" w:right="1622" w:hanging="358"/>
        <w:jc w:val="left"/>
        <w:rPr>
          <w:sz w:val="26"/>
        </w:rPr>
      </w:pPr>
      <w:r>
        <w:rPr>
          <w:sz w:val="26"/>
        </w:rPr>
        <w:t>Department</w:t>
      </w:r>
      <w:r>
        <w:rPr>
          <w:spacing w:val="-6"/>
          <w:sz w:val="26"/>
        </w:rPr>
        <w:t> </w:t>
      </w:r>
      <w:r>
        <w:rPr>
          <w:sz w:val="26"/>
        </w:rPr>
        <w:t>of</w:t>
      </w:r>
      <w:r>
        <w:rPr>
          <w:spacing w:val="-4"/>
          <w:sz w:val="26"/>
        </w:rPr>
        <w:t> </w:t>
      </w:r>
      <w:r>
        <w:rPr>
          <w:sz w:val="26"/>
        </w:rPr>
        <w:t>Children</w:t>
      </w:r>
      <w:r>
        <w:rPr>
          <w:spacing w:val="-6"/>
          <w:sz w:val="26"/>
        </w:rPr>
        <w:t> </w:t>
      </w:r>
      <w:r>
        <w:rPr>
          <w:sz w:val="26"/>
        </w:rPr>
        <w:t>and</w:t>
      </w:r>
      <w:r>
        <w:rPr>
          <w:spacing w:val="-6"/>
          <w:sz w:val="26"/>
        </w:rPr>
        <w:t> </w:t>
      </w:r>
      <w:r>
        <w:rPr>
          <w:sz w:val="26"/>
        </w:rPr>
        <w:t>Youth</w:t>
      </w:r>
      <w:r>
        <w:rPr>
          <w:spacing w:val="-6"/>
          <w:sz w:val="26"/>
        </w:rPr>
        <w:t> </w:t>
      </w:r>
      <w:r>
        <w:rPr>
          <w:sz w:val="26"/>
        </w:rPr>
        <w:t>Affairs:</w:t>
      </w:r>
      <w:r>
        <w:rPr>
          <w:spacing w:val="40"/>
          <w:sz w:val="26"/>
        </w:rPr>
        <w:t> </w:t>
      </w:r>
      <w:r>
        <w:rPr>
          <w:sz w:val="26"/>
        </w:rPr>
        <w:t>Statement</w:t>
      </w:r>
      <w:r>
        <w:rPr>
          <w:spacing w:val="-6"/>
          <w:sz w:val="26"/>
        </w:rPr>
        <w:t> </w:t>
      </w:r>
      <w:r>
        <w:rPr>
          <w:sz w:val="26"/>
        </w:rPr>
        <w:t>of</w:t>
      </w:r>
      <w:r>
        <w:rPr>
          <w:spacing w:val="-4"/>
          <w:sz w:val="26"/>
        </w:rPr>
        <w:t> </w:t>
      </w:r>
      <w:r>
        <w:rPr>
          <w:sz w:val="26"/>
        </w:rPr>
        <w:t>Strategy </w:t>
      </w:r>
      <w:r>
        <w:rPr>
          <w:spacing w:val="-2"/>
          <w:sz w:val="26"/>
        </w:rPr>
        <w:t>2017-2019</w:t>
      </w:r>
    </w:p>
    <w:p>
      <w:pPr>
        <w:pStyle w:val="ListParagraph"/>
        <w:numPr>
          <w:ilvl w:val="0"/>
          <w:numId w:val="23"/>
        </w:numPr>
        <w:tabs>
          <w:tab w:pos="2059" w:val="left" w:leader="none"/>
        </w:tabs>
        <w:spacing w:line="240" w:lineRule="auto" w:before="1" w:after="0"/>
        <w:ind w:left="2059" w:right="0" w:hanging="357"/>
        <w:jc w:val="left"/>
        <w:rPr>
          <w:sz w:val="26"/>
        </w:rPr>
      </w:pPr>
      <w:r>
        <w:rPr>
          <w:sz w:val="26"/>
        </w:rPr>
        <w:t>Department</w:t>
      </w:r>
      <w:r>
        <w:rPr>
          <w:spacing w:val="-9"/>
          <w:sz w:val="26"/>
        </w:rPr>
        <w:t> </w:t>
      </w:r>
      <w:r>
        <w:rPr>
          <w:sz w:val="26"/>
        </w:rPr>
        <w:t>of</w:t>
      </w:r>
      <w:r>
        <w:rPr>
          <w:spacing w:val="-8"/>
          <w:sz w:val="26"/>
        </w:rPr>
        <w:t> </w:t>
      </w:r>
      <w:r>
        <w:rPr>
          <w:sz w:val="26"/>
        </w:rPr>
        <w:t>Education</w:t>
      </w:r>
      <w:r>
        <w:rPr>
          <w:spacing w:val="-8"/>
          <w:sz w:val="26"/>
        </w:rPr>
        <w:t> </w:t>
      </w:r>
      <w:r>
        <w:rPr>
          <w:sz w:val="26"/>
        </w:rPr>
        <w:t>and</w:t>
      </w:r>
      <w:r>
        <w:rPr>
          <w:spacing w:val="-8"/>
          <w:sz w:val="26"/>
        </w:rPr>
        <w:t> </w:t>
      </w:r>
      <w:r>
        <w:rPr>
          <w:sz w:val="26"/>
        </w:rPr>
        <w:t>Skills:</w:t>
      </w:r>
      <w:r>
        <w:rPr>
          <w:spacing w:val="-7"/>
          <w:sz w:val="26"/>
        </w:rPr>
        <w:t> </w:t>
      </w:r>
      <w:r>
        <w:rPr>
          <w:sz w:val="26"/>
        </w:rPr>
        <w:t>Statement</w:t>
      </w:r>
      <w:r>
        <w:rPr>
          <w:spacing w:val="-8"/>
          <w:sz w:val="26"/>
        </w:rPr>
        <w:t> </w:t>
      </w:r>
      <w:r>
        <w:rPr>
          <w:sz w:val="26"/>
        </w:rPr>
        <w:t>of</w:t>
      </w:r>
      <w:r>
        <w:rPr>
          <w:spacing w:val="-8"/>
          <w:sz w:val="26"/>
        </w:rPr>
        <w:t> </w:t>
      </w:r>
      <w:r>
        <w:rPr>
          <w:sz w:val="26"/>
        </w:rPr>
        <w:t>Strategy</w:t>
      </w:r>
      <w:r>
        <w:rPr>
          <w:spacing w:val="-4"/>
          <w:sz w:val="26"/>
        </w:rPr>
        <w:t> </w:t>
      </w:r>
      <w:r>
        <w:rPr>
          <w:sz w:val="26"/>
        </w:rPr>
        <w:t>2017-</w:t>
      </w:r>
      <w:r>
        <w:rPr>
          <w:spacing w:val="-4"/>
          <w:sz w:val="26"/>
        </w:rPr>
        <w:t>2018</w:t>
      </w:r>
    </w:p>
    <w:p>
      <w:pPr>
        <w:pStyle w:val="ListParagraph"/>
        <w:numPr>
          <w:ilvl w:val="0"/>
          <w:numId w:val="23"/>
        </w:numPr>
        <w:tabs>
          <w:tab w:pos="2059" w:val="left" w:leader="none"/>
        </w:tabs>
        <w:spacing w:line="360" w:lineRule="auto" w:before="152" w:after="0"/>
        <w:ind w:left="2059" w:right="1335" w:hanging="358"/>
        <w:jc w:val="left"/>
        <w:rPr>
          <w:sz w:val="26"/>
        </w:rPr>
      </w:pPr>
      <w:r>
        <w:rPr>
          <w:sz w:val="26"/>
        </w:rPr>
        <w:t>Department of Health: Proposed Regulation of Counsellors and Psychotherapists</w:t>
      </w:r>
      <w:r>
        <w:rPr>
          <w:spacing w:val="-6"/>
          <w:sz w:val="26"/>
        </w:rPr>
        <w:t> </w:t>
      </w:r>
      <w:r>
        <w:rPr>
          <w:sz w:val="26"/>
        </w:rPr>
        <w:t>under</w:t>
      </w:r>
      <w:r>
        <w:rPr>
          <w:spacing w:val="-4"/>
          <w:sz w:val="26"/>
        </w:rPr>
        <w:t> </w:t>
      </w:r>
      <w:r>
        <w:rPr>
          <w:sz w:val="26"/>
        </w:rPr>
        <w:t>the</w:t>
      </w:r>
      <w:r>
        <w:rPr>
          <w:spacing w:val="-7"/>
          <w:sz w:val="26"/>
        </w:rPr>
        <w:t> </w:t>
      </w:r>
      <w:r>
        <w:rPr>
          <w:sz w:val="26"/>
        </w:rPr>
        <w:t>Health</w:t>
      </w:r>
      <w:r>
        <w:rPr>
          <w:spacing w:val="-7"/>
          <w:sz w:val="26"/>
        </w:rPr>
        <w:t> </w:t>
      </w:r>
      <w:r>
        <w:rPr>
          <w:sz w:val="26"/>
        </w:rPr>
        <w:t>and</w:t>
      </w:r>
      <w:r>
        <w:rPr>
          <w:spacing w:val="-5"/>
          <w:sz w:val="26"/>
        </w:rPr>
        <w:t> </w:t>
      </w:r>
      <w:r>
        <w:rPr>
          <w:sz w:val="26"/>
        </w:rPr>
        <w:t>Social</w:t>
      </w:r>
      <w:r>
        <w:rPr>
          <w:spacing w:val="-4"/>
          <w:sz w:val="26"/>
        </w:rPr>
        <w:t> </w:t>
      </w:r>
      <w:r>
        <w:rPr>
          <w:sz w:val="26"/>
        </w:rPr>
        <w:t>Care</w:t>
      </w:r>
      <w:r>
        <w:rPr>
          <w:spacing w:val="-6"/>
          <w:sz w:val="26"/>
        </w:rPr>
        <w:t> </w:t>
      </w:r>
      <w:r>
        <w:rPr>
          <w:sz w:val="26"/>
        </w:rPr>
        <w:t>Professionals</w:t>
      </w:r>
      <w:r>
        <w:rPr>
          <w:spacing w:val="-5"/>
          <w:sz w:val="26"/>
        </w:rPr>
        <w:t> </w:t>
      </w:r>
      <w:r>
        <w:rPr>
          <w:sz w:val="26"/>
        </w:rPr>
        <w:t>Act </w:t>
      </w:r>
      <w:r>
        <w:rPr>
          <w:spacing w:val="-4"/>
          <w:sz w:val="26"/>
        </w:rPr>
        <w:t>2005</w:t>
      </w:r>
    </w:p>
    <w:p>
      <w:pPr>
        <w:pStyle w:val="ListParagraph"/>
        <w:numPr>
          <w:ilvl w:val="0"/>
          <w:numId w:val="23"/>
        </w:numPr>
        <w:tabs>
          <w:tab w:pos="2059" w:val="left" w:leader="none"/>
        </w:tabs>
        <w:spacing w:line="301" w:lineRule="exact" w:before="0" w:after="0"/>
        <w:ind w:left="2059" w:right="0" w:hanging="357"/>
        <w:jc w:val="left"/>
        <w:rPr>
          <w:sz w:val="26"/>
        </w:rPr>
      </w:pPr>
      <w:r>
        <w:rPr>
          <w:sz w:val="26"/>
        </w:rPr>
        <w:t>Department</w:t>
      </w:r>
      <w:r>
        <w:rPr>
          <w:spacing w:val="-10"/>
          <w:sz w:val="26"/>
        </w:rPr>
        <w:t> </w:t>
      </w:r>
      <w:r>
        <w:rPr>
          <w:sz w:val="26"/>
        </w:rPr>
        <w:t>of</w:t>
      </w:r>
      <w:r>
        <w:rPr>
          <w:spacing w:val="-10"/>
          <w:sz w:val="26"/>
        </w:rPr>
        <w:t> </w:t>
      </w:r>
      <w:r>
        <w:rPr>
          <w:sz w:val="26"/>
        </w:rPr>
        <w:t>Health:</w:t>
      </w:r>
      <w:r>
        <w:rPr>
          <w:spacing w:val="-6"/>
          <w:sz w:val="26"/>
        </w:rPr>
        <w:t> </w:t>
      </w:r>
      <w:r>
        <w:rPr>
          <w:sz w:val="26"/>
        </w:rPr>
        <w:t>Statement</w:t>
      </w:r>
      <w:r>
        <w:rPr>
          <w:spacing w:val="-10"/>
          <w:sz w:val="26"/>
        </w:rPr>
        <w:t> </w:t>
      </w:r>
      <w:r>
        <w:rPr>
          <w:sz w:val="26"/>
        </w:rPr>
        <w:t>of</w:t>
      </w:r>
      <w:r>
        <w:rPr>
          <w:spacing w:val="-9"/>
          <w:sz w:val="26"/>
        </w:rPr>
        <w:t> </w:t>
      </w:r>
      <w:r>
        <w:rPr>
          <w:sz w:val="26"/>
        </w:rPr>
        <w:t>Strategy</w:t>
      </w:r>
      <w:r>
        <w:rPr>
          <w:spacing w:val="-5"/>
          <w:sz w:val="26"/>
        </w:rPr>
        <w:t> </w:t>
      </w:r>
      <w:r>
        <w:rPr>
          <w:sz w:val="26"/>
        </w:rPr>
        <w:t>2017-</w:t>
      </w:r>
      <w:r>
        <w:rPr>
          <w:spacing w:val="-4"/>
          <w:sz w:val="26"/>
        </w:rPr>
        <w:t>2019</w:t>
      </w:r>
    </w:p>
    <w:p>
      <w:pPr>
        <w:pStyle w:val="ListParagraph"/>
        <w:numPr>
          <w:ilvl w:val="0"/>
          <w:numId w:val="23"/>
        </w:numPr>
        <w:tabs>
          <w:tab w:pos="2059" w:val="left" w:leader="none"/>
        </w:tabs>
        <w:spacing w:line="240" w:lineRule="auto" w:before="150" w:after="0"/>
        <w:ind w:left="2059" w:right="0" w:hanging="357"/>
        <w:jc w:val="left"/>
        <w:rPr>
          <w:sz w:val="26"/>
        </w:rPr>
      </w:pPr>
      <w:r>
        <w:rPr>
          <w:sz w:val="26"/>
        </w:rPr>
        <w:t>Department</w:t>
      </w:r>
      <w:r>
        <w:rPr>
          <w:spacing w:val="-11"/>
          <w:sz w:val="26"/>
        </w:rPr>
        <w:t> </w:t>
      </w:r>
      <w:r>
        <w:rPr>
          <w:sz w:val="26"/>
        </w:rPr>
        <w:t>of</w:t>
      </w:r>
      <w:r>
        <w:rPr>
          <w:spacing w:val="-10"/>
          <w:sz w:val="26"/>
        </w:rPr>
        <w:t> </w:t>
      </w:r>
      <w:r>
        <w:rPr>
          <w:sz w:val="26"/>
        </w:rPr>
        <w:t>Health:</w:t>
      </w:r>
      <w:r>
        <w:rPr>
          <w:spacing w:val="-6"/>
          <w:sz w:val="26"/>
        </w:rPr>
        <w:t> </w:t>
      </w:r>
      <w:r>
        <w:rPr>
          <w:sz w:val="26"/>
        </w:rPr>
        <w:t>Advice</w:t>
      </w:r>
      <w:r>
        <w:rPr>
          <w:spacing w:val="-10"/>
          <w:sz w:val="26"/>
        </w:rPr>
        <w:t> </w:t>
      </w:r>
      <w:r>
        <w:rPr>
          <w:sz w:val="26"/>
        </w:rPr>
        <w:t>on</w:t>
      </w:r>
      <w:r>
        <w:rPr>
          <w:spacing w:val="-8"/>
          <w:sz w:val="26"/>
        </w:rPr>
        <w:t> </w:t>
      </w:r>
      <w:r>
        <w:rPr>
          <w:sz w:val="26"/>
        </w:rPr>
        <w:t>Personalised</w:t>
      </w:r>
      <w:r>
        <w:rPr>
          <w:spacing w:val="-10"/>
          <w:sz w:val="26"/>
        </w:rPr>
        <w:t> </w:t>
      </w:r>
      <w:r>
        <w:rPr>
          <w:spacing w:val="-2"/>
          <w:sz w:val="26"/>
        </w:rPr>
        <w:t>Budgets</w:t>
      </w:r>
    </w:p>
    <w:p>
      <w:pPr>
        <w:pStyle w:val="ListParagraph"/>
        <w:numPr>
          <w:ilvl w:val="0"/>
          <w:numId w:val="23"/>
        </w:numPr>
        <w:tabs>
          <w:tab w:pos="2059" w:val="left" w:leader="none"/>
        </w:tabs>
        <w:spacing w:line="240" w:lineRule="auto" w:before="152" w:after="0"/>
        <w:ind w:left="2059" w:right="0" w:hanging="357"/>
        <w:jc w:val="left"/>
        <w:rPr>
          <w:sz w:val="26"/>
        </w:rPr>
      </w:pPr>
      <w:r>
        <w:rPr>
          <w:sz w:val="26"/>
        </w:rPr>
        <w:t>Department</w:t>
      </w:r>
      <w:r>
        <w:rPr>
          <w:spacing w:val="-8"/>
          <w:sz w:val="26"/>
        </w:rPr>
        <w:t> </w:t>
      </w:r>
      <w:r>
        <w:rPr>
          <w:sz w:val="26"/>
        </w:rPr>
        <w:t>of</w:t>
      </w:r>
      <w:r>
        <w:rPr>
          <w:spacing w:val="-8"/>
          <w:sz w:val="26"/>
        </w:rPr>
        <w:t> </w:t>
      </w:r>
      <w:r>
        <w:rPr>
          <w:sz w:val="26"/>
        </w:rPr>
        <w:t>Justice</w:t>
      </w:r>
      <w:r>
        <w:rPr>
          <w:spacing w:val="-6"/>
          <w:sz w:val="26"/>
        </w:rPr>
        <w:t> </w:t>
      </w:r>
      <w:r>
        <w:rPr>
          <w:sz w:val="26"/>
        </w:rPr>
        <w:t>&amp;</w:t>
      </w:r>
      <w:r>
        <w:rPr>
          <w:spacing w:val="-5"/>
          <w:sz w:val="26"/>
        </w:rPr>
        <w:t> </w:t>
      </w:r>
      <w:r>
        <w:rPr>
          <w:sz w:val="26"/>
        </w:rPr>
        <w:t>Equality:</w:t>
      </w:r>
      <w:r>
        <w:rPr>
          <w:spacing w:val="-8"/>
          <w:sz w:val="26"/>
        </w:rPr>
        <w:t> </w:t>
      </w:r>
      <w:r>
        <w:rPr>
          <w:sz w:val="26"/>
        </w:rPr>
        <w:t>NDA</w:t>
      </w:r>
      <w:r>
        <w:rPr>
          <w:spacing w:val="-8"/>
          <w:sz w:val="26"/>
        </w:rPr>
        <w:t> </w:t>
      </w:r>
      <w:r>
        <w:rPr>
          <w:sz w:val="26"/>
        </w:rPr>
        <w:t>Submission</w:t>
      </w:r>
      <w:r>
        <w:rPr>
          <w:spacing w:val="-8"/>
          <w:sz w:val="26"/>
        </w:rPr>
        <w:t> </w:t>
      </w:r>
      <w:r>
        <w:rPr>
          <w:sz w:val="26"/>
        </w:rPr>
        <w:t>on</w:t>
      </w:r>
      <w:r>
        <w:rPr>
          <w:spacing w:val="-8"/>
          <w:sz w:val="26"/>
        </w:rPr>
        <w:t> </w:t>
      </w:r>
      <w:r>
        <w:rPr>
          <w:sz w:val="26"/>
        </w:rPr>
        <w:t>Draft</w:t>
      </w:r>
      <w:r>
        <w:rPr>
          <w:spacing w:val="-7"/>
          <w:sz w:val="26"/>
        </w:rPr>
        <w:t> </w:t>
      </w:r>
      <w:r>
        <w:rPr>
          <w:spacing w:val="-2"/>
          <w:sz w:val="26"/>
        </w:rPr>
        <w:t>NDSIP</w:t>
      </w:r>
    </w:p>
    <w:p>
      <w:pPr>
        <w:pStyle w:val="ListParagraph"/>
        <w:numPr>
          <w:ilvl w:val="0"/>
          <w:numId w:val="23"/>
        </w:numPr>
        <w:tabs>
          <w:tab w:pos="2059" w:val="left" w:leader="none"/>
        </w:tabs>
        <w:spacing w:line="360" w:lineRule="auto" w:before="150" w:after="0"/>
        <w:ind w:left="2059" w:right="2003" w:hanging="358"/>
        <w:jc w:val="left"/>
        <w:rPr>
          <w:sz w:val="26"/>
        </w:rPr>
      </w:pPr>
      <w:r>
        <w:rPr>
          <w:sz w:val="26"/>
        </w:rPr>
        <w:t>Department</w:t>
      </w:r>
      <w:r>
        <w:rPr>
          <w:spacing w:val="-5"/>
          <w:sz w:val="26"/>
        </w:rPr>
        <w:t> </w:t>
      </w:r>
      <w:r>
        <w:rPr>
          <w:sz w:val="26"/>
        </w:rPr>
        <w:t>of</w:t>
      </w:r>
      <w:r>
        <w:rPr>
          <w:spacing w:val="-5"/>
          <w:sz w:val="26"/>
        </w:rPr>
        <w:t> </w:t>
      </w:r>
      <w:r>
        <w:rPr>
          <w:sz w:val="26"/>
        </w:rPr>
        <w:t>Justice</w:t>
      </w:r>
      <w:r>
        <w:rPr>
          <w:spacing w:val="-3"/>
          <w:sz w:val="26"/>
        </w:rPr>
        <w:t> </w:t>
      </w:r>
      <w:r>
        <w:rPr>
          <w:sz w:val="26"/>
        </w:rPr>
        <w:t>&amp;</w:t>
      </w:r>
      <w:r>
        <w:rPr>
          <w:spacing w:val="-4"/>
          <w:sz w:val="26"/>
        </w:rPr>
        <w:t> </w:t>
      </w:r>
      <w:r>
        <w:rPr>
          <w:sz w:val="26"/>
        </w:rPr>
        <w:t>Equality:</w:t>
      </w:r>
      <w:r>
        <w:rPr>
          <w:spacing w:val="-5"/>
          <w:sz w:val="26"/>
        </w:rPr>
        <w:t> </w:t>
      </w:r>
      <w:r>
        <w:rPr>
          <w:sz w:val="26"/>
        </w:rPr>
        <w:t>NDA</w:t>
      </w:r>
      <w:r>
        <w:rPr>
          <w:spacing w:val="-5"/>
          <w:sz w:val="26"/>
        </w:rPr>
        <w:t> </w:t>
      </w:r>
      <w:r>
        <w:rPr>
          <w:sz w:val="26"/>
        </w:rPr>
        <w:t>Advice</w:t>
      </w:r>
      <w:r>
        <w:rPr>
          <w:spacing w:val="-5"/>
          <w:sz w:val="26"/>
        </w:rPr>
        <w:t> </w:t>
      </w:r>
      <w:r>
        <w:rPr>
          <w:sz w:val="26"/>
        </w:rPr>
        <w:t>on</w:t>
      </w:r>
      <w:r>
        <w:rPr>
          <w:spacing w:val="-5"/>
          <w:sz w:val="26"/>
        </w:rPr>
        <w:t> </w:t>
      </w:r>
      <w:r>
        <w:rPr>
          <w:sz w:val="26"/>
        </w:rPr>
        <w:t>progress</w:t>
      </w:r>
      <w:r>
        <w:rPr>
          <w:spacing w:val="-4"/>
          <w:sz w:val="26"/>
        </w:rPr>
        <w:t> </w:t>
      </w:r>
      <w:r>
        <w:rPr>
          <w:sz w:val="26"/>
        </w:rPr>
        <w:t>to implement the Comprehensive Employment Strategy</w:t>
      </w:r>
    </w:p>
    <w:p>
      <w:pPr>
        <w:pStyle w:val="ListParagraph"/>
        <w:numPr>
          <w:ilvl w:val="0"/>
          <w:numId w:val="23"/>
        </w:numPr>
        <w:tabs>
          <w:tab w:pos="2059" w:val="left" w:leader="none"/>
        </w:tabs>
        <w:spacing w:line="360" w:lineRule="auto" w:before="0" w:after="0"/>
        <w:ind w:left="2059" w:right="1003" w:hanging="358"/>
        <w:jc w:val="left"/>
        <w:rPr>
          <w:sz w:val="26"/>
        </w:rPr>
      </w:pPr>
      <w:r>
        <w:rPr>
          <w:sz w:val="26"/>
        </w:rPr>
        <w:t>Department</w:t>
      </w:r>
      <w:r>
        <w:rPr>
          <w:spacing w:val="-6"/>
          <w:sz w:val="26"/>
        </w:rPr>
        <w:t> </w:t>
      </w:r>
      <w:r>
        <w:rPr>
          <w:sz w:val="26"/>
        </w:rPr>
        <w:t>of</w:t>
      </w:r>
      <w:r>
        <w:rPr>
          <w:spacing w:val="-5"/>
          <w:sz w:val="26"/>
        </w:rPr>
        <w:t> </w:t>
      </w:r>
      <w:r>
        <w:rPr>
          <w:sz w:val="26"/>
        </w:rPr>
        <w:t>Public</w:t>
      </w:r>
      <w:r>
        <w:rPr>
          <w:spacing w:val="-5"/>
          <w:sz w:val="26"/>
        </w:rPr>
        <w:t> </w:t>
      </w:r>
      <w:r>
        <w:rPr>
          <w:sz w:val="26"/>
        </w:rPr>
        <w:t>Expenditure</w:t>
      </w:r>
      <w:r>
        <w:rPr>
          <w:spacing w:val="-5"/>
          <w:sz w:val="26"/>
        </w:rPr>
        <w:t> </w:t>
      </w:r>
      <w:r>
        <w:rPr>
          <w:sz w:val="26"/>
        </w:rPr>
        <w:t>and</w:t>
      </w:r>
      <w:r>
        <w:rPr>
          <w:spacing w:val="-5"/>
          <w:sz w:val="26"/>
        </w:rPr>
        <w:t> </w:t>
      </w:r>
      <w:r>
        <w:rPr>
          <w:sz w:val="26"/>
        </w:rPr>
        <w:t>Reform:</w:t>
      </w:r>
      <w:r>
        <w:rPr>
          <w:spacing w:val="40"/>
          <w:sz w:val="26"/>
        </w:rPr>
        <w:t> </w:t>
      </w:r>
      <w:r>
        <w:rPr>
          <w:sz w:val="26"/>
        </w:rPr>
        <w:t>Commissioning</w:t>
      </w:r>
      <w:r>
        <w:rPr>
          <w:spacing w:val="-6"/>
          <w:sz w:val="26"/>
        </w:rPr>
        <w:t> </w:t>
      </w:r>
      <w:r>
        <w:rPr>
          <w:sz w:val="26"/>
        </w:rPr>
        <w:t>human, social and community services</w:t>
      </w:r>
    </w:p>
    <w:p>
      <w:pPr>
        <w:pStyle w:val="ListParagraph"/>
        <w:numPr>
          <w:ilvl w:val="0"/>
          <w:numId w:val="23"/>
        </w:numPr>
        <w:tabs>
          <w:tab w:pos="2059" w:val="left" w:leader="none"/>
        </w:tabs>
        <w:spacing w:line="240" w:lineRule="auto" w:before="0" w:after="0"/>
        <w:ind w:left="2059" w:right="0" w:hanging="357"/>
        <w:jc w:val="left"/>
        <w:rPr>
          <w:sz w:val="26"/>
        </w:rPr>
      </w:pPr>
      <w:r>
        <w:rPr>
          <w:sz w:val="26"/>
        </w:rPr>
        <w:t>Safefood:</w:t>
      </w:r>
      <w:r>
        <w:rPr>
          <w:spacing w:val="56"/>
          <w:sz w:val="26"/>
        </w:rPr>
        <w:t> </w:t>
      </w:r>
      <w:r>
        <w:rPr>
          <w:sz w:val="26"/>
        </w:rPr>
        <w:t>Draft</w:t>
      </w:r>
      <w:r>
        <w:rPr>
          <w:spacing w:val="-7"/>
          <w:sz w:val="26"/>
        </w:rPr>
        <w:t> </w:t>
      </w:r>
      <w:r>
        <w:rPr>
          <w:sz w:val="26"/>
        </w:rPr>
        <w:t>Disability</w:t>
      </w:r>
      <w:r>
        <w:rPr>
          <w:spacing w:val="-9"/>
          <w:sz w:val="26"/>
        </w:rPr>
        <w:t> </w:t>
      </w:r>
      <w:r>
        <w:rPr>
          <w:sz w:val="26"/>
        </w:rPr>
        <w:t>Action</w:t>
      </w:r>
      <w:r>
        <w:rPr>
          <w:spacing w:val="-9"/>
          <w:sz w:val="26"/>
        </w:rPr>
        <w:t> </w:t>
      </w:r>
      <w:r>
        <w:rPr>
          <w:sz w:val="26"/>
        </w:rPr>
        <w:t>Plan</w:t>
      </w:r>
      <w:r>
        <w:rPr>
          <w:spacing w:val="-4"/>
          <w:sz w:val="26"/>
        </w:rPr>
        <w:t> </w:t>
      </w:r>
      <w:r>
        <w:rPr>
          <w:sz w:val="26"/>
        </w:rPr>
        <w:t>2017-</w:t>
      </w:r>
      <w:r>
        <w:rPr>
          <w:spacing w:val="-4"/>
          <w:sz w:val="26"/>
        </w:rPr>
        <w:t>2020</w:t>
      </w:r>
    </w:p>
    <w:p>
      <w:pPr>
        <w:pStyle w:val="ListParagraph"/>
        <w:numPr>
          <w:ilvl w:val="0"/>
          <w:numId w:val="23"/>
        </w:numPr>
        <w:tabs>
          <w:tab w:pos="2062" w:val="left" w:leader="none"/>
        </w:tabs>
        <w:spacing w:line="360" w:lineRule="auto" w:before="153" w:after="0"/>
        <w:ind w:left="2062" w:right="1355" w:hanging="360"/>
        <w:jc w:val="left"/>
        <w:rPr>
          <w:sz w:val="26"/>
        </w:rPr>
      </w:pPr>
      <w:r>
        <w:rPr>
          <w:sz w:val="26"/>
        </w:rPr>
        <w:t>Department</w:t>
      </w:r>
      <w:r>
        <w:rPr>
          <w:spacing w:val="-6"/>
          <w:sz w:val="26"/>
        </w:rPr>
        <w:t> </w:t>
      </w:r>
      <w:r>
        <w:rPr>
          <w:sz w:val="26"/>
        </w:rPr>
        <w:t>of</w:t>
      </w:r>
      <w:r>
        <w:rPr>
          <w:spacing w:val="-4"/>
          <w:sz w:val="26"/>
        </w:rPr>
        <w:t> </w:t>
      </w:r>
      <w:r>
        <w:rPr>
          <w:sz w:val="26"/>
        </w:rPr>
        <w:t>Transport,</w:t>
      </w:r>
      <w:r>
        <w:rPr>
          <w:spacing w:val="-4"/>
          <w:sz w:val="26"/>
        </w:rPr>
        <w:t> </w:t>
      </w:r>
      <w:r>
        <w:rPr>
          <w:sz w:val="26"/>
        </w:rPr>
        <w:t>Tourism</w:t>
      </w:r>
      <w:r>
        <w:rPr>
          <w:spacing w:val="-6"/>
          <w:sz w:val="26"/>
        </w:rPr>
        <w:t> </w:t>
      </w:r>
      <w:r>
        <w:rPr>
          <w:sz w:val="26"/>
        </w:rPr>
        <w:t>and</w:t>
      </w:r>
      <w:r>
        <w:rPr>
          <w:spacing w:val="-6"/>
          <w:sz w:val="26"/>
        </w:rPr>
        <w:t> </w:t>
      </w:r>
      <w:r>
        <w:rPr>
          <w:sz w:val="26"/>
        </w:rPr>
        <w:t>Sport:</w:t>
      </w:r>
      <w:r>
        <w:rPr>
          <w:spacing w:val="40"/>
          <w:sz w:val="26"/>
        </w:rPr>
        <w:t> </w:t>
      </w:r>
      <w:r>
        <w:rPr>
          <w:sz w:val="26"/>
        </w:rPr>
        <w:t>Review</w:t>
      </w:r>
      <w:r>
        <w:rPr>
          <w:spacing w:val="-4"/>
          <w:sz w:val="26"/>
        </w:rPr>
        <w:t> </w:t>
      </w:r>
      <w:r>
        <w:rPr>
          <w:sz w:val="26"/>
        </w:rPr>
        <w:t>of</w:t>
      </w:r>
      <w:r>
        <w:rPr>
          <w:spacing w:val="-6"/>
          <w:sz w:val="26"/>
        </w:rPr>
        <w:t> </w:t>
      </w:r>
      <w:r>
        <w:rPr>
          <w:sz w:val="26"/>
        </w:rPr>
        <w:t>Customer Action Plan</w:t>
      </w:r>
    </w:p>
    <w:p>
      <w:pPr>
        <w:pStyle w:val="ListParagraph"/>
        <w:spacing w:after="0" w:line="360" w:lineRule="auto"/>
        <w:jc w:val="left"/>
        <w:rPr>
          <w:sz w:val="26"/>
        </w:rPr>
        <w:sectPr>
          <w:pgSz w:w="11910" w:h="16850"/>
          <w:pgMar w:header="0" w:footer="811" w:top="1880" w:bottom="1000" w:left="283" w:right="992"/>
        </w:sectPr>
      </w:pPr>
    </w:p>
    <w:p>
      <w:pPr>
        <w:pStyle w:val="ListParagraph"/>
        <w:numPr>
          <w:ilvl w:val="0"/>
          <w:numId w:val="23"/>
        </w:numPr>
        <w:tabs>
          <w:tab w:pos="2062" w:val="left" w:leader="none"/>
        </w:tabs>
        <w:spacing w:line="240" w:lineRule="auto" w:before="76" w:after="0"/>
        <w:ind w:left="2062" w:right="0" w:hanging="360"/>
        <w:jc w:val="left"/>
        <w:rPr>
          <w:sz w:val="26"/>
        </w:rPr>
      </w:pPr>
      <w:r>
        <w:rPr>
          <w:sz w:val="26"/>
        </w:rPr>
        <w:t>Department</w:t>
      </w:r>
      <w:r>
        <w:rPr>
          <w:spacing w:val="-8"/>
          <w:sz w:val="26"/>
        </w:rPr>
        <w:t> </w:t>
      </w:r>
      <w:r>
        <w:rPr>
          <w:sz w:val="26"/>
        </w:rPr>
        <w:t>of</w:t>
      </w:r>
      <w:r>
        <w:rPr>
          <w:spacing w:val="-6"/>
          <w:sz w:val="26"/>
        </w:rPr>
        <w:t> </w:t>
      </w:r>
      <w:r>
        <w:rPr>
          <w:sz w:val="26"/>
        </w:rPr>
        <w:t>Transport,</w:t>
      </w:r>
      <w:r>
        <w:rPr>
          <w:spacing w:val="-6"/>
          <w:sz w:val="26"/>
        </w:rPr>
        <w:t> </w:t>
      </w:r>
      <w:r>
        <w:rPr>
          <w:sz w:val="26"/>
        </w:rPr>
        <w:t>Tourism</w:t>
      </w:r>
      <w:r>
        <w:rPr>
          <w:spacing w:val="-8"/>
          <w:sz w:val="26"/>
        </w:rPr>
        <w:t> </w:t>
      </w:r>
      <w:r>
        <w:rPr>
          <w:sz w:val="26"/>
        </w:rPr>
        <w:t>and</w:t>
      </w:r>
      <w:r>
        <w:rPr>
          <w:spacing w:val="-7"/>
          <w:sz w:val="26"/>
        </w:rPr>
        <w:t> </w:t>
      </w:r>
      <w:r>
        <w:rPr>
          <w:sz w:val="26"/>
        </w:rPr>
        <w:t>Sport:</w:t>
      </w:r>
      <w:r>
        <w:rPr>
          <w:spacing w:val="58"/>
          <w:sz w:val="26"/>
        </w:rPr>
        <w:t> </w:t>
      </w:r>
      <w:r>
        <w:rPr>
          <w:sz w:val="26"/>
        </w:rPr>
        <w:t>Statement</w:t>
      </w:r>
      <w:r>
        <w:rPr>
          <w:spacing w:val="-8"/>
          <w:sz w:val="26"/>
        </w:rPr>
        <w:t> </w:t>
      </w:r>
      <w:r>
        <w:rPr>
          <w:sz w:val="26"/>
        </w:rPr>
        <w:t>of</w:t>
      </w:r>
      <w:r>
        <w:rPr>
          <w:spacing w:val="-7"/>
          <w:sz w:val="26"/>
        </w:rPr>
        <w:t> </w:t>
      </w:r>
      <w:r>
        <w:rPr>
          <w:spacing w:val="-2"/>
          <w:sz w:val="26"/>
        </w:rPr>
        <w:t>Strategy</w:t>
      </w:r>
    </w:p>
    <w:p>
      <w:pPr>
        <w:pStyle w:val="ListParagraph"/>
        <w:numPr>
          <w:ilvl w:val="0"/>
          <w:numId w:val="23"/>
        </w:numPr>
        <w:tabs>
          <w:tab w:pos="2062" w:val="left" w:leader="none"/>
        </w:tabs>
        <w:spacing w:line="240" w:lineRule="auto" w:before="152" w:after="0"/>
        <w:ind w:left="2062" w:right="0" w:hanging="360"/>
        <w:jc w:val="left"/>
        <w:rPr>
          <w:sz w:val="26"/>
        </w:rPr>
      </w:pPr>
      <w:r>
        <w:rPr>
          <w:sz w:val="26"/>
        </w:rPr>
        <w:t>Council</w:t>
      </w:r>
      <w:r>
        <w:rPr>
          <w:spacing w:val="-9"/>
          <w:sz w:val="26"/>
        </w:rPr>
        <w:t> </w:t>
      </w:r>
      <w:r>
        <w:rPr>
          <w:sz w:val="26"/>
        </w:rPr>
        <w:t>of</w:t>
      </w:r>
      <w:r>
        <w:rPr>
          <w:spacing w:val="-9"/>
          <w:sz w:val="26"/>
        </w:rPr>
        <w:t> </w:t>
      </w:r>
      <w:r>
        <w:rPr>
          <w:sz w:val="26"/>
        </w:rPr>
        <w:t>Europe:</w:t>
      </w:r>
      <w:r>
        <w:rPr>
          <w:spacing w:val="-7"/>
          <w:sz w:val="26"/>
        </w:rPr>
        <w:t> </w:t>
      </w:r>
      <w:r>
        <w:rPr>
          <w:sz w:val="26"/>
        </w:rPr>
        <w:t>Working</w:t>
      </w:r>
      <w:r>
        <w:rPr>
          <w:spacing w:val="-9"/>
          <w:sz w:val="26"/>
        </w:rPr>
        <w:t> </w:t>
      </w:r>
      <w:r>
        <w:rPr>
          <w:sz w:val="26"/>
        </w:rPr>
        <w:t>document</w:t>
      </w:r>
      <w:r>
        <w:rPr>
          <w:spacing w:val="-9"/>
          <w:sz w:val="26"/>
        </w:rPr>
        <w:t> </w:t>
      </w:r>
      <w:r>
        <w:rPr>
          <w:sz w:val="26"/>
        </w:rPr>
        <w:t>on</w:t>
      </w:r>
      <w:r>
        <w:rPr>
          <w:spacing w:val="-7"/>
          <w:sz w:val="26"/>
        </w:rPr>
        <w:t> </w:t>
      </w:r>
      <w:r>
        <w:rPr>
          <w:sz w:val="26"/>
        </w:rPr>
        <w:t>Disability</w:t>
      </w:r>
      <w:r>
        <w:rPr>
          <w:spacing w:val="-9"/>
          <w:sz w:val="26"/>
        </w:rPr>
        <w:t> </w:t>
      </w:r>
      <w:r>
        <w:rPr>
          <w:sz w:val="26"/>
        </w:rPr>
        <w:t>Strategy</w:t>
      </w:r>
      <w:r>
        <w:rPr>
          <w:spacing w:val="-8"/>
          <w:sz w:val="26"/>
        </w:rPr>
        <w:t> </w:t>
      </w:r>
      <w:r>
        <w:rPr>
          <w:sz w:val="26"/>
        </w:rPr>
        <w:t>2017-</w:t>
      </w:r>
      <w:r>
        <w:rPr>
          <w:spacing w:val="-5"/>
          <w:sz w:val="26"/>
        </w:rPr>
        <w:t>23</w:t>
      </w:r>
    </w:p>
    <w:p>
      <w:pPr>
        <w:pStyle w:val="ListParagraph"/>
        <w:numPr>
          <w:ilvl w:val="0"/>
          <w:numId w:val="23"/>
        </w:numPr>
        <w:tabs>
          <w:tab w:pos="2062" w:val="left" w:leader="none"/>
        </w:tabs>
        <w:spacing w:line="240" w:lineRule="auto" w:before="150" w:after="0"/>
        <w:ind w:left="2062" w:right="0" w:hanging="360"/>
        <w:jc w:val="left"/>
        <w:rPr>
          <w:sz w:val="26"/>
        </w:rPr>
      </w:pPr>
      <w:r>
        <w:rPr>
          <w:sz w:val="26"/>
        </w:rPr>
        <w:t>European</w:t>
      </w:r>
      <w:r>
        <w:rPr>
          <w:spacing w:val="-8"/>
          <w:sz w:val="26"/>
        </w:rPr>
        <w:t> </w:t>
      </w:r>
      <w:r>
        <w:rPr>
          <w:sz w:val="26"/>
        </w:rPr>
        <w:t>Union:</w:t>
      </w:r>
      <w:r>
        <w:rPr>
          <w:spacing w:val="59"/>
          <w:sz w:val="26"/>
        </w:rPr>
        <w:t> </w:t>
      </w:r>
      <w:r>
        <w:rPr>
          <w:sz w:val="26"/>
        </w:rPr>
        <w:t>Pillar</w:t>
      </w:r>
      <w:r>
        <w:rPr>
          <w:spacing w:val="-5"/>
          <w:sz w:val="26"/>
        </w:rPr>
        <w:t> </w:t>
      </w:r>
      <w:r>
        <w:rPr>
          <w:sz w:val="26"/>
        </w:rPr>
        <w:t>of</w:t>
      </w:r>
      <w:r>
        <w:rPr>
          <w:spacing w:val="-8"/>
          <w:sz w:val="26"/>
        </w:rPr>
        <w:t> </w:t>
      </w:r>
      <w:r>
        <w:rPr>
          <w:sz w:val="26"/>
        </w:rPr>
        <w:t>Social</w:t>
      </w:r>
      <w:r>
        <w:rPr>
          <w:spacing w:val="-7"/>
          <w:sz w:val="26"/>
        </w:rPr>
        <w:t> </w:t>
      </w:r>
      <w:r>
        <w:rPr>
          <w:sz w:val="26"/>
        </w:rPr>
        <w:t>Rights</w:t>
      </w:r>
      <w:r>
        <w:rPr>
          <w:spacing w:val="-5"/>
          <w:sz w:val="26"/>
        </w:rPr>
        <w:t> </w:t>
      </w:r>
      <w:r>
        <w:rPr>
          <w:spacing w:val="-2"/>
          <w:sz w:val="26"/>
        </w:rPr>
        <w:t>Consultation</w:t>
      </w:r>
    </w:p>
    <w:p>
      <w:pPr>
        <w:pStyle w:val="ListParagraph"/>
        <w:numPr>
          <w:ilvl w:val="0"/>
          <w:numId w:val="23"/>
        </w:numPr>
        <w:tabs>
          <w:tab w:pos="2062" w:val="left" w:leader="none"/>
        </w:tabs>
        <w:spacing w:line="240" w:lineRule="auto" w:before="150" w:after="0"/>
        <w:ind w:left="2062" w:right="0" w:hanging="360"/>
        <w:jc w:val="left"/>
        <w:rPr>
          <w:sz w:val="26"/>
        </w:rPr>
      </w:pPr>
      <w:r>
        <w:rPr>
          <w:sz w:val="26"/>
        </w:rPr>
        <w:t>Submission</w:t>
      </w:r>
      <w:r>
        <w:rPr>
          <w:spacing w:val="-9"/>
          <w:sz w:val="26"/>
        </w:rPr>
        <w:t> </w:t>
      </w:r>
      <w:r>
        <w:rPr>
          <w:sz w:val="26"/>
        </w:rPr>
        <w:t>to</w:t>
      </w:r>
      <w:r>
        <w:rPr>
          <w:spacing w:val="-7"/>
          <w:sz w:val="26"/>
        </w:rPr>
        <w:t> </w:t>
      </w:r>
      <w:r>
        <w:rPr>
          <w:sz w:val="26"/>
        </w:rPr>
        <w:t>the</w:t>
      </w:r>
      <w:r>
        <w:rPr>
          <w:spacing w:val="-9"/>
          <w:sz w:val="26"/>
        </w:rPr>
        <w:t> </w:t>
      </w:r>
      <w:r>
        <w:rPr>
          <w:sz w:val="26"/>
        </w:rPr>
        <w:t>Review</w:t>
      </w:r>
      <w:r>
        <w:rPr>
          <w:spacing w:val="-7"/>
          <w:sz w:val="26"/>
        </w:rPr>
        <w:t> </w:t>
      </w:r>
      <w:r>
        <w:rPr>
          <w:sz w:val="26"/>
        </w:rPr>
        <w:t>of</w:t>
      </w:r>
      <w:r>
        <w:rPr>
          <w:spacing w:val="-8"/>
          <w:sz w:val="26"/>
        </w:rPr>
        <w:t> </w:t>
      </w:r>
      <w:r>
        <w:rPr>
          <w:sz w:val="26"/>
        </w:rPr>
        <w:t>Rebuilding</w:t>
      </w:r>
      <w:r>
        <w:rPr>
          <w:spacing w:val="-8"/>
          <w:sz w:val="26"/>
        </w:rPr>
        <w:t> </w:t>
      </w:r>
      <w:r>
        <w:rPr>
          <w:spacing w:val="-2"/>
          <w:sz w:val="26"/>
        </w:rPr>
        <w:t>Ireland</w:t>
      </w:r>
    </w:p>
    <w:p>
      <w:pPr>
        <w:pStyle w:val="ListParagraph"/>
        <w:numPr>
          <w:ilvl w:val="0"/>
          <w:numId w:val="23"/>
        </w:numPr>
        <w:tabs>
          <w:tab w:pos="2062" w:val="left" w:leader="none"/>
        </w:tabs>
        <w:spacing w:line="240" w:lineRule="auto" w:before="152" w:after="0"/>
        <w:ind w:left="2062" w:right="1314" w:hanging="360"/>
        <w:jc w:val="left"/>
        <w:rPr>
          <w:sz w:val="26"/>
        </w:rPr>
      </w:pPr>
      <w:r>
        <w:rPr>
          <w:sz w:val="26"/>
        </w:rPr>
        <w:t>Submission</w:t>
      </w:r>
      <w:r>
        <w:rPr>
          <w:spacing w:val="-5"/>
          <w:sz w:val="26"/>
        </w:rPr>
        <w:t> </w:t>
      </w:r>
      <w:r>
        <w:rPr>
          <w:sz w:val="26"/>
        </w:rPr>
        <w:t>to</w:t>
      </w:r>
      <w:r>
        <w:rPr>
          <w:spacing w:val="-4"/>
          <w:sz w:val="26"/>
        </w:rPr>
        <w:t> </w:t>
      </w:r>
      <w:r>
        <w:rPr>
          <w:sz w:val="26"/>
        </w:rPr>
        <w:t>the</w:t>
      </w:r>
      <w:r>
        <w:rPr>
          <w:spacing w:val="-5"/>
          <w:sz w:val="26"/>
        </w:rPr>
        <w:t> </w:t>
      </w:r>
      <w:r>
        <w:rPr>
          <w:sz w:val="26"/>
        </w:rPr>
        <w:t>Review</w:t>
      </w:r>
      <w:r>
        <w:rPr>
          <w:spacing w:val="-3"/>
          <w:sz w:val="26"/>
        </w:rPr>
        <w:t> </w:t>
      </w:r>
      <w:r>
        <w:rPr>
          <w:sz w:val="26"/>
        </w:rPr>
        <w:t>of</w:t>
      </w:r>
      <w:r>
        <w:rPr>
          <w:spacing w:val="-5"/>
          <w:sz w:val="26"/>
        </w:rPr>
        <w:t> </w:t>
      </w:r>
      <w:r>
        <w:rPr>
          <w:sz w:val="26"/>
        </w:rPr>
        <w:t>the</w:t>
      </w:r>
      <w:r>
        <w:rPr>
          <w:spacing w:val="-5"/>
          <w:sz w:val="26"/>
        </w:rPr>
        <w:t> </w:t>
      </w:r>
      <w:r>
        <w:rPr>
          <w:sz w:val="26"/>
        </w:rPr>
        <w:t>National</w:t>
      </w:r>
      <w:r>
        <w:rPr>
          <w:spacing w:val="-5"/>
          <w:sz w:val="26"/>
        </w:rPr>
        <w:t> </w:t>
      </w:r>
      <w:r>
        <w:rPr>
          <w:sz w:val="26"/>
        </w:rPr>
        <w:t>Guidelines</w:t>
      </w:r>
      <w:r>
        <w:rPr>
          <w:spacing w:val="-3"/>
          <w:sz w:val="26"/>
        </w:rPr>
        <w:t> </w:t>
      </w:r>
      <w:r>
        <w:rPr>
          <w:sz w:val="26"/>
        </w:rPr>
        <w:t>for</w:t>
      </w:r>
      <w:r>
        <w:rPr>
          <w:spacing w:val="-5"/>
          <w:sz w:val="26"/>
        </w:rPr>
        <w:t> </w:t>
      </w:r>
      <w:r>
        <w:rPr>
          <w:sz w:val="26"/>
        </w:rPr>
        <w:t>Assessment and Allocation of Housing for People with Disabilities</w:t>
      </w:r>
    </w:p>
    <w:p>
      <w:pPr>
        <w:pStyle w:val="BodyText"/>
      </w:pPr>
    </w:p>
    <w:p>
      <w:pPr>
        <w:pStyle w:val="ListParagraph"/>
        <w:numPr>
          <w:ilvl w:val="0"/>
          <w:numId w:val="23"/>
        </w:numPr>
        <w:tabs>
          <w:tab w:pos="2062" w:val="left" w:leader="none"/>
        </w:tabs>
        <w:spacing w:line="240" w:lineRule="auto" w:before="1" w:after="0"/>
        <w:ind w:left="2062" w:right="1049" w:hanging="360"/>
        <w:jc w:val="left"/>
        <w:rPr>
          <w:sz w:val="26"/>
        </w:rPr>
      </w:pPr>
      <w:r>
        <w:rPr>
          <w:sz w:val="26"/>
        </w:rPr>
        <w:t>Submission</w:t>
      </w:r>
      <w:r>
        <w:rPr>
          <w:spacing w:val="-3"/>
          <w:sz w:val="26"/>
        </w:rPr>
        <w:t> </w:t>
      </w:r>
      <w:r>
        <w:rPr>
          <w:sz w:val="26"/>
        </w:rPr>
        <w:t>to</w:t>
      </w:r>
      <w:r>
        <w:rPr>
          <w:spacing w:val="-3"/>
          <w:sz w:val="26"/>
        </w:rPr>
        <w:t> </w:t>
      </w:r>
      <w:r>
        <w:rPr>
          <w:sz w:val="26"/>
        </w:rPr>
        <w:t>a</w:t>
      </w:r>
      <w:r>
        <w:rPr>
          <w:spacing w:val="-4"/>
          <w:sz w:val="26"/>
        </w:rPr>
        <w:t> </w:t>
      </w:r>
      <w:r>
        <w:rPr>
          <w:sz w:val="26"/>
        </w:rPr>
        <w:t>consultation</w:t>
      </w:r>
      <w:r>
        <w:rPr>
          <w:spacing w:val="-4"/>
          <w:sz w:val="26"/>
        </w:rPr>
        <w:t> </w:t>
      </w:r>
      <w:r>
        <w:rPr>
          <w:sz w:val="26"/>
        </w:rPr>
        <w:t>on</w:t>
      </w:r>
      <w:r>
        <w:rPr>
          <w:spacing w:val="-2"/>
          <w:sz w:val="26"/>
        </w:rPr>
        <w:t> </w:t>
      </w:r>
      <w:r>
        <w:rPr>
          <w:sz w:val="26"/>
        </w:rPr>
        <w:t>a</w:t>
      </w:r>
      <w:r>
        <w:rPr>
          <w:spacing w:val="-4"/>
          <w:sz w:val="26"/>
        </w:rPr>
        <w:t> </w:t>
      </w:r>
      <w:r>
        <w:rPr>
          <w:sz w:val="26"/>
        </w:rPr>
        <w:t>draft</w:t>
      </w:r>
      <w:r>
        <w:rPr>
          <w:spacing w:val="-2"/>
          <w:sz w:val="26"/>
        </w:rPr>
        <w:t> </w:t>
      </w:r>
      <w:r>
        <w:rPr>
          <w:sz w:val="26"/>
        </w:rPr>
        <w:t>Code</w:t>
      </w:r>
      <w:r>
        <w:rPr>
          <w:spacing w:val="-1"/>
          <w:sz w:val="26"/>
        </w:rPr>
        <w:t> </w:t>
      </w:r>
      <w:r>
        <w:rPr>
          <w:sz w:val="26"/>
        </w:rPr>
        <w:t>of</w:t>
      </w:r>
      <w:r>
        <w:rPr>
          <w:spacing w:val="-4"/>
          <w:sz w:val="26"/>
        </w:rPr>
        <w:t> </w:t>
      </w:r>
      <w:r>
        <w:rPr>
          <w:sz w:val="26"/>
        </w:rPr>
        <w:t>Practice</w:t>
      </w:r>
      <w:r>
        <w:rPr>
          <w:spacing w:val="-4"/>
          <w:sz w:val="26"/>
        </w:rPr>
        <w:t> </w:t>
      </w:r>
      <w:r>
        <w:rPr>
          <w:sz w:val="26"/>
        </w:rPr>
        <w:t>for</w:t>
      </w:r>
      <w:r>
        <w:rPr>
          <w:spacing w:val="-4"/>
          <w:sz w:val="26"/>
        </w:rPr>
        <w:t> </w:t>
      </w:r>
      <w:r>
        <w:rPr>
          <w:sz w:val="26"/>
        </w:rPr>
        <w:t>Fire</w:t>
      </w:r>
      <w:r>
        <w:rPr>
          <w:spacing w:val="-3"/>
          <w:sz w:val="26"/>
        </w:rPr>
        <w:t> </w:t>
      </w:r>
      <w:r>
        <w:rPr>
          <w:sz w:val="26"/>
        </w:rPr>
        <w:t>Safety in New and Existing Community Dwelling Houses</w:t>
      </w:r>
    </w:p>
    <w:p>
      <w:pPr>
        <w:pStyle w:val="BodyText"/>
      </w:pPr>
    </w:p>
    <w:p>
      <w:pPr>
        <w:pStyle w:val="ListParagraph"/>
        <w:numPr>
          <w:ilvl w:val="0"/>
          <w:numId w:val="23"/>
        </w:numPr>
        <w:tabs>
          <w:tab w:pos="2062" w:val="left" w:leader="none"/>
        </w:tabs>
        <w:spacing w:line="240" w:lineRule="auto" w:before="0" w:after="0"/>
        <w:ind w:left="2062" w:right="1441" w:hanging="360"/>
        <w:jc w:val="left"/>
        <w:rPr>
          <w:sz w:val="26"/>
        </w:rPr>
      </w:pPr>
      <w:r>
        <w:rPr>
          <w:sz w:val="26"/>
        </w:rPr>
        <w:t>Submission to a consultation on draft Building Regulations 2017 Technical</w:t>
      </w:r>
      <w:r>
        <w:rPr>
          <w:spacing w:val="-5"/>
          <w:sz w:val="26"/>
        </w:rPr>
        <w:t> </w:t>
      </w:r>
      <w:r>
        <w:rPr>
          <w:sz w:val="26"/>
        </w:rPr>
        <w:t>Guidance</w:t>
      </w:r>
      <w:r>
        <w:rPr>
          <w:spacing w:val="-5"/>
          <w:sz w:val="26"/>
        </w:rPr>
        <w:t> </w:t>
      </w:r>
      <w:r>
        <w:rPr>
          <w:sz w:val="26"/>
        </w:rPr>
        <w:t>Document</w:t>
      </w:r>
      <w:r>
        <w:rPr>
          <w:spacing w:val="-5"/>
          <w:sz w:val="26"/>
        </w:rPr>
        <w:t> </w:t>
      </w:r>
      <w:r>
        <w:rPr>
          <w:sz w:val="26"/>
        </w:rPr>
        <w:t>B</w:t>
      </w:r>
      <w:r>
        <w:rPr>
          <w:spacing w:val="-4"/>
          <w:sz w:val="26"/>
        </w:rPr>
        <w:t> </w:t>
      </w:r>
      <w:r>
        <w:rPr>
          <w:sz w:val="26"/>
        </w:rPr>
        <w:t>Fire</w:t>
      </w:r>
      <w:r>
        <w:rPr>
          <w:spacing w:val="-4"/>
          <w:sz w:val="26"/>
        </w:rPr>
        <w:t> </w:t>
      </w:r>
      <w:r>
        <w:rPr>
          <w:sz w:val="26"/>
        </w:rPr>
        <w:t>Safety –</w:t>
      </w:r>
      <w:r>
        <w:rPr>
          <w:spacing w:val="-5"/>
          <w:sz w:val="26"/>
        </w:rPr>
        <w:t> </w:t>
      </w:r>
      <w:r>
        <w:rPr>
          <w:sz w:val="26"/>
        </w:rPr>
        <w:t>Volume</w:t>
      </w:r>
      <w:r>
        <w:rPr>
          <w:spacing w:val="-5"/>
          <w:sz w:val="26"/>
        </w:rPr>
        <w:t> </w:t>
      </w:r>
      <w:r>
        <w:rPr>
          <w:sz w:val="26"/>
        </w:rPr>
        <w:t>2</w:t>
      </w:r>
      <w:r>
        <w:rPr>
          <w:spacing w:val="-4"/>
          <w:sz w:val="26"/>
        </w:rPr>
        <w:t> </w:t>
      </w:r>
      <w:r>
        <w:rPr>
          <w:sz w:val="26"/>
        </w:rPr>
        <w:t>–</w:t>
      </w:r>
      <w:r>
        <w:rPr>
          <w:spacing w:val="-2"/>
          <w:sz w:val="26"/>
        </w:rPr>
        <w:t> </w:t>
      </w:r>
      <w:r>
        <w:rPr>
          <w:sz w:val="26"/>
        </w:rPr>
        <w:t>Dwelling </w:t>
      </w:r>
      <w:r>
        <w:rPr>
          <w:spacing w:val="-2"/>
          <w:sz w:val="26"/>
        </w:rPr>
        <w:t>Houses</w:t>
      </w:r>
    </w:p>
    <w:p>
      <w:pPr>
        <w:pStyle w:val="ListParagraph"/>
        <w:spacing w:after="0" w:line="240" w:lineRule="auto"/>
        <w:jc w:val="left"/>
        <w:rPr>
          <w:sz w:val="26"/>
        </w:rPr>
        <w:sectPr>
          <w:pgSz w:w="11910" w:h="16850"/>
          <w:pgMar w:header="0" w:footer="811" w:top="1880" w:bottom="1000" w:left="283" w:right="992"/>
        </w:sectPr>
      </w:pPr>
    </w:p>
    <w:p>
      <w:pPr>
        <w:spacing w:line="240" w:lineRule="auto"/>
        <w:ind w:left="10" w:right="0" w:firstLine="0"/>
        <w:rPr>
          <w:sz w:val="20"/>
        </w:rPr>
      </w:pPr>
      <w:r>
        <w:rPr>
          <w:sz w:val="20"/>
        </w:rPr>
        <w:drawing>
          <wp:inline distT="0" distB="0" distL="0" distR="0">
            <wp:extent cx="853283" cy="336042"/>
            <wp:effectExtent l="0" t="0" r="0" b="0"/>
            <wp:docPr id="36" name="Image 36" descr="NDA logo"/>
            <wp:cNvGraphicFramePr>
              <a:graphicFrameLocks/>
            </wp:cNvGraphicFramePr>
            <a:graphic>
              <a:graphicData uri="http://schemas.openxmlformats.org/drawingml/2006/picture">
                <pic:pic>
                  <pic:nvPicPr>
                    <pic:cNvPr id="36" name="Image 36" descr="NDA logo"/>
                    <pic:cNvPicPr/>
                  </pic:nvPicPr>
                  <pic:blipFill>
                    <a:blip r:embed="rId16" cstate="print"/>
                    <a:stretch>
                      <a:fillRect/>
                    </a:stretch>
                  </pic:blipFill>
                  <pic:spPr>
                    <a:xfrm>
                      <a:off x="0" y="0"/>
                      <a:ext cx="853283" cy="336042"/>
                    </a:xfrm>
                    <a:prstGeom prst="rect">
                      <a:avLst/>
                    </a:prstGeom>
                  </pic:spPr>
                </pic:pic>
              </a:graphicData>
            </a:graphic>
          </wp:inline>
        </w:drawing>
      </w:r>
      <w:r>
        <w:rPr>
          <w:sz w:val="20"/>
        </w:rPr>
      </w:r>
    </w:p>
    <w:p>
      <w:pPr>
        <w:pStyle w:val="BodyText"/>
      </w:pPr>
    </w:p>
    <w:p>
      <w:pPr>
        <w:pStyle w:val="BodyText"/>
        <w:spacing w:before="45"/>
      </w:pPr>
    </w:p>
    <w:p>
      <w:pPr>
        <w:pStyle w:val="Heading5"/>
        <w:spacing w:line="301" w:lineRule="exact"/>
      </w:pPr>
      <w:r>
        <w:rPr/>
        <w:t>National</w:t>
      </w:r>
      <w:r>
        <w:rPr>
          <w:spacing w:val="-13"/>
        </w:rPr>
        <w:t> </w:t>
      </w:r>
      <w:r>
        <w:rPr/>
        <w:t>Disability</w:t>
      </w:r>
      <w:r>
        <w:rPr>
          <w:spacing w:val="-9"/>
        </w:rPr>
        <w:t> </w:t>
      </w:r>
      <w:r>
        <w:rPr>
          <w:spacing w:val="-2"/>
        </w:rPr>
        <w:t>Authority</w:t>
      </w:r>
    </w:p>
    <w:p>
      <w:pPr>
        <w:pStyle w:val="BodyText"/>
        <w:spacing w:line="301" w:lineRule="exact"/>
        <w:ind w:left="1702"/>
      </w:pPr>
      <w:r>
        <w:rPr/>
        <w:t>25</w:t>
      </w:r>
      <w:r>
        <w:rPr>
          <w:spacing w:val="-8"/>
        </w:rPr>
        <w:t> </w:t>
      </w:r>
      <w:r>
        <w:rPr/>
        <w:t>Clyde</w:t>
      </w:r>
      <w:r>
        <w:rPr>
          <w:spacing w:val="-8"/>
        </w:rPr>
        <w:t> </w:t>
      </w:r>
      <w:r>
        <w:rPr/>
        <w:t>Road,</w:t>
      </w:r>
      <w:r>
        <w:rPr>
          <w:spacing w:val="-7"/>
        </w:rPr>
        <w:t> </w:t>
      </w:r>
      <w:r>
        <w:rPr/>
        <w:t>Dublin</w:t>
      </w:r>
      <w:r>
        <w:rPr>
          <w:spacing w:val="-7"/>
        </w:rPr>
        <w:t> </w:t>
      </w:r>
      <w:r>
        <w:rPr>
          <w:spacing w:val="-10"/>
        </w:rPr>
        <w:t>4</w:t>
      </w:r>
    </w:p>
    <w:p>
      <w:pPr>
        <w:spacing w:before="1"/>
        <w:ind w:left="1702" w:right="0" w:firstLine="0"/>
        <w:jc w:val="left"/>
        <w:rPr>
          <w:sz w:val="26"/>
        </w:rPr>
      </w:pPr>
      <w:r>
        <w:rPr>
          <w:b/>
          <w:sz w:val="26"/>
        </w:rPr>
        <w:t>Telephone</w:t>
      </w:r>
      <w:r>
        <w:rPr>
          <w:sz w:val="26"/>
        </w:rPr>
        <w:t>:</w:t>
      </w:r>
      <w:r>
        <w:rPr>
          <w:spacing w:val="-8"/>
          <w:sz w:val="26"/>
        </w:rPr>
        <w:t> </w:t>
      </w:r>
      <w:r>
        <w:rPr>
          <w:sz w:val="26"/>
        </w:rPr>
        <w:t>(01)</w:t>
      </w:r>
      <w:r>
        <w:rPr>
          <w:spacing w:val="-9"/>
          <w:sz w:val="26"/>
        </w:rPr>
        <w:t> </w:t>
      </w:r>
      <w:r>
        <w:rPr>
          <w:sz w:val="26"/>
        </w:rPr>
        <w:t>608</w:t>
      </w:r>
      <w:r>
        <w:rPr>
          <w:spacing w:val="-6"/>
          <w:sz w:val="26"/>
        </w:rPr>
        <w:t> </w:t>
      </w:r>
      <w:r>
        <w:rPr>
          <w:spacing w:val="-4"/>
          <w:sz w:val="26"/>
        </w:rPr>
        <w:t>0400</w:t>
      </w:r>
    </w:p>
    <w:p>
      <w:pPr>
        <w:pStyle w:val="BodyText"/>
        <w:spacing w:before="1"/>
        <w:ind w:left="1702"/>
      </w:pPr>
      <w:r>
        <w:rPr>
          <w:b/>
        </w:rPr>
        <w:t>Fax</w:t>
      </w:r>
      <w:r>
        <w:rPr/>
        <w:t>:</w:t>
      </w:r>
      <w:r>
        <w:rPr>
          <w:spacing w:val="-6"/>
        </w:rPr>
        <w:t> </w:t>
      </w:r>
      <w:r>
        <w:rPr/>
        <w:t>(01)</w:t>
      </w:r>
      <w:r>
        <w:rPr>
          <w:spacing w:val="-6"/>
        </w:rPr>
        <w:t> </w:t>
      </w:r>
      <w:r>
        <w:rPr/>
        <w:t>660</w:t>
      </w:r>
      <w:r>
        <w:rPr>
          <w:spacing w:val="-7"/>
        </w:rPr>
        <w:t> </w:t>
      </w:r>
      <w:r>
        <w:rPr>
          <w:spacing w:val="-4"/>
        </w:rPr>
        <w:t>9935</w:t>
      </w:r>
    </w:p>
    <w:p>
      <w:pPr>
        <w:pStyle w:val="Heading5"/>
        <w:spacing w:before="1"/>
      </w:pPr>
      <w:hyperlink r:id="rId17">
        <w:r>
          <w:rPr>
            <w:spacing w:val="-2"/>
          </w:rPr>
          <w:t>www.nda.ie</w:t>
        </w:r>
      </w:hyperlink>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68"/>
        <w:rPr>
          <w:b/>
        </w:rPr>
      </w:pPr>
    </w:p>
    <w:p>
      <w:pPr>
        <w:spacing w:before="0"/>
        <w:ind w:left="283" w:right="4093" w:firstLine="0"/>
        <w:jc w:val="left"/>
        <w:rPr>
          <w:rFonts w:ascii="Rockwell"/>
          <w:b/>
          <w:sz w:val="32"/>
        </w:rPr>
      </w:pPr>
      <w:r>
        <w:rPr>
          <w:rFonts w:ascii="Rockwell"/>
          <w:b/>
          <w:sz w:val="32"/>
        </w:rPr>
        <w:t>National Disability Authority is the independent state body providing expert advice on disability policy and practice</w:t>
      </w:r>
      <w:r>
        <w:rPr>
          <w:rFonts w:ascii="Rockwell"/>
          <w:b/>
          <w:spacing w:val="-10"/>
          <w:sz w:val="32"/>
        </w:rPr>
        <w:t> </w:t>
      </w:r>
      <w:r>
        <w:rPr>
          <w:rFonts w:ascii="Rockwell"/>
          <w:b/>
          <w:sz w:val="32"/>
        </w:rPr>
        <w:t>to</w:t>
      </w:r>
      <w:r>
        <w:rPr>
          <w:rFonts w:ascii="Rockwell"/>
          <w:b/>
          <w:spacing w:val="-7"/>
          <w:sz w:val="32"/>
        </w:rPr>
        <w:t> </w:t>
      </w:r>
      <w:r>
        <w:rPr>
          <w:rFonts w:ascii="Rockwell"/>
          <w:b/>
          <w:sz w:val="32"/>
        </w:rPr>
        <w:t>the</w:t>
      </w:r>
      <w:r>
        <w:rPr>
          <w:rFonts w:ascii="Rockwell"/>
          <w:b/>
          <w:spacing w:val="-6"/>
          <w:sz w:val="32"/>
        </w:rPr>
        <w:t> </w:t>
      </w:r>
      <w:r>
        <w:rPr>
          <w:rFonts w:ascii="Rockwell"/>
          <w:b/>
          <w:sz w:val="32"/>
        </w:rPr>
        <w:t>Minister,</w:t>
      </w:r>
      <w:r>
        <w:rPr>
          <w:rFonts w:ascii="Rockwell"/>
          <w:b/>
          <w:spacing w:val="-9"/>
          <w:sz w:val="32"/>
        </w:rPr>
        <w:t> </w:t>
      </w:r>
      <w:r>
        <w:rPr>
          <w:rFonts w:ascii="Rockwell"/>
          <w:b/>
          <w:sz w:val="32"/>
        </w:rPr>
        <w:t>and</w:t>
      </w:r>
      <w:r>
        <w:rPr>
          <w:rFonts w:ascii="Rockwell"/>
          <w:b/>
          <w:spacing w:val="-9"/>
          <w:sz w:val="32"/>
        </w:rPr>
        <w:t> </w:t>
      </w:r>
      <w:r>
        <w:rPr>
          <w:rFonts w:ascii="Rockwell"/>
          <w:b/>
          <w:sz w:val="32"/>
        </w:rPr>
        <w:t>promoting Universal Design in Ireland.</w:t>
      </w:r>
    </w:p>
    <w:sectPr>
      <w:pgSz w:w="11910" w:h="16850"/>
      <w:pgMar w:header="0" w:footer="811" w:top="780" w:bottom="1000" w:left="28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Math">
    <w:altName w:val="Cambria Math"/>
    <w:charset w:val="0"/>
    <w:family w:val="roman"/>
    <w:pitch w:val="variable"/>
  </w:font>
  <w:font w:name="Gill Sans MT">
    <w:altName w:val="Gill Sans MT"/>
    <w:charset w:val="0"/>
    <w:family w:val="swiss"/>
    <w:pitch w:val="variable"/>
  </w:font>
  <w:font w:name="Rockwell">
    <w:altName w:val="Rockwell"/>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36064">
              <wp:simplePos x="0" y="0"/>
              <wp:positionH relativeFrom="page">
                <wp:posOffset>3695827</wp:posOffset>
              </wp:positionH>
              <wp:positionV relativeFrom="page">
                <wp:posOffset>10039380</wp:posOffset>
              </wp:positionV>
              <wp:extent cx="404495" cy="2190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04495" cy="219075"/>
                      </a:xfrm>
                      <a:prstGeom prst="rect">
                        <a:avLst/>
                      </a:prstGeom>
                    </wps:spPr>
                    <wps:txbx>
                      <w:txbxContent>
                        <w:p>
                          <w:pPr>
                            <w:pStyle w:val="BodyText"/>
                            <w:spacing w:before="19"/>
                            <w:ind w:left="20"/>
                            <w:rPr>
                              <w:rFonts w:ascii="Rockwell"/>
                            </w:rPr>
                          </w:pPr>
                          <w:r>
                            <w:rPr>
                              <w:rFonts w:ascii="Rockwell"/>
                            </w:rPr>
                            <w:t>-</w:t>
                          </w:r>
                          <w:r>
                            <w:rPr>
                              <w:rFonts w:ascii="Rockwell"/>
                              <w:spacing w:val="-3"/>
                            </w:rPr>
                            <w:t> </w:t>
                          </w:r>
                          <w:r>
                            <w:rPr>
                              <w:rFonts w:ascii="Rockwell"/>
                            </w:rPr>
                            <w:fldChar w:fldCharType="begin"/>
                          </w:r>
                          <w:r>
                            <w:rPr>
                              <w:rFonts w:ascii="Rockwell"/>
                            </w:rPr>
                            <w:instrText> PAGE </w:instrText>
                          </w:r>
                          <w:r>
                            <w:rPr>
                              <w:rFonts w:ascii="Rockwell"/>
                            </w:rPr>
                            <w:fldChar w:fldCharType="separate"/>
                          </w:r>
                          <w:r>
                            <w:rPr>
                              <w:rFonts w:ascii="Rockwell"/>
                            </w:rPr>
                            <w:t>10</w:t>
                          </w:r>
                          <w:r>
                            <w:rPr>
                              <w:rFonts w:ascii="Rockwell"/>
                            </w:rPr>
                            <w:fldChar w:fldCharType="end"/>
                          </w:r>
                          <w:r>
                            <w:rPr>
                              <w:rFonts w:ascii="Rockwell"/>
                              <w:spacing w:val="-1"/>
                            </w:rPr>
                            <w:t> </w:t>
                          </w:r>
                          <w:r>
                            <w:rPr>
                              <w:rFonts w:ascii="Rockwell"/>
                              <w:spacing w:val="-10"/>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010010pt;margin-top:790.50238pt;width:31.85pt;height:17.25pt;mso-position-horizontal-relative:page;mso-position-vertical-relative:page;z-index:-17980416" type="#_x0000_t202" id="docshape1" filled="false" stroked="false">
              <v:textbox inset="0,0,0,0">
                <w:txbxContent>
                  <w:p>
                    <w:pPr>
                      <w:pStyle w:val="BodyText"/>
                      <w:spacing w:before="19"/>
                      <w:ind w:left="20"/>
                      <w:rPr>
                        <w:rFonts w:ascii="Rockwell"/>
                      </w:rPr>
                    </w:pPr>
                    <w:r>
                      <w:rPr>
                        <w:rFonts w:ascii="Rockwell"/>
                      </w:rPr>
                      <w:t>-</w:t>
                    </w:r>
                    <w:r>
                      <w:rPr>
                        <w:rFonts w:ascii="Rockwell"/>
                        <w:spacing w:val="-3"/>
                      </w:rPr>
                      <w:t> </w:t>
                    </w:r>
                    <w:r>
                      <w:rPr>
                        <w:rFonts w:ascii="Rockwell"/>
                      </w:rPr>
                      <w:fldChar w:fldCharType="begin"/>
                    </w:r>
                    <w:r>
                      <w:rPr>
                        <w:rFonts w:ascii="Rockwell"/>
                      </w:rPr>
                      <w:instrText> PAGE </w:instrText>
                    </w:r>
                    <w:r>
                      <w:rPr>
                        <w:rFonts w:ascii="Rockwell"/>
                      </w:rPr>
                      <w:fldChar w:fldCharType="separate"/>
                    </w:r>
                    <w:r>
                      <w:rPr>
                        <w:rFonts w:ascii="Rockwell"/>
                      </w:rPr>
                      <w:t>10</w:t>
                    </w:r>
                    <w:r>
                      <w:rPr>
                        <w:rFonts w:ascii="Rockwell"/>
                      </w:rPr>
                      <w:fldChar w:fldCharType="end"/>
                    </w:r>
                    <w:r>
                      <w:rPr>
                        <w:rFonts w:ascii="Rockwell"/>
                        <w:spacing w:val="-1"/>
                      </w:rPr>
                      <w:t> </w:t>
                    </w:r>
                    <w:r>
                      <w:rPr>
                        <w:rFonts w:ascii="Rockwell"/>
                        <w:spacing w:val="-10"/>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36576">
              <wp:simplePos x="0" y="0"/>
              <wp:positionH relativeFrom="page">
                <wp:posOffset>3651630</wp:posOffset>
              </wp:positionH>
              <wp:positionV relativeFrom="page">
                <wp:posOffset>10039380</wp:posOffset>
              </wp:positionV>
              <wp:extent cx="494030" cy="21907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494030" cy="219075"/>
                      </a:xfrm>
                      <a:prstGeom prst="rect">
                        <a:avLst/>
                      </a:prstGeom>
                    </wps:spPr>
                    <wps:txbx>
                      <w:txbxContent>
                        <w:p>
                          <w:pPr>
                            <w:pStyle w:val="BodyText"/>
                            <w:spacing w:before="19"/>
                            <w:ind w:left="20"/>
                            <w:rPr>
                              <w:rFonts w:ascii="Rockwell"/>
                            </w:rPr>
                          </w:pPr>
                          <w:r>
                            <w:rPr>
                              <w:rFonts w:ascii="Rockwell"/>
                            </w:rPr>
                            <w:t>-</w:t>
                          </w:r>
                          <w:r>
                            <w:rPr>
                              <w:rFonts w:ascii="Rockwell"/>
                              <w:spacing w:val="-4"/>
                            </w:rPr>
                            <w:t> </w:t>
                          </w:r>
                          <w:r>
                            <w:rPr>
                              <w:rFonts w:ascii="Rockwell"/>
                            </w:rPr>
                            <w:fldChar w:fldCharType="begin"/>
                          </w:r>
                          <w:r>
                            <w:rPr>
                              <w:rFonts w:ascii="Rockwell"/>
                            </w:rPr>
                            <w:instrText> PAGE </w:instrText>
                          </w:r>
                          <w:r>
                            <w:rPr>
                              <w:rFonts w:ascii="Rockwell"/>
                            </w:rPr>
                            <w:fldChar w:fldCharType="separate"/>
                          </w:r>
                          <w:r>
                            <w:rPr>
                              <w:rFonts w:ascii="Rockwell"/>
                            </w:rPr>
                            <w:t>100</w:t>
                          </w:r>
                          <w:r>
                            <w:rPr>
                              <w:rFonts w:ascii="Rockwell"/>
                            </w:rPr>
                            <w:fldChar w:fldCharType="end"/>
                          </w:r>
                          <w:r>
                            <w:rPr>
                              <w:rFonts w:ascii="Rockwell"/>
                              <w:spacing w:val="-2"/>
                            </w:rPr>
                            <w:t> </w:t>
                          </w:r>
                          <w:r>
                            <w:rPr>
                              <w:rFonts w:ascii="Rockwell"/>
                              <w:spacing w:val="-10"/>
                            </w:rPr>
                            <w:t>-</w:t>
                          </w:r>
                        </w:p>
                      </w:txbxContent>
                    </wps:txbx>
                    <wps:bodyPr wrap="square" lIns="0" tIns="0" rIns="0" bIns="0" rtlCol="0">
                      <a:noAutofit/>
                    </wps:bodyPr>
                  </wps:wsp>
                </a:graphicData>
              </a:graphic>
            </wp:anchor>
          </w:drawing>
        </mc:Choice>
        <mc:Fallback>
          <w:pict>
            <v:shape style="position:absolute;margin-left:287.529999pt;margin-top:790.50238pt;width:38.9pt;height:17.25pt;mso-position-horizontal-relative:page;mso-position-vertical-relative:page;z-index:-17979904" type="#_x0000_t202" id="docshape14" filled="false" stroked="false">
              <v:textbox inset="0,0,0,0">
                <w:txbxContent>
                  <w:p>
                    <w:pPr>
                      <w:pStyle w:val="BodyText"/>
                      <w:spacing w:before="19"/>
                      <w:ind w:left="20"/>
                      <w:rPr>
                        <w:rFonts w:ascii="Rockwell"/>
                      </w:rPr>
                    </w:pPr>
                    <w:r>
                      <w:rPr>
                        <w:rFonts w:ascii="Rockwell"/>
                      </w:rPr>
                      <w:t>-</w:t>
                    </w:r>
                    <w:r>
                      <w:rPr>
                        <w:rFonts w:ascii="Rockwell"/>
                        <w:spacing w:val="-4"/>
                      </w:rPr>
                      <w:t> </w:t>
                    </w:r>
                    <w:r>
                      <w:rPr>
                        <w:rFonts w:ascii="Rockwell"/>
                      </w:rPr>
                      <w:fldChar w:fldCharType="begin"/>
                    </w:r>
                    <w:r>
                      <w:rPr>
                        <w:rFonts w:ascii="Rockwell"/>
                      </w:rPr>
                      <w:instrText> PAGE </w:instrText>
                    </w:r>
                    <w:r>
                      <w:rPr>
                        <w:rFonts w:ascii="Rockwell"/>
                      </w:rPr>
                      <w:fldChar w:fldCharType="separate"/>
                    </w:r>
                    <w:r>
                      <w:rPr>
                        <w:rFonts w:ascii="Rockwell"/>
                      </w:rPr>
                      <w:t>100</w:t>
                    </w:r>
                    <w:r>
                      <w:rPr>
                        <w:rFonts w:ascii="Rockwell"/>
                      </w:rPr>
                      <w:fldChar w:fldCharType="end"/>
                    </w:r>
                    <w:r>
                      <w:rPr>
                        <w:rFonts w:ascii="Rockwell"/>
                        <w:spacing w:val="-2"/>
                      </w:rPr>
                      <w:t> </w:t>
                    </w:r>
                    <w:r>
                      <w:rPr>
                        <w:rFonts w:ascii="Rockwell"/>
                        <w:spacing w:val="-10"/>
                      </w:rPr>
                      <w:t>-</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
    <w:multiLevelType w:val="hybridMultilevel"/>
    <w:lvl w:ilvl="0">
      <w:start w:val="0"/>
      <w:numFmt w:val="bullet"/>
      <w:lvlText w:val=""/>
      <w:lvlJc w:val="left"/>
      <w:pPr>
        <w:ind w:left="2059" w:hanging="358"/>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917" w:hanging="358"/>
      </w:pPr>
      <w:rPr>
        <w:rFonts w:hint="default"/>
        <w:lang w:val="en-US" w:eastAsia="en-US" w:bidi="ar-SA"/>
      </w:rPr>
    </w:lvl>
    <w:lvl w:ilvl="2">
      <w:start w:val="0"/>
      <w:numFmt w:val="bullet"/>
      <w:lvlText w:val="•"/>
      <w:lvlJc w:val="left"/>
      <w:pPr>
        <w:ind w:left="3774" w:hanging="358"/>
      </w:pPr>
      <w:rPr>
        <w:rFonts w:hint="default"/>
        <w:lang w:val="en-US" w:eastAsia="en-US" w:bidi="ar-SA"/>
      </w:rPr>
    </w:lvl>
    <w:lvl w:ilvl="3">
      <w:start w:val="0"/>
      <w:numFmt w:val="bullet"/>
      <w:lvlText w:val="•"/>
      <w:lvlJc w:val="left"/>
      <w:pPr>
        <w:ind w:left="4631" w:hanging="358"/>
      </w:pPr>
      <w:rPr>
        <w:rFonts w:hint="default"/>
        <w:lang w:val="en-US" w:eastAsia="en-US" w:bidi="ar-SA"/>
      </w:rPr>
    </w:lvl>
    <w:lvl w:ilvl="4">
      <w:start w:val="0"/>
      <w:numFmt w:val="bullet"/>
      <w:lvlText w:val="•"/>
      <w:lvlJc w:val="left"/>
      <w:pPr>
        <w:ind w:left="5488" w:hanging="358"/>
      </w:pPr>
      <w:rPr>
        <w:rFonts w:hint="default"/>
        <w:lang w:val="en-US" w:eastAsia="en-US" w:bidi="ar-SA"/>
      </w:rPr>
    </w:lvl>
    <w:lvl w:ilvl="5">
      <w:start w:val="0"/>
      <w:numFmt w:val="bullet"/>
      <w:lvlText w:val="•"/>
      <w:lvlJc w:val="left"/>
      <w:pPr>
        <w:ind w:left="6345" w:hanging="358"/>
      </w:pPr>
      <w:rPr>
        <w:rFonts w:hint="default"/>
        <w:lang w:val="en-US" w:eastAsia="en-US" w:bidi="ar-SA"/>
      </w:rPr>
    </w:lvl>
    <w:lvl w:ilvl="6">
      <w:start w:val="0"/>
      <w:numFmt w:val="bullet"/>
      <w:lvlText w:val="•"/>
      <w:lvlJc w:val="left"/>
      <w:pPr>
        <w:ind w:left="7202" w:hanging="358"/>
      </w:pPr>
      <w:rPr>
        <w:rFonts w:hint="default"/>
        <w:lang w:val="en-US" w:eastAsia="en-US" w:bidi="ar-SA"/>
      </w:rPr>
    </w:lvl>
    <w:lvl w:ilvl="7">
      <w:start w:val="0"/>
      <w:numFmt w:val="bullet"/>
      <w:lvlText w:val="•"/>
      <w:lvlJc w:val="left"/>
      <w:pPr>
        <w:ind w:left="8059" w:hanging="358"/>
      </w:pPr>
      <w:rPr>
        <w:rFonts w:hint="default"/>
        <w:lang w:val="en-US" w:eastAsia="en-US" w:bidi="ar-SA"/>
      </w:rPr>
    </w:lvl>
    <w:lvl w:ilvl="8">
      <w:start w:val="0"/>
      <w:numFmt w:val="bullet"/>
      <w:lvlText w:val="•"/>
      <w:lvlJc w:val="left"/>
      <w:pPr>
        <w:ind w:left="8917" w:hanging="358"/>
      </w:pPr>
      <w:rPr>
        <w:rFonts w:hint="default"/>
        <w:lang w:val="en-US" w:eastAsia="en-US" w:bidi="ar-SA"/>
      </w:rPr>
    </w:lvl>
  </w:abstractNum>
  <w:abstractNum w:abstractNumId="21">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20">
    <w:multiLevelType w:val="hybridMultilevel"/>
    <w:lvl w:ilvl="0">
      <w:start w:val="0"/>
      <w:numFmt w:val="bullet"/>
      <w:lvlText w:val="-"/>
      <w:lvlJc w:val="left"/>
      <w:pPr>
        <w:ind w:left="2422" w:hanging="360"/>
      </w:pPr>
      <w:rPr>
        <w:rFonts w:hint="default" w:ascii="Arial" w:hAnsi="Arial" w:eastAsia="Arial" w:cs="Aria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19">
    <w:multiLevelType w:val="hybridMultilevel"/>
    <w:lvl w:ilvl="0">
      <w:start w:val="1"/>
      <w:numFmt w:val="lowerLetter"/>
      <w:lvlText w:val="(%1)"/>
      <w:lvlJc w:val="left"/>
      <w:pPr>
        <w:ind w:left="2062" w:hanging="360"/>
        <w:jc w:val="left"/>
      </w:pPr>
      <w:rPr>
        <w:rFonts w:hint="default" w:ascii="Gill Sans MT" w:hAnsi="Gill Sans MT" w:eastAsia="Gill Sans MT" w:cs="Gill Sans MT"/>
        <w:b/>
        <w:bCs/>
        <w:i/>
        <w:iCs/>
        <w:spacing w:val="-2"/>
        <w:w w:val="100"/>
        <w:sz w:val="24"/>
        <w:szCs w:val="24"/>
        <w:lang w:val="en-US" w:eastAsia="en-US" w:bidi="ar-SA"/>
      </w:rPr>
    </w:lvl>
    <w:lvl w:ilvl="1">
      <w:start w:val="0"/>
      <w:numFmt w:val="bullet"/>
      <w:lvlText w:val="•"/>
      <w:lvlJc w:val="left"/>
      <w:pPr>
        <w:ind w:left="2917" w:hanging="360"/>
      </w:pPr>
      <w:rPr>
        <w:rFonts w:hint="default"/>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18">
    <w:multiLevelType w:val="hybridMultilevel"/>
    <w:lvl w:ilvl="0">
      <w:start w:val="1"/>
      <w:numFmt w:val="lowerRoman"/>
      <w:lvlText w:val="(%1)"/>
      <w:lvlJc w:val="left"/>
      <w:pPr>
        <w:ind w:left="2496" w:hanging="435"/>
        <w:jc w:val="left"/>
      </w:pPr>
      <w:rPr>
        <w:rFonts w:hint="default" w:ascii="Gill Sans MT" w:hAnsi="Gill Sans MT" w:eastAsia="Gill Sans MT" w:cs="Gill Sans MT"/>
        <w:b w:val="0"/>
        <w:bCs w:val="0"/>
        <w:i w:val="0"/>
        <w:iCs w:val="0"/>
        <w:spacing w:val="-1"/>
        <w:w w:val="100"/>
        <w:sz w:val="24"/>
        <w:szCs w:val="24"/>
        <w:lang w:val="en-US" w:eastAsia="en-US" w:bidi="ar-SA"/>
      </w:rPr>
    </w:lvl>
    <w:lvl w:ilvl="1">
      <w:start w:val="0"/>
      <w:numFmt w:val="bullet"/>
      <w:lvlText w:val="•"/>
      <w:lvlJc w:val="left"/>
      <w:pPr>
        <w:ind w:left="3313" w:hanging="435"/>
      </w:pPr>
      <w:rPr>
        <w:rFonts w:hint="default"/>
        <w:lang w:val="en-US" w:eastAsia="en-US" w:bidi="ar-SA"/>
      </w:rPr>
    </w:lvl>
    <w:lvl w:ilvl="2">
      <w:start w:val="0"/>
      <w:numFmt w:val="bullet"/>
      <w:lvlText w:val="•"/>
      <w:lvlJc w:val="left"/>
      <w:pPr>
        <w:ind w:left="4126" w:hanging="435"/>
      </w:pPr>
      <w:rPr>
        <w:rFonts w:hint="default"/>
        <w:lang w:val="en-US" w:eastAsia="en-US" w:bidi="ar-SA"/>
      </w:rPr>
    </w:lvl>
    <w:lvl w:ilvl="3">
      <w:start w:val="0"/>
      <w:numFmt w:val="bullet"/>
      <w:lvlText w:val="•"/>
      <w:lvlJc w:val="left"/>
      <w:pPr>
        <w:ind w:left="4939" w:hanging="435"/>
      </w:pPr>
      <w:rPr>
        <w:rFonts w:hint="default"/>
        <w:lang w:val="en-US" w:eastAsia="en-US" w:bidi="ar-SA"/>
      </w:rPr>
    </w:lvl>
    <w:lvl w:ilvl="4">
      <w:start w:val="0"/>
      <w:numFmt w:val="bullet"/>
      <w:lvlText w:val="•"/>
      <w:lvlJc w:val="left"/>
      <w:pPr>
        <w:ind w:left="5752" w:hanging="435"/>
      </w:pPr>
      <w:rPr>
        <w:rFonts w:hint="default"/>
        <w:lang w:val="en-US" w:eastAsia="en-US" w:bidi="ar-SA"/>
      </w:rPr>
    </w:lvl>
    <w:lvl w:ilvl="5">
      <w:start w:val="0"/>
      <w:numFmt w:val="bullet"/>
      <w:lvlText w:val="•"/>
      <w:lvlJc w:val="left"/>
      <w:pPr>
        <w:ind w:left="6565" w:hanging="435"/>
      </w:pPr>
      <w:rPr>
        <w:rFonts w:hint="default"/>
        <w:lang w:val="en-US" w:eastAsia="en-US" w:bidi="ar-SA"/>
      </w:rPr>
    </w:lvl>
    <w:lvl w:ilvl="6">
      <w:start w:val="0"/>
      <w:numFmt w:val="bullet"/>
      <w:lvlText w:val="•"/>
      <w:lvlJc w:val="left"/>
      <w:pPr>
        <w:ind w:left="7378" w:hanging="435"/>
      </w:pPr>
      <w:rPr>
        <w:rFonts w:hint="default"/>
        <w:lang w:val="en-US" w:eastAsia="en-US" w:bidi="ar-SA"/>
      </w:rPr>
    </w:lvl>
    <w:lvl w:ilvl="7">
      <w:start w:val="0"/>
      <w:numFmt w:val="bullet"/>
      <w:lvlText w:val="•"/>
      <w:lvlJc w:val="left"/>
      <w:pPr>
        <w:ind w:left="8191" w:hanging="435"/>
      </w:pPr>
      <w:rPr>
        <w:rFonts w:hint="default"/>
        <w:lang w:val="en-US" w:eastAsia="en-US" w:bidi="ar-SA"/>
      </w:rPr>
    </w:lvl>
    <w:lvl w:ilvl="8">
      <w:start w:val="0"/>
      <w:numFmt w:val="bullet"/>
      <w:lvlText w:val="•"/>
      <w:lvlJc w:val="left"/>
      <w:pPr>
        <w:ind w:left="9005" w:hanging="435"/>
      </w:pPr>
      <w:rPr>
        <w:rFonts w:hint="default"/>
        <w:lang w:val="en-US" w:eastAsia="en-US" w:bidi="ar-SA"/>
      </w:rPr>
    </w:lvl>
  </w:abstractNum>
  <w:abstractNum w:abstractNumId="17">
    <w:multiLevelType w:val="hybridMultilevel"/>
    <w:lvl w:ilvl="0">
      <w:start w:val="1"/>
      <w:numFmt w:val="lowerRoman"/>
      <w:lvlText w:val="(%1)"/>
      <w:lvlJc w:val="left"/>
      <w:pPr>
        <w:ind w:left="2496" w:hanging="435"/>
        <w:jc w:val="left"/>
      </w:pPr>
      <w:rPr>
        <w:rFonts w:hint="default" w:ascii="Gill Sans MT" w:hAnsi="Gill Sans MT" w:eastAsia="Gill Sans MT" w:cs="Gill Sans MT"/>
        <w:b w:val="0"/>
        <w:bCs w:val="0"/>
        <w:i w:val="0"/>
        <w:iCs w:val="0"/>
        <w:spacing w:val="-1"/>
        <w:w w:val="100"/>
        <w:sz w:val="24"/>
        <w:szCs w:val="24"/>
        <w:lang w:val="en-US" w:eastAsia="en-US" w:bidi="ar-SA"/>
      </w:rPr>
    </w:lvl>
    <w:lvl w:ilvl="1">
      <w:start w:val="0"/>
      <w:numFmt w:val="bullet"/>
      <w:lvlText w:val="•"/>
      <w:lvlJc w:val="left"/>
      <w:pPr>
        <w:ind w:left="3313" w:hanging="435"/>
      </w:pPr>
      <w:rPr>
        <w:rFonts w:hint="default"/>
        <w:lang w:val="en-US" w:eastAsia="en-US" w:bidi="ar-SA"/>
      </w:rPr>
    </w:lvl>
    <w:lvl w:ilvl="2">
      <w:start w:val="0"/>
      <w:numFmt w:val="bullet"/>
      <w:lvlText w:val="•"/>
      <w:lvlJc w:val="left"/>
      <w:pPr>
        <w:ind w:left="4126" w:hanging="435"/>
      </w:pPr>
      <w:rPr>
        <w:rFonts w:hint="default"/>
        <w:lang w:val="en-US" w:eastAsia="en-US" w:bidi="ar-SA"/>
      </w:rPr>
    </w:lvl>
    <w:lvl w:ilvl="3">
      <w:start w:val="0"/>
      <w:numFmt w:val="bullet"/>
      <w:lvlText w:val="•"/>
      <w:lvlJc w:val="left"/>
      <w:pPr>
        <w:ind w:left="4939" w:hanging="435"/>
      </w:pPr>
      <w:rPr>
        <w:rFonts w:hint="default"/>
        <w:lang w:val="en-US" w:eastAsia="en-US" w:bidi="ar-SA"/>
      </w:rPr>
    </w:lvl>
    <w:lvl w:ilvl="4">
      <w:start w:val="0"/>
      <w:numFmt w:val="bullet"/>
      <w:lvlText w:val="•"/>
      <w:lvlJc w:val="left"/>
      <w:pPr>
        <w:ind w:left="5752" w:hanging="435"/>
      </w:pPr>
      <w:rPr>
        <w:rFonts w:hint="default"/>
        <w:lang w:val="en-US" w:eastAsia="en-US" w:bidi="ar-SA"/>
      </w:rPr>
    </w:lvl>
    <w:lvl w:ilvl="5">
      <w:start w:val="0"/>
      <w:numFmt w:val="bullet"/>
      <w:lvlText w:val="•"/>
      <w:lvlJc w:val="left"/>
      <w:pPr>
        <w:ind w:left="6565" w:hanging="435"/>
      </w:pPr>
      <w:rPr>
        <w:rFonts w:hint="default"/>
        <w:lang w:val="en-US" w:eastAsia="en-US" w:bidi="ar-SA"/>
      </w:rPr>
    </w:lvl>
    <w:lvl w:ilvl="6">
      <w:start w:val="0"/>
      <w:numFmt w:val="bullet"/>
      <w:lvlText w:val="•"/>
      <w:lvlJc w:val="left"/>
      <w:pPr>
        <w:ind w:left="7378" w:hanging="435"/>
      </w:pPr>
      <w:rPr>
        <w:rFonts w:hint="default"/>
        <w:lang w:val="en-US" w:eastAsia="en-US" w:bidi="ar-SA"/>
      </w:rPr>
    </w:lvl>
    <w:lvl w:ilvl="7">
      <w:start w:val="0"/>
      <w:numFmt w:val="bullet"/>
      <w:lvlText w:val="•"/>
      <w:lvlJc w:val="left"/>
      <w:pPr>
        <w:ind w:left="8191" w:hanging="435"/>
      </w:pPr>
      <w:rPr>
        <w:rFonts w:hint="default"/>
        <w:lang w:val="en-US" w:eastAsia="en-US" w:bidi="ar-SA"/>
      </w:rPr>
    </w:lvl>
    <w:lvl w:ilvl="8">
      <w:start w:val="0"/>
      <w:numFmt w:val="bullet"/>
      <w:lvlText w:val="•"/>
      <w:lvlJc w:val="left"/>
      <w:pPr>
        <w:ind w:left="9005" w:hanging="435"/>
      </w:pPr>
      <w:rPr>
        <w:rFonts w:hint="default"/>
        <w:lang w:val="en-US" w:eastAsia="en-US" w:bidi="ar-SA"/>
      </w:rPr>
    </w:lvl>
  </w:abstractNum>
  <w:abstractNum w:abstractNumId="16">
    <w:multiLevelType w:val="hybridMultilevel"/>
    <w:lvl w:ilvl="0">
      <w:start w:val="1"/>
      <w:numFmt w:val="decimal"/>
      <w:lvlText w:val="%1."/>
      <w:lvlJc w:val="left"/>
      <w:pPr>
        <w:ind w:left="2062" w:hanging="360"/>
        <w:jc w:val="left"/>
      </w:pPr>
      <w:rPr>
        <w:rFonts w:hint="default" w:ascii="Gill Sans MT" w:hAnsi="Gill Sans MT" w:eastAsia="Gill Sans MT" w:cs="Gill Sans MT"/>
        <w:b/>
        <w:bCs/>
        <w:i w:val="0"/>
        <w:iCs w:val="0"/>
        <w:spacing w:val="-1"/>
        <w:w w:val="100"/>
        <w:sz w:val="24"/>
        <w:szCs w:val="24"/>
        <w:lang w:val="en-US" w:eastAsia="en-US" w:bidi="ar-SA"/>
      </w:rPr>
    </w:lvl>
    <w:lvl w:ilvl="1">
      <w:start w:val="1"/>
      <w:numFmt w:val="lowerLetter"/>
      <w:lvlText w:val="%2)"/>
      <w:lvlJc w:val="left"/>
      <w:pPr>
        <w:ind w:left="1987" w:hanging="286"/>
        <w:jc w:val="left"/>
      </w:pPr>
      <w:rPr>
        <w:rFonts w:hint="default" w:ascii="Gill Sans MT" w:hAnsi="Gill Sans MT" w:eastAsia="Gill Sans MT" w:cs="Gill Sans MT"/>
        <w:b/>
        <w:bCs/>
        <w:i w:val="0"/>
        <w:iCs w:val="0"/>
        <w:spacing w:val="-1"/>
        <w:w w:val="100"/>
        <w:sz w:val="24"/>
        <w:szCs w:val="24"/>
        <w:lang w:val="en-US" w:eastAsia="en-US" w:bidi="ar-SA"/>
      </w:rPr>
    </w:lvl>
    <w:lvl w:ilvl="2">
      <w:start w:val="0"/>
      <w:numFmt w:val="bullet"/>
      <w:lvlText w:val=""/>
      <w:lvlJc w:val="left"/>
      <w:pPr>
        <w:ind w:left="2422" w:hanging="360"/>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3446" w:hanging="360"/>
      </w:pPr>
      <w:rPr>
        <w:rFonts w:hint="default"/>
        <w:lang w:val="en-US" w:eastAsia="en-US" w:bidi="ar-SA"/>
      </w:rPr>
    </w:lvl>
    <w:lvl w:ilvl="4">
      <w:start w:val="0"/>
      <w:numFmt w:val="bullet"/>
      <w:lvlText w:val="•"/>
      <w:lvlJc w:val="left"/>
      <w:pPr>
        <w:ind w:left="4472" w:hanging="360"/>
      </w:pPr>
      <w:rPr>
        <w:rFonts w:hint="default"/>
        <w:lang w:val="en-US" w:eastAsia="en-US" w:bidi="ar-SA"/>
      </w:rPr>
    </w:lvl>
    <w:lvl w:ilvl="5">
      <w:start w:val="0"/>
      <w:numFmt w:val="bullet"/>
      <w:lvlText w:val="•"/>
      <w:lvlJc w:val="left"/>
      <w:pPr>
        <w:ind w:left="5499" w:hanging="360"/>
      </w:pPr>
      <w:rPr>
        <w:rFonts w:hint="default"/>
        <w:lang w:val="en-US" w:eastAsia="en-US" w:bidi="ar-SA"/>
      </w:rPr>
    </w:lvl>
    <w:lvl w:ilvl="6">
      <w:start w:val="0"/>
      <w:numFmt w:val="bullet"/>
      <w:lvlText w:val="•"/>
      <w:lvlJc w:val="left"/>
      <w:pPr>
        <w:ind w:left="6525" w:hanging="360"/>
      </w:pPr>
      <w:rPr>
        <w:rFonts w:hint="default"/>
        <w:lang w:val="en-US" w:eastAsia="en-US" w:bidi="ar-SA"/>
      </w:rPr>
    </w:lvl>
    <w:lvl w:ilvl="7">
      <w:start w:val="0"/>
      <w:numFmt w:val="bullet"/>
      <w:lvlText w:val="•"/>
      <w:lvlJc w:val="left"/>
      <w:pPr>
        <w:ind w:left="7552" w:hanging="360"/>
      </w:pPr>
      <w:rPr>
        <w:rFonts w:hint="default"/>
        <w:lang w:val="en-US" w:eastAsia="en-US" w:bidi="ar-SA"/>
      </w:rPr>
    </w:lvl>
    <w:lvl w:ilvl="8">
      <w:start w:val="0"/>
      <w:numFmt w:val="bullet"/>
      <w:lvlText w:val="•"/>
      <w:lvlJc w:val="left"/>
      <w:pPr>
        <w:ind w:left="8578" w:hanging="360"/>
      </w:pPr>
      <w:rPr>
        <w:rFonts w:hint="default"/>
        <w:lang w:val="en-US" w:eastAsia="en-US" w:bidi="ar-SA"/>
      </w:rPr>
    </w:lvl>
  </w:abstractNum>
  <w:abstractNum w:abstractNumId="15">
    <w:multiLevelType w:val="hybridMultilevel"/>
    <w:lvl w:ilvl="0">
      <w:start w:val="0"/>
      <w:numFmt w:val="bullet"/>
      <w:lvlText w:val="-"/>
      <w:lvlJc w:val="left"/>
      <w:pPr>
        <w:ind w:left="665" w:hanging="123"/>
      </w:pPr>
      <w:rPr>
        <w:rFonts w:hint="default" w:ascii="Gill Sans MT" w:hAnsi="Gill Sans MT" w:eastAsia="Gill Sans MT" w:cs="Gill Sans MT"/>
        <w:b w:val="0"/>
        <w:bCs w:val="0"/>
        <w:i w:val="0"/>
        <w:iCs w:val="0"/>
        <w:spacing w:val="0"/>
        <w:w w:val="100"/>
        <w:sz w:val="22"/>
        <w:szCs w:val="22"/>
        <w:lang w:val="en-US" w:eastAsia="en-US" w:bidi="ar-SA"/>
      </w:rPr>
    </w:lvl>
    <w:lvl w:ilvl="1">
      <w:start w:val="0"/>
      <w:numFmt w:val="bullet"/>
      <w:lvlText w:val="•"/>
      <w:lvlJc w:val="left"/>
      <w:pPr>
        <w:ind w:left="1121" w:hanging="123"/>
      </w:pPr>
      <w:rPr>
        <w:rFonts w:hint="default"/>
        <w:lang w:val="en-US" w:eastAsia="en-US" w:bidi="ar-SA"/>
      </w:rPr>
    </w:lvl>
    <w:lvl w:ilvl="2">
      <w:start w:val="0"/>
      <w:numFmt w:val="bullet"/>
      <w:lvlText w:val="•"/>
      <w:lvlJc w:val="left"/>
      <w:pPr>
        <w:ind w:left="1582" w:hanging="123"/>
      </w:pPr>
      <w:rPr>
        <w:rFonts w:hint="default"/>
        <w:lang w:val="en-US" w:eastAsia="en-US" w:bidi="ar-SA"/>
      </w:rPr>
    </w:lvl>
    <w:lvl w:ilvl="3">
      <w:start w:val="0"/>
      <w:numFmt w:val="bullet"/>
      <w:lvlText w:val="•"/>
      <w:lvlJc w:val="left"/>
      <w:pPr>
        <w:ind w:left="2043" w:hanging="123"/>
      </w:pPr>
      <w:rPr>
        <w:rFonts w:hint="default"/>
        <w:lang w:val="en-US" w:eastAsia="en-US" w:bidi="ar-SA"/>
      </w:rPr>
    </w:lvl>
    <w:lvl w:ilvl="4">
      <w:start w:val="0"/>
      <w:numFmt w:val="bullet"/>
      <w:lvlText w:val="•"/>
      <w:lvlJc w:val="left"/>
      <w:pPr>
        <w:ind w:left="2504" w:hanging="123"/>
      </w:pPr>
      <w:rPr>
        <w:rFonts w:hint="default"/>
        <w:lang w:val="en-US" w:eastAsia="en-US" w:bidi="ar-SA"/>
      </w:rPr>
    </w:lvl>
    <w:lvl w:ilvl="5">
      <w:start w:val="0"/>
      <w:numFmt w:val="bullet"/>
      <w:lvlText w:val="•"/>
      <w:lvlJc w:val="left"/>
      <w:pPr>
        <w:ind w:left="2965" w:hanging="123"/>
      </w:pPr>
      <w:rPr>
        <w:rFonts w:hint="default"/>
        <w:lang w:val="en-US" w:eastAsia="en-US" w:bidi="ar-SA"/>
      </w:rPr>
    </w:lvl>
    <w:lvl w:ilvl="6">
      <w:start w:val="0"/>
      <w:numFmt w:val="bullet"/>
      <w:lvlText w:val="•"/>
      <w:lvlJc w:val="left"/>
      <w:pPr>
        <w:ind w:left="3426" w:hanging="123"/>
      </w:pPr>
      <w:rPr>
        <w:rFonts w:hint="default"/>
        <w:lang w:val="en-US" w:eastAsia="en-US" w:bidi="ar-SA"/>
      </w:rPr>
    </w:lvl>
    <w:lvl w:ilvl="7">
      <w:start w:val="0"/>
      <w:numFmt w:val="bullet"/>
      <w:lvlText w:val="•"/>
      <w:lvlJc w:val="left"/>
      <w:pPr>
        <w:ind w:left="3888" w:hanging="123"/>
      </w:pPr>
      <w:rPr>
        <w:rFonts w:hint="default"/>
        <w:lang w:val="en-US" w:eastAsia="en-US" w:bidi="ar-SA"/>
      </w:rPr>
    </w:lvl>
    <w:lvl w:ilvl="8">
      <w:start w:val="0"/>
      <w:numFmt w:val="bullet"/>
      <w:lvlText w:val="•"/>
      <w:lvlJc w:val="left"/>
      <w:pPr>
        <w:ind w:left="4349" w:hanging="123"/>
      </w:pPr>
      <w:rPr>
        <w:rFonts w:hint="default"/>
        <w:lang w:val="en-US" w:eastAsia="en-US" w:bidi="ar-SA"/>
      </w:rPr>
    </w:lvl>
  </w:abstractNum>
  <w:abstractNum w:abstractNumId="14">
    <w:multiLevelType w:val="hybridMultilevel"/>
    <w:lvl w:ilvl="0">
      <w:start w:val="0"/>
      <w:numFmt w:val="bullet"/>
      <w:lvlText w:val="-"/>
      <w:lvlJc w:val="left"/>
      <w:pPr>
        <w:ind w:left="1702" w:hanging="132"/>
      </w:pPr>
      <w:rPr>
        <w:rFonts w:hint="default" w:ascii="Gill Sans MT" w:hAnsi="Gill Sans MT" w:eastAsia="Gill Sans MT" w:cs="Gill Sans MT"/>
        <w:b w:val="0"/>
        <w:bCs w:val="0"/>
        <w:i w:val="0"/>
        <w:iCs w:val="0"/>
        <w:spacing w:val="0"/>
        <w:w w:val="100"/>
        <w:sz w:val="22"/>
        <w:szCs w:val="22"/>
        <w:lang w:val="en-US" w:eastAsia="en-US" w:bidi="ar-SA"/>
      </w:rPr>
    </w:lvl>
    <w:lvl w:ilvl="1">
      <w:start w:val="0"/>
      <w:numFmt w:val="bullet"/>
      <w:lvlText w:val="•"/>
      <w:lvlJc w:val="left"/>
      <w:pPr>
        <w:ind w:left="2061" w:hanging="132"/>
      </w:pPr>
      <w:rPr>
        <w:rFonts w:hint="default"/>
        <w:lang w:val="en-US" w:eastAsia="en-US" w:bidi="ar-SA"/>
      </w:rPr>
    </w:lvl>
    <w:lvl w:ilvl="2">
      <w:start w:val="0"/>
      <w:numFmt w:val="bullet"/>
      <w:lvlText w:val="•"/>
      <w:lvlJc w:val="left"/>
      <w:pPr>
        <w:ind w:left="2423" w:hanging="132"/>
      </w:pPr>
      <w:rPr>
        <w:rFonts w:hint="default"/>
        <w:lang w:val="en-US" w:eastAsia="en-US" w:bidi="ar-SA"/>
      </w:rPr>
    </w:lvl>
    <w:lvl w:ilvl="3">
      <w:start w:val="0"/>
      <w:numFmt w:val="bullet"/>
      <w:lvlText w:val="•"/>
      <w:lvlJc w:val="left"/>
      <w:pPr>
        <w:ind w:left="2785" w:hanging="132"/>
      </w:pPr>
      <w:rPr>
        <w:rFonts w:hint="default"/>
        <w:lang w:val="en-US" w:eastAsia="en-US" w:bidi="ar-SA"/>
      </w:rPr>
    </w:lvl>
    <w:lvl w:ilvl="4">
      <w:start w:val="0"/>
      <w:numFmt w:val="bullet"/>
      <w:lvlText w:val="•"/>
      <w:lvlJc w:val="left"/>
      <w:pPr>
        <w:ind w:left="3147" w:hanging="132"/>
      </w:pPr>
      <w:rPr>
        <w:rFonts w:hint="default"/>
        <w:lang w:val="en-US" w:eastAsia="en-US" w:bidi="ar-SA"/>
      </w:rPr>
    </w:lvl>
    <w:lvl w:ilvl="5">
      <w:start w:val="0"/>
      <w:numFmt w:val="bullet"/>
      <w:lvlText w:val="•"/>
      <w:lvlJc w:val="left"/>
      <w:pPr>
        <w:ind w:left="3509" w:hanging="132"/>
      </w:pPr>
      <w:rPr>
        <w:rFonts w:hint="default"/>
        <w:lang w:val="en-US" w:eastAsia="en-US" w:bidi="ar-SA"/>
      </w:rPr>
    </w:lvl>
    <w:lvl w:ilvl="6">
      <w:start w:val="0"/>
      <w:numFmt w:val="bullet"/>
      <w:lvlText w:val="•"/>
      <w:lvlJc w:val="left"/>
      <w:pPr>
        <w:ind w:left="3871" w:hanging="132"/>
      </w:pPr>
      <w:rPr>
        <w:rFonts w:hint="default"/>
        <w:lang w:val="en-US" w:eastAsia="en-US" w:bidi="ar-SA"/>
      </w:rPr>
    </w:lvl>
    <w:lvl w:ilvl="7">
      <w:start w:val="0"/>
      <w:numFmt w:val="bullet"/>
      <w:lvlText w:val="•"/>
      <w:lvlJc w:val="left"/>
      <w:pPr>
        <w:ind w:left="4233" w:hanging="132"/>
      </w:pPr>
      <w:rPr>
        <w:rFonts w:hint="default"/>
        <w:lang w:val="en-US" w:eastAsia="en-US" w:bidi="ar-SA"/>
      </w:rPr>
    </w:lvl>
    <w:lvl w:ilvl="8">
      <w:start w:val="0"/>
      <w:numFmt w:val="bullet"/>
      <w:lvlText w:val="•"/>
      <w:lvlJc w:val="left"/>
      <w:pPr>
        <w:ind w:left="4595" w:hanging="132"/>
      </w:pPr>
      <w:rPr>
        <w:rFonts w:hint="default"/>
        <w:lang w:val="en-US" w:eastAsia="en-US" w:bidi="ar-SA"/>
      </w:rPr>
    </w:lvl>
  </w:abstractNum>
  <w:abstractNum w:abstractNumId="13">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062" w:hanging="360"/>
      </w:pPr>
      <w:rPr>
        <w:rFonts w:hint="default" w:ascii="Symbol" w:hAnsi="Symbol" w:eastAsia="Symbol" w:cs="Symbol"/>
        <w:b w:val="0"/>
        <w:bCs w:val="0"/>
        <w:i w:val="0"/>
        <w:iCs w:val="0"/>
        <w:spacing w:val="0"/>
        <w:w w:val="100"/>
        <w:sz w:val="23"/>
        <w:szCs w:val="23"/>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12">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11">
    <w:multiLevelType w:val="hybridMultilevel"/>
    <w:lvl w:ilvl="0">
      <w:start w:val="1"/>
      <w:numFmt w:val="lowerLetter"/>
      <w:lvlText w:val="(%1)"/>
      <w:lvlJc w:val="left"/>
      <w:pPr>
        <w:ind w:left="2062" w:hanging="360"/>
        <w:jc w:val="left"/>
      </w:pPr>
      <w:rPr>
        <w:rFonts w:hint="default" w:ascii="Gill Sans MT" w:hAnsi="Gill Sans MT" w:eastAsia="Gill Sans MT" w:cs="Gill Sans MT"/>
        <w:b/>
        <w:bCs/>
        <w:i/>
        <w:iCs/>
        <w:spacing w:val="-2"/>
        <w:w w:val="100"/>
        <w:sz w:val="24"/>
        <w:szCs w:val="24"/>
        <w:lang w:val="en-US" w:eastAsia="en-US" w:bidi="ar-SA"/>
      </w:rPr>
    </w:lvl>
    <w:lvl w:ilvl="1">
      <w:start w:val="0"/>
      <w:numFmt w:val="bullet"/>
      <w:lvlText w:val="•"/>
      <w:lvlJc w:val="left"/>
      <w:pPr>
        <w:ind w:left="2917" w:hanging="360"/>
      </w:pPr>
      <w:rPr>
        <w:rFonts w:hint="default"/>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10">
    <w:multiLevelType w:val="hybridMultilevel"/>
    <w:lvl w:ilvl="0">
      <w:start w:val="1"/>
      <w:numFmt w:val="decimal"/>
      <w:lvlText w:val="%1."/>
      <w:lvlJc w:val="left"/>
      <w:pPr>
        <w:ind w:left="1966" w:hanging="265"/>
        <w:jc w:val="left"/>
      </w:pPr>
      <w:rPr>
        <w:rFonts w:hint="default" w:ascii="Gill Sans MT" w:hAnsi="Gill Sans MT" w:eastAsia="Gill Sans MT" w:cs="Gill Sans MT"/>
        <w:b/>
        <w:bCs/>
        <w:i w:val="0"/>
        <w:iCs w:val="0"/>
        <w:spacing w:val="0"/>
        <w:w w:val="100"/>
        <w:sz w:val="24"/>
        <w:szCs w:val="24"/>
        <w:lang w:val="en-US" w:eastAsia="en-US" w:bidi="ar-SA"/>
      </w:rPr>
    </w:lvl>
    <w:lvl w:ilvl="1">
      <w:start w:val="1"/>
      <w:numFmt w:val="lowerLetter"/>
      <w:lvlText w:val="%2)"/>
      <w:lvlJc w:val="left"/>
      <w:pPr>
        <w:ind w:left="2422" w:hanging="360"/>
        <w:jc w:val="left"/>
      </w:pPr>
      <w:rPr>
        <w:rFonts w:hint="default" w:ascii="Gill Sans MT" w:hAnsi="Gill Sans MT" w:eastAsia="Gill Sans MT" w:cs="Gill Sans MT"/>
        <w:b w:val="0"/>
        <w:bCs w:val="0"/>
        <w:i w:val="0"/>
        <w:iCs w:val="0"/>
        <w:spacing w:val="0"/>
        <w:w w:val="100"/>
        <w:sz w:val="24"/>
        <w:szCs w:val="24"/>
        <w:lang w:val="en-US" w:eastAsia="en-US" w:bidi="ar-SA"/>
      </w:rPr>
    </w:lvl>
    <w:lvl w:ilvl="2">
      <w:start w:val="0"/>
      <w:numFmt w:val="bullet"/>
      <w:lvlText w:val="•"/>
      <w:lvlJc w:val="left"/>
      <w:pPr>
        <w:ind w:left="2480" w:hanging="360"/>
      </w:pPr>
      <w:rPr>
        <w:rFonts w:hint="default"/>
        <w:lang w:val="en-US" w:eastAsia="en-US" w:bidi="ar-SA"/>
      </w:rPr>
    </w:lvl>
    <w:lvl w:ilvl="3">
      <w:start w:val="0"/>
      <w:numFmt w:val="bullet"/>
      <w:lvlText w:val="•"/>
      <w:lvlJc w:val="left"/>
      <w:pPr>
        <w:ind w:left="3498" w:hanging="360"/>
      </w:pPr>
      <w:rPr>
        <w:rFonts w:hint="default"/>
        <w:lang w:val="en-US" w:eastAsia="en-US" w:bidi="ar-SA"/>
      </w:rPr>
    </w:lvl>
    <w:lvl w:ilvl="4">
      <w:start w:val="0"/>
      <w:numFmt w:val="bullet"/>
      <w:lvlText w:val="•"/>
      <w:lvlJc w:val="left"/>
      <w:pPr>
        <w:ind w:left="4517" w:hanging="360"/>
      </w:pPr>
      <w:rPr>
        <w:rFonts w:hint="default"/>
        <w:lang w:val="en-US" w:eastAsia="en-US" w:bidi="ar-SA"/>
      </w:rPr>
    </w:lvl>
    <w:lvl w:ilvl="5">
      <w:start w:val="0"/>
      <w:numFmt w:val="bullet"/>
      <w:lvlText w:val="•"/>
      <w:lvlJc w:val="left"/>
      <w:pPr>
        <w:ind w:left="5536" w:hanging="360"/>
      </w:pPr>
      <w:rPr>
        <w:rFonts w:hint="default"/>
        <w:lang w:val="en-US" w:eastAsia="en-US" w:bidi="ar-SA"/>
      </w:rPr>
    </w:lvl>
    <w:lvl w:ilvl="6">
      <w:start w:val="0"/>
      <w:numFmt w:val="bullet"/>
      <w:lvlText w:val="•"/>
      <w:lvlJc w:val="left"/>
      <w:pPr>
        <w:ind w:left="6555" w:hanging="360"/>
      </w:pPr>
      <w:rPr>
        <w:rFonts w:hint="default"/>
        <w:lang w:val="en-US" w:eastAsia="en-US" w:bidi="ar-SA"/>
      </w:rPr>
    </w:lvl>
    <w:lvl w:ilvl="7">
      <w:start w:val="0"/>
      <w:numFmt w:val="bullet"/>
      <w:lvlText w:val="•"/>
      <w:lvlJc w:val="left"/>
      <w:pPr>
        <w:ind w:left="7574" w:hanging="360"/>
      </w:pPr>
      <w:rPr>
        <w:rFonts w:hint="default"/>
        <w:lang w:val="en-US" w:eastAsia="en-US" w:bidi="ar-SA"/>
      </w:rPr>
    </w:lvl>
    <w:lvl w:ilvl="8">
      <w:start w:val="0"/>
      <w:numFmt w:val="bullet"/>
      <w:lvlText w:val="•"/>
      <w:lvlJc w:val="left"/>
      <w:pPr>
        <w:ind w:left="8593" w:hanging="360"/>
      </w:pPr>
      <w:rPr>
        <w:rFonts w:hint="default"/>
        <w:lang w:val="en-US" w:eastAsia="en-US" w:bidi="ar-SA"/>
      </w:rPr>
    </w:lvl>
  </w:abstractNum>
  <w:abstractNum w:abstractNumId="9">
    <w:multiLevelType w:val="hybridMultilevel"/>
    <w:lvl w:ilvl="0">
      <w:start w:val="0"/>
      <w:numFmt w:val="bullet"/>
      <w:lvlText w:val=""/>
      <w:lvlJc w:val="left"/>
      <w:pPr>
        <w:ind w:left="247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3295" w:hanging="360"/>
      </w:pPr>
      <w:rPr>
        <w:rFonts w:hint="default"/>
        <w:lang w:val="en-US" w:eastAsia="en-US" w:bidi="ar-SA"/>
      </w:rPr>
    </w:lvl>
    <w:lvl w:ilvl="2">
      <w:start w:val="0"/>
      <w:numFmt w:val="bullet"/>
      <w:lvlText w:val="•"/>
      <w:lvlJc w:val="left"/>
      <w:pPr>
        <w:ind w:left="4110" w:hanging="360"/>
      </w:pPr>
      <w:rPr>
        <w:rFonts w:hint="default"/>
        <w:lang w:val="en-US" w:eastAsia="en-US" w:bidi="ar-SA"/>
      </w:rPr>
    </w:lvl>
    <w:lvl w:ilvl="3">
      <w:start w:val="0"/>
      <w:numFmt w:val="bullet"/>
      <w:lvlText w:val="•"/>
      <w:lvlJc w:val="left"/>
      <w:pPr>
        <w:ind w:left="4925" w:hanging="360"/>
      </w:pPr>
      <w:rPr>
        <w:rFonts w:hint="default"/>
        <w:lang w:val="en-US" w:eastAsia="en-US" w:bidi="ar-SA"/>
      </w:rPr>
    </w:lvl>
    <w:lvl w:ilvl="4">
      <w:start w:val="0"/>
      <w:numFmt w:val="bullet"/>
      <w:lvlText w:val="•"/>
      <w:lvlJc w:val="left"/>
      <w:pPr>
        <w:ind w:left="5740" w:hanging="360"/>
      </w:pPr>
      <w:rPr>
        <w:rFonts w:hint="default"/>
        <w:lang w:val="en-US" w:eastAsia="en-US" w:bidi="ar-SA"/>
      </w:rPr>
    </w:lvl>
    <w:lvl w:ilvl="5">
      <w:start w:val="0"/>
      <w:numFmt w:val="bullet"/>
      <w:lvlText w:val="•"/>
      <w:lvlJc w:val="left"/>
      <w:pPr>
        <w:ind w:left="6555" w:hanging="360"/>
      </w:pPr>
      <w:rPr>
        <w:rFonts w:hint="default"/>
        <w:lang w:val="en-US" w:eastAsia="en-US" w:bidi="ar-SA"/>
      </w:rPr>
    </w:lvl>
    <w:lvl w:ilvl="6">
      <w:start w:val="0"/>
      <w:numFmt w:val="bullet"/>
      <w:lvlText w:val="•"/>
      <w:lvlJc w:val="left"/>
      <w:pPr>
        <w:ind w:left="7370" w:hanging="360"/>
      </w:pPr>
      <w:rPr>
        <w:rFonts w:hint="default"/>
        <w:lang w:val="en-US" w:eastAsia="en-US" w:bidi="ar-SA"/>
      </w:rPr>
    </w:lvl>
    <w:lvl w:ilvl="7">
      <w:start w:val="0"/>
      <w:numFmt w:val="bullet"/>
      <w:lvlText w:val="•"/>
      <w:lvlJc w:val="left"/>
      <w:pPr>
        <w:ind w:left="8185" w:hanging="360"/>
      </w:pPr>
      <w:rPr>
        <w:rFonts w:hint="default"/>
        <w:lang w:val="en-US" w:eastAsia="en-US" w:bidi="ar-SA"/>
      </w:rPr>
    </w:lvl>
    <w:lvl w:ilvl="8">
      <w:start w:val="0"/>
      <w:numFmt w:val="bullet"/>
      <w:lvlText w:val="•"/>
      <w:lvlJc w:val="left"/>
      <w:pPr>
        <w:ind w:left="9001" w:hanging="360"/>
      </w:pPr>
      <w:rPr>
        <w:rFonts w:hint="default"/>
        <w:lang w:val="en-US" w:eastAsia="en-US" w:bidi="ar-SA"/>
      </w:rPr>
    </w:lvl>
  </w:abstractNum>
  <w:abstractNum w:abstractNumId="8">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917" w:hanging="360"/>
      </w:pPr>
      <w:rPr>
        <w:rFonts w:hint="default"/>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7">
    <w:multiLevelType w:val="hybridMultilevel"/>
    <w:lvl w:ilvl="0">
      <w:start w:val="0"/>
      <w:numFmt w:val="bullet"/>
      <w:lvlText w:val=""/>
      <w:lvlJc w:val="left"/>
      <w:pPr>
        <w:ind w:left="2422" w:hanging="360"/>
      </w:pPr>
      <w:rPr>
        <w:rFonts w:hint="default" w:ascii="Symbol" w:hAnsi="Symbol" w:eastAsia="Symbol" w:cs="Symbol"/>
        <w:spacing w:val="0"/>
        <w:w w:val="99"/>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6">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5">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917" w:hanging="360"/>
      </w:pPr>
      <w:rPr>
        <w:rFonts w:hint="default"/>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4">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3">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abstractNum w:abstractNumId="2">
    <w:multiLevelType w:val="hybridMultilevel"/>
    <w:lvl w:ilvl="0">
      <w:start w:val="0"/>
      <w:numFmt w:val="bullet"/>
      <w:lvlText w:val=""/>
      <w:lvlJc w:val="left"/>
      <w:pPr>
        <w:ind w:left="2062"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2917" w:hanging="360"/>
      </w:pPr>
      <w:rPr>
        <w:rFonts w:hint="default"/>
        <w:lang w:val="en-US" w:eastAsia="en-US" w:bidi="ar-SA"/>
      </w:rPr>
    </w:lvl>
    <w:lvl w:ilvl="2">
      <w:start w:val="0"/>
      <w:numFmt w:val="bullet"/>
      <w:lvlText w:val="•"/>
      <w:lvlJc w:val="left"/>
      <w:pPr>
        <w:ind w:left="3774"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488" w:hanging="360"/>
      </w:pPr>
      <w:rPr>
        <w:rFonts w:hint="default"/>
        <w:lang w:val="en-US" w:eastAsia="en-US" w:bidi="ar-SA"/>
      </w:rPr>
    </w:lvl>
    <w:lvl w:ilvl="5">
      <w:start w:val="0"/>
      <w:numFmt w:val="bullet"/>
      <w:lvlText w:val="•"/>
      <w:lvlJc w:val="left"/>
      <w:pPr>
        <w:ind w:left="6345" w:hanging="360"/>
      </w:pPr>
      <w:rPr>
        <w:rFonts w:hint="default"/>
        <w:lang w:val="en-US" w:eastAsia="en-US" w:bidi="ar-SA"/>
      </w:rPr>
    </w:lvl>
    <w:lvl w:ilvl="6">
      <w:start w:val="0"/>
      <w:numFmt w:val="bullet"/>
      <w:lvlText w:val="•"/>
      <w:lvlJc w:val="left"/>
      <w:pPr>
        <w:ind w:left="7202" w:hanging="360"/>
      </w:pPr>
      <w:rPr>
        <w:rFonts w:hint="default"/>
        <w:lang w:val="en-US" w:eastAsia="en-US" w:bidi="ar-SA"/>
      </w:rPr>
    </w:lvl>
    <w:lvl w:ilvl="7">
      <w:start w:val="0"/>
      <w:numFmt w:val="bullet"/>
      <w:lvlText w:val="•"/>
      <w:lvlJc w:val="left"/>
      <w:pPr>
        <w:ind w:left="8059" w:hanging="360"/>
      </w:pPr>
      <w:rPr>
        <w:rFonts w:hint="default"/>
        <w:lang w:val="en-US" w:eastAsia="en-US" w:bidi="ar-SA"/>
      </w:rPr>
    </w:lvl>
    <w:lvl w:ilvl="8">
      <w:start w:val="0"/>
      <w:numFmt w:val="bullet"/>
      <w:lvlText w:val="•"/>
      <w:lvlJc w:val="left"/>
      <w:pPr>
        <w:ind w:left="8917" w:hanging="360"/>
      </w:pPr>
      <w:rPr>
        <w:rFonts w:hint="default"/>
        <w:lang w:val="en-US" w:eastAsia="en-US" w:bidi="ar-SA"/>
      </w:rPr>
    </w:lvl>
  </w:abstractNum>
  <w:abstractNum w:abstractNumId="1">
    <w:multiLevelType w:val="hybridMultilevel"/>
    <w:lvl w:ilvl="0">
      <w:start w:val="1"/>
      <w:numFmt w:val="decimal"/>
      <w:lvlText w:val="%1."/>
      <w:lvlJc w:val="left"/>
      <w:pPr>
        <w:ind w:left="2422" w:hanging="360"/>
        <w:jc w:val="left"/>
      </w:pPr>
      <w:rPr>
        <w:rFonts w:hint="default" w:ascii="Gill Sans MT" w:hAnsi="Gill Sans MT" w:eastAsia="Gill Sans MT" w:cs="Gill Sans MT"/>
        <w:b w:val="0"/>
        <w:bCs w:val="0"/>
        <w:i w:val="0"/>
        <w:iCs w:val="0"/>
        <w:spacing w:val="-1"/>
        <w:w w:val="99"/>
        <w:sz w:val="26"/>
        <w:szCs w:val="26"/>
        <w:lang w:val="en-US" w:eastAsia="en-US" w:bidi="ar-SA"/>
      </w:rPr>
    </w:lvl>
    <w:lvl w:ilvl="1">
      <w:start w:val="1"/>
      <w:numFmt w:val="lowerLetter"/>
      <w:lvlText w:val="%2."/>
      <w:lvlJc w:val="left"/>
      <w:pPr>
        <w:ind w:left="3142" w:hanging="360"/>
        <w:jc w:val="left"/>
      </w:pPr>
      <w:rPr>
        <w:rFonts w:hint="default" w:ascii="Gill Sans MT" w:hAnsi="Gill Sans MT" w:eastAsia="Gill Sans MT" w:cs="Gill Sans MT"/>
        <w:b w:val="0"/>
        <w:bCs w:val="0"/>
        <w:i w:val="0"/>
        <w:iCs w:val="0"/>
        <w:spacing w:val="-1"/>
        <w:w w:val="99"/>
        <w:sz w:val="26"/>
        <w:szCs w:val="26"/>
        <w:lang w:val="en-US" w:eastAsia="en-US" w:bidi="ar-SA"/>
      </w:rPr>
    </w:lvl>
    <w:lvl w:ilvl="2">
      <w:start w:val="0"/>
      <w:numFmt w:val="bullet"/>
      <w:lvlText w:val="•"/>
      <w:lvlJc w:val="left"/>
      <w:pPr>
        <w:ind w:left="3972" w:hanging="360"/>
      </w:pPr>
      <w:rPr>
        <w:rFonts w:hint="default"/>
        <w:lang w:val="en-US" w:eastAsia="en-US" w:bidi="ar-SA"/>
      </w:rPr>
    </w:lvl>
    <w:lvl w:ilvl="3">
      <w:start w:val="0"/>
      <w:numFmt w:val="bullet"/>
      <w:lvlText w:val="•"/>
      <w:lvlJc w:val="left"/>
      <w:pPr>
        <w:ind w:left="4804" w:hanging="360"/>
      </w:pPr>
      <w:rPr>
        <w:rFonts w:hint="default"/>
        <w:lang w:val="en-US" w:eastAsia="en-US" w:bidi="ar-SA"/>
      </w:rPr>
    </w:lvl>
    <w:lvl w:ilvl="4">
      <w:start w:val="0"/>
      <w:numFmt w:val="bullet"/>
      <w:lvlText w:val="•"/>
      <w:lvlJc w:val="left"/>
      <w:pPr>
        <w:ind w:left="5637" w:hanging="360"/>
      </w:pPr>
      <w:rPr>
        <w:rFonts w:hint="default"/>
        <w:lang w:val="en-US" w:eastAsia="en-US" w:bidi="ar-SA"/>
      </w:rPr>
    </w:lvl>
    <w:lvl w:ilvl="5">
      <w:start w:val="0"/>
      <w:numFmt w:val="bullet"/>
      <w:lvlText w:val="•"/>
      <w:lvlJc w:val="left"/>
      <w:pPr>
        <w:ind w:left="6469" w:hanging="360"/>
      </w:pPr>
      <w:rPr>
        <w:rFonts w:hint="default"/>
        <w:lang w:val="en-US" w:eastAsia="en-US" w:bidi="ar-SA"/>
      </w:rPr>
    </w:lvl>
    <w:lvl w:ilvl="6">
      <w:start w:val="0"/>
      <w:numFmt w:val="bullet"/>
      <w:lvlText w:val="•"/>
      <w:lvlJc w:val="left"/>
      <w:pPr>
        <w:ind w:left="7301" w:hanging="360"/>
      </w:pPr>
      <w:rPr>
        <w:rFonts w:hint="default"/>
        <w:lang w:val="en-US" w:eastAsia="en-US" w:bidi="ar-SA"/>
      </w:rPr>
    </w:lvl>
    <w:lvl w:ilvl="7">
      <w:start w:val="0"/>
      <w:numFmt w:val="bullet"/>
      <w:lvlText w:val="•"/>
      <w:lvlJc w:val="left"/>
      <w:pPr>
        <w:ind w:left="8134" w:hanging="360"/>
      </w:pPr>
      <w:rPr>
        <w:rFonts w:hint="default"/>
        <w:lang w:val="en-US" w:eastAsia="en-US" w:bidi="ar-SA"/>
      </w:rPr>
    </w:lvl>
    <w:lvl w:ilvl="8">
      <w:start w:val="0"/>
      <w:numFmt w:val="bullet"/>
      <w:lvlText w:val="•"/>
      <w:lvlJc w:val="left"/>
      <w:pPr>
        <w:ind w:left="8966" w:hanging="360"/>
      </w:pPr>
      <w:rPr>
        <w:rFonts w:hint="default"/>
        <w:lang w:val="en-US" w:eastAsia="en-US" w:bidi="ar-SA"/>
      </w:rPr>
    </w:lvl>
  </w:abstractNum>
  <w:abstractNum w:abstractNumId="0">
    <w:multiLevelType w:val="hybridMultilevel"/>
    <w:lvl w:ilvl="0">
      <w:start w:val="0"/>
      <w:numFmt w:val="bullet"/>
      <w:lvlText w:val=""/>
      <w:lvlJc w:val="left"/>
      <w:pPr>
        <w:ind w:left="2422" w:hanging="360"/>
      </w:pPr>
      <w:rPr>
        <w:rFonts w:hint="default" w:ascii="Symbol" w:hAnsi="Symbol" w:eastAsia="Symbol" w:cs="Symbol"/>
        <w:b w:val="0"/>
        <w:bCs w:val="0"/>
        <w:i w:val="0"/>
        <w:iCs w:val="0"/>
        <w:spacing w:val="0"/>
        <w:w w:val="99"/>
        <w:sz w:val="26"/>
        <w:szCs w:val="26"/>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062" w:hanging="360"/>
      </w:pPr>
      <w:rPr>
        <w:rFonts w:hint="default"/>
        <w:lang w:val="en-US" w:eastAsia="en-US" w:bidi="ar-SA"/>
      </w:rPr>
    </w:lvl>
    <w:lvl w:ilvl="3">
      <w:start w:val="0"/>
      <w:numFmt w:val="bullet"/>
      <w:lvlText w:val="•"/>
      <w:lvlJc w:val="left"/>
      <w:pPr>
        <w:ind w:left="4883" w:hanging="360"/>
      </w:pPr>
      <w:rPr>
        <w:rFonts w:hint="default"/>
        <w:lang w:val="en-US" w:eastAsia="en-US" w:bidi="ar-SA"/>
      </w:rPr>
    </w:lvl>
    <w:lvl w:ilvl="4">
      <w:start w:val="0"/>
      <w:numFmt w:val="bullet"/>
      <w:lvlText w:val="•"/>
      <w:lvlJc w:val="left"/>
      <w:pPr>
        <w:ind w:left="5704" w:hanging="360"/>
      </w:pPr>
      <w:rPr>
        <w:rFonts w:hint="default"/>
        <w:lang w:val="en-US" w:eastAsia="en-US" w:bidi="ar-SA"/>
      </w:rPr>
    </w:lvl>
    <w:lvl w:ilvl="5">
      <w:start w:val="0"/>
      <w:numFmt w:val="bullet"/>
      <w:lvlText w:val="•"/>
      <w:lvlJc w:val="left"/>
      <w:pPr>
        <w:ind w:left="6525" w:hanging="360"/>
      </w:pPr>
      <w:rPr>
        <w:rFonts w:hint="default"/>
        <w:lang w:val="en-US" w:eastAsia="en-US" w:bidi="ar-SA"/>
      </w:rPr>
    </w:lvl>
    <w:lvl w:ilvl="6">
      <w:start w:val="0"/>
      <w:numFmt w:val="bullet"/>
      <w:lvlText w:val="•"/>
      <w:lvlJc w:val="left"/>
      <w:pPr>
        <w:ind w:left="7346" w:hanging="360"/>
      </w:pPr>
      <w:rPr>
        <w:rFonts w:hint="default"/>
        <w:lang w:val="en-US" w:eastAsia="en-US" w:bidi="ar-SA"/>
      </w:rPr>
    </w:lvl>
    <w:lvl w:ilvl="7">
      <w:start w:val="0"/>
      <w:numFmt w:val="bullet"/>
      <w:lvlText w:val="•"/>
      <w:lvlJc w:val="left"/>
      <w:pPr>
        <w:ind w:left="8167" w:hanging="360"/>
      </w:pPr>
      <w:rPr>
        <w:rFonts w:hint="default"/>
        <w:lang w:val="en-US" w:eastAsia="en-US" w:bidi="ar-SA"/>
      </w:rPr>
    </w:lvl>
    <w:lvl w:ilvl="8">
      <w:start w:val="0"/>
      <w:numFmt w:val="bullet"/>
      <w:lvlText w:val="•"/>
      <w:lvlJc w:val="left"/>
      <w:pPr>
        <w:ind w:left="8989" w:hanging="360"/>
      </w:pPr>
      <w:rPr>
        <w:rFonts w:hint="default"/>
        <w:lang w:val="en-US" w:eastAsia="en-US" w:bidi="ar-SA"/>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lang w:val="en-US" w:eastAsia="en-US" w:bidi="ar-SA"/>
    </w:rPr>
  </w:style>
  <w:style w:styleId="TOC1" w:type="paragraph">
    <w:name w:val="TOC 1"/>
    <w:basedOn w:val="Normal"/>
    <w:uiPriority w:val="1"/>
    <w:qFormat/>
    <w:pPr>
      <w:spacing w:before="241"/>
      <w:ind w:left="1702"/>
    </w:pPr>
    <w:rPr>
      <w:rFonts w:ascii="Gill Sans MT" w:hAnsi="Gill Sans MT" w:eastAsia="Gill Sans MT" w:cs="Gill Sans MT"/>
      <w:b/>
      <w:bCs/>
      <w:sz w:val="26"/>
      <w:szCs w:val="26"/>
      <w:lang w:val="en-US" w:eastAsia="en-US" w:bidi="ar-SA"/>
    </w:rPr>
  </w:style>
  <w:style w:styleId="BodyText" w:type="paragraph">
    <w:name w:val="Body Text"/>
    <w:basedOn w:val="Normal"/>
    <w:uiPriority w:val="1"/>
    <w:qFormat/>
    <w:pPr/>
    <w:rPr>
      <w:rFonts w:ascii="Gill Sans MT" w:hAnsi="Gill Sans MT" w:eastAsia="Gill Sans MT" w:cs="Gill Sans MT"/>
      <w:sz w:val="26"/>
      <w:szCs w:val="26"/>
      <w:lang w:val="en-US" w:eastAsia="en-US" w:bidi="ar-SA"/>
    </w:rPr>
  </w:style>
  <w:style w:styleId="Heading1" w:type="paragraph">
    <w:name w:val="Heading 1"/>
    <w:basedOn w:val="Normal"/>
    <w:uiPriority w:val="1"/>
    <w:qFormat/>
    <w:pPr>
      <w:spacing w:before="1"/>
      <w:ind w:left="1702" w:right="4714"/>
      <w:jc w:val="both"/>
      <w:outlineLvl w:val="1"/>
    </w:pPr>
    <w:rPr>
      <w:rFonts w:ascii="Rockwell" w:hAnsi="Rockwell" w:eastAsia="Rockwell" w:cs="Rockwell"/>
      <w:b/>
      <w:bCs/>
      <w:sz w:val="120"/>
      <w:szCs w:val="120"/>
      <w:lang w:val="en-US" w:eastAsia="en-US" w:bidi="ar-SA"/>
    </w:rPr>
  </w:style>
  <w:style w:styleId="Heading2" w:type="paragraph">
    <w:name w:val="Heading 2"/>
    <w:basedOn w:val="Normal"/>
    <w:uiPriority w:val="1"/>
    <w:qFormat/>
    <w:pPr>
      <w:spacing w:before="78"/>
      <w:ind w:left="1702"/>
      <w:outlineLvl w:val="2"/>
    </w:pPr>
    <w:rPr>
      <w:rFonts w:ascii="Rockwell" w:hAnsi="Rockwell" w:eastAsia="Rockwell" w:cs="Rockwell"/>
      <w:b/>
      <w:bCs/>
      <w:sz w:val="56"/>
      <w:szCs w:val="56"/>
      <w:lang w:val="en-US" w:eastAsia="en-US" w:bidi="ar-SA"/>
    </w:rPr>
  </w:style>
  <w:style w:styleId="Heading3" w:type="paragraph">
    <w:name w:val="Heading 3"/>
    <w:basedOn w:val="Normal"/>
    <w:uiPriority w:val="1"/>
    <w:qFormat/>
    <w:pPr>
      <w:spacing w:before="254"/>
      <w:ind w:left="1702"/>
      <w:outlineLvl w:val="3"/>
    </w:pPr>
    <w:rPr>
      <w:rFonts w:ascii="Rockwell" w:hAnsi="Rockwell" w:eastAsia="Rockwell" w:cs="Rockwell"/>
      <w:b/>
      <w:bCs/>
      <w:sz w:val="32"/>
      <w:szCs w:val="32"/>
      <w:lang w:val="en-US" w:eastAsia="en-US" w:bidi="ar-SA"/>
    </w:rPr>
  </w:style>
  <w:style w:styleId="Heading4" w:type="paragraph">
    <w:name w:val="Heading 4"/>
    <w:basedOn w:val="Normal"/>
    <w:uiPriority w:val="1"/>
    <w:qFormat/>
    <w:pPr>
      <w:spacing w:before="71"/>
      <w:ind w:left="1702" w:right="1354"/>
      <w:outlineLvl w:val="4"/>
    </w:pPr>
    <w:rPr>
      <w:rFonts w:ascii="Rockwell" w:hAnsi="Rockwell" w:eastAsia="Rockwell" w:cs="Rockwell"/>
      <w:b/>
      <w:bCs/>
      <w:sz w:val="28"/>
      <w:szCs w:val="28"/>
      <w:lang w:val="en-US" w:eastAsia="en-US" w:bidi="ar-SA"/>
    </w:rPr>
  </w:style>
  <w:style w:styleId="Heading5" w:type="paragraph">
    <w:name w:val="Heading 5"/>
    <w:basedOn w:val="Normal"/>
    <w:uiPriority w:val="1"/>
    <w:qFormat/>
    <w:pPr>
      <w:ind w:left="1702"/>
      <w:outlineLvl w:val="5"/>
    </w:pPr>
    <w:rPr>
      <w:rFonts w:ascii="Gill Sans MT" w:hAnsi="Gill Sans MT" w:eastAsia="Gill Sans MT" w:cs="Gill Sans MT"/>
      <w:b/>
      <w:bCs/>
      <w:sz w:val="26"/>
      <w:szCs w:val="26"/>
      <w:lang w:val="en-US" w:eastAsia="en-US" w:bidi="ar-SA"/>
    </w:rPr>
  </w:style>
  <w:style w:styleId="ListParagraph" w:type="paragraph">
    <w:name w:val="List Paragraph"/>
    <w:basedOn w:val="Normal"/>
    <w:uiPriority w:val="1"/>
    <w:qFormat/>
    <w:pPr>
      <w:ind w:left="2422" w:hanging="360"/>
    </w:pPr>
    <w:rPr>
      <w:rFonts w:ascii="Gill Sans MT" w:hAnsi="Gill Sans MT" w:eastAsia="Gill Sans MT" w:cs="Gill Sans MT"/>
      <w:lang w:val="en-US" w:eastAsia="en-US" w:bidi="ar-SA"/>
    </w:rPr>
  </w:style>
  <w:style w:styleId="TableParagraph" w:type="paragraph">
    <w:name w:val="Table Paragraph"/>
    <w:basedOn w:val="Normal"/>
    <w:uiPriority w:val="1"/>
    <w:qFormat/>
    <w:pPr/>
    <w:rPr>
      <w:rFonts w:ascii="Gill Sans MT" w:hAnsi="Gill Sans MT" w:eastAsia="Gill Sans MT" w:cs="Gill Sans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hyperlink" Target="http://homesforsmartageing-ud.com/five-commended-entries/" TargetMode="External"/><Relationship Id="rId9" Type="http://schemas.openxmlformats.org/officeDocument/2006/relationships/hyperlink" Target="http://www.udheit2018.com/" TargetMode="Externa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yperlink" Target="http://nationaldisabilityauthority.newsweaver.com/Newsletter/1xu8r" TargetMode="External"/><Relationship Id="rId16" Type="http://schemas.openxmlformats.org/officeDocument/2006/relationships/image" Target="media/image6.jpeg"/><Relationship Id="rId17" Type="http://schemas.openxmlformats.org/officeDocument/2006/relationships/hyperlink" Target="http://www.nda.ie/" TargetMode="Externa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Disability Authority</dc:creator>
  <dc:title>Annual Report 2013</dc:title>
  <dcterms:created xsi:type="dcterms:W3CDTF">2026-09-17T11:04:34Z</dcterms:created>
  <dcterms:modified xsi:type="dcterms:W3CDTF">2026-09-17T11:04:34Z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Microsoft® Word 2016</vt:lpwstr>
  </property>
  <property fmtid="{D5CDD505-2E9C-101B-9397-08002B2CF9AE}" pid="4" name="LastSaved">
    <vt:filetime>2026-09-17T00:00:00Z</vt:filetime>
  </property>
  <property fmtid="{D5CDD505-2E9C-101B-9397-08002B2CF9AE}" pid="5" name="Producer">
    <vt:lpwstr>Microsoft® Word 2016</vt:lpwstr>
  </property>
</Properties>
</file>