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4FBD" w14:textId="77777777" w:rsidR="007E37CA" w:rsidRDefault="007E37CA" w:rsidP="00433BBD">
      <w:pPr>
        <w:pStyle w:val="Title"/>
        <w:rPr>
          <w:noProof/>
          <w:lang w:eastAsia="en-IE"/>
        </w:rPr>
      </w:pPr>
      <w:r w:rsidRPr="00826EDA">
        <w:rPr>
          <w:noProof/>
          <w:lang w:eastAsia="en-IE"/>
        </w:rPr>
        <w:drawing>
          <wp:inline distT="0" distB="0" distL="0" distR="0" wp14:anchorId="21C17672" wp14:editId="15E9B0EF">
            <wp:extent cx="2524125" cy="1800225"/>
            <wp:effectExtent l="0" t="0" r="0" b="0"/>
            <wp:docPr id="2" name="Picture 1" descr="Title: Logo of the National Disability Authority - Description: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Logo of the National Disability Authority - Description: Colour Logo"/>
                    <pic:cNvPicPr>
                      <a:picLocks noChangeAspect="1" noChangeArrowheads="1"/>
                    </pic:cNvPicPr>
                  </pic:nvPicPr>
                  <pic:blipFill>
                    <a:blip r:embed="rId7">
                      <a:extLst>
                        <a:ext uri="{28A0092B-C50C-407E-A947-70E740481C1C}">
                          <a14:useLocalDpi xmlns:a14="http://schemas.microsoft.com/office/drawing/2010/main" val="0"/>
                        </a:ext>
                      </a:extLst>
                    </a:blip>
                    <a:srcRect r="-143" b="-200"/>
                    <a:stretch>
                      <a:fillRect/>
                    </a:stretch>
                  </pic:blipFill>
                  <pic:spPr bwMode="auto">
                    <a:xfrm>
                      <a:off x="0" y="0"/>
                      <a:ext cx="2524125" cy="1800225"/>
                    </a:xfrm>
                    <a:prstGeom prst="rect">
                      <a:avLst/>
                    </a:prstGeom>
                    <a:noFill/>
                    <a:ln>
                      <a:noFill/>
                    </a:ln>
                  </pic:spPr>
                </pic:pic>
              </a:graphicData>
            </a:graphic>
          </wp:inline>
        </w:drawing>
      </w:r>
    </w:p>
    <w:p w14:paraId="2C38CBF2" w14:textId="77777777" w:rsidR="007E37CA" w:rsidRDefault="006138BC" w:rsidP="00433BBD">
      <w:pPr>
        <w:pStyle w:val="Title"/>
      </w:pPr>
      <w:r>
        <w:t xml:space="preserve">NDA </w:t>
      </w:r>
      <w:r w:rsidR="00A32E8C">
        <w:t>Research Promotion Scheme</w:t>
      </w:r>
      <w:r w:rsidR="007E37CA">
        <w:t>:</w:t>
      </w:r>
    </w:p>
    <w:p w14:paraId="19F4C4EE" w14:textId="77777777" w:rsidR="00433BBD" w:rsidRDefault="007E37CA" w:rsidP="00433BBD">
      <w:pPr>
        <w:pStyle w:val="Title"/>
      </w:pPr>
      <w:r w:rsidRPr="007E37CA">
        <w:t xml:space="preserve"> Frequently Asked Questions</w:t>
      </w:r>
      <w:r w:rsidRPr="007E37CA">
        <w:tab/>
      </w:r>
    </w:p>
    <w:p w14:paraId="7C243DD8" w14:textId="77777777" w:rsidR="00375E1E" w:rsidRPr="00375E1E" w:rsidRDefault="00375E1E" w:rsidP="00375E1E">
      <w:pPr>
        <w:numPr>
          <w:ilvl w:val="0"/>
          <w:numId w:val="17"/>
        </w:numPr>
        <w:rPr>
          <w:rFonts w:ascii="Verdana" w:eastAsia="Calibri" w:hAnsi="Verdana"/>
          <w:b/>
          <w:kern w:val="2"/>
          <w:sz w:val="24"/>
          <w:szCs w:val="22"/>
          <w:lang w:val="en-GB"/>
          <w14:ligatures w14:val="standardContextual"/>
        </w:rPr>
      </w:pPr>
      <w:r w:rsidRPr="00375E1E">
        <w:rPr>
          <w:rFonts w:ascii="Verdana" w:eastAsia="Calibri" w:hAnsi="Verdana"/>
          <w:b/>
          <w:kern w:val="2"/>
          <w:sz w:val="24"/>
          <w:szCs w:val="22"/>
          <w14:ligatures w14:val="standardContextual"/>
        </w:rPr>
        <w:t xml:space="preserve">Question: </w:t>
      </w:r>
      <w:r w:rsidRPr="00375E1E">
        <w:rPr>
          <w:rFonts w:ascii="Verdana" w:eastAsia="Calibri" w:hAnsi="Verdana"/>
          <w:kern w:val="2"/>
          <w:sz w:val="24"/>
          <w:szCs w:val="22"/>
          <w:lang w:val="en-GB"/>
          <w14:ligatures w14:val="standardContextual"/>
        </w:rPr>
        <w:t>Are studies relating to people with mental health conditions in marginalised groups and communities eligible for consideration?</w:t>
      </w:r>
    </w:p>
    <w:p w14:paraId="15658D85" w14:textId="77777777" w:rsidR="00375E1E" w:rsidRPr="00375E1E" w:rsidRDefault="00375E1E" w:rsidP="00375E1E">
      <w:pPr>
        <w:ind w:left="360"/>
        <w:rPr>
          <w:rFonts w:ascii="Verdana" w:eastAsia="Calibri" w:hAnsi="Verdana"/>
          <w:kern w:val="2"/>
          <w:sz w:val="24"/>
          <w:szCs w:val="22"/>
          <w:lang w:val="en-GB"/>
          <w14:ligatures w14:val="standardContextual"/>
        </w:rPr>
      </w:pPr>
      <w:r w:rsidRPr="00375E1E">
        <w:rPr>
          <w:rFonts w:ascii="Verdana" w:eastAsia="Calibri" w:hAnsi="Verdana"/>
          <w:b/>
          <w:kern w:val="2"/>
          <w:sz w:val="24"/>
          <w:szCs w:val="22"/>
          <w:lang w:val="en-GB"/>
          <w14:ligatures w14:val="standardContextual"/>
        </w:rPr>
        <w:t>Answer:</w:t>
      </w:r>
      <w:r w:rsidRPr="00375E1E">
        <w:rPr>
          <w:rFonts w:ascii="Verdana" w:eastAsia="Calibri" w:hAnsi="Verdana"/>
          <w:kern w:val="2"/>
          <w:sz w:val="24"/>
          <w:szCs w:val="22"/>
          <w:lang w:val="en-GB"/>
          <w14:ligatures w14:val="standardContextual"/>
        </w:rPr>
        <w:t xml:space="preserve"> Yes. Under the Disability Act 2025, disability includes physical, sensory, intellectual or mental health impairments which would give rise to a substantial restriction on someone's capacity to participate in the life of the community. The UN Convention for the Rights of Persons with Disabilities recognises that that disability is an evolving concept resulting from the interaction between persons with impairments (including physical, mental, intellectual or sensory) and attitudinal and environmental barriers that hinders their full and effective participation in society. </w:t>
      </w:r>
    </w:p>
    <w:p w14:paraId="73F2D924"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 xml:space="preserve">Question: </w:t>
      </w:r>
      <w:r w:rsidRPr="00375E1E">
        <w:rPr>
          <w:rFonts w:ascii="Verdana" w:eastAsia="Calibri" w:hAnsi="Verdana"/>
          <w:kern w:val="2"/>
          <w:sz w:val="24"/>
          <w:szCs w:val="22"/>
          <w:lang w:val="en-GB"/>
          <w14:ligatures w14:val="standardContextual"/>
        </w:rPr>
        <w:t>Are studies relating to the intersection of different disability identities and experiences eligible for consideration?</w:t>
      </w:r>
    </w:p>
    <w:p w14:paraId="46813243" w14:textId="77777777" w:rsidR="00375E1E" w:rsidRPr="00375E1E" w:rsidRDefault="00375E1E" w:rsidP="00375E1E">
      <w:pPr>
        <w:ind w:left="360"/>
        <w:rPr>
          <w:rFonts w:ascii="Verdana" w:eastAsia="Calibri" w:hAnsi="Verdana"/>
          <w:b/>
          <w:bCs/>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 xml:space="preserve">Answer: </w:t>
      </w:r>
      <w:r w:rsidRPr="00375E1E">
        <w:rPr>
          <w:rFonts w:ascii="Verdana" w:eastAsia="Calibri" w:hAnsi="Verdana"/>
          <w:kern w:val="2"/>
          <w:sz w:val="24"/>
          <w:szCs w:val="22"/>
          <w:lang w:val="en-GB"/>
          <w14:ligatures w14:val="standardContextual"/>
        </w:rPr>
        <w:t>Yes.</w:t>
      </w:r>
      <w:r w:rsidRPr="00375E1E">
        <w:rPr>
          <w:rFonts w:ascii="Verdana" w:eastAsia="Calibri" w:hAnsi="Verdana"/>
          <w:b/>
          <w:bCs/>
          <w:kern w:val="2"/>
          <w:sz w:val="24"/>
          <w:szCs w:val="22"/>
          <w:lang w:val="en-GB"/>
          <w14:ligatures w14:val="standardContextual"/>
        </w:rPr>
        <w:t xml:space="preserve"> </w:t>
      </w:r>
      <w:r w:rsidRPr="00375E1E">
        <w:rPr>
          <w:rFonts w:ascii="Verdana" w:eastAsia="Calibri" w:hAnsi="Verdana"/>
          <w:kern w:val="2"/>
          <w:sz w:val="24"/>
          <w:szCs w:val="22"/>
          <w14:ligatures w14:val="standardContextual"/>
        </w:rPr>
        <w:t xml:space="preserve">Intersectionality is framework used to understand how societies include or exclude people based on their various identities including different identities related to disability and impairment. </w:t>
      </w:r>
    </w:p>
    <w:p w14:paraId="65721BAA" w14:textId="77777777" w:rsidR="00375E1E" w:rsidRPr="00375E1E" w:rsidRDefault="00375E1E" w:rsidP="00375E1E">
      <w:pPr>
        <w:numPr>
          <w:ilvl w:val="0"/>
          <w:numId w:val="17"/>
        </w:numPr>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Is a PhD or MSc student eligible to apply?</w:t>
      </w:r>
    </w:p>
    <w:p w14:paraId="659C351A" w14:textId="77777777" w:rsidR="00375E1E" w:rsidRPr="00375E1E" w:rsidRDefault="00375E1E" w:rsidP="00375E1E">
      <w:pPr>
        <w:ind w:left="360"/>
        <w:rPr>
          <w:rFonts w:ascii="Verdana" w:eastAsia="Calibri" w:hAnsi="Verdana"/>
          <w:kern w:val="2"/>
          <w:sz w:val="24"/>
          <w:szCs w:val="22"/>
          <w:lang w:val="en-GB"/>
          <w14:ligatures w14:val="standardContextual"/>
        </w:rPr>
      </w:pPr>
      <w:r w:rsidRPr="00375E1E">
        <w:rPr>
          <w:rFonts w:ascii="Verdana" w:eastAsia="Calibri" w:hAnsi="Verdana"/>
          <w:b/>
          <w:kern w:val="2"/>
          <w:sz w:val="24"/>
          <w:szCs w:val="22"/>
          <w:lang w:val="en-GB"/>
          <w14:ligatures w14:val="standardContextual"/>
        </w:rPr>
        <w:t>Answer:</w:t>
      </w:r>
      <w:r w:rsidRPr="00375E1E">
        <w:rPr>
          <w:rFonts w:ascii="Verdana" w:eastAsia="Calibri" w:hAnsi="Verdana"/>
          <w:kern w:val="2"/>
          <w:sz w:val="24"/>
          <w:szCs w:val="22"/>
          <w:lang w:val="en-GB"/>
          <w14:ligatures w14:val="standardContextual"/>
        </w:rPr>
        <w:t xml:space="preserve"> The call for proposals states explicitly that this scheme is not a scholarship scheme, so it is not open to part-fund someone's PhD or MSc research. </w:t>
      </w:r>
    </w:p>
    <w:p w14:paraId="34AE1950"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kern w:val="2"/>
          <w:sz w:val="24"/>
          <w:szCs w:val="22"/>
          <w:lang w:val="en-GB"/>
          <w14:ligatures w14:val="standardContextual"/>
        </w:rPr>
        <w:lastRenderedPageBreak/>
        <w:t xml:space="preserve">Question: </w:t>
      </w:r>
      <w:r w:rsidRPr="00375E1E">
        <w:rPr>
          <w:rFonts w:ascii="Verdana" w:eastAsia="Calibri" w:hAnsi="Verdana"/>
          <w:bCs/>
          <w:kern w:val="2"/>
          <w:sz w:val="24"/>
          <w:szCs w:val="22"/>
          <w:lang w:val="en-GB"/>
          <w14:ligatures w14:val="standardContextual"/>
        </w:rPr>
        <w:t xml:space="preserve">Our organisation does not have a </w:t>
      </w:r>
      <w:r w:rsidRPr="00375E1E">
        <w:rPr>
          <w:rFonts w:ascii="Verdana" w:eastAsia="Calibri" w:hAnsi="Verdana"/>
          <w:kern w:val="2"/>
          <w:sz w:val="24"/>
          <w:szCs w:val="22"/>
          <w14:ligatures w14:val="standardContextual"/>
        </w:rPr>
        <w:t xml:space="preserve">strong internal research expertise, but we want to apply, how should we do this? </w:t>
      </w:r>
    </w:p>
    <w:p w14:paraId="160DD700" w14:textId="77777777" w:rsidR="00375E1E" w:rsidRPr="00375E1E" w:rsidRDefault="00375E1E" w:rsidP="00375E1E">
      <w:pPr>
        <w:ind w:left="360"/>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 xml:space="preserve">Answer: </w:t>
      </w:r>
      <w:r w:rsidRPr="00375E1E">
        <w:rPr>
          <w:rFonts w:ascii="Verdana" w:eastAsia="Calibri" w:hAnsi="Verdana"/>
          <w:kern w:val="2"/>
          <w:sz w:val="24"/>
          <w:szCs w:val="22"/>
          <w14:ligatures w14:val="standardContextual"/>
        </w:rPr>
        <w:t xml:space="preserve">In these situations, we suggest that you reach out to an academic institution, or similar organisations, to make a joint application. Contacting research offices in different Higher Education Institutes or posting a notice on the </w:t>
      </w:r>
      <w:hyperlink r:id="rId8" w:history="1">
        <w:r w:rsidRPr="00375E1E">
          <w:rPr>
            <w:rFonts w:ascii="Verdana" w:eastAsia="Calibri" w:hAnsi="Verdana"/>
            <w:color w:val="0563C1"/>
            <w:kern w:val="2"/>
            <w:sz w:val="24"/>
            <w:szCs w:val="22"/>
            <w:u w:val="single"/>
            <w14:ligatures w14:val="standardContextual"/>
          </w:rPr>
          <w:t>PPI Opportunities National Noticeboard is</w:t>
        </w:r>
      </w:hyperlink>
      <w:r w:rsidRPr="00375E1E">
        <w:rPr>
          <w:rFonts w:ascii="Verdana" w:eastAsia="Calibri" w:hAnsi="Verdana"/>
          <w:kern w:val="2"/>
          <w:sz w:val="24"/>
          <w:szCs w:val="22"/>
          <w14:ligatures w14:val="standardContextual"/>
        </w:rPr>
        <w:t xml:space="preserve"> a good start if you are not aware of relevant researchers or research centres.    </w:t>
      </w:r>
    </w:p>
    <w:p w14:paraId="2BFDD2AC" w14:textId="77777777" w:rsidR="00375E1E" w:rsidRPr="00375E1E" w:rsidRDefault="00375E1E" w:rsidP="00375E1E">
      <w:pPr>
        <w:numPr>
          <w:ilvl w:val="0"/>
          <w:numId w:val="17"/>
        </w:numPr>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‘Only organisations which can deliver a satisfactory final draft within 12-18 months of signing the grant agreement will be eligible for consideration.’ Does this mean that the entire research project needs to be completed within that timeframe?</w:t>
      </w:r>
    </w:p>
    <w:p w14:paraId="4387E8C0" w14:textId="77777777" w:rsidR="00375E1E" w:rsidRPr="00375E1E" w:rsidRDefault="00375E1E" w:rsidP="00375E1E">
      <w:pPr>
        <w:ind w:left="360"/>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Answer:</w:t>
      </w:r>
      <w:r w:rsidRPr="00375E1E">
        <w:rPr>
          <w:rFonts w:ascii="Verdana" w:eastAsia="Calibri" w:hAnsi="Verdana"/>
          <w:kern w:val="2"/>
          <w:sz w:val="24"/>
          <w:szCs w:val="22"/>
          <w:lang w:val="en-GB"/>
          <w14:ligatures w14:val="standardContextual"/>
        </w:rPr>
        <w:t xml:space="preserve"> Yes. It is expected that the entire research project, including delivery of a satisfactory final report, is completed within 12-18 months.</w:t>
      </w:r>
    </w:p>
    <w:p w14:paraId="4FF8E68A" w14:textId="77777777" w:rsidR="00375E1E" w:rsidRPr="00375E1E" w:rsidRDefault="00375E1E" w:rsidP="00375E1E">
      <w:pPr>
        <w:numPr>
          <w:ilvl w:val="0"/>
          <w:numId w:val="17"/>
        </w:numPr>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w:t>
      </w:r>
      <w:r w:rsidRPr="00375E1E">
        <w:rPr>
          <w:rFonts w:ascii="Verdana" w:eastAsia="Calibri" w:hAnsi="Verdana"/>
          <w:kern w:val="2"/>
          <w:sz w:val="24"/>
          <w:szCs w:val="22"/>
          <w14:ligatures w14:val="standardContextual"/>
        </w:rPr>
        <w:t>Are the referees to be selected on behalf of the principle</w:t>
      </w:r>
      <w:r w:rsidRPr="00375E1E">
        <w:rPr>
          <w:rFonts w:ascii="Verdana" w:eastAsia="Calibri" w:hAnsi="Verdana"/>
          <w:kern w:val="2"/>
          <w:sz w:val="24"/>
          <w:szCs w:val="22"/>
          <w14:ligatures w14:val="standardContextual"/>
        </w:rPr>
        <w:br/>
        <w:t>investigator or on behalf of the entire research team?</w:t>
      </w:r>
    </w:p>
    <w:p w14:paraId="1AB11F57" w14:textId="77777777" w:rsidR="00375E1E" w:rsidRPr="00375E1E" w:rsidRDefault="00375E1E" w:rsidP="00375E1E">
      <w:pPr>
        <w:ind w:left="360"/>
        <w:rPr>
          <w:rFonts w:ascii="Verdana" w:eastAsia="Calibri" w:hAnsi="Verdana"/>
          <w:kern w:val="2"/>
          <w:sz w:val="24"/>
          <w:szCs w:val="22"/>
          <w14:ligatures w14:val="standardContextual"/>
        </w:rPr>
      </w:pPr>
      <w:r w:rsidRPr="00375E1E">
        <w:rPr>
          <w:rFonts w:ascii="Verdana" w:eastAsia="Calibri" w:hAnsi="Verdana"/>
          <w:b/>
          <w:kern w:val="2"/>
          <w:sz w:val="24"/>
          <w:szCs w:val="22"/>
          <w:lang w:val="en-GB"/>
          <w14:ligatures w14:val="standardContextual"/>
        </w:rPr>
        <w:t xml:space="preserve">Answer: </w:t>
      </w:r>
      <w:r w:rsidRPr="00375E1E">
        <w:rPr>
          <w:rFonts w:ascii="Verdana" w:eastAsia="Calibri" w:hAnsi="Verdana"/>
          <w:kern w:val="2"/>
          <w:sz w:val="24"/>
          <w:szCs w:val="22"/>
          <w14:ligatures w14:val="standardContextual"/>
        </w:rPr>
        <w:t>References are required on behalf of the project manager who takes overall responsibility for project and/or the listed project team members who have experience conducting commissioned research.</w:t>
      </w:r>
    </w:p>
    <w:p w14:paraId="180C12F7" w14:textId="77777777" w:rsidR="00375E1E" w:rsidRPr="00375E1E" w:rsidRDefault="00375E1E" w:rsidP="00375E1E">
      <w:pPr>
        <w:numPr>
          <w:ilvl w:val="0"/>
          <w:numId w:val="17"/>
        </w:numPr>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Does the RPS grant cover costs associated with dissemination?</w:t>
      </w:r>
    </w:p>
    <w:p w14:paraId="224056B6" w14:textId="77777777" w:rsidR="00375E1E" w:rsidRPr="00375E1E" w:rsidRDefault="00375E1E" w:rsidP="00375E1E">
      <w:pPr>
        <w:ind w:left="360"/>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Answer:</w:t>
      </w:r>
      <w:r w:rsidRPr="00375E1E">
        <w:rPr>
          <w:rFonts w:ascii="Verdana" w:eastAsia="Calibri" w:hAnsi="Verdana"/>
          <w:kern w:val="2"/>
          <w:sz w:val="24"/>
          <w:szCs w:val="22"/>
          <w:lang w:val="en-GB"/>
          <w14:ligatures w14:val="standardContextual"/>
        </w:rPr>
        <w:t xml:space="preserve"> Yes. A breakdown of dissemination costs can be included as part of the proposal. </w:t>
      </w:r>
    </w:p>
    <w:p w14:paraId="194B5AD0"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Why is the NDA continuing with the RPS2023 -24 theme ‘Disability in Marginalised Groups and Communities’?</w:t>
      </w:r>
    </w:p>
    <w:p w14:paraId="7AE7971B" w14:textId="77777777" w:rsidR="00375E1E" w:rsidRPr="00375E1E" w:rsidRDefault="00375E1E" w:rsidP="00375E1E">
      <w:pPr>
        <w:ind w:left="360"/>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 xml:space="preserve">Answer: </w:t>
      </w:r>
      <w:r w:rsidRPr="00375E1E">
        <w:rPr>
          <w:rFonts w:ascii="Verdana" w:eastAsia="Calibri" w:hAnsi="Verdana"/>
          <w:kern w:val="2"/>
          <w:sz w:val="24"/>
          <w:szCs w:val="22"/>
          <w14:ligatures w14:val="standardContextual"/>
        </w:rPr>
        <w:t xml:space="preserve">Following discussion and consultation with Disabled Persons Organisations and an Irish Traveller Organisation we proposed to continue with the theme of - Disability in Marginalised Groups and Communities. This year however we are emphasising our particular interest in proposals for studies focused on disability issues within Traveller and/or Roma communities. </w:t>
      </w:r>
    </w:p>
    <w:p w14:paraId="219CD3D5"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Why are proposals to </w:t>
      </w:r>
      <w:r w:rsidRPr="00375E1E">
        <w:rPr>
          <w:rFonts w:ascii="Verdana" w:eastAsia="Calibri" w:hAnsi="Verdana"/>
          <w:kern w:val="2"/>
          <w:sz w:val="24"/>
          <w:szCs w:val="22"/>
          <w14:ligatures w14:val="standardContextual"/>
        </w:rPr>
        <w:t>analyse secondary data welcome?</w:t>
      </w:r>
    </w:p>
    <w:p w14:paraId="187750F2" w14:textId="77777777" w:rsidR="00375E1E" w:rsidRPr="00375E1E" w:rsidRDefault="00375E1E" w:rsidP="00375E1E">
      <w:pPr>
        <w:ind w:left="360"/>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lastRenderedPageBreak/>
        <w:t xml:space="preserve">Answer: </w:t>
      </w:r>
      <w:r w:rsidRPr="00375E1E">
        <w:rPr>
          <w:rFonts w:ascii="Verdana" w:eastAsia="Calibri" w:hAnsi="Verdana"/>
          <w:kern w:val="2"/>
          <w:sz w:val="24"/>
          <w:szCs w:val="22"/>
          <w:lang w:val="en-GB"/>
          <w14:ligatures w14:val="standardContextual"/>
        </w:rPr>
        <w:t xml:space="preserve">High quality proposals to analyse secondary data are encouraged because they can be cost effective and efficient ways of using existing data to answer new questions. </w:t>
      </w:r>
    </w:p>
    <w:p w14:paraId="34692117"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14:ligatures w14:val="standardContextual"/>
        </w:rPr>
        <w:t xml:space="preserve">Question: </w:t>
      </w:r>
      <w:r w:rsidRPr="00375E1E">
        <w:rPr>
          <w:rFonts w:ascii="Verdana" w:eastAsia="Calibri" w:hAnsi="Verdana"/>
          <w:kern w:val="2"/>
          <w:sz w:val="24"/>
          <w:szCs w:val="22"/>
          <w14:ligatures w14:val="standardContextual"/>
        </w:rPr>
        <w:t>What is meant by ‘</w:t>
      </w:r>
      <w:r w:rsidRPr="00375E1E">
        <w:rPr>
          <w:rFonts w:ascii="Verdana" w:eastAsia="Calibri" w:hAnsi="Verdana" w:cs="Arial"/>
          <w:color w:val="000000"/>
          <w:kern w:val="2"/>
          <w:sz w:val="24"/>
          <w:szCs w:val="22"/>
          <w:lang w:eastAsia="en-IE"/>
          <w14:ligatures w14:val="standardContextual"/>
        </w:rPr>
        <w:t xml:space="preserve">applicants should also show how their research is of sufficient scale to give findings that could be generalised’ </w:t>
      </w:r>
    </w:p>
    <w:p w14:paraId="40274CA4" w14:textId="77777777" w:rsidR="00375E1E" w:rsidRPr="00375E1E" w:rsidRDefault="00375E1E" w:rsidP="00375E1E">
      <w:pPr>
        <w:ind w:left="360"/>
        <w:rPr>
          <w:rFonts w:ascii="Verdana" w:eastAsia="Calibri" w:hAnsi="Verdana"/>
          <w:kern w:val="2"/>
          <w:sz w:val="24"/>
          <w:szCs w:val="22"/>
          <w14:ligatures w14:val="standardContextual"/>
        </w:rPr>
      </w:pPr>
      <w:r w:rsidRPr="00375E1E">
        <w:rPr>
          <w:rFonts w:ascii="Verdana" w:eastAsia="Calibri" w:hAnsi="Verdana"/>
          <w:b/>
          <w:bCs/>
          <w:kern w:val="2"/>
          <w:sz w:val="24"/>
          <w:szCs w:val="22"/>
          <w14:ligatures w14:val="standardContextual"/>
        </w:rPr>
        <w:t xml:space="preserve">Answer: </w:t>
      </w:r>
      <w:r w:rsidRPr="00375E1E">
        <w:rPr>
          <w:rFonts w:ascii="Verdana" w:eastAsia="Calibri" w:hAnsi="Verdana"/>
          <w:kern w:val="2"/>
          <w:sz w:val="24"/>
          <w:szCs w:val="22"/>
          <w14:ligatures w14:val="standardContextual"/>
        </w:rPr>
        <w:t>While the</w:t>
      </w:r>
      <w:r w:rsidRPr="00375E1E">
        <w:rPr>
          <w:rFonts w:ascii="Verdana" w:eastAsia="Calibri" w:hAnsi="Verdana"/>
          <w:b/>
          <w:bCs/>
          <w:kern w:val="2"/>
          <w:sz w:val="24"/>
          <w:szCs w:val="22"/>
          <w14:ligatures w14:val="standardContextual"/>
        </w:rPr>
        <w:t xml:space="preserve"> </w:t>
      </w:r>
      <w:r w:rsidRPr="00375E1E">
        <w:rPr>
          <w:rFonts w:ascii="Verdana" w:eastAsia="Calibri" w:hAnsi="Verdana"/>
          <w:kern w:val="2"/>
          <w:sz w:val="24"/>
          <w:szCs w:val="22"/>
          <w14:ligatures w14:val="standardContextual"/>
        </w:rPr>
        <w:t>generalisability of</w:t>
      </w:r>
      <w:r w:rsidRPr="00375E1E">
        <w:rPr>
          <w:rFonts w:ascii="Verdana" w:eastAsia="Calibri" w:hAnsi="Verdana"/>
          <w:b/>
          <w:bCs/>
          <w:kern w:val="2"/>
          <w:sz w:val="24"/>
          <w:szCs w:val="22"/>
          <w14:ligatures w14:val="standardContextual"/>
        </w:rPr>
        <w:t xml:space="preserve"> </w:t>
      </w:r>
      <w:r w:rsidRPr="00375E1E">
        <w:rPr>
          <w:rFonts w:ascii="Verdana" w:eastAsia="Calibri" w:hAnsi="Verdana"/>
          <w:kern w:val="2"/>
          <w:sz w:val="24"/>
          <w:szCs w:val="22"/>
          <w14:ligatures w14:val="standardContextual"/>
        </w:rPr>
        <w:t>research findings (from qualitative and/or quantitative methods) is always a matter of degree,</w:t>
      </w:r>
      <w:r w:rsidRPr="00375E1E">
        <w:rPr>
          <w:rFonts w:ascii="Verdana" w:eastAsia="Calibri" w:hAnsi="Verdana"/>
          <w:b/>
          <w:bCs/>
          <w:kern w:val="2"/>
          <w:sz w:val="24"/>
          <w:szCs w:val="22"/>
          <w14:ligatures w14:val="standardContextual"/>
        </w:rPr>
        <w:t xml:space="preserve"> </w:t>
      </w:r>
      <w:r w:rsidRPr="00375E1E">
        <w:rPr>
          <w:rFonts w:ascii="Verdana" w:eastAsia="Calibri" w:hAnsi="Verdana"/>
          <w:kern w:val="2"/>
          <w:sz w:val="24"/>
          <w:szCs w:val="22"/>
          <w14:ligatures w14:val="standardContextual"/>
        </w:rPr>
        <w:t xml:space="preserve">applicants should keep in mind that the NDA </w:t>
      </w:r>
      <w:r w:rsidRPr="00375E1E">
        <w:rPr>
          <w:rFonts w:ascii="Verdana" w:eastAsia="Calibri" w:hAnsi="Verdana"/>
          <w:kern w:val="2"/>
          <w:sz w:val="24"/>
          <w:szCs w:val="26"/>
          <w14:ligatures w14:val="standardContextual"/>
        </w:rPr>
        <w:t xml:space="preserve">provides evidence-informed advice the Government on disability policy and practice. This means that research funded under the RPS should ideally produce findings that are broadly applicable. Research for policy typically requires insights from robust evidence grounded in methodologically rigours studies.     </w:t>
      </w:r>
    </w:p>
    <w:p w14:paraId="3EB40EE3"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How do we know if</w:t>
      </w:r>
      <w:r w:rsidRPr="00375E1E">
        <w:rPr>
          <w:rFonts w:ascii="Verdana" w:eastAsia="Calibri" w:hAnsi="Verdana"/>
          <w:kern w:val="2"/>
          <w:sz w:val="24"/>
          <w:szCs w:val="22"/>
          <w14:ligatures w14:val="standardContextual"/>
        </w:rPr>
        <w:t xml:space="preserve"> VAT is applicable?</w:t>
      </w:r>
      <w:r w:rsidRPr="00375E1E">
        <w:rPr>
          <w:rFonts w:ascii="Verdana" w:eastAsia="Calibri" w:hAnsi="Verdana"/>
          <w:kern w:val="2"/>
          <w:sz w:val="24"/>
          <w:szCs w:val="22"/>
          <w:lang w:val="en-GB"/>
          <w14:ligatures w14:val="standardContextual"/>
        </w:rPr>
        <w:t xml:space="preserve"> </w:t>
      </w:r>
    </w:p>
    <w:p w14:paraId="1CABF61B" w14:textId="77777777" w:rsidR="00375E1E" w:rsidRPr="00375E1E" w:rsidRDefault="00375E1E" w:rsidP="00375E1E">
      <w:pPr>
        <w:ind w:left="360"/>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Answer:</w:t>
      </w:r>
      <w:r w:rsidRPr="00375E1E">
        <w:rPr>
          <w:rFonts w:ascii="Verdana" w:eastAsia="Calibri" w:hAnsi="Verdana"/>
          <w:kern w:val="2"/>
          <w:sz w:val="24"/>
          <w:szCs w:val="22"/>
          <w:lang w:val="en-GB"/>
          <w14:ligatures w14:val="standardContextual"/>
        </w:rPr>
        <w:t xml:space="preserve"> It is the responsibility of the applicants, not the funder, to determine if VAT is applicable.</w:t>
      </w:r>
    </w:p>
    <w:p w14:paraId="1CE895A4" w14:textId="581D6E7B" w:rsidR="009849CA" w:rsidRPr="00451F6F" w:rsidRDefault="009849CA" w:rsidP="00375E1E">
      <w:pPr>
        <w:pStyle w:val="ListNumber"/>
        <w:numPr>
          <w:ilvl w:val="0"/>
          <w:numId w:val="0"/>
        </w:numPr>
        <w:ind w:left="360" w:hanging="360"/>
        <w:rPr>
          <w:lang w:val="en-GB"/>
        </w:rPr>
      </w:pPr>
    </w:p>
    <w:sectPr w:rsidR="009849CA" w:rsidRPr="00451F6F">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9EB8B" w14:textId="77777777" w:rsidR="005E0866" w:rsidRDefault="005E0866">
      <w:r>
        <w:separator/>
      </w:r>
    </w:p>
  </w:endnote>
  <w:endnote w:type="continuationSeparator" w:id="0">
    <w:p w14:paraId="00CFBDE2" w14:textId="77777777" w:rsidR="005E0866" w:rsidRDefault="005E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8378" w14:textId="77777777" w:rsidR="00DC285B" w:rsidRDefault="006138BC">
    <w:pPr>
      <w:pStyle w:val="Footer"/>
    </w:pPr>
    <w:proofErr w:type="gramStart"/>
    <w:r>
      <w:t>FAQ’s</w:t>
    </w:r>
    <w:proofErr w:type="gramEnd"/>
    <w:r>
      <w:t xml:space="preserve"> on the NDA Research Promotion Scheme</w:t>
    </w:r>
    <w:r w:rsidR="00DC285B">
      <w:tab/>
    </w:r>
    <w:r w:rsidR="00DC285B">
      <w:tab/>
    </w:r>
    <w:r w:rsidR="00DC285B">
      <w:fldChar w:fldCharType="begin"/>
    </w:r>
    <w:r w:rsidR="00DC285B">
      <w:instrText xml:space="preserve"> PAGE  \* Arabic  \* MERGEFORMAT </w:instrText>
    </w:r>
    <w:r w:rsidR="00DC285B">
      <w:fldChar w:fldCharType="separate"/>
    </w:r>
    <w:r w:rsidR="006338E3">
      <w:rPr>
        <w:noProof/>
      </w:rPr>
      <w:t>1</w:t>
    </w:r>
    <w:r w:rsidR="00DC2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5792C" w14:textId="77777777" w:rsidR="005E0866" w:rsidRDefault="005E0866">
      <w:r>
        <w:separator/>
      </w:r>
    </w:p>
  </w:footnote>
  <w:footnote w:type="continuationSeparator" w:id="0">
    <w:p w14:paraId="45FD9939" w14:textId="77777777" w:rsidR="005E0866" w:rsidRDefault="005E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1834E706"/>
    <w:lvl w:ilvl="0">
      <w:start w:val="1"/>
      <w:numFmt w:val="decimal"/>
      <w:pStyle w:val="ListNumber"/>
      <w:lvlText w:val="%1."/>
      <w:lvlJc w:val="left"/>
      <w:pPr>
        <w:tabs>
          <w:tab w:val="num" w:pos="360"/>
        </w:tabs>
        <w:ind w:left="360" w:hanging="360"/>
      </w:pPr>
      <w:rPr>
        <w:b/>
      </w:rPr>
    </w:lvl>
  </w:abstractNum>
  <w:abstractNum w:abstractNumId="9" w15:restartNumberingAfterBreak="0">
    <w:nsid w:val="FFFFFF89"/>
    <w:multiLevelType w:val="singleLevel"/>
    <w:tmpl w:val="E2D6D51A"/>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66230CCD"/>
    <w:multiLevelType w:val="hybridMultilevel"/>
    <w:tmpl w:val="20A0FCD6"/>
    <w:lvl w:ilvl="0" w:tplc="D5C477A2">
      <w:start w:val="1"/>
      <w:numFmt w:val="decimal"/>
      <w:suff w:val="space"/>
      <w:lvlText w:val="%1."/>
      <w:lvlJc w:val="left"/>
      <w:pPr>
        <w:ind w:left="360" w:hanging="360"/>
      </w:pPr>
      <w:rPr>
        <w:rFonts w:hint="default"/>
        <w:b/>
        <w:bCs/>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47156940">
    <w:abstractNumId w:val="9"/>
  </w:num>
  <w:num w:numId="2" w16cid:durableId="1383140333">
    <w:abstractNumId w:val="9"/>
  </w:num>
  <w:num w:numId="3" w16cid:durableId="382215046">
    <w:abstractNumId w:val="7"/>
  </w:num>
  <w:num w:numId="4" w16cid:durableId="1707171741">
    <w:abstractNumId w:val="7"/>
  </w:num>
  <w:num w:numId="5" w16cid:durableId="1149322973">
    <w:abstractNumId w:val="6"/>
  </w:num>
  <w:num w:numId="6" w16cid:durableId="1022710622">
    <w:abstractNumId w:val="6"/>
  </w:num>
  <w:num w:numId="7" w16cid:durableId="1792163052">
    <w:abstractNumId w:val="8"/>
  </w:num>
  <w:num w:numId="8" w16cid:durableId="1600026324">
    <w:abstractNumId w:val="8"/>
  </w:num>
  <w:num w:numId="9" w16cid:durableId="205530953">
    <w:abstractNumId w:val="3"/>
  </w:num>
  <w:num w:numId="10" w16cid:durableId="1146166055">
    <w:abstractNumId w:val="3"/>
  </w:num>
  <w:num w:numId="11" w16cid:durableId="1295326374">
    <w:abstractNumId w:val="2"/>
  </w:num>
  <w:num w:numId="12" w16cid:durableId="229704574">
    <w:abstractNumId w:val="2"/>
  </w:num>
  <w:num w:numId="13" w16cid:durableId="373970685">
    <w:abstractNumId w:val="5"/>
  </w:num>
  <w:num w:numId="14" w16cid:durableId="1408723048">
    <w:abstractNumId w:val="4"/>
  </w:num>
  <w:num w:numId="15" w16cid:durableId="1662347671">
    <w:abstractNumId w:val="1"/>
  </w:num>
  <w:num w:numId="16" w16cid:durableId="2088764874">
    <w:abstractNumId w:val="0"/>
  </w:num>
  <w:num w:numId="17" w16cid:durableId="169164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BD"/>
    <w:rsid w:val="00055418"/>
    <w:rsid w:val="001004DA"/>
    <w:rsid w:val="001133B5"/>
    <w:rsid w:val="0013443C"/>
    <w:rsid w:val="0013755B"/>
    <w:rsid w:val="00181FE6"/>
    <w:rsid w:val="001C2025"/>
    <w:rsid w:val="001F0D22"/>
    <w:rsid w:val="00227660"/>
    <w:rsid w:val="00232005"/>
    <w:rsid w:val="00265A74"/>
    <w:rsid w:val="00287B8E"/>
    <w:rsid w:val="002D100B"/>
    <w:rsid w:val="00367A5A"/>
    <w:rsid w:val="00375E1E"/>
    <w:rsid w:val="003A44C8"/>
    <w:rsid w:val="003A5C09"/>
    <w:rsid w:val="003B10EC"/>
    <w:rsid w:val="00433BBD"/>
    <w:rsid w:val="00451F6F"/>
    <w:rsid w:val="004632F7"/>
    <w:rsid w:val="004934C9"/>
    <w:rsid w:val="004C5836"/>
    <w:rsid w:val="00501440"/>
    <w:rsid w:val="00532DF0"/>
    <w:rsid w:val="005C292B"/>
    <w:rsid w:val="005E0866"/>
    <w:rsid w:val="00601E35"/>
    <w:rsid w:val="006138BC"/>
    <w:rsid w:val="006338E3"/>
    <w:rsid w:val="006374C1"/>
    <w:rsid w:val="0065147B"/>
    <w:rsid w:val="00655A77"/>
    <w:rsid w:val="006D671C"/>
    <w:rsid w:val="006E0C75"/>
    <w:rsid w:val="006F25EC"/>
    <w:rsid w:val="006F6093"/>
    <w:rsid w:val="0075122D"/>
    <w:rsid w:val="007608EF"/>
    <w:rsid w:val="00795C53"/>
    <w:rsid w:val="007A7A53"/>
    <w:rsid w:val="007B381B"/>
    <w:rsid w:val="007B6238"/>
    <w:rsid w:val="007C1D90"/>
    <w:rsid w:val="007C73F7"/>
    <w:rsid w:val="007D71FC"/>
    <w:rsid w:val="007E37CA"/>
    <w:rsid w:val="00831FA1"/>
    <w:rsid w:val="00846B93"/>
    <w:rsid w:val="00876DBB"/>
    <w:rsid w:val="008B5E80"/>
    <w:rsid w:val="008F29EC"/>
    <w:rsid w:val="009222D3"/>
    <w:rsid w:val="00972B70"/>
    <w:rsid w:val="009849CA"/>
    <w:rsid w:val="009B42BF"/>
    <w:rsid w:val="009C3BD7"/>
    <w:rsid w:val="009C4D62"/>
    <w:rsid w:val="00A05270"/>
    <w:rsid w:val="00A1079C"/>
    <w:rsid w:val="00A240C8"/>
    <w:rsid w:val="00A32E8C"/>
    <w:rsid w:val="00A33D2E"/>
    <w:rsid w:val="00A443B9"/>
    <w:rsid w:val="00A6191E"/>
    <w:rsid w:val="00AA356B"/>
    <w:rsid w:val="00B05D5D"/>
    <w:rsid w:val="00B21C2D"/>
    <w:rsid w:val="00B37D5C"/>
    <w:rsid w:val="00B76547"/>
    <w:rsid w:val="00B837E6"/>
    <w:rsid w:val="00BA2579"/>
    <w:rsid w:val="00BC74C2"/>
    <w:rsid w:val="00BD0DCA"/>
    <w:rsid w:val="00BE2972"/>
    <w:rsid w:val="00BE3DCC"/>
    <w:rsid w:val="00BF0DB6"/>
    <w:rsid w:val="00C14DE1"/>
    <w:rsid w:val="00C154AE"/>
    <w:rsid w:val="00C44C6A"/>
    <w:rsid w:val="00C45E2F"/>
    <w:rsid w:val="00C632F9"/>
    <w:rsid w:val="00C867C9"/>
    <w:rsid w:val="00C9783F"/>
    <w:rsid w:val="00CB280C"/>
    <w:rsid w:val="00CF0B2E"/>
    <w:rsid w:val="00D02608"/>
    <w:rsid w:val="00D2272B"/>
    <w:rsid w:val="00D23CC1"/>
    <w:rsid w:val="00D4681B"/>
    <w:rsid w:val="00D5494F"/>
    <w:rsid w:val="00D674C6"/>
    <w:rsid w:val="00D70522"/>
    <w:rsid w:val="00D73F3B"/>
    <w:rsid w:val="00D860AE"/>
    <w:rsid w:val="00D949EA"/>
    <w:rsid w:val="00DC285B"/>
    <w:rsid w:val="00DE1155"/>
    <w:rsid w:val="00E856CE"/>
    <w:rsid w:val="00F04D4F"/>
    <w:rsid w:val="00F351D6"/>
    <w:rsid w:val="00F60AEE"/>
    <w:rsid w:val="00FC4D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308F0"/>
  <w15:chartTrackingRefBased/>
  <w15:docId w15:val="{5B6E8428-7563-4721-965F-81A152D7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B8E"/>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rsid w:val="007B6238"/>
    <w:pPr>
      <w:numPr>
        <w:numId w:val="2"/>
      </w:numPr>
      <w:spacing w:after="120"/>
      <w:ind w:left="357" w:hanging="357"/>
    </w:pPr>
  </w:style>
  <w:style w:type="paragraph" w:styleId="ListBullet2">
    <w:name w:val="List Bullet 2"/>
    <w:basedOn w:val="Normal"/>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basedOn w:val="Normal"/>
    <w:semiHidden/>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rsid w:val="00A1079C"/>
    <w:rPr>
      <w:rFonts w:ascii="Gill Sans" w:hAnsi="Gill Sans"/>
      <w:sz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inetwork.ie/get-involved/ppi-opportunities-noticeboar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NDA Style 2011</Template>
  <TotalTime>2</TotalTime>
  <Pages>3</Pages>
  <Words>626</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 Malley</dc:creator>
  <cp:keywords/>
  <cp:lastModifiedBy>Jack Kirwan (NDA)</cp:lastModifiedBy>
  <cp:revision>2</cp:revision>
  <cp:lastPrinted>1900-01-01T00:00:00Z</cp:lastPrinted>
  <dcterms:created xsi:type="dcterms:W3CDTF">2025-08-07T14:46:00Z</dcterms:created>
  <dcterms:modified xsi:type="dcterms:W3CDTF">2025-08-07T14:46:00Z</dcterms:modified>
</cp:coreProperties>
</file>