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CEDD8" w14:textId="12A3DD11" w:rsidR="00696659" w:rsidRDefault="00696659" w:rsidP="00B6454D">
      <w:pPr>
        <w:pStyle w:val="Title"/>
        <w:rPr>
          <w:lang w:val="en" w:eastAsia="en-IE"/>
        </w:rPr>
      </w:pPr>
      <w:r w:rsidRPr="00696659">
        <w:rPr>
          <w:noProof/>
          <w:lang w:eastAsia="en-IE"/>
        </w:rPr>
        <w:drawing>
          <wp:inline distT="0" distB="0" distL="0" distR="0" wp14:anchorId="5AD7BD08" wp14:editId="4E74B270">
            <wp:extent cx="1581150" cy="952500"/>
            <wp:effectExtent l="0" t="0" r="0" b="0"/>
            <wp:docPr id="2" name="Picture 2" descr="National Disability Authority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Research &amp; Public Affairs\Administration issues\NDA_LOGO_2010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952500"/>
                    </a:xfrm>
                    <a:prstGeom prst="rect">
                      <a:avLst/>
                    </a:prstGeom>
                    <a:noFill/>
                    <a:ln>
                      <a:noFill/>
                    </a:ln>
                  </pic:spPr>
                </pic:pic>
              </a:graphicData>
            </a:graphic>
          </wp:inline>
        </w:drawing>
      </w:r>
      <w:bookmarkStart w:id="0" w:name="_GoBack"/>
      <w:bookmarkEnd w:id="0"/>
    </w:p>
    <w:p w14:paraId="00B328C8" w14:textId="33324EFC" w:rsidR="00570F1E" w:rsidRDefault="00B30DDD" w:rsidP="00B6454D">
      <w:pPr>
        <w:pStyle w:val="Title"/>
      </w:pPr>
      <w:r>
        <w:rPr>
          <w:lang w:val="en" w:eastAsia="en-IE"/>
        </w:rPr>
        <w:t>East Wall Road – Interim two way cycle facility</w:t>
      </w:r>
    </w:p>
    <w:p w14:paraId="74303F12" w14:textId="68DEF5E5" w:rsidR="00B6454D" w:rsidRPr="00B6454D" w:rsidRDefault="00B30DDD" w:rsidP="00B6454D">
      <w:pPr>
        <w:jc w:val="center"/>
        <w:rPr>
          <w:b/>
        </w:rPr>
      </w:pPr>
      <w:r>
        <w:rPr>
          <w:b/>
        </w:rPr>
        <w:t>May 2022</w:t>
      </w:r>
    </w:p>
    <w:p w14:paraId="232E0DFA" w14:textId="6BBF638E" w:rsidR="007D5137" w:rsidRPr="00D85EAB" w:rsidRDefault="007D5137" w:rsidP="007D5137">
      <w:pPr>
        <w:rPr>
          <w:lang w:val="en" w:eastAsia="en-IE"/>
        </w:rPr>
      </w:pPr>
      <w:r w:rsidRPr="00D85EAB">
        <w:rPr>
          <w:lang w:val="en" w:eastAsia="en-IE"/>
        </w:rPr>
        <w:t>The National Disability Authority (NDA), as the independent statutory body provides information and advice to the Government on policy and practice relevant to the lives of persons with disabilities. We have a role to assist the Minister for Children, Disability, Equality</w:t>
      </w:r>
      <w:r w:rsidR="006A0344">
        <w:rPr>
          <w:lang w:val="en" w:eastAsia="en-IE"/>
        </w:rPr>
        <w:t>,</w:t>
      </w:r>
      <w:r w:rsidRPr="00D85EAB">
        <w:rPr>
          <w:lang w:val="en" w:eastAsia="en-IE"/>
        </w:rPr>
        <w:t xml:space="preserve"> </w:t>
      </w:r>
      <w:r w:rsidR="003301C9">
        <w:rPr>
          <w:lang w:val="en" w:eastAsia="en-IE"/>
        </w:rPr>
        <w:t>Integration and Youth</w:t>
      </w:r>
      <w:r w:rsidRPr="00D85EAB">
        <w:rPr>
          <w:lang w:val="en" w:eastAsia="en-IE"/>
        </w:rPr>
        <w:t xml:space="preserve"> in the co-ordination of disability policy. We work through our </w:t>
      </w:r>
      <w:hyperlink r:id="rId9" w:history="1">
        <w:r w:rsidRPr="00D85EAB">
          <w:rPr>
            <w:color w:val="000000" w:themeColor="text1"/>
            <w:lang w:val="en" w:eastAsia="en-IE"/>
          </w:rPr>
          <w:t>Centre for Excellence in Universal Design</w:t>
        </w:r>
      </w:hyperlink>
      <w:r>
        <w:rPr>
          <w:color w:val="000000" w:themeColor="text1"/>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10A54BCA" w14:textId="77777777" w:rsidR="00D84BCE" w:rsidRDefault="00570F1E" w:rsidP="00570F1E">
      <w:pPr>
        <w:rPr>
          <w:color w:val="000000" w:themeColor="text1"/>
        </w:rPr>
      </w:pPr>
      <w:r>
        <w:rPr>
          <w:lang w:val="en" w:eastAsia="en-IE"/>
        </w:rPr>
        <w:t xml:space="preserve">The NDA welcomes the opportunity to make a submission to the </w:t>
      </w:r>
      <w:r w:rsidR="00EC0880">
        <w:rPr>
          <w:lang w:val="en" w:eastAsia="en-IE"/>
        </w:rPr>
        <w:t>interim East Wall Road two way cycle facility</w:t>
      </w:r>
      <w:r>
        <w:rPr>
          <w:lang w:val="en" w:eastAsia="en-IE"/>
        </w:rPr>
        <w:t xml:space="preserve"> proposed by Dublin City Council. </w:t>
      </w:r>
      <w:r w:rsidR="007D5137">
        <w:rPr>
          <w:color w:val="000000" w:themeColor="text1"/>
        </w:rPr>
        <w:t>T</w:t>
      </w:r>
      <w:r w:rsidR="007D5137" w:rsidRPr="00724964">
        <w:rPr>
          <w:color w:val="000000" w:themeColor="text1"/>
        </w:rPr>
        <w:t>ransport</w:t>
      </w:r>
      <w:r w:rsidR="007D5137">
        <w:rPr>
          <w:color w:val="000000" w:themeColor="text1"/>
        </w:rPr>
        <w:t>, including active travel,</w:t>
      </w:r>
      <w:r w:rsidR="007D5137" w:rsidRPr="00724964">
        <w:rPr>
          <w:color w:val="000000" w:themeColor="text1"/>
        </w:rPr>
        <w:t xml:space="preserve"> </w:t>
      </w:r>
      <w:r w:rsidR="007D5137">
        <w:rPr>
          <w:color w:val="000000" w:themeColor="text1"/>
        </w:rPr>
        <w:t xml:space="preserve">plays a crucial role in empowering </w:t>
      </w:r>
      <w:r w:rsidR="007D5137" w:rsidRPr="00724964">
        <w:rPr>
          <w:color w:val="000000" w:themeColor="text1"/>
          <w:szCs w:val="26"/>
        </w:rPr>
        <w:t>people with disabilities to participate in everyday life and the activities of their communities.</w:t>
      </w:r>
      <w:r w:rsidR="007D5137" w:rsidRPr="00724964">
        <w:rPr>
          <w:color w:val="000000" w:themeColor="text1"/>
        </w:rPr>
        <w:t xml:space="preserve"> </w:t>
      </w:r>
    </w:p>
    <w:p w14:paraId="19B10526" w14:textId="7A72438D" w:rsidR="00CC7458" w:rsidRPr="00712334" w:rsidRDefault="007D5137" w:rsidP="00570F1E">
      <w:pPr>
        <w:rPr>
          <w:rFonts w:eastAsia="SimSun"/>
          <w:lang w:eastAsia="en-IE"/>
        </w:rPr>
      </w:pPr>
      <w:r w:rsidRPr="00724964">
        <w:rPr>
          <w:color w:val="000000" w:themeColor="text1"/>
          <w:szCs w:val="26"/>
        </w:rPr>
        <w:t>Approximately one in ten people with disabilities said that inadequate/inaccessible transport systems prevented them from participating in social events</w:t>
      </w:r>
      <w:r>
        <w:rPr>
          <w:color w:val="000000" w:themeColor="text1"/>
          <w:szCs w:val="26"/>
        </w:rPr>
        <w:t>.</w:t>
      </w:r>
      <w:r w:rsidRPr="00724964">
        <w:rPr>
          <w:rStyle w:val="FootnoteReference"/>
          <w:rFonts w:eastAsia="SimSun"/>
          <w:color w:val="000000" w:themeColor="text1"/>
          <w:lang w:eastAsia="en-IE"/>
        </w:rPr>
        <w:footnoteReference w:id="1"/>
      </w:r>
      <w:r>
        <w:rPr>
          <w:color w:val="000000" w:themeColor="text1"/>
          <w:szCs w:val="26"/>
        </w:rPr>
        <w:t xml:space="preserve"> </w:t>
      </w:r>
      <w:r>
        <w:t>About one in six people with a disability are not in work who would be interested in a job, cite transport or parking as an issue for them.</w:t>
      </w:r>
      <w:r w:rsidRPr="00DC1CC6">
        <w:rPr>
          <w:rFonts w:eastAsia="SimSun"/>
          <w:lang w:eastAsia="en-IE"/>
        </w:rPr>
        <w:t xml:space="preserve"> </w:t>
      </w:r>
      <w:r>
        <w:rPr>
          <w:rFonts w:eastAsia="SimSun"/>
          <w:lang w:eastAsia="en-IE"/>
        </w:rPr>
        <w:t>Those with sight, mobility or intellectual disabilities are most likely to cite transport as an issue for employment.</w:t>
      </w:r>
      <w:r>
        <w:rPr>
          <w:rStyle w:val="FootnoteReference"/>
          <w:rFonts w:eastAsia="SimSun"/>
          <w:lang w:eastAsia="en-IE"/>
        </w:rPr>
        <w:footnoteReference w:id="2"/>
      </w:r>
      <w:r w:rsidR="00712334">
        <w:rPr>
          <w:rFonts w:eastAsia="SimSun"/>
          <w:lang w:eastAsia="en-IE"/>
        </w:rPr>
        <w:t xml:space="preserve"> </w:t>
      </w:r>
      <w:r w:rsidR="00D84BCE">
        <w:rPr>
          <w:rFonts w:eastAsia="SimSun"/>
          <w:lang w:eastAsia="en-IE"/>
        </w:rPr>
        <w:t>With the move</w:t>
      </w:r>
      <w:r w:rsidR="00712334">
        <w:rPr>
          <w:rFonts w:eastAsia="SimSun"/>
          <w:lang w:eastAsia="en-IE"/>
        </w:rPr>
        <w:t xml:space="preserve"> towards policies, strategies and projects which promote active travel</w:t>
      </w:r>
      <w:r w:rsidR="00D84BCE">
        <w:rPr>
          <w:rFonts w:eastAsia="SimSun"/>
          <w:lang w:eastAsia="en-IE"/>
        </w:rPr>
        <w:t>,</w:t>
      </w:r>
      <w:r w:rsidR="00712334">
        <w:rPr>
          <w:rFonts w:eastAsia="SimSun"/>
          <w:lang w:eastAsia="en-IE"/>
        </w:rPr>
        <w:t xml:space="preserve"> it is important that the needs of people with disabilities are considered </w:t>
      </w:r>
      <w:r w:rsidR="00D84BCE">
        <w:rPr>
          <w:rFonts w:eastAsia="SimSun"/>
          <w:lang w:eastAsia="en-IE"/>
        </w:rPr>
        <w:t>to ensure that changes to infrastructure and services are beneficial to all and</w:t>
      </w:r>
      <w:r w:rsidR="00A24FA5">
        <w:rPr>
          <w:rFonts w:eastAsia="SimSun"/>
          <w:lang w:eastAsia="en-IE"/>
        </w:rPr>
        <w:t xml:space="preserve"> will</w:t>
      </w:r>
      <w:r w:rsidR="00D84BCE">
        <w:rPr>
          <w:rFonts w:eastAsia="SimSun"/>
          <w:lang w:eastAsia="en-IE"/>
        </w:rPr>
        <w:t xml:space="preserve"> allow everyone to participate in active travel, regardless of age, size, ability or disability. </w:t>
      </w:r>
    </w:p>
    <w:p w14:paraId="4401F35D" w14:textId="14F875E3" w:rsidR="005A495F" w:rsidRDefault="00CC7458" w:rsidP="00570F1E">
      <w:pPr>
        <w:rPr>
          <w:lang w:val="en" w:eastAsia="en-IE"/>
        </w:rPr>
      </w:pPr>
      <w:r>
        <w:rPr>
          <w:lang w:val="en" w:eastAsia="en-IE"/>
        </w:rPr>
        <w:t>We note in the proposal that t</w:t>
      </w:r>
      <w:r w:rsidRPr="00CC7458">
        <w:rPr>
          <w:lang w:val="en" w:eastAsia="en-IE"/>
        </w:rPr>
        <w:t xml:space="preserve">he </w:t>
      </w:r>
      <w:r w:rsidR="00717250">
        <w:rPr>
          <w:lang w:val="en" w:eastAsia="en-IE"/>
        </w:rPr>
        <w:t>interim cycle facilities</w:t>
      </w:r>
      <w:r w:rsidRPr="00CC7458">
        <w:rPr>
          <w:lang w:val="en" w:eastAsia="en-IE"/>
        </w:rPr>
        <w:t xml:space="preserve"> will provide </w:t>
      </w:r>
      <w:r w:rsidR="00717250">
        <w:rPr>
          <w:lang w:val="en" w:eastAsia="en-IE"/>
        </w:rPr>
        <w:t>two</w:t>
      </w:r>
      <w:r w:rsidRPr="00CC7458">
        <w:rPr>
          <w:lang w:val="en" w:eastAsia="en-IE"/>
        </w:rPr>
        <w:t>-way segregated cycle facili</w:t>
      </w:r>
      <w:r w:rsidR="00F84C90">
        <w:rPr>
          <w:lang w:val="en" w:eastAsia="en-IE"/>
        </w:rPr>
        <w:t>ties on each side of the road, o</w:t>
      </w:r>
      <w:r w:rsidR="00F84C90" w:rsidRPr="00F84C90">
        <w:rPr>
          <w:lang w:val="en" w:eastAsia="en-IE"/>
        </w:rPr>
        <w:t xml:space="preserve">n the eastern side of Alfie Byrne Road from the </w:t>
      </w:r>
      <w:proofErr w:type="spellStart"/>
      <w:r w:rsidR="00F84C90" w:rsidRPr="00F84C90">
        <w:rPr>
          <w:lang w:val="en" w:eastAsia="en-IE"/>
        </w:rPr>
        <w:t>Eastpoint</w:t>
      </w:r>
      <w:proofErr w:type="spellEnd"/>
      <w:r w:rsidR="00F84C90" w:rsidRPr="00F84C90">
        <w:rPr>
          <w:lang w:val="en" w:eastAsia="en-IE"/>
        </w:rPr>
        <w:t xml:space="preserve"> Causeway as far as East Wall Road and continuing along the northern side of </w:t>
      </w:r>
      <w:r w:rsidR="00962EBF">
        <w:rPr>
          <w:lang w:val="en" w:eastAsia="en-IE"/>
        </w:rPr>
        <w:t>Clontarf</w:t>
      </w:r>
      <w:r w:rsidR="00F84C90" w:rsidRPr="00F84C90">
        <w:rPr>
          <w:lang w:val="en" w:eastAsia="en-IE"/>
        </w:rPr>
        <w:t xml:space="preserve"> Road as far as East </w:t>
      </w:r>
      <w:r w:rsidR="005206E4">
        <w:rPr>
          <w:lang w:val="en" w:eastAsia="en-IE"/>
        </w:rPr>
        <w:t xml:space="preserve">Wall </w:t>
      </w:r>
      <w:r w:rsidR="00F84C90" w:rsidRPr="00F84C90">
        <w:rPr>
          <w:lang w:val="en" w:eastAsia="en-IE"/>
        </w:rPr>
        <w:t>Road.</w:t>
      </w:r>
      <w:r w:rsidR="00F84C90">
        <w:rPr>
          <w:lang w:val="en" w:eastAsia="en-IE"/>
        </w:rPr>
        <w:t xml:space="preserve"> The NDA feels</w:t>
      </w:r>
      <w:r w:rsidR="005A495F">
        <w:rPr>
          <w:lang w:val="en" w:eastAsia="en-IE"/>
        </w:rPr>
        <w:t xml:space="preserve"> there are a number of points that need </w:t>
      </w:r>
      <w:r w:rsidR="00BA1E17">
        <w:rPr>
          <w:lang w:val="en" w:eastAsia="en-IE"/>
        </w:rPr>
        <w:t xml:space="preserve">further </w:t>
      </w:r>
      <w:r w:rsidR="005A495F">
        <w:rPr>
          <w:lang w:val="en" w:eastAsia="en-IE"/>
        </w:rPr>
        <w:t xml:space="preserve">consideration before </w:t>
      </w:r>
      <w:proofErr w:type="spellStart"/>
      <w:r w:rsidR="005A495F">
        <w:rPr>
          <w:lang w:val="en" w:eastAsia="en-IE"/>
        </w:rPr>
        <w:t>finalising</w:t>
      </w:r>
      <w:proofErr w:type="spellEnd"/>
      <w:r w:rsidR="005A495F">
        <w:rPr>
          <w:lang w:val="en" w:eastAsia="en-IE"/>
        </w:rPr>
        <w:t xml:space="preserve"> and progressing the new design.</w:t>
      </w:r>
    </w:p>
    <w:p w14:paraId="2F81508D" w14:textId="65C2BDFE" w:rsidR="002F192E" w:rsidRDefault="00436FA2" w:rsidP="002F192E">
      <w:pPr>
        <w:pStyle w:val="Heading1"/>
        <w:rPr>
          <w:lang w:val="en" w:eastAsia="en-IE"/>
        </w:rPr>
      </w:pPr>
      <w:r>
        <w:rPr>
          <w:lang w:val="en" w:eastAsia="en-IE"/>
        </w:rPr>
        <w:lastRenderedPageBreak/>
        <w:t xml:space="preserve">Universally Designed Consultation </w:t>
      </w:r>
    </w:p>
    <w:p w14:paraId="0BC12765" w14:textId="2E34E1F7" w:rsidR="002F192E" w:rsidRDefault="000C76B9" w:rsidP="002F192E">
      <w:pPr>
        <w:pStyle w:val="ListBullet"/>
        <w:numPr>
          <w:ilvl w:val="0"/>
          <w:numId w:val="0"/>
        </w:numPr>
      </w:pPr>
      <w:r>
        <w:t>W</w:t>
      </w:r>
      <w:r w:rsidRPr="000C76B9">
        <w:t xml:space="preserve">e advise the importance of engaging and consulting with </w:t>
      </w:r>
      <w:r>
        <w:t>persons with</w:t>
      </w:r>
      <w:r w:rsidR="00033A8A">
        <w:t xml:space="preserve"> disabilities and older people about this proposal</w:t>
      </w:r>
      <w:r w:rsidR="00147ADA">
        <w:t>,</w:t>
      </w:r>
      <w:r w:rsidR="00033A8A">
        <w:t xml:space="preserve"> and </w:t>
      </w:r>
      <w:r w:rsidR="006A0344">
        <w:t xml:space="preserve">that </w:t>
      </w:r>
      <w:r w:rsidR="00033A8A">
        <w:t xml:space="preserve">their views </w:t>
      </w:r>
      <w:r w:rsidR="006A0344">
        <w:t xml:space="preserve">would </w:t>
      </w:r>
      <w:r w:rsidR="00033A8A">
        <w:t xml:space="preserve">inform </w:t>
      </w:r>
      <w:r w:rsidR="00147ADA">
        <w:t xml:space="preserve">the design of the </w:t>
      </w:r>
      <w:r w:rsidR="00AF15C5">
        <w:t>island bus stop</w:t>
      </w:r>
      <w:r w:rsidR="002F446F">
        <w:t>,</w:t>
      </w:r>
      <w:r w:rsidR="00AF15C5">
        <w:t xml:space="preserve"> the proposed narrowing of </w:t>
      </w:r>
      <w:r w:rsidR="006A0344">
        <w:t xml:space="preserve">the </w:t>
      </w:r>
      <w:r w:rsidR="00AF15C5">
        <w:t>footpath directly opposite the Church Road Junction</w:t>
      </w:r>
      <w:r w:rsidR="002F446F">
        <w:t>, and the proposed new pedestrian and cycle crossing</w:t>
      </w:r>
      <w:r w:rsidR="00147ADA">
        <w:t xml:space="preserve">. </w:t>
      </w:r>
      <w:r w:rsidR="002F446F">
        <w:t xml:space="preserve">We also note that as part of these works, </w:t>
      </w:r>
      <w:r w:rsidR="006A0344">
        <w:t xml:space="preserve">new </w:t>
      </w:r>
      <w:r w:rsidR="002F446F">
        <w:t xml:space="preserve">bollards are to be </w:t>
      </w:r>
      <w:r w:rsidR="006A0344">
        <w:t xml:space="preserve">installed </w:t>
      </w:r>
      <w:r w:rsidR="002F446F">
        <w:t>as part of a new school zone at St Joseph’s Primary</w:t>
      </w:r>
      <w:r w:rsidR="007B6E59">
        <w:t xml:space="preserve"> School. I</w:t>
      </w:r>
      <w:r w:rsidR="002F446F">
        <w:t xml:space="preserve">t is very important that </w:t>
      </w:r>
      <w:r w:rsidR="00BB39BF">
        <w:t>persons with disabilities, older people</w:t>
      </w:r>
      <w:r w:rsidR="007B6E59">
        <w:t>,</w:t>
      </w:r>
      <w:r w:rsidR="00BB39BF">
        <w:t xml:space="preserve"> </w:t>
      </w:r>
      <w:r w:rsidR="001E3FA1">
        <w:t xml:space="preserve">children, </w:t>
      </w:r>
      <w:r w:rsidR="00BB39BF">
        <w:t>and parents are informed of and consulted on the design of the new school zone.</w:t>
      </w:r>
      <w:r w:rsidR="002F446F">
        <w:t xml:space="preserve"> </w:t>
      </w:r>
    </w:p>
    <w:p w14:paraId="1CB2B657" w14:textId="363A167D" w:rsidR="00DB4CF6" w:rsidRDefault="00147ADA" w:rsidP="00DB4CF6">
      <w:pPr>
        <w:autoSpaceDE w:val="0"/>
        <w:autoSpaceDN w:val="0"/>
        <w:adjustRightInd w:val="0"/>
      </w:pPr>
      <w:r>
        <w:t xml:space="preserve">We recommend </w:t>
      </w:r>
      <w:r w:rsidR="00BB39BF">
        <w:t>consultations</w:t>
      </w:r>
      <w:r w:rsidR="007B6E59">
        <w:t xml:space="preserve"> on all aspects of design</w:t>
      </w:r>
      <w:r w:rsidR="00BB39BF">
        <w:t xml:space="preserve"> are </w:t>
      </w:r>
      <w:r>
        <w:t>done prior to</w:t>
      </w:r>
      <w:r w:rsidRPr="00147ADA">
        <w:t xml:space="preserve"> </w:t>
      </w:r>
      <w:r w:rsidR="00BB7E7D">
        <w:t>t</w:t>
      </w:r>
      <w:r>
        <w:t xml:space="preserve">aking a decision to ensure that the </w:t>
      </w:r>
      <w:r w:rsidR="00BB39BF">
        <w:t>interim road works are</w:t>
      </w:r>
      <w:r>
        <w:t xml:space="preserve"> likely to serve everyone. In addition, persons with disabilities and older people should be consulted during implementation, to determine how the design is or isn’t meeting their needs, so that future designs can be improved.</w:t>
      </w:r>
      <w:r w:rsidR="00BB39BF">
        <w:t xml:space="preserve"> As </w:t>
      </w:r>
      <w:r w:rsidR="00632BC9">
        <w:t>this is an interim measure</w:t>
      </w:r>
      <w:r w:rsidR="006A0344">
        <w:t>,</w:t>
      </w:r>
      <w:r w:rsidR="00632BC9">
        <w:t xml:space="preserve"> consultation </w:t>
      </w:r>
      <w:proofErr w:type="gramStart"/>
      <w:r w:rsidR="00632BC9">
        <w:t>during</w:t>
      </w:r>
      <w:proofErr w:type="gramEnd"/>
      <w:r w:rsidR="00632BC9">
        <w:t xml:space="preserve"> implementation can help inform future phases of the project. </w:t>
      </w:r>
    </w:p>
    <w:p w14:paraId="0E713526" w14:textId="079BFBFB" w:rsidR="00B34908" w:rsidRPr="00DB4CF6" w:rsidRDefault="00DB4CF6" w:rsidP="00DB4CF6">
      <w:pPr>
        <w:autoSpaceDE w:val="0"/>
        <w:autoSpaceDN w:val="0"/>
        <w:adjustRightInd w:val="0"/>
        <w:rPr>
          <w:szCs w:val="26"/>
        </w:rPr>
      </w:pPr>
      <w:r>
        <w:t>To better inform consultations, the</w:t>
      </w:r>
      <w:r w:rsidRPr="00DB4CF6">
        <w:rPr>
          <w:szCs w:val="26"/>
        </w:rPr>
        <w:t xml:space="preserve"> NDA </w:t>
      </w:r>
      <w:r>
        <w:rPr>
          <w:szCs w:val="26"/>
        </w:rPr>
        <w:t xml:space="preserve">also </w:t>
      </w:r>
      <w:r w:rsidRPr="00DB4CF6">
        <w:rPr>
          <w:szCs w:val="26"/>
        </w:rPr>
        <w:t xml:space="preserve">recommends DCC conduct and produce a disability impact assessment on the proposed </w:t>
      </w:r>
      <w:r w:rsidR="00424F21">
        <w:rPr>
          <w:szCs w:val="26"/>
        </w:rPr>
        <w:t>E</w:t>
      </w:r>
      <w:r w:rsidRPr="00DB4CF6">
        <w:rPr>
          <w:szCs w:val="26"/>
        </w:rPr>
        <w:t xml:space="preserve">ast </w:t>
      </w:r>
      <w:r w:rsidR="00424F21">
        <w:rPr>
          <w:szCs w:val="26"/>
        </w:rPr>
        <w:t>W</w:t>
      </w:r>
      <w:r w:rsidRPr="00DB4CF6">
        <w:rPr>
          <w:szCs w:val="26"/>
        </w:rPr>
        <w:t xml:space="preserve">all cycle track.  </w:t>
      </w:r>
      <w:r w:rsidRPr="00DB4CF6">
        <w:rPr>
          <w:rFonts w:cs="Gill Sans MT"/>
          <w:color w:val="000000"/>
          <w:szCs w:val="26"/>
        </w:rPr>
        <w:t xml:space="preserve">A disability impact assessment involves a comprehensive examination of how this proposal impacts on a person with a disability so that fundamental issues are identified early, therefore informing any redesign and delivery of the proposal, to better meet the needs of persons with disabilities. </w:t>
      </w:r>
      <w:r w:rsidR="00740462">
        <w:rPr>
          <w:rFonts w:cs="Gill Sans MT"/>
          <w:color w:val="000000"/>
          <w:szCs w:val="26"/>
        </w:rPr>
        <w:t>As with consultations with people with disabilities, this assessment will also</w:t>
      </w:r>
      <w:r w:rsidRPr="00DB4CF6">
        <w:rPr>
          <w:rFonts w:cs="Gill Sans MT"/>
          <w:color w:val="000000"/>
          <w:szCs w:val="26"/>
        </w:rPr>
        <w:t xml:space="preserve"> help to ensure the designs at the outset don’t require too many </w:t>
      </w:r>
      <w:r w:rsidR="00462BBB">
        <w:rPr>
          <w:rFonts w:cs="Gill Sans MT"/>
          <w:color w:val="000000"/>
          <w:szCs w:val="26"/>
        </w:rPr>
        <w:t xml:space="preserve">significant </w:t>
      </w:r>
      <w:r w:rsidRPr="00DB4CF6">
        <w:rPr>
          <w:rFonts w:cs="Gill Sans MT"/>
          <w:color w:val="000000"/>
          <w:szCs w:val="26"/>
        </w:rPr>
        <w:t xml:space="preserve">changes going forward. </w:t>
      </w:r>
      <w:r w:rsidRPr="00DB4CF6">
        <w:rPr>
          <w:szCs w:val="26"/>
        </w:rPr>
        <w:t xml:space="preserve">The Department for Justice provides guidance on how to conduct this assessment in their </w:t>
      </w:r>
      <w:hyperlink r:id="rId10" w:history="1">
        <w:r w:rsidRPr="00DB4CF6">
          <w:rPr>
            <w:rStyle w:val="Hyperlink"/>
            <w:szCs w:val="26"/>
          </w:rPr>
          <w:t>Guidelines on How to Conduct a Disability Impact Assessment.</w:t>
        </w:r>
        <w:r w:rsidRPr="0024367A">
          <w:rPr>
            <w:rStyle w:val="FootnoteReference"/>
            <w:rFonts w:ascii="Gill Sans MT" w:hAnsi="Gill Sans MT"/>
            <w:color w:val="0563C1"/>
            <w:sz w:val="26"/>
            <w:szCs w:val="26"/>
            <w:u w:val="single"/>
          </w:rPr>
          <w:footnoteReference w:id="3"/>
        </w:r>
      </w:hyperlink>
    </w:p>
    <w:p w14:paraId="7BEDE8D0" w14:textId="358930FE" w:rsidR="002F192E" w:rsidRDefault="002F192E" w:rsidP="002F192E">
      <w:pPr>
        <w:pStyle w:val="ListBullet"/>
        <w:numPr>
          <w:ilvl w:val="0"/>
          <w:numId w:val="0"/>
        </w:numPr>
      </w:pPr>
      <w:r>
        <w:t xml:space="preserve">The NDA would recommend using the </w:t>
      </w:r>
      <w:hyperlink r:id="rId11" w:history="1">
        <w:r w:rsidRPr="007A2E54">
          <w:rPr>
            <w:rStyle w:val="Hyperlink"/>
          </w:rPr>
          <w:t>Universal Design Customer Communications Toolkit</w:t>
        </w:r>
      </w:hyperlink>
      <w:r>
        <w:t xml:space="preserve"> as a key reference in designing and delivering information to the public concerning the proposed cycle track.</w:t>
      </w:r>
      <w:r>
        <w:rPr>
          <w:rStyle w:val="FootnoteReference"/>
        </w:rPr>
        <w:footnoteReference w:id="4"/>
      </w:r>
      <w:r>
        <w:t xml:space="preserve"> </w:t>
      </w:r>
      <w:r w:rsidRPr="00C2396A">
        <w:t>Design fe</w:t>
      </w:r>
      <w:r>
        <w:t>atures at</w:t>
      </w:r>
      <w:r w:rsidRPr="00C2396A">
        <w:t xml:space="preserve"> the</w:t>
      </w:r>
      <w:r>
        <w:t xml:space="preserve"> </w:t>
      </w:r>
      <w:r w:rsidRPr="00C2396A">
        <w:t xml:space="preserve">bus stop areas </w:t>
      </w:r>
      <w:r>
        <w:t xml:space="preserve">will not necessarily be </w:t>
      </w:r>
      <w:r w:rsidRPr="00C2396A">
        <w:t>familiar to</w:t>
      </w:r>
      <w:r>
        <w:t xml:space="preserve"> both</w:t>
      </w:r>
      <w:r w:rsidRPr="00C2396A">
        <w:t xml:space="preserve"> pedestrians </w:t>
      </w:r>
      <w:r>
        <w:t>and cyclists</w:t>
      </w:r>
      <w:r w:rsidRPr="00C2396A">
        <w:t xml:space="preserve">. </w:t>
      </w:r>
      <w:r>
        <w:t>Therefore a</w:t>
      </w:r>
      <w:r w:rsidRPr="00C2396A">
        <w:t xml:space="preserve">s part of </w:t>
      </w:r>
      <w:r>
        <w:t>consultations with the public</w:t>
      </w:r>
      <w:r w:rsidRPr="00C2396A">
        <w:t xml:space="preserve"> DCC should educate </w:t>
      </w:r>
      <w:r w:rsidRPr="00C2396A">
        <w:lastRenderedPageBreak/>
        <w:t>all users t</w:t>
      </w:r>
      <w:r>
        <w:t>o understand the</w:t>
      </w:r>
      <w:r w:rsidRPr="00C2396A">
        <w:t xml:space="preserve"> appropriate use of the</w:t>
      </w:r>
      <w:r>
        <w:t xml:space="preserve"> cycle-path, crosswalks and bus stop design features. </w:t>
      </w:r>
      <w:r w:rsidR="00D97405">
        <w:t xml:space="preserve">The NDA would like further information on how changes are being communicated to residents and through schools. </w:t>
      </w:r>
      <w:r w:rsidR="00363F91">
        <w:t xml:space="preserve">This consultation and education process should be continuous, and should </w:t>
      </w:r>
      <w:r w:rsidR="00D97405">
        <w:t>inform people following design changes as well, providing demonstrations around the changes and how to use new junctions and crossings etc.</w:t>
      </w:r>
    </w:p>
    <w:p w14:paraId="3EA81269" w14:textId="404D1983" w:rsidR="002A3A09" w:rsidRDefault="002A3A09" w:rsidP="002A3A09">
      <w:pPr>
        <w:pStyle w:val="Heading1"/>
      </w:pPr>
      <w:r>
        <w:t>Infrastructure Considerations</w:t>
      </w:r>
    </w:p>
    <w:p w14:paraId="2810A7EE" w14:textId="5310E986" w:rsidR="00B34908" w:rsidRPr="002A3A09" w:rsidRDefault="00E80A4E" w:rsidP="002A3A09">
      <w:r w:rsidRPr="002A3A09">
        <w:t xml:space="preserve">With regards to on-track cycle markings to alert cyclists to yield for upcoming crosswalks and the use of markings at crosswalks we </w:t>
      </w:r>
      <w:r w:rsidR="0049798C" w:rsidRPr="002A3A09">
        <w:t xml:space="preserve">strongly </w:t>
      </w:r>
      <w:r w:rsidR="00BB7E7D" w:rsidRPr="002A3A09">
        <w:t xml:space="preserve">recommend the use of </w:t>
      </w:r>
      <w:r w:rsidR="00B34908" w:rsidRPr="002A3A09">
        <w:t xml:space="preserve">zebra marking at crosswalks as used in </w:t>
      </w:r>
      <w:hyperlink r:id="rId12" w:history="1">
        <w:r w:rsidR="00B34908" w:rsidRPr="002A3A09">
          <w:rPr>
            <w:rStyle w:val="Hyperlink"/>
          </w:rPr>
          <w:t>CYCLOPS</w:t>
        </w:r>
        <w:r w:rsidR="00BC7D68" w:rsidRPr="002A3A09">
          <w:rPr>
            <w:rStyle w:val="Hyperlink"/>
          </w:rPr>
          <w:t>, Manchester</w:t>
        </w:r>
      </w:hyperlink>
      <w:r w:rsidR="0024367A">
        <w:rPr>
          <w:rStyle w:val="FootnoteReference"/>
          <w:color w:val="0000FF"/>
          <w:u w:val="single"/>
        </w:rPr>
        <w:footnoteReference w:id="5"/>
      </w:r>
      <w:r w:rsidR="00B34908" w:rsidRPr="002A3A09">
        <w:t xml:space="preserve"> and </w:t>
      </w:r>
      <w:hyperlink r:id="rId13" w:history="1">
        <w:r w:rsidR="00A03D87" w:rsidRPr="002A3A09">
          <w:rPr>
            <w:rStyle w:val="Hyperlink"/>
          </w:rPr>
          <w:t xml:space="preserve">Getting to the Curb, </w:t>
        </w:r>
        <w:r w:rsidR="00B34908" w:rsidRPr="002A3A09">
          <w:rPr>
            <w:rStyle w:val="Hyperlink"/>
          </w:rPr>
          <w:t xml:space="preserve">San </w:t>
        </w:r>
        <w:r w:rsidR="00BB7E7D" w:rsidRPr="002A3A09">
          <w:rPr>
            <w:rStyle w:val="Hyperlink"/>
          </w:rPr>
          <w:t>Francisco</w:t>
        </w:r>
      </w:hyperlink>
      <w:r w:rsidR="0024367A">
        <w:rPr>
          <w:rStyle w:val="FootnoteReference"/>
          <w:color w:val="0000FF"/>
          <w:u w:val="single"/>
        </w:rPr>
        <w:footnoteReference w:id="6"/>
      </w:r>
      <w:r w:rsidR="00A03D87" w:rsidRPr="002A3A09">
        <w:t>.</w:t>
      </w:r>
    </w:p>
    <w:p w14:paraId="220726FC" w14:textId="7D4E1BCF" w:rsidR="00136D7A" w:rsidRPr="00136D7A" w:rsidRDefault="00C62883" w:rsidP="00DB4CF6">
      <w:pPr>
        <w:pStyle w:val="ListBullet"/>
        <w:numPr>
          <w:ilvl w:val="0"/>
          <w:numId w:val="0"/>
        </w:numPr>
      </w:pPr>
      <w:r>
        <w:t xml:space="preserve">DCC </w:t>
      </w:r>
      <w:r w:rsidR="00136D7A">
        <w:t>should also</w:t>
      </w:r>
      <w:r w:rsidR="00136D7A" w:rsidRPr="00A03D87">
        <w:t xml:space="preserve"> consider design guidance in </w:t>
      </w:r>
      <w:hyperlink r:id="rId14" w:history="1">
        <w:r w:rsidR="00136D7A" w:rsidRPr="00BC7D68">
          <w:rPr>
            <w:rStyle w:val="Hyperlink"/>
          </w:rPr>
          <w:t>CYCLOPS, Manchester</w:t>
        </w:r>
      </w:hyperlink>
      <w:r w:rsidR="00136D7A" w:rsidRPr="00A03D87">
        <w:t xml:space="preserve"> on page 7 </w:t>
      </w:r>
      <w:r w:rsidR="00136D7A">
        <w:t xml:space="preserve">which provides </w:t>
      </w:r>
      <w:r w:rsidR="00136D7A" w:rsidRPr="00A03D87">
        <w:t>Guiding Principles for Protected Junctions</w:t>
      </w:r>
      <w:r w:rsidR="00136D7A">
        <w:t xml:space="preserve"> </w:t>
      </w:r>
      <w:r w:rsidR="00136D7A" w:rsidRPr="00A03D87">
        <w:t xml:space="preserve">regarding where there might be some junctions where </w:t>
      </w:r>
      <w:r w:rsidR="00684132">
        <w:t>traffic lights</w:t>
      </w:r>
      <w:r w:rsidR="00136D7A" w:rsidRPr="00A03D87">
        <w:t xml:space="preserve"> for cyclists would be necessary.</w:t>
      </w:r>
    </w:p>
    <w:p w14:paraId="076F5D01" w14:textId="0BC15CD1" w:rsidR="00C2396A" w:rsidRDefault="00D213AC" w:rsidP="00DB4CF6">
      <w:pPr>
        <w:pStyle w:val="ListBullet"/>
        <w:numPr>
          <w:ilvl w:val="0"/>
          <w:numId w:val="0"/>
        </w:numPr>
      </w:pPr>
      <w:r>
        <w:t>In designing cycle tracks DCC</w:t>
      </w:r>
      <w:r w:rsidR="0049798C">
        <w:t xml:space="preserve"> should </w:t>
      </w:r>
      <w:r w:rsidR="00DB4CF6">
        <w:t xml:space="preserve">also </w:t>
      </w:r>
      <w:r w:rsidR="0049798C">
        <w:t>consider a</w:t>
      </w:r>
      <w:r w:rsidR="005A495F" w:rsidRPr="00BB7E7D">
        <w:t xml:space="preserve"> wider range </w:t>
      </w:r>
      <w:r w:rsidR="0049798C">
        <w:t>of user types and cycle types</w:t>
      </w:r>
      <w:r w:rsidR="005A495F" w:rsidRPr="00BB7E7D">
        <w:t xml:space="preserve"> from the </w:t>
      </w:r>
      <w:hyperlink r:id="rId15" w:history="1">
        <w:r w:rsidR="005A495F" w:rsidRPr="00A03D87">
          <w:rPr>
            <w:rStyle w:val="Hyperlink"/>
          </w:rPr>
          <w:t>Inclusive Cycling Guide</w:t>
        </w:r>
      </w:hyperlink>
      <w:r w:rsidR="00BA6CDA">
        <w:rPr>
          <w:rStyle w:val="FootnoteReference"/>
          <w:color w:val="0000FF"/>
          <w:u w:val="single"/>
        </w:rPr>
        <w:footnoteReference w:id="7"/>
      </w:r>
      <w:r w:rsidR="005A495F" w:rsidRPr="00BB7E7D">
        <w:t>.</w:t>
      </w:r>
      <w:r w:rsidR="00BB7E7D">
        <w:t xml:space="preserve"> Consideration should be given to cyclist</w:t>
      </w:r>
      <w:r w:rsidR="0049798C">
        <w:t>s</w:t>
      </w:r>
      <w:r w:rsidR="00BB7E7D">
        <w:t xml:space="preserve"> who are disabled </w:t>
      </w:r>
      <w:r w:rsidR="0049798C">
        <w:t xml:space="preserve">as well as non-disabled users who use non-standard cycles </w:t>
      </w:r>
      <w:r w:rsidR="00BB7E7D">
        <w:t>to ensure that the cycle way and the bus stop crossing are suitable for them.</w:t>
      </w:r>
      <w:r w:rsidR="0049798C">
        <w:t xml:space="preserve"> This will require c</w:t>
      </w:r>
      <w:r w:rsidR="002B2EFD">
        <w:t>onsultation</w:t>
      </w:r>
      <w:r w:rsidR="00B56FC1">
        <w:t xml:space="preserve"> with disabled cyclists, people who use cargo </w:t>
      </w:r>
      <w:proofErr w:type="gramStart"/>
      <w:r w:rsidR="00B56FC1">
        <w:t>bikes/bike</w:t>
      </w:r>
      <w:proofErr w:type="gramEnd"/>
      <w:r w:rsidR="00B56FC1">
        <w:t xml:space="preserve"> trailers, </w:t>
      </w:r>
      <w:r w:rsidR="0049798C">
        <w:t xml:space="preserve">and others about the </w:t>
      </w:r>
      <w:r w:rsidR="00EE3DF9">
        <w:t xml:space="preserve">proposed works. </w:t>
      </w:r>
    </w:p>
    <w:p w14:paraId="349C859B" w14:textId="5757D891" w:rsidR="00BC7D68" w:rsidRDefault="00BC7D68" w:rsidP="00570F1E">
      <w:pPr>
        <w:rPr>
          <w:szCs w:val="26"/>
        </w:rPr>
      </w:pPr>
      <w:r w:rsidRPr="00BC7D68">
        <w:rPr>
          <w:szCs w:val="26"/>
        </w:rPr>
        <w:t xml:space="preserve">Consulting with a diverse range of users is a key principle of </w:t>
      </w:r>
      <w:r w:rsidRPr="00BC7D68">
        <w:rPr>
          <w:b/>
          <w:szCs w:val="26"/>
        </w:rPr>
        <w:t>Article 4 of the UN Convention on the Rights of Persons with Disabilities (UNCPRD)</w:t>
      </w:r>
      <w:r w:rsidRPr="00BC7D68">
        <w:rPr>
          <w:szCs w:val="26"/>
        </w:rPr>
        <w:t>.</w:t>
      </w:r>
      <w:r>
        <w:rPr>
          <w:szCs w:val="26"/>
        </w:rPr>
        <w:t xml:space="preserve"> </w:t>
      </w:r>
      <w:r w:rsidR="00FB2081">
        <w:rPr>
          <w:szCs w:val="26"/>
        </w:rPr>
        <w:t>Consultation with persons with disabilities is best done directly with persons with disabilities and their representative organisations, and the NDA advises that this would be through Disabled Persons Organisations (DPOs) or individuals, rather than solely umbrella bodies (although these also have valuable perspectives).</w:t>
      </w:r>
      <w:r w:rsidR="00FB2081" w:rsidRPr="00FB2081">
        <w:rPr>
          <w:szCs w:val="26"/>
        </w:rPr>
        <w:t xml:space="preserve"> </w:t>
      </w:r>
      <w:r w:rsidR="00FB2081">
        <w:rPr>
          <w:szCs w:val="26"/>
        </w:rPr>
        <w:t xml:space="preserve">All information regarding this proposal should be accessible to persons with disabilities and available in alternative formats to meet the needs and preferences of individuals. </w:t>
      </w:r>
    </w:p>
    <w:p w14:paraId="1AE0992D" w14:textId="77777777" w:rsidR="00B51DA4" w:rsidRDefault="00B51DA4" w:rsidP="00B51DA4">
      <w:pPr>
        <w:pStyle w:val="Heading1"/>
        <w:rPr>
          <w:lang w:val="en" w:eastAsia="en-IE"/>
        </w:rPr>
      </w:pPr>
      <w:r>
        <w:rPr>
          <w:lang w:val="en" w:eastAsia="en-IE"/>
        </w:rPr>
        <w:t xml:space="preserve">Conclusion </w:t>
      </w:r>
    </w:p>
    <w:p w14:paraId="73BE48AC" w14:textId="569356F1" w:rsidR="00FB2081" w:rsidRPr="00FB2081" w:rsidRDefault="006D6612" w:rsidP="00570F1E">
      <w:pPr>
        <w:rPr>
          <w:szCs w:val="26"/>
        </w:rPr>
      </w:pPr>
      <w:r>
        <w:rPr>
          <w:lang w:val="en" w:eastAsia="en-IE"/>
        </w:rPr>
        <w:t>On a final note</w:t>
      </w:r>
      <w:r w:rsidR="00FB2081" w:rsidRPr="00FB2081">
        <w:rPr>
          <w:szCs w:val="26"/>
        </w:rPr>
        <w:t xml:space="preserve">, </w:t>
      </w:r>
      <w:r w:rsidR="00FB2081" w:rsidRPr="00FB2081">
        <w:rPr>
          <w:b/>
          <w:szCs w:val="26"/>
        </w:rPr>
        <w:t>Article 9 of the UN Convention on the Rights of Persons,</w:t>
      </w:r>
      <w:r w:rsidR="00FB2081" w:rsidRPr="00FB2081">
        <w:rPr>
          <w:szCs w:val="26"/>
        </w:rPr>
        <w:t xml:space="preserve"> states that in order for persons with disabilities to live independently and fully participate in all aspects of life, they need to have access not only to accessible transportation but also to infrastructure, the built environment, information and communication processes and technologies and to other public facilities and services.</w:t>
      </w:r>
      <w:r w:rsidR="006D5613">
        <w:rPr>
          <w:szCs w:val="26"/>
        </w:rPr>
        <w:t xml:space="preserve"> As this development will have a significant impact </w:t>
      </w:r>
      <w:r w:rsidR="00321B73">
        <w:rPr>
          <w:szCs w:val="26"/>
        </w:rPr>
        <w:t>on new and existing infrastructure such as footpaths and bus stops but also on cycle tracks and associated links to transport (either through active travel or public transport) this project has significant impacts to persons with disabilities</w:t>
      </w:r>
      <w:r w:rsidR="00844E96">
        <w:rPr>
          <w:szCs w:val="26"/>
        </w:rPr>
        <w:t>, particularly in relation to travel and transport</w:t>
      </w:r>
      <w:r w:rsidR="00321B73">
        <w:rPr>
          <w:szCs w:val="26"/>
        </w:rPr>
        <w:t xml:space="preserve">. DCC should consider the impacts this project will have on the rights of persons with disabilities, particularly in reference to Article 9. </w:t>
      </w:r>
    </w:p>
    <w:p w14:paraId="65F6E59E" w14:textId="052EECFC" w:rsidR="00B14618" w:rsidRPr="00DE07B9" w:rsidRDefault="00BB7E7D" w:rsidP="00B14618">
      <w:pPr>
        <w:rPr>
          <w:lang w:val="en" w:eastAsia="en-IE"/>
        </w:rPr>
      </w:pPr>
      <w:r w:rsidRPr="00BB7E7D">
        <w:rPr>
          <w:lang w:val="en" w:eastAsia="en-IE"/>
        </w:rPr>
        <w:t>The NDA is happy to meet with DCC to discuss this submission. The NDA is looking forward to c</w:t>
      </w:r>
      <w:r w:rsidR="00BC7D68">
        <w:rPr>
          <w:lang w:val="en" w:eastAsia="en-IE"/>
        </w:rPr>
        <w:t>ontinuing to work with the DCC</w:t>
      </w:r>
      <w:r w:rsidRPr="00BB7E7D">
        <w:rPr>
          <w:lang w:val="en" w:eastAsia="en-IE"/>
        </w:rPr>
        <w:t xml:space="preserve"> to develop and implement integrated universally designed public transport services.</w:t>
      </w:r>
    </w:p>
    <w:sectPr w:rsidR="00B14618" w:rsidRPr="00DE07B9">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21D6C" w14:textId="77777777" w:rsidR="00570F1E" w:rsidRDefault="00570F1E">
      <w:r>
        <w:separator/>
      </w:r>
    </w:p>
  </w:endnote>
  <w:endnote w:type="continuationSeparator" w:id="0">
    <w:p w14:paraId="5C6EC83B" w14:textId="77777777" w:rsidR="00570F1E" w:rsidRDefault="0057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Sans">
    <w:altName w:val="MS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6AD1" w14:textId="1A0B8CD2" w:rsidR="009C4D62" w:rsidRDefault="009C4D62">
    <w:pPr>
      <w:pStyle w:val="Footer"/>
    </w:pPr>
    <w:r>
      <w:tab/>
    </w:r>
    <w:r>
      <w:tab/>
    </w:r>
    <w:r>
      <w:fldChar w:fldCharType="begin"/>
    </w:r>
    <w:r>
      <w:instrText xml:space="preserve"> PAGE  \* Arabic  \* MERGEFORMAT </w:instrText>
    </w:r>
    <w:r>
      <w:fldChar w:fldCharType="separate"/>
    </w:r>
    <w:r w:rsidR="00A16E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D124" w14:textId="77777777" w:rsidR="00570F1E" w:rsidRDefault="00570F1E">
      <w:r>
        <w:separator/>
      </w:r>
    </w:p>
  </w:footnote>
  <w:footnote w:type="continuationSeparator" w:id="0">
    <w:p w14:paraId="684D0A8E" w14:textId="77777777" w:rsidR="00570F1E" w:rsidRDefault="00570F1E">
      <w:r>
        <w:continuationSeparator/>
      </w:r>
    </w:p>
  </w:footnote>
  <w:footnote w:id="1">
    <w:p w14:paraId="4FB2C557" w14:textId="77777777" w:rsidR="007D5137" w:rsidRPr="00D341C8" w:rsidRDefault="007D5137" w:rsidP="007D5137">
      <w:pPr>
        <w:pStyle w:val="FootnoteText"/>
        <w:rPr>
          <w:sz w:val="20"/>
        </w:rPr>
      </w:pPr>
      <w:r>
        <w:rPr>
          <w:rStyle w:val="FootnoteReference"/>
        </w:rPr>
        <w:footnoteRef/>
      </w:r>
      <w:r>
        <w:t xml:space="preserve"> </w:t>
      </w:r>
      <w:r w:rsidRPr="00D341C8">
        <w:rPr>
          <w:rFonts w:eastAsia="SimSun" w:cs="GillSans"/>
          <w:sz w:val="20"/>
          <w:lang w:eastAsia="en-IE"/>
        </w:rPr>
        <w:t>National Disability Survey (2006) Vol. 2, Table 7.30</w:t>
      </w:r>
    </w:p>
  </w:footnote>
  <w:footnote w:id="2">
    <w:p w14:paraId="18497486" w14:textId="77777777" w:rsidR="007D5137" w:rsidRPr="001D4CE2" w:rsidRDefault="007D5137" w:rsidP="007D5137">
      <w:pPr>
        <w:pStyle w:val="FootnoteText"/>
        <w:rPr>
          <w:sz w:val="20"/>
        </w:rPr>
      </w:pPr>
      <w:r w:rsidRPr="00D341C8">
        <w:rPr>
          <w:rStyle w:val="FootnoteReference"/>
          <w:sz w:val="20"/>
        </w:rPr>
        <w:footnoteRef/>
      </w:r>
      <w:r w:rsidRPr="00D341C8">
        <w:rPr>
          <w:sz w:val="20"/>
        </w:rPr>
        <w:t xml:space="preserve"> </w:t>
      </w:r>
      <w:r w:rsidRPr="00D341C8">
        <w:rPr>
          <w:rFonts w:eastAsia="SimSun" w:cs="GillSans"/>
          <w:sz w:val="20"/>
          <w:lang w:eastAsia="en-IE"/>
        </w:rPr>
        <w:t>National Disability Survey (2006) Vol. 2, Table 7.30</w:t>
      </w:r>
    </w:p>
  </w:footnote>
  <w:footnote w:id="3">
    <w:p w14:paraId="1A842308" w14:textId="77777777" w:rsidR="00DB4CF6" w:rsidRDefault="00DB4CF6" w:rsidP="00DB4CF6">
      <w:pPr>
        <w:pStyle w:val="FootnoteText"/>
      </w:pPr>
      <w:r>
        <w:rPr>
          <w:rStyle w:val="FootnoteReference"/>
        </w:rPr>
        <w:footnoteRef/>
      </w:r>
      <w:r>
        <w:t xml:space="preserve"> </w:t>
      </w:r>
      <w:r>
        <w:rPr>
          <w:szCs w:val="22"/>
        </w:rPr>
        <w:t xml:space="preserve">http://www.justice.ie/en/JELR/20120305%20DIA%20Guidelines.pdf/Files/20120305%20DIA%20Guidelines.pdf </w:t>
      </w:r>
      <w:r>
        <w:t xml:space="preserve"> </w:t>
      </w:r>
    </w:p>
  </w:footnote>
  <w:footnote w:id="4">
    <w:p w14:paraId="710977E2" w14:textId="77777777" w:rsidR="002F192E" w:rsidRDefault="002F192E" w:rsidP="002F192E">
      <w:pPr>
        <w:pStyle w:val="FootnoteText"/>
      </w:pPr>
      <w:r>
        <w:rPr>
          <w:rStyle w:val="FootnoteReference"/>
        </w:rPr>
        <w:footnoteRef/>
      </w:r>
      <w:r>
        <w:t xml:space="preserve"> </w:t>
      </w:r>
      <w:r w:rsidRPr="00FD6368">
        <w:t>http://universaldesign.ie/products-services/customer-communications-toolkit-for-the-public-service-a-universal-design-approach/</w:t>
      </w:r>
    </w:p>
  </w:footnote>
  <w:footnote w:id="5">
    <w:p w14:paraId="4B3964D8" w14:textId="77777777" w:rsidR="0024367A" w:rsidRDefault="0024367A">
      <w:pPr>
        <w:pStyle w:val="FootnoteText"/>
      </w:pPr>
      <w:r>
        <w:rPr>
          <w:rStyle w:val="FootnoteReference"/>
        </w:rPr>
        <w:footnoteRef/>
      </w:r>
      <w:r>
        <w:t xml:space="preserve"> </w:t>
      </w:r>
      <w:r w:rsidRPr="0024367A">
        <w:t>http://www.jctconsultancy.co.uk/Symposium/Symposium2018/PapersForDownload/CYCLOPS%20Creating%20Protected%20Junctions%20-%20Richard%20Butler%20Jonathan%20Salter%20Dave%20Stevens%20TFGM.pdf</w:t>
      </w:r>
    </w:p>
  </w:footnote>
  <w:footnote w:id="6">
    <w:p w14:paraId="73DEA09C" w14:textId="77777777" w:rsidR="0024367A" w:rsidRDefault="0024367A">
      <w:pPr>
        <w:pStyle w:val="FootnoteText"/>
      </w:pPr>
      <w:r>
        <w:rPr>
          <w:rStyle w:val="FootnoteReference"/>
        </w:rPr>
        <w:footnoteRef/>
      </w:r>
      <w:r>
        <w:t xml:space="preserve"> </w:t>
      </w:r>
      <w:r w:rsidRPr="0024367A">
        <w:t>https://walksf.org/wp-content/uploads/2019/12/getting-to-the-curb-report-final-walk-sf-2019.pdf</w:t>
      </w:r>
    </w:p>
  </w:footnote>
  <w:footnote w:id="7">
    <w:p w14:paraId="3EC48153" w14:textId="77777777" w:rsidR="00BA6CDA" w:rsidRDefault="00BA6CDA">
      <w:pPr>
        <w:pStyle w:val="FootnoteText"/>
      </w:pPr>
      <w:r>
        <w:rPr>
          <w:rStyle w:val="FootnoteReference"/>
        </w:rPr>
        <w:footnoteRef/>
      </w:r>
      <w:r>
        <w:t xml:space="preserve"> </w:t>
      </w:r>
      <w:r w:rsidRPr="00BA6CDA">
        <w:t>https://wheelsforwellbeing.org.uk/wp-content/uploads/2019/06/FINAL.pdf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4F27" w14:textId="742CF204" w:rsidR="00B6454D" w:rsidRDefault="00B64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9B17735"/>
    <w:multiLevelType w:val="hybridMultilevel"/>
    <w:tmpl w:val="610ECBA0"/>
    <w:lvl w:ilvl="0" w:tplc="E85A77CC">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4C716E4"/>
    <w:multiLevelType w:val="hybridMultilevel"/>
    <w:tmpl w:val="7CC89654"/>
    <w:lvl w:ilvl="0" w:tplc="B86C9D5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BB7083"/>
    <w:multiLevelType w:val="hybridMultilevel"/>
    <w:tmpl w:val="D90C1DDE"/>
    <w:lvl w:ilvl="0" w:tplc="076AAB8E">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1E"/>
    <w:rsid w:val="000025D2"/>
    <w:rsid w:val="00015B94"/>
    <w:rsid w:val="00033A8A"/>
    <w:rsid w:val="00076069"/>
    <w:rsid w:val="000C76B9"/>
    <w:rsid w:val="00123A45"/>
    <w:rsid w:val="00136D7A"/>
    <w:rsid w:val="00147ADA"/>
    <w:rsid w:val="00181FE6"/>
    <w:rsid w:val="001A66DE"/>
    <w:rsid w:val="001B30DC"/>
    <w:rsid w:val="001E3FA1"/>
    <w:rsid w:val="0024367A"/>
    <w:rsid w:val="00267C02"/>
    <w:rsid w:val="0027218D"/>
    <w:rsid w:val="00287B8E"/>
    <w:rsid w:val="0029179A"/>
    <w:rsid w:val="002A3A09"/>
    <w:rsid w:val="002B2EFD"/>
    <w:rsid w:val="002E08D8"/>
    <w:rsid w:val="002F192E"/>
    <w:rsid w:val="002F446F"/>
    <w:rsid w:val="00311671"/>
    <w:rsid w:val="00321B73"/>
    <w:rsid w:val="0033012C"/>
    <w:rsid w:val="003301C9"/>
    <w:rsid w:val="00363F91"/>
    <w:rsid w:val="003A44C8"/>
    <w:rsid w:val="003B10EC"/>
    <w:rsid w:val="003E0EC2"/>
    <w:rsid w:val="00424F21"/>
    <w:rsid w:val="0043177E"/>
    <w:rsid w:val="00436FA2"/>
    <w:rsid w:val="00462BBB"/>
    <w:rsid w:val="00467F78"/>
    <w:rsid w:val="004934C9"/>
    <w:rsid w:val="0049798C"/>
    <w:rsid w:val="004C5836"/>
    <w:rsid w:val="005206E4"/>
    <w:rsid w:val="00520977"/>
    <w:rsid w:val="00551EBE"/>
    <w:rsid w:val="00570F1E"/>
    <w:rsid w:val="005817DE"/>
    <w:rsid w:val="005A495F"/>
    <w:rsid w:val="005C5101"/>
    <w:rsid w:val="00603FEA"/>
    <w:rsid w:val="00632BC9"/>
    <w:rsid w:val="006349ED"/>
    <w:rsid w:val="00684132"/>
    <w:rsid w:val="00685074"/>
    <w:rsid w:val="00696659"/>
    <w:rsid w:val="006A0344"/>
    <w:rsid w:val="006A5106"/>
    <w:rsid w:val="006C1F5C"/>
    <w:rsid w:val="006D5613"/>
    <w:rsid w:val="006D6612"/>
    <w:rsid w:val="00712334"/>
    <w:rsid w:val="00717250"/>
    <w:rsid w:val="00740462"/>
    <w:rsid w:val="00763276"/>
    <w:rsid w:val="00774E7C"/>
    <w:rsid w:val="007A2E54"/>
    <w:rsid w:val="007B10D5"/>
    <w:rsid w:val="007B6E59"/>
    <w:rsid w:val="007C1D90"/>
    <w:rsid w:val="007D5137"/>
    <w:rsid w:val="00831FA1"/>
    <w:rsid w:val="00832B65"/>
    <w:rsid w:val="00844A5D"/>
    <w:rsid w:val="00844E96"/>
    <w:rsid w:val="0089481A"/>
    <w:rsid w:val="008C30EC"/>
    <w:rsid w:val="008C4994"/>
    <w:rsid w:val="008F29EC"/>
    <w:rsid w:val="00962EBF"/>
    <w:rsid w:val="009948E8"/>
    <w:rsid w:val="009C3BD7"/>
    <w:rsid w:val="009C4D62"/>
    <w:rsid w:val="009C6094"/>
    <w:rsid w:val="009D399F"/>
    <w:rsid w:val="00A03D87"/>
    <w:rsid w:val="00A05270"/>
    <w:rsid w:val="00A071ED"/>
    <w:rsid w:val="00A16E58"/>
    <w:rsid w:val="00A24FA5"/>
    <w:rsid w:val="00A268FD"/>
    <w:rsid w:val="00A41B5A"/>
    <w:rsid w:val="00A917C2"/>
    <w:rsid w:val="00AA13F1"/>
    <w:rsid w:val="00AF15C5"/>
    <w:rsid w:val="00B06C6C"/>
    <w:rsid w:val="00B14618"/>
    <w:rsid w:val="00B1753C"/>
    <w:rsid w:val="00B30DDD"/>
    <w:rsid w:val="00B34908"/>
    <w:rsid w:val="00B43DFF"/>
    <w:rsid w:val="00B44D19"/>
    <w:rsid w:val="00B51DA4"/>
    <w:rsid w:val="00B56FC1"/>
    <w:rsid w:val="00B6454D"/>
    <w:rsid w:val="00B74776"/>
    <w:rsid w:val="00B75646"/>
    <w:rsid w:val="00B75E9C"/>
    <w:rsid w:val="00B76547"/>
    <w:rsid w:val="00BA1E17"/>
    <w:rsid w:val="00BA2579"/>
    <w:rsid w:val="00BA524F"/>
    <w:rsid w:val="00BA6CDA"/>
    <w:rsid w:val="00BB39BF"/>
    <w:rsid w:val="00BB7E7D"/>
    <w:rsid w:val="00BC5940"/>
    <w:rsid w:val="00BC74C2"/>
    <w:rsid w:val="00BC7D68"/>
    <w:rsid w:val="00BE3DCC"/>
    <w:rsid w:val="00BE7FEC"/>
    <w:rsid w:val="00C154AE"/>
    <w:rsid w:val="00C1745B"/>
    <w:rsid w:val="00C2396A"/>
    <w:rsid w:val="00C36E65"/>
    <w:rsid w:val="00C43672"/>
    <w:rsid w:val="00C62883"/>
    <w:rsid w:val="00C641E6"/>
    <w:rsid w:val="00C839E4"/>
    <w:rsid w:val="00C867C9"/>
    <w:rsid w:val="00CB0902"/>
    <w:rsid w:val="00CB777C"/>
    <w:rsid w:val="00CC7458"/>
    <w:rsid w:val="00CD66EC"/>
    <w:rsid w:val="00CE3152"/>
    <w:rsid w:val="00D20895"/>
    <w:rsid w:val="00D213AC"/>
    <w:rsid w:val="00D46905"/>
    <w:rsid w:val="00D546AB"/>
    <w:rsid w:val="00D70522"/>
    <w:rsid w:val="00D84BCE"/>
    <w:rsid w:val="00D855C4"/>
    <w:rsid w:val="00D93598"/>
    <w:rsid w:val="00D97405"/>
    <w:rsid w:val="00DA3645"/>
    <w:rsid w:val="00DB4CF6"/>
    <w:rsid w:val="00DE07B9"/>
    <w:rsid w:val="00DF00F3"/>
    <w:rsid w:val="00E0260F"/>
    <w:rsid w:val="00E80A4E"/>
    <w:rsid w:val="00EA07BA"/>
    <w:rsid w:val="00EC0880"/>
    <w:rsid w:val="00EE0BE6"/>
    <w:rsid w:val="00EE3DF9"/>
    <w:rsid w:val="00EE622A"/>
    <w:rsid w:val="00F26AB7"/>
    <w:rsid w:val="00F275BE"/>
    <w:rsid w:val="00F351D6"/>
    <w:rsid w:val="00F716B8"/>
    <w:rsid w:val="00F71FE1"/>
    <w:rsid w:val="00F81E40"/>
    <w:rsid w:val="00F84C90"/>
    <w:rsid w:val="00F856D4"/>
    <w:rsid w:val="00FB2081"/>
    <w:rsid w:val="00FD63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D01FE"/>
  <w15:chartTrackingRefBased/>
  <w15:docId w15:val="{38DADABE-A5C4-4B45-9A05-A58E9CB1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 Char,Footnote Text Char1 Char Char,Footnote Text Char Char Char Char,Footnote Text Char Char Char Char Char Char Char Char,Footnote Text Char Char1,Schriftart: 9 pt,Schriftart: 10,f"/>
    <w:basedOn w:val="Normal"/>
    <w:link w:val="FootnoteTextChar"/>
    <w:uiPriority w:val="99"/>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570F1E"/>
    <w:pPr>
      <w:autoSpaceDE w:val="0"/>
      <w:autoSpaceDN w:val="0"/>
      <w:adjustRightInd w:val="0"/>
    </w:pPr>
    <w:rPr>
      <w:rFonts w:ascii="Gill Sans MT" w:eastAsia="Times New Roman" w:hAnsi="Gill Sans MT" w:cs="Gill Sans MT"/>
      <w:color w:val="000000"/>
      <w:sz w:val="24"/>
      <w:szCs w:val="24"/>
      <w:lang w:eastAsia="en-US"/>
    </w:rPr>
  </w:style>
  <w:style w:type="character" w:customStyle="1" w:styleId="FootnoteTextChar">
    <w:name w:val="Footnote Text Char"/>
    <w:aliases w:val="Footnote Text Char Char Char,Footnote Text Char1 Char Char Char,Footnote Text Char Char Char Char Char,Footnote Text Char Char Char Char Char Char Char Char Char,Footnote Text Char Char1 Char,Schriftart: 9 pt Char,Schriftart: 10 Char"/>
    <w:link w:val="FootnoteText"/>
    <w:uiPriority w:val="99"/>
    <w:semiHidden/>
    <w:rsid w:val="00570F1E"/>
    <w:rPr>
      <w:rFonts w:ascii="Gill Sans MT" w:eastAsia="Times New Roman" w:hAnsi="Gill Sans MT"/>
      <w:sz w:val="22"/>
      <w:lang w:eastAsia="en-US"/>
    </w:rPr>
  </w:style>
  <w:style w:type="character" w:styleId="CommentReference">
    <w:name w:val="annotation reference"/>
    <w:basedOn w:val="DefaultParagraphFont"/>
    <w:rsid w:val="006C1F5C"/>
    <w:rPr>
      <w:sz w:val="16"/>
      <w:szCs w:val="16"/>
    </w:rPr>
  </w:style>
  <w:style w:type="paragraph" w:styleId="CommentSubject">
    <w:name w:val="annotation subject"/>
    <w:basedOn w:val="CommentText"/>
    <w:next w:val="CommentText"/>
    <w:link w:val="CommentSubjectChar"/>
    <w:rsid w:val="006C1F5C"/>
    <w:rPr>
      <w:rFonts w:ascii="Gill Sans MT" w:hAnsi="Gill Sans MT"/>
      <w:b/>
      <w:bCs/>
      <w:szCs w:val="20"/>
      <w:lang w:val="en-IE"/>
    </w:rPr>
  </w:style>
  <w:style w:type="character" w:customStyle="1" w:styleId="CommentSubjectChar">
    <w:name w:val="Comment Subject Char"/>
    <w:basedOn w:val="CommentTextChar"/>
    <w:link w:val="CommentSubject"/>
    <w:rsid w:val="006C1F5C"/>
    <w:rPr>
      <w:rFonts w:ascii="Gill Sans MT" w:eastAsia="Times New Roman" w:hAnsi="Gill Sans MT"/>
      <w:b/>
      <w:bCs/>
      <w:szCs w:val="24"/>
      <w:lang w:eastAsia="en-US"/>
    </w:rPr>
  </w:style>
  <w:style w:type="paragraph" w:styleId="BalloonText">
    <w:name w:val="Balloon Text"/>
    <w:basedOn w:val="Normal"/>
    <w:link w:val="BalloonTextChar"/>
    <w:rsid w:val="006C1F5C"/>
    <w:pPr>
      <w:spacing w:after="0"/>
    </w:pPr>
    <w:rPr>
      <w:rFonts w:ascii="Segoe UI" w:hAnsi="Segoe UI" w:cs="Segoe UI"/>
      <w:sz w:val="18"/>
      <w:szCs w:val="18"/>
    </w:rPr>
  </w:style>
  <w:style w:type="character" w:customStyle="1" w:styleId="BalloonTextChar">
    <w:name w:val="Balloon Text Char"/>
    <w:basedOn w:val="DefaultParagraphFont"/>
    <w:link w:val="BalloonText"/>
    <w:rsid w:val="006C1F5C"/>
    <w:rPr>
      <w:rFonts w:ascii="Segoe UI" w:eastAsia="Times New Roman" w:hAnsi="Segoe UI" w:cs="Segoe UI"/>
      <w:sz w:val="18"/>
      <w:szCs w:val="18"/>
      <w:lang w:eastAsia="en-US"/>
    </w:rPr>
  </w:style>
  <w:style w:type="paragraph" w:styleId="ListParagraph">
    <w:name w:val="List Paragraph"/>
    <w:basedOn w:val="Normal"/>
    <w:uiPriority w:val="34"/>
    <w:qFormat/>
    <w:rsid w:val="005A495F"/>
    <w:pPr>
      <w:spacing w:after="0"/>
      <w:ind w:left="720"/>
    </w:pPr>
    <w:rPr>
      <w:rFonts w:ascii="Times New Roman" w:eastAsiaTheme="minorHAnsi" w:hAnsi="Times New Roman"/>
      <w:sz w:val="24"/>
      <w:lang w:eastAsia="en-IE"/>
    </w:rPr>
  </w:style>
  <w:style w:type="paragraph" w:styleId="NormalWeb">
    <w:name w:val="Normal (Web)"/>
    <w:basedOn w:val="Normal"/>
    <w:uiPriority w:val="99"/>
    <w:unhideWhenUsed/>
    <w:rsid w:val="00BA524F"/>
    <w:pPr>
      <w:spacing w:before="100" w:beforeAutospacing="1" w:after="100" w:afterAutospacing="1"/>
    </w:pPr>
    <w:rPr>
      <w:rFonts w:ascii="Times New Roman" w:eastAsiaTheme="minorHAns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3119">
      <w:bodyDiv w:val="1"/>
      <w:marLeft w:val="0"/>
      <w:marRight w:val="0"/>
      <w:marTop w:val="0"/>
      <w:marBottom w:val="0"/>
      <w:divBdr>
        <w:top w:val="none" w:sz="0" w:space="0" w:color="auto"/>
        <w:left w:val="none" w:sz="0" w:space="0" w:color="auto"/>
        <w:bottom w:val="none" w:sz="0" w:space="0" w:color="auto"/>
        <w:right w:val="none" w:sz="0" w:space="0" w:color="auto"/>
      </w:divBdr>
    </w:div>
    <w:div w:id="178545659">
      <w:bodyDiv w:val="1"/>
      <w:marLeft w:val="0"/>
      <w:marRight w:val="0"/>
      <w:marTop w:val="0"/>
      <w:marBottom w:val="0"/>
      <w:divBdr>
        <w:top w:val="none" w:sz="0" w:space="0" w:color="auto"/>
        <w:left w:val="none" w:sz="0" w:space="0" w:color="auto"/>
        <w:bottom w:val="none" w:sz="0" w:space="0" w:color="auto"/>
        <w:right w:val="none" w:sz="0" w:space="0" w:color="auto"/>
      </w:divBdr>
    </w:div>
    <w:div w:id="522482378">
      <w:bodyDiv w:val="1"/>
      <w:marLeft w:val="0"/>
      <w:marRight w:val="0"/>
      <w:marTop w:val="0"/>
      <w:marBottom w:val="0"/>
      <w:divBdr>
        <w:top w:val="none" w:sz="0" w:space="0" w:color="auto"/>
        <w:left w:val="none" w:sz="0" w:space="0" w:color="auto"/>
        <w:bottom w:val="none" w:sz="0" w:space="0" w:color="auto"/>
        <w:right w:val="none" w:sz="0" w:space="0" w:color="auto"/>
      </w:divBdr>
    </w:div>
    <w:div w:id="615065041">
      <w:bodyDiv w:val="1"/>
      <w:marLeft w:val="0"/>
      <w:marRight w:val="0"/>
      <w:marTop w:val="0"/>
      <w:marBottom w:val="0"/>
      <w:divBdr>
        <w:top w:val="none" w:sz="0" w:space="0" w:color="auto"/>
        <w:left w:val="none" w:sz="0" w:space="0" w:color="auto"/>
        <w:bottom w:val="none" w:sz="0" w:space="0" w:color="auto"/>
        <w:right w:val="none" w:sz="0" w:space="0" w:color="auto"/>
      </w:divBdr>
    </w:div>
    <w:div w:id="1088191690">
      <w:bodyDiv w:val="1"/>
      <w:marLeft w:val="0"/>
      <w:marRight w:val="0"/>
      <w:marTop w:val="0"/>
      <w:marBottom w:val="0"/>
      <w:divBdr>
        <w:top w:val="none" w:sz="0" w:space="0" w:color="auto"/>
        <w:left w:val="none" w:sz="0" w:space="0" w:color="auto"/>
        <w:bottom w:val="none" w:sz="0" w:space="0" w:color="auto"/>
        <w:right w:val="none" w:sz="0" w:space="0" w:color="auto"/>
      </w:divBdr>
    </w:div>
    <w:div w:id="1654673400">
      <w:bodyDiv w:val="1"/>
      <w:marLeft w:val="0"/>
      <w:marRight w:val="0"/>
      <w:marTop w:val="0"/>
      <w:marBottom w:val="0"/>
      <w:divBdr>
        <w:top w:val="none" w:sz="0" w:space="0" w:color="auto"/>
        <w:left w:val="none" w:sz="0" w:space="0" w:color="auto"/>
        <w:bottom w:val="none" w:sz="0" w:space="0" w:color="auto"/>
        <w:right w:val="none" w:sz="0" w:space="0" w:color="auto"/>
      </w:divBdr>
    </w:div>
    <w:div w:id="1734040920">
      <w:bodyDiv w:val="1"/>
      <w:marLeft w:val="0"/>
      <w:marRight w:val="0"/>
      <w:marTop w:val="0"/>
      <w:marBottom w:val="0"/>
      <w:divBdr>
        <w:top w:val="none" w:sz="0" w:space="0" w:color="auto"/>
        <w:left w:val="none" w:sz="0" w:space="0" w:color="auto"/>
        <w:bottom w:val="none" w:sz="0" w:space="0" w:color="auto"/>
        <w:right w:val="none" w:sz="0" w:space="0" w:color="auto"/>
      </w:divBdr>
    </w:div>
    <w:div w:id="19507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lksf.org/wp-content/uploads/2019/12/getting-to-the-curb-report-final-walk-sf-20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tconsultancy.co.uk/Symposium/Symposium2018/PapersForDownload/CYCLOPS%20Creating%20Protected%20Junctions%20-%20Richard%20Butler%20Jonathan%20Salter%20Dave%20Stevens%20TFG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5" Type="http://schemas.openxmlformats.org/officeDocument/2006/relationships/webSettings" Target="webSettings.xml"/><Relationship Id="rId15" Type="http://schemas.openxmlformats.org/officeDocument/2006/relationships/hyperlink" Target="https://wheelsforwellbeing.org.uk/wp-content/uploads/2020/12/FC_WfW-Inclusive-Guide_FINAL_V03.pdf" TargetMode="External"/><Relationship Id="rId10" Type="http://schemas.openxmlformats.org/officeDocument/2006/relationships/hyperlink" Target="http://www.justice.ie/en/JELR/20120305%20DIA%20Guidelines.pdf/Files/20120305%20DIA%20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www.jctconsultancy.co.uk/Symposium/Symposium2018/PapersForDownload/CYCLOPS%20Creating%20Protected%20Junctions%20-%20Richard%20Butler%20Jonathan%20Salter%20Dave%20Stevens%20TFG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68161-E291-4A72-B0D7-DC20C31C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4</Pages>
  <Words>1184</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 Tallant</dc:creator>
  <cp:keywords/>
  <cp:lastModifiedBy>Heather C. O'Leary</cp:lastModifiedBy>
  <cp:revision>2</cp:revision>
  <cp:lastPrinted>2021-01-22T16:14:00Z</cp:lastPrinted>
  <dcterms:created xsi:type="dcterms:W3CDTF">2023-06-14T10:38:00Z</dcterms:created>
  <dcterms:modified xsi:type="dcterms:W3CDTF">2023-06-14T10:38:00Z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1427672398</vt:i4>
  </property>
</Properties>
</file>