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061C" w14:textId="71DB27D4" w:rsidR="004838F4" w:rsidRDefault="00AE3E60" w:rsidP="00AE3E60">
      <w:pPr>
        <w:pStyle w:val="Title"/>
      </w:pPr>
      <w:r>
        <w:t>National Disability Authority response to consultation on p</w:t>
      </w:r>
      <w:r w:rsidRPr="00AE3E60">
        <w:t>roposed changes to existing classes of exempted development or</w:t>
      </w:r>
      <w:r>
        <w:t xml:space="preserve"> </w:t>
      </w:r>
      <w:r w:rsidRPr="00AE3E60">
        <w:t>introduction of new classes</w:t>
      </w:r>
    </w:p>
    <w:p w14:paraId="08F3E753" w14:textId="15623797" w:rsidR="009D1C58" w:rsidRDefault="00AE3E60" w:rsidP="009D1C58">
      <w:r w:rsidRPr="00AE3E60">
        <w:rPr>
          <w:b/>
          <w:bCs/>
        </w:rPr>
        <w:t>Note:</w:t>
      </w:r>
      <w:r>
        <w:t xml:space="preserve"> </w:t>
      </w:r>
      <w:r w:rsidR="009D1C58">
        <w:t>This submission was made via the</w:t>
      </w:r>
      <w:r>
        <w:t xml:space="preserve"> Department of Housing</w:t>
      </w:r>
      <w:r w:rsidR="009D1C58">
        <w:t xml:space="preserve">’s </w:t>
      </w:r>
      <w:r>
        <w:t>new consultation portal</w:t>
      </w:r>
      <w:r w:rsidR="009D1C58">
        <w:t>.</w:t>
      </w:r>
    </w:p>
    <w:p w14:paraId="4537FFAF" w14:textId="4AE331A2" w:rsidR="00D748B3" w:rsidRDefault="006C6861" w:rsidP="009D1C58">
      <w:pPr>
        <w:pStyle w:val="Heading2"/>
      </w:pPr>
      <w:r>
        <w:t>Domestic Exemptions</w:t>
      </w:r>
    </w:p>
    <w:p w14:paraId="58BD8E32" w14:textId="19682051" w:rsidR="004D6674" w:rsidRDefault="004D6674" w:rsidP="004D6674">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 xml:space="preserve">and to promote </w:t>
      </w:r>
      <w:r w:rsidR="00AF7E69" w:rsidRPr="00AF7E69">
        <w:t>adoption and application of a Universal Design approach across all sectors</w:t>
      </w:r>
      <w:r>
        <w:t xml:space="preserve">. In this submission, we are focussing on aspects of the </w:t>
      </w:r>
      <w:r w:rsidR="005C4560">
        <w:t>consultation</w:t>
      </w:r>
      <w:r w:rsidR="001170A7">
        <w:t xml:space="preserve"> </w:t>
      </w:r>
      <w:r>
        <w:t>related to universal design and accessibility</w:t>
      </w:r>
      <w:r w:rsidR="00035B2E">
        <w:t>, and how the proposals may impact on disabled and older people and their families.</w:t>
      </w:r>
    </w:p>
    <w:p w14:paraId="34A6C712" w14:textId="77777777" w:rsidR="00B16DE4" w:rsidRDefault="00B16DE4" w:rsidP="00B16DE4">
      <w:pPr>
        <w:pStyle w:val="Heading2"/>
      </w:pPr>
      <w:r>
        <w:t>Residential – domestic extensions / minor works</w:t>
      </w:r>
    </w:p>
    <w:p w14:paraId="3D8037A4" w14:textId="75DDE2FE" w:rsidR="004D6674" w:rsidRDefault="004D6674" w:rsidP="004D6674">
      <w:pPr>
        <w:spacing w:after="120"/>
      </w:pPr>
      <w:r>
        <w:t>In relation to the propos</w:t>
      </w:r>
      <w:r w:rsidR="006E5C7D">
        <w:t>al</w:t>
      </w:r>
      <w:r>
        <w:t xml:space="preserve"> to exempt “m</w:t>
      </w:r>
      <w:r w:rsidRPr="004D6674">
        <w:t>inor external alterations to dwellings subject to the formulation of appropriate</w:t>
      </w:r>
      <w:r>
        <w:t xml:space="preserve"> </w:t>
      </w:r>
      <w:r w:rsidRPr="004D6674">
        <w:t>size limitations to allow for</w:t>
      </w:r>
      <w:r>
        <w:t xml:space="preserve"> b</w:t>
      </w:r>
      <w:r w:rsidRPr="004D6674">
        <w:t>ike storage, bin storage or any similar size structures to the front</w:t>
      </w:r>
      <w:r>
        <w:t xml:space="preserve">”, we note that equipment related to disability </w:t>
      </w:r>
      <w:r w:rsidR="001170A7">
        <w:t xml:space="preserve">and ageing </w:t>
      </w:r>
      <w:r>
        <w:t xml:space="preserve">should be considered within this category. Some disabled people may use tricycles that are too wide to fit down a typical side passage and may need storage in their front garden. In addition, some </w:t>
      </w:r>
      <w:r w:rsidR="001170A7">
        <w:t xml:space="preserve">older and </w:t>
      </w:r>
      <w:r>
        <w:t xml:space="preserve">disabled people may use </w:t>
      </w:r>
      <w:r w:rsidR="00AE5438">
        <w:t xml:space="preserve">mobility scooters or </w:t>
      </w:r>
      <w:r>
        <w:t xml:space="preserve">powered wheelchairs when moving about the external </w:t>
      </w:r>
      <w:proofErr w:type="gramStart"/>
      <w:r>
        <w:t>environment, but</w:t>
      </w:r>
      <w:proofErr w:type="gramEnd"/>
      <w:r>
        <w:t xml:space="preserve"> may </w:t>
      </w:r>
      <w:r w:rsidR="00AE5438">
        <w:t>use different mobility devices within the home.</w:t>
      </w:r>
      <w:r>
        <w:t xml:space="preserve"> Storage may be required for a </w:t>
      </w:r>
      <w:r w:rsidR="00AE5438">
        <w:t xml:space="preserve">mobility scooter or </w:t>
      </w:r>
      <w:r>
        <w:t>powered wheelchair externally</w:t>
      </w:r>
      <w:r w:rsidR="00AE5438">
        <w:t xml:space="preserve"> and should be included in an</w:t>
      </w:r>
      <w:r w:rsidR="001170A7">
        <w:t>y</w:t>
      </w:r>
      <w:r w:rsidR="00AE5438">
        <w:t xml:space="preserve"> exempted development category</w:t>
      </w:r>
      <w:r w:rsidR="001170A7">
        <w:t xml:space="preserve"> in this section</w:t>
      </w:r>
      <w:r w:rsidR="00AE3E60">
        <w:t xml:space="preserve">. </w:t>
      </w:r>
    </w:p>
    <w:p w14:paraId="4D7A9574" w14:textId="58073D0F" w:rsidR="002D7042" w:rsidRDefault="002D7042" w:rsidP="004D6674">
      <w:pPr>
        <w:spacing w:after="120"/>
      </w:pPr>
      <w:r>
        <w:t>In addition, minor works to improve the accessibility of a dwelling should be considered for exempted development. This could include</w:t>
      </w:r>
      <w:r w:rsidR="002D642A">
        <w:t>,</w:t>
      </w:r>
      <w:r>
        <w:t xml:space="preserve"> for example</w:t>
      </w:r>
      <w:r w:rsidR="002D642A">
        <w:t>,</w:t>
      </w:r>
      <w:r>
        <w:t xml:space="preserve"> </w:t>
      </w:r>
      <w:r w:rsidR="00593417">
        <w:t xml:space="preserve">the </w:t>
      </w:r>
      <w:r>
        <w:t xml:space="preserve">addition of a ramp </w:t>
      </w:r>
      <w:r w:rsidR="00593417">
        <w:t>at</w:t>
      </w:r>
      <w:r>
        <w:t xml:space="preserve"> the entrance to a dwelling where it can be provided on curtilage, subject to maximum size considerations. Where an occupant acquires a disability and requires step-free access</w:t>
      </w:r>
      <w:r w:rsidR="00593417">
        <w:t xml:space="preserve"> to their home</w:t>
      </w:r>
      <w:r>
        <w:t xml:space="preserve">, the time needed for planning permission could be a barrier </w:t>
      </w:r>
      <w:r w:rsidR="00AB54CD">
        <w:t>to returning home, for example following a hospital stay.</w:t>
      </w:r>
    </w:p>
    <w:p w14:paraId="18BAB781" w14:textId="4A7747A2" w:rsidR="00B16DE4" w:rsidRDefault="00B16DE4" w:rsidP="00B16DE4">
      <w:pPr>
        <w:pStyle w:val="Heading2"/>
      </w:pPr>
      <w:r>
        <w:t>Detached habitable accommodation and subdivision of dwellings</w:t>
      </w:r>
    </w:p>
    <w:p w14:paraId="1F56DBEE" w14:textId="44433F39" w:rsidR="001B5C68" w:rsidRPr="001B5C68" w:rsidRDefault="001B5C68" w:rsidP="00090564">
      <w:pPr>
        <w:pStyle w:val="Heading3"/>
      </w:pPr>
      <w:r>
        <w:t>Detached habitable accommodation</w:t>
      </w:r>
    </w:p>
    <w:p w14:paraId="57587694" w14:textId="1A573C01" w:rsidR="00AF2C23" w:rsidRDefault="006E5C7D" w:rsidP="00AF2C23">
      <w:r>
        <w:t xml:space="preserve">In relation to the proposal to exempt a detached habitable accommodation unit to the rear of a dwelling within its curtilage, </w:t>
      </w:r>
      <w:r w:rsidR="00B16DE4">
        <w:t xml:space="preserve">the NDA advises that consideration should be given to accessibility and universal </w:t>
      </w:r>
      <w:r w:rsidR="00B16DE4">
        <w:lastRenderedPageBreak/>
        <w:t>design</w:t>
      </w:r>
      <w:r w:rsidR="00B2799B">
        <w:t>. This is important where the subordinate dwelling may be used by an older or disabled family member who wishes to live independently but may need support from family members living in the main dwelling.</w:t>
      </w:r>
      <w:r w:rsidR="00AF2C23" w:rsidRPr="00AF2C23">
        <w:t xml:space="preserve"> </w:t>
      </w:r>
      <w:r w:rsidR="00AF2C23">
        <w:t>The additional space may be used in a range of different ways, depending on a family’s needs. For example, detached habitable accommodation may be useful for both an autistic individual and their family, by providing a quiet space separate from the main dwelling, but close to support if needed.</w:t>
      </w:r>
    </w:p>
    <w:p w14:paraId="0C2DC570" w14:textId="233D4A39" w:rsidR="00CD582A" w:rsidRDefault="00AB54CD" w:rsidP="006E5C7D">
      <w:r>
        <w:t>Government policy is to s</w:t>
      </w:r>
      <w:r w:rsidR="00AE5438">
        <w:t xml:space="preserve">upport </w:t>
      </w:r>
      <w:r w:rsidR="002D642A">
        <w:t xml:space="preserve">older </w:t>
      </w:r>
      <w:r w:rsidR="00AE5438">
        <w:t>people to remain living at home for as long as possible</w:t>
      </w:r>
      <w:r>
        <w:t xml:space="preserve"> and</w:t>
      </w:r>
      <w:r w:rsidR="00AE5438">
        <w:t xml:space="preserve"> is set out </w:t>
      </w:r>
      <w:r>
        <w:t xml:space="preserve">in </w:t>
      </w:r>
      <w:r w:rsidR="00AE5438">
        <w:t xml:space="preserve">the joint policy statement </w:t>
      </w:r>
      <w:hyperlink r:id="rId8" w:history="1">
        <w:r w:rsidR="00AE5438" w:rsidRPr="00AE5438">
          <w:rPr>
            <w:rStyle w:val="Hyperlink"/>
          </w:rPr>
          <w:t>Housing Options for our Ageing Population</w:t>
        </w:r>
      </w:hyperlink>
      <w:r w:rsidR="00AE5438">
        <w:t>.</w:t>
      </w:r>
      <w:r w:rsidR="00B2799B">
        <w:t xml:space="preserve"> </w:t>
      </w:r>
      <w:r w:rsidR="00035B2E">
        <w:t xml:space="preserve">Providing a detached subordinate dwelling or sub-dividing a dwelling can enable families to provide support to older or disabled family members while </w:t>
      </w:r>
      <w:r>
        <w:t xml:space="preserve">also </w:t>
      </w:r>
      <w:r w:rsidR="00035B2E">
        <w:t xml:space="preserve">providing them with privacy, independence and autonomy. </w:t>
      </w:r>
    </w:p>
    <w:p w14:paraId="61B07106" w14:textId="66F138A4" w:rsidR="006E5C7D" w:rsidRDefault="00B16DE4" w:rsidP="006E5C7D">
      <w:r>
        <w:t xml:space="preserve">Space is integral to </w:t>
      </w:r>
      <w:r w:rsidR="00B2799B">
        <w:t xml:space="preserve">achieving </w:t>
      </w:r>
      <w:r>
        <w:t>accessibility for a wide range of people, including people using mobility devices such as rollators and wheelchairs and neurodivergent people</w:t>
      </w:r>
      <w:r w:rsidR="00B2799B">
        <w:t xml:space="preserve">. </w:t>
      </w:r>
      <w:r w:rsidR="00AE5438">
        <w:t xml:space="preserve">The maximum size of a sub-ordinate dwelling should be considered </w:t>
      </w:r>
      <w:r w:rsidR="00035B2E">
        <w:t>with accessibility and Universal Design in mind.</w:t>
      </w:r>
      <w:r w:rsidR="00AE5438">
        <w:t xml:space="preserve"> </w:t>
      </w:r>
      <w:r w:rsidR="00204A3C">
        <w:t xml:space="preserve">The </w:t>
      </w:r>
      <w:hyperlink r:id="rId9" w:history="1">
        <w:r w:rsidR="00204A3C" w:rsidRPr="007E11DB">
          <w:rPr>
            <w:rStyle w:val="Hyperlink"/>
          </w:rPr>
          <w:t>Universal Design Guidelines for Homes in Ireland</w:t>
        </w:r>
      </w:hyperlink>
      <w:r w:rsidR="00204A3C">
        <w:t xml:space="preserve"> and </w:t>
      </w:r>
      <w:hyperlink r:id="rId10" w:history="1">
        <w:r w:rsidR="00204A3C" w:rsidRPr="007E11DB">
          <w:rPr>
            <w:rStyle w:val="Hyperlink"/>
          </w:rPr>
          <w:t>Internal Layout Checklist for Universal Design Homes</w:t>
        </w:r>
      </w:hyperlink>
      <w:r w:rsidR="00204A3C">
        <w:t xml:space="preserve">, (both available on </w:t>
      </w:r>
      <w:hyperlink r:id="rId11" w:history="1">
        <w:r w:rsidR="00204A3C" w:rsidRPr="00942C57">
          <w:rPr>
            <w:rStyle w:val="Hyperlink"/>
          </w:rPr>
          <w:t>www.universaldesign.ie</w:t>
        </w:r>
      </w:hyperlink>
      <w:r w:rsidR="00204A3C">
        <w:t>) provide guidance on two categories of Universal Desig</w:t>
      </w:r>
      <w:r w:rsidR="00AE5438">
        <w:t>n</w:t>
      </w:r>
      <w:r w:rsidR="00204A3C">
        <w:t xml:space="preserve"> in housing; UD Home and UD Home+ (wheelchair liveable). </w:t>
      </w:r>
      <w:r w:rsidR="00B2799B">
        <w:t xml:space="preserve">Typically, 50m </w:t>
      </w:r>
      <w:proofErr w:type="spellStart"/>
      <w:r w:rsidR="00B2799B">
        <w:t>sq.m</w:t>
      </w:r>
      <w:proofErr w:type="spellEnd"/>
      <w:r w:rsidR="00B2799B">
        <w:t xml:space="preserve">. is </w:t>
      </w:r>
      <w:r w:rsidR="00AE5438">
        <w:t xml:space="preserve">the minimum </w:t>
      </w:r>
      <w:r w:rsidR="00B2799B">
        <w:t xml:space="preserve">required to achieve Universal Design home level for a one-bedroom </w:t>
      </w:r>
      <w:r w:rsidR="00035B2E">
        <w:t>(</w:t>
      </w:r>
      <w:r w:rsidR="00B2799B">
        <w:t>open plan</w:t>
      </w:r>
      <w:r w:rsidR="00035B2E">
        <w:t>)</w:t>
      </w:r>
      <w:r w:rsidR="00B2799B">
        <w:t xml:space="preserve"> apartment</w:t>
      </w:r>
      <w:r w:rsidR="00AE5438">
        <w:t xml:space="preserve"> and a minimum of 55 sqm. is required for a UD Home+ one-bedroom apartment. The </w:t>
      </w:r>
      <w:r w:rsidR="00AB54CD">
        <w:t xml:space="preserve">Design Manual for Quality Housing provides examples of UD Home apartments which may be useful for reference. In addition, the </w:t>
      </w:r>
      <w:r w:rsidR="00AE5438">
        <w:t xml:space="preserve">Land Development Agency </w:t>
      </w:r>
      <w:hyperlink r:id="rId12" w:history="1">
        <w:r w:rsidR="00AE5438" w:rsidRPr="00AE5438">
          <w:rPr>
            <w:rStyle w:val="Hyperlink"/>
          </w:rPr>
          <w:t>Apartment Typology Booklet</w:t>
        </w:r>
      </w:hyperlink>
      <w:r w:rsidR="00AE5438">
        <w:t xml:space="preserve"> contains examples of UD Home and UD Home+ apartments</w:t>
      </w:r>
      <w:r w:rsidR="00AB54CD">
        <w:t>.</w:t>
      </w:r>
    </w:p>
    <w:p w14:paraId="37F10A02" w14:textId="1C424430" w:rsidR="001B5C68" w:rsidRPr="004065AB" w:rsidRDefault="001B5C68" w:rsidP="00090564">
      <w:pPr>
        <w:pStyle w:val="Heading3"/>
        <w:rPr>
          <w:color w:val="FF0000"/>
        </w:rPr>
      </w:pPr>
      <w:bookmarkStart w:id="0" w:name="_Hlk206665525"/>
      <w:bookmarkStart w:id="1" w:name="_Hlk206665339"/>
      <w:r>
        <w:t>Subdivision of dwelling houses</w:t>
      </w:r>
    </w:p>
    <w:p w14:paraId="12EFC2E5" w14:textId="7D1966FE" w:rsidR="0094511C" w:rsidRDefault="006E5C7D" w:rsidP="00A03260">
      <w:r>
        <w:t xml:space="preserve">In relation to the proposal to allow for subdivision of dwelling houses subject to certain criteria, </w:t>
      </w:r>
      <w:r w:rsidR="00204A3C">
        <w:t xml:space="preserve">the NDA </w:t>
      </w:r>
      <w:r w:rsidR="00FB0F35">
        <w:t>advises</w:t>
      </w:r>
      <w:r w:rsidR="00204A3C">
        <w:t xml:space="preserve"> that </w:t>
      </w:r>
      <w:r w:rsidR="00FB0F35">
        <w:t xml:space="preserve">formal </w:t>
      </w:r>
      <w:r w:rsidR="00204A3C">
        <w:t xml:space="preserve">subdivision of a dwelling is not always required </w:t>
      </w:r>
      <w:r w:rsidR="000F2A02">
        <w:t>for flexible home adaptations to support inter-generational living</w:t>
      </w:r>
      <w:r w:rsidR="00FB0F35">
        <w:t xml:space="preserve"> and arrangements that allow for family members to receive support, while maintaining a level of privacy and independence in the home</w:t>
      </w:r>
      <w:r w:rsidR="00A03260">
        <w:t>. For example. t</w:t>
      </w:r>
      <w:r w:rsidR="00204A3C">
        <w:t xml:space="preserve">he winner of the </w:t>
      </w:r>
      <w:hyperlink r:id="rId13" w:history="1">
        <w:r w:rsidR="00204A3C" w:rsidRPr="00AE5438">
          <w:rPr>
            <w:rStyle w:val="Hyperlink"/>
          </w:rPr>
          <w:t>Smart Ageing Universal Design Challenge</w:t>
        </w:r>
      </w:hyperlink>
      <w:r w:rsidR="00204A3C">
        <w:t>, Ava Housing, (previously the Abhaile project) is a model where an older homeowner is supported to reconfigure their family-sized home by creating an independent living area on the ground floor for the older occupant and a one-bedroomed rental accommodation upstairs. This model ensur</w:t>
      </w:r>
      <w:r w:rsidR="00FB0F35">
        <w:t>es</w:t>
      </w:r>
      <w:r w:rsidR="00204A3C">
        <w:t xml:space="preserve"> that the house is not formally sub-divided, therefore allowing the owner to avail of the rent-a-room scheme, and the house to </w:t>
      </w:r>
      <w:r w:rsidR="00982D90">
        <w:t xml:space="preserve">easily </w:t>
      </w:r>
      <w:proofErr w:type="gramStart"/>
      <w:r w:rsidR="00204A3C">
        <w:t>revert back</w:t>
      </w:r>
      <w:proofErr w:type="gramEnd"/>
      <w:r w:rsidR="00204A3C">
        <w:t xml:space="preserve"> to a family home in future. </w:t>
      </w:r>
      <w:bookmarkStart w:id="2" w:name="_Hlk206664505"/>
    </w:p>
    <w:p w14:paraId="52C63A31" w14:textId="3A13CEE5" w:rsidR="00AA6258" w:rsidRDefault="00204A3C" w:rsidP="00A03260">
      <w:r>
        <w:t xml:space="preserve">We </w:t>
      </w:r>
      <w:r w:rsidR="0094511C">
        <w:t xml:space="preserve">also </w:t>
      </w:r>
      <w:r>
        <w:t xml:space="preserve">note that </w:t>
      </w:r>
      <w:r w:rsidR="00A03260">
        <w:t xml:space="preserve">the </w:t>
      </w:r>
      <w:r>
        <w:t>joint position paper by the RIAI and A</w:t>
      </w:r>
      <w:r w:rsidR="00A03260">
        <w:t>OTI</w:t>
      </w:r>
      <w:r>
        <w:t xml:space="preserve"> </w:t>
      </w:r>
      <w:r w:rsidR="000F2A02">
        <w:t>“</w:t>
      </w:r>
      <w:hyperlink r:id="rId14" w:history="1">
        <w:r w:rsidR="000F2A02" w:rsidRPr="00982D90">
          <w:rPr>
            <w:rStyle w:val="Hyperlink"/>
          </w:rPr>
          <w:t>Changing the Mindset from ‘Granny Flat’ to Flexible Home Adaptations</w:t>
        </w:r>
      </w:hyperlink>
      <w:r w:rsidR="000F2A02">
        <w:t xml:space="preserve">” </w:t>
      </w:r>
      <w:r w:rsidR="000F2A02">
        <w:lastRenderedPageBreak/>
        <w:t>set</w:t>
      </w:r>
      <w:r w:rsidR="00A03260">
        <w:t>s</w:t>
      </w:r>
      <w:r w:rsidR="000F2A02">
        <w:t xml:space="preserve"> out a range of criteria for flexible home adaptations</w:t>
      </w:r>
      <w:r w:rsidR="00A03260">
        <w:t xml:space="preserve"> in this regard</w:t>
      </w:r>
      <w:r w:rsidR="000F2A02">
        <w:t xml:space="preserve">. </w:t>
      </w:r>
      <w:r w:rsidR="00AA6258">
        <w:t>For example, it</w:t>
      </w:r>
      <w:r w:rsidR="00383C9F">
        <w:t xml:space="preserve"> notes that a general theme in current county development plans is not to allow a separate front door to a ‘granny flat’. It also points out that </w:t>
      </w:r>
      <w:r w:rsidR="00AE5438">
        <w:t>a separate front door to a flexible home adaptation can be “extremely important in terms of the independence of an individual and their psychological health”.</w:t>
      </w:r>
      <w:r w:rsidR="00140756">
        <w:t xml:space="preserve"> </w:t>
      </w:r>
    </w:p>
    <w:p w14:paraId="0ED92576" w14:textId="22B9953B" w:rsidR="00383C9F" w:rsidRDefault="00383C9F" w:rsidP="00A03260">
      <w:r>
        <w:t>It is important that any change in exemption provisions</w:t>
      </w:r>
      <w:r w:rsidR="00AA6258">
        <w:t xml:space="preserve"> for sub-division</w:t>
      </w:r>
      <w:r>
        <w:t xml:space="preserve"> will:</w:t>
      </w:r>
    </w:p>
    <w:p w14:paraId="6F1F7F32" w14:textId="77777777" w:rsidR="00383C9F" w:rsidRDefault="00383C9F" w:rsidP="00383C9F">
      <w:pPr>
        <w:pStyle w:val="ListParagraph"/>
        <w:numPr>
          <w:ilvl w:val="0"/>
          <w:numId w:val="16"/>
        </w:numPr>
      </w:pPr>
      <w:r>
        <w:t>have clarity on what constitutes sub-division and what does not</w:t>
      </w:r>
    </w:p>
    <w:p w14:paraId="1F78BB94" w14:textId="77777777" w:rsidR="00383C9F" w:rsidRDefault="00383C9F" w:rsidP="00383C9F">
      <w:pPr>
        <w:pStyle w:val="ListParagraph"/>
        <w:numPr>
          <w:ilvl w:val="0"/>
          <w:numId w:val="16"/>
        </w:numPr>
      </w:pPr>
      <w:proofErr w:type="gramStart"/>
      <w:r>
        <w:t>take into account</w:t>
      </w:r>
      <w:proofErr w:type="gramEnd"/>
      <w:r>
        <w:t xml:space="preserve"> the needs of older and disabled people and their families</w:t>
      </w:r>
    </w:p>
    <w:p w14:paraId="31E775C6" w14:textId="1FB458A4" w:rsidR="00AA6258" w:rsidRDefault="00383C9F" w:rsidP="00383C9F">
      <w:pPr>
        <w:pStyle w:val="ListParagraph"/>
        <w:numPr>
          <w:ilvl w:val="0"/>
          <w:numId w:val="16"/>
        </w:numPr>
      </w:pPr>
      <w:proofErr w:type="gramStart"/>
      <w:r>
        <w:t>take into account</w:t>
      </w:r>
      <w:proofErr w:type="gramEnd"/>
      <w:r>
        <w:t xml:space="preserve"> a range of</w:t>
      </w:r>
      <w:r w:rsidR="00AA6258">
        <w:t xml:space="preserve"> approaches</w:t>
      </w:r>
      <w:r>
        <w:t xml:space="preserve"> for flexible housing adaptations, including Ava Housing described above.</w:t>
      </w:r>
      <w:bookmarkEnd w:id="2"/>
      <w:r w:rsidR="00AA6258" w:rsidRPr="00AA6258">
        <w:t xml:space="preserve"> </w:t>
      </w:r>
    </w:p>
    <w:p w14:paraId="0711419D" w14:textId="6DCA8B5E" w:rsidR="006E5C7D" w:rsidRDefault="001B5C68" w:rsidP="00E6083B">
      <w:r>
        <w:t>For development that requires planning permission, i</w:t>
      </w:r>
      <w:r w:rsidR="00AA6258">
        <w:t>t would also be beneficial for a clear set of planning guidelines to be developed for flexible home adaptations for intergenerational living, ensuring consistency across all local authorities. These could clarify what constitutes subdivision of a dwelling and reflect a range of different design issues highlighted in the RIAI and AOTI publication “</w:t>
      </w:r>
      <w:hyperlink r:id="rId15" w:history="1">
        <w:r w:rsidR="00AA6258" w:rsidRPr="00982D90">
          <w:rPr>
            <w:rStyle w:val="Hyperlink"/>
          </w:rPr>
          <w:t>Changing the Mindset from ‘Granny Flat’ to Flexible Home Adaptations</w:t>
        </w:r>
      </w:hyperlink>
      <w:r w:rsidR="00AA6258">
        <w:t>”.</w:t>
      </w:r>
      <w:bookmarkEnd w:id="0"/>
    </w:p>
    <w:bookmarkEnd w:id="1"/>
    <w:p w14:paraId="38A817AB" w14:textId="1193EBB6" w:rsidR="00B8382B" w:rsidRDefault="006E5C7D" w:rsidP="004D6674">
      <w:pPr>
        <w:pStyle w:val="Heading1"/>
        <w:pBdr>
          <w:bottom w:val="single" w:sz="4" w:space="0" w:color="auto"/>
        </w:pBdr>
      </w:pPr>
      <w:r>
        <w:t xml:space="preserve">2. </w:t>
      </w:r>
      <w:r w:rsidR="006C6861">
        <w:t>Rural Exemptions</w:t>
      </w:r>
    </w:p>
    <w:p w14:paraId="23A0D3B0" w14:textId="6C633B73" w:rsidR="006C6861" w:rsidRDefault="00FC1703" w:rsidP="00B8382B">
      <w:r>
        <w:t>No comments.</w:t>
      </w:r>
    </w:p>
    <w:p w14:paraId="37A3C2E2" w14:textId="4B41BB4E" w:rsidR="006E5C7D" w:rsidRPr="006E5C7D" w:rsidRDefault="006E5C7D" w:rsidP="006E5C7D">
      <w:pPr>
        <w:pStyle w:val="Heading1"/>
      </w:pPr>
      <w:r>
        <w:t xml:space="preserve">3. </w:t>
      </w:r>
      <w:r w:rsidRPr="006E5C7D">
        <w:t>Health and Education Exemptions</w:t>
      </w:r>
    </w:p>
    <w:p w14:paraId="7262E6B7" w14:textId="0AC3C1DE" w:rsidR="00035B2E" w:rsidRDefault="00035B2E" w:rsidP="00035B2E">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 xml:space="preserve">and to promote </w:t>
      </w:r>
      <w:r w:rsidR="00AF7E69" w:rsidRPr="00AF7E69">
        <w:t>adoption and application of a Universal Design approach across all sectors</w:t>
      </w:r>
      <w:r>
        <w:t>. In this submission, we are focussing on aspects of the consultation related to universal design and accessibility, and how the proposals may impact on disabled and older people and their families.</w:t>
      </w:r>
    </w:p>
    <w:p w14:paraId="289806B6" w14:textId="7CD6F89B" w:rsidR="00CA19DC" w:rsidRDefault="00CA19DC" w:rsidP="00CA19DC">
      <w:r>
        <w:t xml:space="preserve">In relation to the proposal to allow for exemption of works around wheelchair access (ramps, railings etc.) to schools, we support this flexibility, recognising that certain size criteria or limits may need to be put in place. </w:t>
      </w:r>
    </w:p>
    <w:p w14:paraId="7BCFA117" w14:textId="2044D466" w:rsidR="006E5C7D" w:rsidRPr="006E5C7D" w:rsidRDefault="00CA19DC" w:rsidP="006E5C7D">
      <w:r>
        <w:t xml:space="preserve">In relation to the proposal to exempt bike storage at schools, we note that any proposal </w:t>
      </w:r>
      <w:r w:rsidR="00035B2E">
        <w:t xml:space="preserve">should </w:t>
      </w:r>
      <w:r w:rsidR="001170A7">
        <w:t>include</w:t>
      </w:r>
      <w:r>
        <w:t xml:space="preserve"> storage for larger bikes </w:t>
      </w:r>
      <w:r w:rsidR="001170A7">
        <w:t xml:space="preserve">and other </w:t>
      </w:r>
      <w:r w:rsidR="001170A7">
        <w:lastRenderedPageBreak/>
        <w:t xml:space="preserve">mobility devices </w:t>
      </w:r>
      <w:r>
        <w:t>such as cargo bikes, tricycles</w:t>
      </w:r>
      <w:r w:rsidR="001170A7">
        <w:t xml:space="preserve">, </w:t>
      </w:r>
      <w:r>
        <w:t>adapted bikes</w:t>
      </w:r>
      <w:r w:rsidR="001170A7">
        <w:t xml:space="preserve">, mobility scooters and powered wheelchairs </w:t>
      </w:r>
      <w:r>
        <w:t>that may be used by disabled people and their families.</w:t>
      </w:r>
    </w:p>
    <w:p w14:paraId="6BE5D53C" w14:textId="46CC7C80" w:rsidR="006C6861" w:rsidRDefault="005C4560" w:rsidP="006C6861">
      <w:pPr>
        <w:pStyle w:val="Heading1"/>
      </w:pPr>
      <w:r>
        <w:t xml:space="preserve">4. </w:t>
      </w:r>
      <w:r w:rsidR="006C6861">
        <w:t>Infrastructure Exemptions</w:t>
      </w:r>
    </w:p>
    <w:p w14:paraId="5739E1F5" w14:textId="23FB758C" w:rsidR="00035B2E" w:rsidRDefault="00035B2E" w:rsidP="00035B2E">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 xml:space="preserve">and to promote </w:t>
      </w:r>
      <w:r w:rsidR="00AF7E69" w:rsidRPr="00AF7E69">
        <w:t>adoption and application of a Universal Design approach across all sectors</w:t>
      </w:r>
      <w:r>
        <w:t>. In this submission, we are focussing on aspects of the consultation related to universal design and accessibility, and how the proposals may impact on disabled and older people and their families.</w:t>
      </w:r>
    </w:p>
    <w:p w14:paraId="49B8AE09" w14:textId="77777777" w:rsidR="005C4560" w:rsidRDefault="005C4560" w:rsidP="005C4560">
      <w:pPr>
        <w:pStyle w:val="Heading2"/>
      </w:pPr>
      <w:r>
        <w:t>EV Charging</w:t>
      </w:r>
    </w:p>
    <w:p w14:paraId="3926D0AE" w14:textId="62FDB0EC" w:rsidR="001170A7" w:rsidRPr="001170A7" w:rsidRDefault="001170A7" w:rsidP="001170A7">
      <w:r>
        <w:t>The Electric Vehicle Charging Infrastructure Strategy 2022-2025 states that “a fully inclusive EV charging network will work for everyone, regardless of age, health, income or other needs”. This principle should be used to guide decision-making in relation to the proposal to exempt works related to EV charging.</w:t>
      </w:r>
    </w:p>
    <w:p w14:paraId="416B0F8B" w14:textId="3E972FC4" w:rsidR="00AE3E60" w:rsidRDefault="00AB54CD" w:rsidP="00B8382B">
      <w:r>
        <w:t>W</w:t>
      </w:r>
      <w:r w:rsidR="00CA19DC">
        <w:t>e note that any EV charging facilities on residential street</w:t>
      </w:r>
      <w:r w:rsidR="00AE3E60">
        <w:t>s</w:t>
      </w:r>
      <w:r w:rsidR="00CA19DC">
        <w:t xml:space="preserve"> with no off-street parking should be designed so that they</w:t>
      </w:r>
      <w:r w:rsidR="00B21BE7" w:rsidRPr="00B21BE7">
        <w:t xml:space="preserve"> do not impact the safety and accessibility of the </w:t>
      </w:r>
      <w:r w:rsidR="00CA19DC">
        <w:t xml:space="preserve">footpath </w:t>
      </w:r>
      <w:r w:rsidR="00B21BE7" w:rsidRPr="00B21BE7">
        <w:t>for</w:t>
      </w:r>
      <w:r w:rsidR="001170A7">
        <w:t xml:space="preserve"> pedestrians</w:t>
      </w:r>
      <w:r w:rsidR="00B21BE7" w:rsidRPr="00B21BE7">
        <w:t xml:space="preserve">, </w:t>
      </w:r>
      <w:r w:rsidR="001170A7">
        <w:t xml:space="preserve">including </w:t>
      </w:r>
      <w:r w:rsidR="00B21BE7" w:rsidRPr="00B21BE7">
        <w:t>disabled and older pe</w:t>
      </w:r>
      <w:r w:rsidR="001170A7">
        <w:t>ople</w:t>
      </w:r>
      <w:r w:rsidR="00B21BE7" w:rsidRPr="00B21BE7">
        <w:t>.</w:t>
      </w:r>
      <w:r w:rsidR="00CA19DC">
        <w:t xml:space="preserve"> Consideration</w:t>
      </w:r>
      <w:r w:rsidR="0049543F">
        <w:t>s</w:t>
      </w:r>
      <w:r w:rsidR="00CA19DC">
        <w:t xml:space="preserve"> for maintaining accessibility and safety include</w:t>
      </w:r>
      <w:r w:rsidR="00AE3E60">
        <w:t>:</w:t>
      </w:r>
    </w:p>
    <w:p w14:paraId="7347F8A9" w14:textId="0644D75A" w:rsidR="00AE3E60" w:rsidRDefault="00CA19DC" w:rsidP="00AE3E60">
      <w:pPr>
        <w:pStyle w:val="ListParagraph"/>
        <w:numPr>
          <w:ilvl w:val="0"/>
          <w:numId w:val="12"/>
        </w:numPr>
      </w:pPr>
      <w:r>
        <w:t>the width of a footpath</w:t>
      </w:r>
      <w:r w:rsidR="0049543F">
        <w:t xml:space="preserve"> to allow people using mobility devices </w:t>
      </w:r>
      <w:r w:rsidR="001170A7">
        <w:t>to</w:t>
      </w:r>
      <w:r w:rsidR="0049543F">
        <w:t xml:space="preserve"> pass other users and to turn</w:t>
      </w:r>
      <w:r>
        <w:t xml:space="preserve">, </w:t>
      </w:r>
    </w:p>
    <w:p w14:paraId="53217F2D" w14:textId="75F5B75A" w:rsidR="00AE3E60" w:rsidRDefault="00CA19DC" w:rsidP="00AE3E60">
      <w:pPr>
        <w:pStyle w:val="ListParagraph"/>
        <w:numPr>
          <w:ilvl w:val="0"/>
          <w:numId w:val="12"/>
        </w:numPr>
      </w:pPr>
      <w:r>
        <w:t>the potential for cables on the footpath to cause trip hazards</w:t>
      </w:r>
      <w:r w:rsidR="001170A7">
        <w:t xml:space="preserve">, </w:t>
      </w:r>
      <w:proofErr w:type="gramStart"/>
      <w:r w:rsidR="001170A7">
        <w:t>in particular for</w:t>
      </w:r>
      <w:proofErr w:type="gramEnd"/>
      <w:r w:rsidR="001170A7">
        <w:t xml:space="preserve"> Blind and partially sighted people.</w:t>
      </w:r>
      <w:r w:rsidR="005C4560">
        <w:t xml:space="preserve"> </w:t>
      </w:r>
    </w:p>
    <w:p w14:paraId="2562D856" w14:textId="7E6C1147" w:rsidR="006C6861" w:rsidRDefault="00AE3E60" w:rsidP="00AE3E60">
      <w:pPr>
        <w:pStyle w:val="ListParagraph"/>
        <w:numPr>
          <w:ilvl w:val="0"/>
          <w:numId w:val="12"/>
        </w:numPr>
      </w:pPr>
      <w:r>
        <w:t xml:space="preserve">the potential </w:t>
      </w:r>
      <w:r w:rsidR="005C4560">
        <w:t>for bollard type charging units on a footpath to create a hazard</w:t>
      </w:r>
      <w:r w:rsidR="001170A7">
        <w:t>,</w:t>
      </w:r>
      <w:r w:rsidR="005C4560">
        <w:t xml:space="preserve"> </w:t>
      </w:r>
      <w:proofErr w:type="gramStart"/>
      <w:r w:rsidR="005C4560">
        <w:t>in particular</w:t>
      </w:r>
      <w:r w:rsidR="0049543F">
        <w:t xml:space="preserve"> for</w:t>
      </w:r>
      <w:proofErr w:type="gramEnd"/>
      <w:r w:rsidR="0049543F">
        <w:t xml:space="preserve"> Blind and partially sighted people</w:t>
      </w:r>
      <w:r w:rsidR="00CA19DC">
        <w:t>.</w:t>
      </w:r>
      <w:r w:rsidR="005C4560">
        <w:t xml:space="preserve"> A proliferation of bollards </w:t>
      </w:r>
      <w:r w:rsidR="00AB54CD">
        <w:t xml:space="preserve">for EV charging </w:t>
      </w:r>
      <w:r w:rsidR="005C4560">
        <w:t xml:space="preserve">on footpaths </w:t>
      </w:r>
      <w:r>
        <w:t>c</w:t>
      </w:r>
      <w:r w:rsidR="005C4560">
        <w:t xml:space="preserve">ould have a significant negative impact on accessibility, </w:t>
      </w:r>
      <w:proofErr w:type="gramStart"/>
      <w:r w:rsidR="005C4560">
        <w:t xml:space="preserve">in particular </w:t>
      </w:r>
      <w:r>
        <w:t>for</w:t>
      </w:r>
      <w:proofErr w:type="gramEnd"/>
      <w:r w:rsidR="005C4560">
        <w:t xml:space="preserve"> Blind and partially sighted people. </w:t>
      </w:r>
    </w:p>
    <w:p w14:paraId="5C123335" w14:textId="691DE9C0" w:rsidR="006C6861" w:rsidRDefault="005C4560" w:rsidP="006C6861">
      <w:pPr>
        <w:pStyle w:val="Heading1"/>
      </w:pPr>
      <w:r>
        <w:t xml:space="preserve">5. </w:t>
      </w:r>
      <w:r w:rsidR="006C6861">
        <w:t>Use Classes</w:t>
      </w:r>
    </w:p>
    <w:p w14:paraId="629E47FF" w14:textId="73C4DB62" w:rsidR="00035B2E" w:rsidRDefault="00035B2E" w:rsidP="00035B2E">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 xml:space="preserve">and to promote </w:t>
      </w:r>
      <w:bookmarkStart w:id="3" w:name="_Hlk206765565"/>
      <w:r w:rsidR="00AF7E69" w:rsidRPr="00AF7E69">
        <w:t>adoption and application of a Universal Design approach across all sectors</w:t>
      </w:r>
      <w:bookmarkEnd w:id="3"/>
      <w:r>
        <w:t xml:space="preserve">. In this submission, we are focussing on aspects of the consultation related to </w:t>
      </w:r>
      <w:r>
        <w:lastRenderedPageBreak/>
        <w:t>universal design and accessibility, and how the proposals may impact on disabled and older people and their families.</w:t>
      </w:r>
    </w:p>
    <w:p w14:paraId="41435B89" w14:textId="1E0947C0" w:rsidR="00513F0B" w:rsidRDefault="00513F0B" w:rsidP="00B8382B">
      <w:r>
        <w:t xml:space="preserve">The existing schedule 2 for exempted development under Changes of Use Class 14 includes development consisting of a change of use – </w:t>
      </w:r>
    </w:p>
    <w:p w14:paraId="52A2308A" w14:textId="3A704099" w:rsidR="005C07BF" w:rsidRDefault="005C07BF" w:rsidP="005C07BF">
      <w:pPr>
        <w:pStyle w:val="Quote"/>
      </w:pPr>
      <w:r>
        <w:t>‘</w:t>
      </w:r>
      <w:proofErr w:type="gramStart"/>
      <w:r w:rsidRPr="00513F0B">
        <w:t>from</w:t>
      </w:r>
      <w:proofErr w:type="gramEnd"/>
      <w:r w:rsidRPr="00513F0B">
        <w:t xml:space="preserve"> use as a house, to use as a residence for persons with an intellectual or physical disability or mental illness and persons providing care for such persons.</w:t>
      </w:r>
      <w:r>
        <w:t>’</w:t>
      </w:r>
    </w:p>
    <w:p w14:paraId="50826DAF" w14:textId="7DB6EBCE" w:rsidR="006C6861" w:rsidRDefault="00513F0B" w:rsidP="00B8382B">
      <w:r>
        <w:t>This language regarding supported housing for disabled people is limited in relation to the description of persons receiving care. It does not appear to include people who are Blind, partially sighted, d/Deaf o</w:t>
      </w:r>
      <w:r w:rsidR="00FC1703">
        <w:t>r</w:t>
      </w:r>
      <w:r>
        <w:t xml:space="preserve"> hard of hearing</w:t>
      </w:r>
      <w:r w:rsidR="00FC1703">
        <w:t>,</w:t>
      </w:r>
      <w:r w:rsidR="0020181B">
        <w:t xml:space="preserve"> </w:t>
      </w:r>
      <w:r w:rsidR="00BD0622">
        <w:t xml:space="preserve">people with </w:t>
      </w:r>
      <w:r w:rsidR="0020181B">
        <w:t>cognitive</w:t>
      </w:r>
      <w:r w:rsidR="00000971">
        <w:t xml:space="preserve"> </w:t>
      </w:r>
      <w:r w:rsidR="00BD0622">
        <w:t xml:space="preserve">impairments </w:t>
      </w:r>
      <w:r w:rsidR="00000971">
        <w:t xml:space="preserve">or neurodivergent people. </w:t>
      </w:r>
      <w:r w:rsidR="005C07BF">
        <w:t xml:space="preserve">We advise that the language in this use class be revised to provide a broader </w:t>
      </w:r>
      <w:r w:rsidR="00FC1703">
        <w:t xml:space="preserve">and more inclusive </w:t>
      </w:r>
      <w:r w:rsidR="005C07BF">
        <w:t>scope for this use class.</w:t>
      </w:r>
      <w:r w:rsidR="00FC1703">
        <w:t xml:space="preserve"> For example:</w:t>
      </w:r>
    </w:p>
    <w:p w14:paraId="36B6C00C" w14:textId="56E349E5" w:rsidR="006C6861" w:rsidRDefault="005C07BF" w:rsidP="001170A7">
      <w:pPr>
        <w:pStyle w:val="Quote"/>
      </w:pPr>
      <w:r>
        <w:t>‘</w:t>
      </w:r>
      <w:proofErr w:type="gramStart"/>
      <w:r w:rsidRPr="00513F0B">
        <w:t>from</w:t>
      </w:r>
      <w:proofErr w:type="gramEnd"/>
      <w:r w:rsidRPr="00513F0B">
        <w:t xml:space="preserve"> use as a house, to use as a </w:t>
      </w:r>
      <w:r w:rsidR="00BD0622">
        <w:t>house</w:t>
      </w:r>
      <w:r w:rsidR="00BD0622" w:rsidRPr="00513F0B">
        <w:t xml:space="preserve"> </w:t>
      </w:r>
      <w:r w:rsidRPr="00513F0B">
        <w:t xml:space="preserve">for persons </w:t>
      </w:r>
      <w:r>
        <w:t>with disabilities</w:t>
      </w:r>
      <w:r w:rsidR="00BD0622">
        <w:t xml:space="preserve"> (including mental health difficulties)</w:t>
      </w:r>
      <w:r>
        <w:t xml:space="preserve">, </w:t>
      </w:r>
      <w:r w:rsidRPr="00513F0B">
        <w:t>and persons providing care for such persons.</w:t>
      </w:r>
      <w:r>
        <w:t>’</w:t>
      </w:r>
    </w:p>
    <w:p w14:paraId="1BF24E4C" w14:textId="77777777" w:rsidR="00647485" w:rsidRDefault="006C6861" w:rsidP="006C6861">
      <w:pPr>
        <w:pStyle w:val="Heading1"/>
      </w:pPr>
      <w:r>
        <w:t>General Comments</w:t>
      </w:r>
    </w:p>
    <w:p w14:paraId="00B9E680" w14:textId="06573BB6" w:rsidR="00035B2E" w:rsidRDefault="00035B2E" w:rsidP="00035B2E">
      <w:r w:rsidRPr="00F24CE8">
        <w:t xml:space="preserve">The National Disability Authority (NDA) is </w:t>
      </w:r>
      <w:r>
        <w:t>the</w:t>
      </w:r>
      <w:r w:rsidRPr="00F24CE8">
        <w:t xml:space="preserve"> independent statutory body </w:t>
      </w:r>
      <w:r>
        <w:t>with a duty to</w:t>
      </w:r>
      <w:r w:rsidRPr="00F24CE8">
        <w:t xml:space="preserve"> provide</w:t>
      </w:r>
      <w:r>
        <w:t xml:space="preserve"> evidence-informed </w:t>
      </w:r>
      <w:r w:rsidRPr="00F24CE8">
        <w:t>advice</w:t>
      </w:r>
      <w:r>
        <w:t xml:space="preserve"> and guidance</w:t>
      </w:r>
      <w:r w:rsidRPr="00F24CE8">
        <w:t xml:space="preserve"> to Government on </w:t>
      </w:r>
      <w:r>
        <w:t xml:space="preserve">disability </w:t>
      </w:r>
      <w:r w:rsidRPr="00F24CE8">
        <w:t xml:space="preserve">policy and practice </w:t>
      </w:r>
      <w:r>
        <w:t xml:space="preserve">and to promote </w:t>
      </w:r>
      <w:r w:rsidR="0020181B" w:rsidRPr="0020181B">
        <w:t>adoption and application of a Universal Design approach across all sectors</w:t>
      </w:r>
      <w:r>
        <w:t>. In this submission, we are focussing on aspects of the consultation related to universal design and accessibility, and how the proposals may impact on disabled and older people and their families.</w:t>
      </w:r>
    </w:p>
    <w:p w14:paraId="380F1222" w14:textId="76CC5F7D" w:rsidR="001170A7" w:rsidRPr="001170A7" w:rsidRDefault="001170A7" w:rsidP="001170A7">
      <w:pPr>
        <w:spacing w:after="120"/>
      </w:pPr>
      <w:r w:rsidRPr="001170A7">
        <w:t xml:space="preserve">The NDA would like to remind the Department that a Disability Impact Assessment is an obligatory requirement of all substantive proposals requiring Government approval as stipulated in The Cabinet Handbook when there is: </w:t>
      </w:r>
    </w:p>
    <w:p w14:paraId="35376A6F" w14:textId="52D99D09" w:rsidR="001170A7" w:rsidRPr="001170A7" w:rsidRDefault="001170A7" w:rsidP="001170A7">
      <w:pPr>
        <w:pStyle w:val="ListParagraph"/>
        <w:numPr>
          <w:ilvl w:val="0"/>
          <w:numId w:val="14"/>
        </w:numPr>
      </w:pPr>
      <w:r w:rsidRPr="001170A7">
        <w:t xml:space="preserve">a change in </w:t>
      </w:r>
      <w:proofErr w:type="gramStart"/>
      <w:r w:rsidRPr="001170A7">
        <w:t>policy;</w:t>
      </w:r>
      <w:proofErr w:type="gramEnd"/>
      <w:r w:rsidRPr="001170A7">
        <w:t xml:space="preserve"> </w:t>
      </w:r>
    </w:p>
    <w:p w14:paraId="29FAF420" w14:textId="07EF11F7" w:rsidR="001170A7" w:rsidRPr="001170A7" w:rsidRDefault="001170A7" w:rsidP="001170A7">
      <w:pPr>
        <w:pStyle w:val="ListParagraph"/>
        <w:numPr>
          <w:ilvl w:val="0"/>
          <w:numId w:val="14"/>
        </w:numPr>
      </w:pPr>
      <w:r w:rsidRPr="001170A7">
        <w:t xml:space="preserve">the introduction, abolition or significant change in an existing scheme; or </w:t>
      </w:r>
    </w:p>
    <w:p w14:paraId="1B743443" w14:textId="307B92EA" w:rsidR="001170A7" w:rsidRPr="001170A7" w:rsidRDefault="001170A7" w:rsidP="001170A7">
      <w:pPr>
        <w:pStyle w:val="ListParagraph"/>
        <w:numPr>
          <w:ilvl w:val="0"/>
          <w:numId w:val="14"/>
        </w:numPr>
      </w:pPr>
      <w:r w:rsidRPr="001170A7">
        <w:t xml:space="preserve">a decision which impacts on the public at large, or </w:t>
      </w:r>
    </w:p>
    <w:p w14:paraId="153E0060" w14:textId="02ECEFAE" w:rsidR="001170A7" w:rsidRDefault="001170A7" w:rsidP="001170A7">
      <w:pPr>
        <w:pStyle w:val="ListParagraph"/>
        <w:numPr>
          <w:ilvl w:val="0"/>
          <w:numId w:val="14"/>
        </w:numPr>
      </w:pPr>
      <w:r w:rsidRPr="001170A7">
        <w:t>on a significant subset of that population.</w:t>
      </w:r>
    </w:p>
    <w:p w14:paraId="1593D5EE" w14:textId="67512503" w:rsidR="001170A7" w:rsidRDefault="001170A7" w:rsidP="001170A7">
      <w:r>
        <w:t>It is evident that the proposed changes to exempted development represent a significant change and would impact the public at large, there</w:t>
      </w:r>
      <w:r w:rsidR="008B5BF5">
        <w:t>fore</w:t>
      </w:r>
      <w:r>
        <w:t xml:space="preserve"> the requirement for such an assessment is evident. </w:t>
      </w:r>
      <w:r w:rsidRPr="001170A7">
        <w:t xml:space="preserve">The </w:t>
      </w:r>
      <w:r w:rsidRPr="001170A7">
        <w:lastRenderedPageBreak/>
        <w:t>Department of Justice provides Guidelines on How to Conduct a Disability Impact Assessment.</w:t>
      </w:r>
    </w:p>
    <w:p w14:paraId="54B85A70" w14:textId="6AE2AE1A" w:rsidR="00AE3E60" w:rsidRPr="00AE3E60" w:rsidRDefault="00AE3E60" w:rsidP="001170A7"/>
    <w:sectPr w:rsidR="00AE3E60" w:rsidRPr="00AE3E60">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01F5" w14:textId="77777777" w:rsidR="00A8452F" w:rsidRDefault="00A8452F" w:rsidP="00917FAC">
      <w:pPr>
        <w:spacing w:after="0"/>
      </w:pPr>
      <w:r>
        <w:separator/>
      </w:r>
    </w:p>
  </w:endnote>
  <w:endnote w:type="continuationSeparator" w:id="0">
    <w:p w14:paraId="60B678BB" w14:textId="77777777" w:rsidR="00A8452F" w:rsidRDefault="00A8452F"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9867" w14:textId="64DF42F3" w:rsidR="00917FAC" w:rsidRDefault="001538BD" w:rsidP="001538BD">
    <w:pPr>
      <w:pStyle w:val="Footer"/>
      <w:jc w:val="right"/>
    </w:pPr>
    <w:r>
      <w:tab/>
    </w:r>
    <w:r>
      <w:tab/>
    </w:r>
    <w:sdt>
      <w:sdtPr>
        <w:id w:val="-724988138"/>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97ECC" w14:textId="77777777" w:rsidR="00A8452F" w:rsidRDefault="00A8452F" w:rsidP="00917FAC">
      <w:pPr>
        <w:spacing w:after="0"/>
      </w:pPr>
      <w:r>
        <w:separator/>
      </w:r>
    </w:p>
  </w:footnote>
  <w:footnote w:type="continuationSeparator" w:id="0">
    <w:p w14:paraId="5DCBE4A0" w14:textId="77777777" w:rsidR="00A8452F" w:rsidRDefault="00A8452F" w:rsidP="00917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5634" w14:textId="5579E0E9" w:rsidR="00917FAC" w:rsidRPr="00AB54CD" w:rsidRDefault="00FF11EF" w:rsidP="00AB54CD">
    <w:pPr>
      <w:pStyle w:val="Header"/>
    </w:pPr>
    <w:fldSimple w:instr=" FILENAME \* MERGEFORMAT ">
      <w:r>
        <w:rPr>
          <w:noProof/>
        </w:rPr>
        <w:t xml:space="preserve">NDA Submission Exempted Development 25.08.21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22968AA"/>
    <w:multiLevelType w:val="hybridMultilevel"/>
    <w:tmpl w:val="B2DA04E8"/>
    <w:lvl w:ilvl="0" w:tplc="AE4E870E">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E7339A"/>
    <w:multiLevelType w:val="hybridMultilevel"/>
    <w:tmpl w:val="AEC8D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D7B311C"/>
    <w:multiLevelType w:val="hybridMultilevel"/>
    <w:tmpl w:val="796E17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3263201"/>
    <w:multiLevelType w:val="hybridMultilevel"/>
    <w:tmpl w:val="12743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9E83D2A"/>
    <w:multiLevelType w:val="hybridMultilevel"/>
    <w:tmpl w:val="6A62C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98F2E20"/>
    <w:multiLevelType w:val="hybridMultilevel"/>
    <w:tmpl w:val="9BF6B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34B58DF"/>
    <w:multiLevelType w:val="hybridMultilevel"/>
    <w:tmpl w:val="C32E410A"/>
    <w:lvl w:ilvl="0" w:tplc="8F1A7318">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4D72D15"/>
    <w:multiLevelType w:val="hybridMultilevel"/>
    <w:tmpl w:val="9E2A62B2"/>
    <w:lvl w:ilvl="0" w:tplc="8924A9E8">
      <w:start w:val="3"/>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FA2430C"/>
    <w:multiLevelType w:val="hybridMultilevel"/>
    <w:tmpl w:val="F2CAC958"/>
    <w:lvl w:ilvl="0" w:tplc="E452B92A">
      <w:start w:val="3"/>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98230211">
    <w:abstractNumId w:val="0"/>
  </w:num>
  <w:num w:numId="2" w16cid:durableId="1208221761">
    <w:abstractNumId w:val="14"/>
  </w:num>
  <w:num w:numId="3" w16cid:durableId="323360036">
    <w:abstractNumId w:val="9"/>
  </w:num>
  <w:num w:numId="4" w16cid:durableId="1675497173">
    <w:abstractNumId w:val="6"/>
  </w:num>
  <w:num w:numId="5" w16cid:durableId="572157237">
    <w:abstractNumId w:val="7"/>
  </w:num>
  <w:num w:numId="6" w16cid:durableId="1523394075">
    <w:abstractNumId w:val="5"/>
  </w:num>
  <w:num w:numId="7" w16cid:durableId="912929873">
    <w:abstractNumId w:val="11"/>
  </w:num>
  <w:num w:numId="8" w16cid:durableId="1901668">
    <w:abstractNumId w:val="2"/>
  </w:num>
  <w:num w:numId="9" w16cid:durableId="1539660984">
    <w:abstractNumId w:val="1"/>
  </w:num>
  <w:num w:numId="10" w16cid:durableId="403062929">
    <w:abstractNumId w:val="13"/>
  </w:num>
  <w:num w:numId="11" w16cid:durableId="976035911">
    <w:abstractNumId w:val="15"/>
  </w:num>
  <w:num w:numId="12" w16cid:durableId="276256904">
    <w:abstractNumId w:val="4"/>
  </w:num>
  <w:num w:numId="13" w16cid:durableId="767120551">
    <w:abstractNumId w:val="10"/>
  </w:num>
  <w:num w:numId="14" w16cid:durableId="364017166">
    <w:abstractNumId w:val="12"/>
  </w:num>
  <w:num w:numId="15" w16cid:durableId="2076661533">
    <w:abstractNumId w:val="8"/>
  </w:num>
  <w:num w:numId="16" w16cid:durableId="1767922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2F"/>
    <w:rsid w:val="00000971"/>
    <w:rsid w:val="00000D24"/>
    <w:rsid w:val="0001011C"/>
    <w:rsid w:val="00035B2E"/>
    <w:rsid w:val="00055494"/>
    <w:rsid w:val="0006646C"/>
    <w:rsid w:val="000779D8"/>
    <w:rsid w:val="00077BE4"/>
    <w:rsid w:val="00090564"/>
    <w:rsid w:val="000B53E6"/>
    <w:rsid w:val="000D61AB"/>
    <w:rsid w:val="000E54A0"/>
    <w:rsid w:val="000E5A4C"/>
    <w:rsid w:val="000F2A02"/>
    <w:rsid w:val="0010309D"/>
    <w:rsid w:val="0010419F"/>
    <w:rsid w:val="001170A7"/>
    <w:rsid w:val="00124BCD"/>
    <w:rsid w:val="00130160"/>
    <w:rsid w:val="00140756"/>
    <w:rsid w:val="00150E25"/>
    <w:rsid w:val="001538BD"/>
    <w:rsid w:val="001B5C68"/>
    <w:rsid w:val="0020181B"/>
    <w:rsid w:val="00204A3C"/>
    <w:rsid w:val="00215C98"/>
    <w:rsid w:val="00224B98"/>
    <w:rsid w:val="00273596"/>
    <w:rsid w:val="00284FE5"/>
    <w:rsid w:val="0028705D"/>
    <w:rsid w:val="002C7DA3"/>
    <w:rsid w:val="002D642A"/>
    <w:rsid w:val="002D7042"/>
    <w:rsid w:val="00300AA0"/>
    <w:rsid w:val="0031069F"/>
    <w:rsid w:val="00313DED"/>
    <w:rsid w:val="00381252"/>
    <w:rsid w:val="00383C9F"/>
    <w:rsid w:val="003B156B"/>
    <w:rsid w:val="003F2A5A"/>
    <w:rsid w:val="004065AB"/>
    <w:rsid w:val="004604E3"/>
    <w:rsid w:val="004838F4"/>
    <w:rsid w:val="0049543F"/>
    <w:rsid w:val="004D6674"/>
    <w:rsid w:val="004D70E4"/>
    <w:rsid w:val="004E4E8E"/>
    <w:rsid w:val="004E7031"/>
    <w:rsid w:val="00513F0B"/>
    <w:rsid w:val="00565FC4"/>
    <w:rsid w:val="00570BE0"/>
    <w:rsid w:val="0057353C"/>
    <w:rsid w:val="00593417"/>
    <w:rsid w:val="005A394E"/>
    <w:rsid w:val="005C07BF"/>
    <w:rsid w:val="005C4560"/>
    <w:rsid w:val="00602CC5"/>
    <w:rsid w:val="00610919"/>
    <w:rsid w:val="006456F2"/>
    <w:rsid w:val="00647485"/>
    <w:rsid w:val="006544B6"/>
    <w:rsid w:val="00664A4E"/>
    <w:rsid w:val="006C1CFB"/>
    <w:rsid w:val="006C6861"/>
    <w:rsid w:val="006E5C7D"/>
    <w:rsid w:val="006F507A"/>
    <w:rsid w:val="00700946"/>
    <w:rsid w:val="00703E1D"/>
    <w:rsid w:val="00704D85"/>
    <w:rsid w:val="007133CF"/>
    <w:rsid w:val="00745B19"/>
    <w:rsid w:val="0076024C"/>
    <w:rsid w:val="007B30B4"/>
    <w:rsid w:val="007C66D0"/>
    <w:rsid w:val="007E11DB"/>
    <w:rsid w:val="0081351A"/>
    <w:rsid w:val="008323F9"/>
    <w:rsid w:val="00845AE5"/>
    <w:rsid w:val="008B5BF5"/>
    <w:rsid w:val="00917FAC"/>
    <w:rsid w:val="00920097"/>
    <w:rsid w:val="00920961"/>
    <w:rsid w:val="0094511C"/>
    <w:rsid w:val="00974D21"/>
    <w:rsid w:val="00982D90"/>
    <w:rsid w:val="009A4FC5"/>
    <w:rsid w:val="009A6DB0"/>
    <w:rsid w:val="009B2485"/>
    <w:rsid w:val="009D1C58"/>
    <w:rsid w:val="009F4396"/>
    <w:rsid w:val="009F66AF"/>
    <w:rsid w:val="00A03260"/>
    <w:rsid w:val="00A15B73"/>
    <w:rsid w:val="00A8452F"/>
    <w:rsid w:val="00AA6258"/>
    <w:rsid w:val="00AB54CD"/>
    <w:rsid w:val="00AE09DE"/>
    <w:rsid w:val="00AE3E60"/>
    <w:rsid w:val="00AE4D20"/>
    <w:rsid w:val="00AE5438"/>
    <w:rsid w:val="00AF2C23"/>
    <w:rsid w:val="00AF7E69"/>
    <w:rsid w:val="00B16DE4"/>
    <w:rsid w:val="00B21BE7"/>
    <w:rsid w:val="00B24C47"/>
    <w:rsid w:val="00B2799B"/>
    <w:rsid w:val="00B27A71"/>
    <w:rsid w:val="00B53A64"/>
    <w:rsid w:val="00B81FF1"/>
    <w:rsid w:val="00B8382B"/>
    <w:rsid w:val="00B870ED"/>
    <w:rsid w:val="00BD0622"/>
    <w:rsid w:val="00BD5D98"/>
    <w:rsid w:val="00BD7F58"/>
    <w:rsid w:val="00C15849"/>
    <w:rsid w:val="00C24054"/>
    <w:rsid w:val="00C36B58"/>
    <w:rsid w:val="00C86F8E"/>
    <w:rsid w:val="00CA19DC"/>
    <w:rsid w:val="00CD582A"/>
    <w:rsid w:val="00CF75E8"/>
    <w:rsid w:val="00D748B3"/>
    <w:rsid w:val="00DA6AAE"/>
    <w:rsid w:val="00E0371B"/>
    <w:rsid w:val="00E12305"/>
    <w:rsid w:val="00E1440D"/>
    <w:rsid w:val="00E4497D"/>
    <w:rsid w:val="00E6083B"/>
    <w:rsid w:val="00E85F90"/>
    <w:rsid w:val="00E97A63"/>
    <w:rsid w:val="00EA59EA"/>
    <w:rsid w:val="00EA69CB"/>
    <w:rsid w:val="00EB27BF"/>
    <w:rsid w:val="00EF1CF4"/>
    <w:rsid w:val="00EF6B03"/>
    <w:rsid w:val="00F0699B"/>
    <w:rsid w:val="00F12172"/>
    <w:rsid w:val="00F76811"/>
    <w:rsid w:val="00F91A1F"/>
    <w:rsid w:val="00F922A7"/>
    <w:rsid w:val="00FB0F35"/>
    <w:rsid w:val="00FC09EC"/>
    <w:rsid w:val="00FC1703"/>
    <w:rsid w:val="00FD6D08"/>
    <w:rsid w:val="00FF11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3C831"/>
  <w15:chartTrackingRefBased/>
  <w15:docId w15:val="{009EAEF6-3100-43EF-8927-5A39A761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B2799B"/>
    <w:rPr>
      <w:color w:val="605E5C"/>
      <w:shd w:val="clear" w:color="auto" w:fill="E1DFDD"/>
    </w:rPr>
  </w:style>
  <w:style w:type="character" w:styleId="FollowedHyperlink">
    <w:name w:val="FollowedHyperlink"/>
    <w:basedOn w:val="DefaultParagraphFont"/>
    <w:uiPriority w:val="99"/>
    <w:semiHidden/>
    <w:unhideWhenUsed/>
    <w:rsid w:val="00AE5438"/>
    <w:rPr>
      <w:color w:val="954F72" w:themeColor="followedHyperlink"/>
      <w:u w:val="single"/>
    </w:rPr>
  </w:style>
  <w:style w:type="paragraph" w:styleId="Revision">
    <w:name w:val="Revision"/>
    <w:hidden/>
    <w:uiPriority w:val="99"/>
    <w:semiHidden/>
    <w:rsid w:val="002D642A"/>
    <w:pPr>
      <w:spacing w:after="0"/>
    </w:pPr>
    <w:rPr>
      <w:rFonts w:ascii="Verdana" w:hAnsi="Verdana"/>
      <w:sz w:val="24"/>
    </w:rPr>
  </w:style>
  <w:style w:type="character" w:styleId="CommentReference">
    <w:name w:val="annotation reference"/>
    <w:basedOn w:val="DefaultParagraphFont"/>
    <w:uiPriority w:val="99"/>
    <w:semiHidden/>
    <w:unhideWhenUsed/>
    <w:rsid w:val="002D642A"/>
    <w:rPr>
      <w:sz w:val="16"/>
      <w:szCs w:val="16"/>
    </w:rPr>
  </w:style>
  <w:style w:type="paragraph" w:styleId="CommentText">
    <w:name w:val="annotation text"/>
    <w:basedOn w:val="Normal"/>
    <w:link w:val="CommentTextChar"/>
    <w:uiPriority w:val="99"/>
    <w:unhideWhenUsed/>
    <w:rsid w:val="002D642A"/>
    <w:rPr>
      <w:sz w:val="20"/>
      <w:szCs w:val="20"/>
    </w:rPr>
  </w:style>
  <w:style w:type="character" w:customStyle="1" w:styleId="CommentTextChar">
    <w:name w:val="Comment Text Char"/>
    <w:basedOn w:val="DefaultParagraphFont"/>
    <w:link w:val="CommentText"/>
    <w:uiPriority w:val="99"/>
    <w:rsid w:val="002D642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2D642A"/>
    <w:rPr>
      <w:b/>
      <w:bCs/>
    </w:rPr>
  </w:style>
  <w:style w:type="character" w:customStyle="1" w:styleId="CommentSubjectChar">
    <w:name w:val="Comment Subject Char"/>
    <w:basedOn w:val="CommentTextChar"/>
    <w:link w:val="CommentSubject"/>
    <w:uiPriority w:val="99"/>
    <w:semiHidden/>
    <w:rsid w:val="002D642A"/>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department-of-health/publications/housing-options-for-our-ageing-population-policy-statement/" TargetMode="External"/><Relationship Id="rId13" Type="http://schemas.openxmlformats.org/officeDocument/2006/relationships/hyperlink" Target="https://universaldesign.ie/about-universal-design/awards/homes-for-smart-ageing-universal-design-challen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hrome-extension://efaidnbmnnnibpcajpcglclefindmkaj/https:/lda.ie/uploads/documents/LDA-Apartment-Typology-Booklet_Rev-00_Pag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ersaldesign.ie" TargetMode="External"/><Relationship Id="rId5" Type="http://schemas.openxmlformats.org/officeDocument/2006/relationships/webSettings" Target="webSettings.xml"/><Relationship Id="rId15" Type="http://schemas.openxmlformats.org/officeDocument/2006/relationships/hyperlink" Target="https://www.riai.ie/discover-architecture/universal-design" TargetMode="External"/><Relationship Id="rId10" Type="http://schemas.openxmlformats.org/officeDocument/2006/relationships/hyperlink" Target="https://universaldesign.ie/built-environment/hous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iversaldesign.ie/built-environment/housing" TargetMode="External"/><Relationship Id="rId14" Type="http://schemas.openxmlformats.org/officeDocument/2006/relationships/hyperlink" Target="https://www.riai.ie/discover-architecture/universal-desig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2</TotalTime>
  <Pages>6</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O'Reilly (NDA)</dc:creator>
  <cp:keywords/>
  <dc:description/>
  <cp:lastModifiedBy>Rosalyn Tamming (NDA)</cp:lastModifiedBy>
  <cp:revision>4</cp:revision>
  <cp:lastPrinted>2025-08-20T08:59:00Z</cp:lastPrinted>
  <dcterms:created xsi:type="dcterms:W3CDTF">2026-02-23T10:05:00Z</dcterms:created>
  <dcterms:modified xsi:type="dcterms:W3CDTF">2026-02-23T10:05:00Z</dcterms:modified>
</cp:coreProperties>
</file>