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Pr="001C2FE3" w:rsidRDefault="00E457C6" w:rsidP="0055294F">
      <w:pPr>
        <w:spacing w:after="840"/>
      </w:pPr>
      <w:r w:rsidRPr="001C2FE3">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66E9EA02" w14:textId="3BE09171" w:rsidR="004F3697" w:rsidRPr="001C2FE3" w:rsidRDefault="00FD2F4A" w:rsidP="0055294F">
      <w:pPr>
        <w:pStyle w:val="Title"/>
        <w:spacing w:before="1440"/>
      </w:pPr>
      <w:r w:rsidRPr="001C2FE3">
        <w:t>NDA Submission on</w:t>
      </w:r>
      <w:r w:rsidR="00A744E7" w:rsidRPr="001C2FE3">
        <w:t xml:space="preserve"> the National Policy Framework on Alternative Care</w:t>
      </w:r>
    </w:p>
    <w:p w14:paraId="1FDC9B1B" w14:textId="3EC44266" w:rsidR="00E457C6" w:rsidRPr="001C2FE3" w:rsidRDefault="00A744E7" w:rsidP="0055294F">
      <w:pPr>
        <w:pStyle w:val="Title"/>
        <w:spacing w:before="1440"/>
      </w:pPr>
      <w:r w:rsidRPr="001C2FE3">
        <w:rPr>
          <w:bCs/>
        </w:rPr>
        <w:t>December</w:t>
      </w:r>
      <w:r w:rsidR="00FD2F4A" w:rsidRPr="001C2FE3">
        <w:rPr>
          <w:bCs/>
        </w:rPr>
        <w:t xml:space="preserve"> 2025</w:t>
      </w:r>
    </w:p>
    <w:p w14:paraId="11F922B1" w14:textId="77777777" w:rsidR="00E457C6" w:rsidRPr="001C2FE3" w:rsidRDefault="00E457C6" w:rsidP="0055294F">
      <w:pPr>
        <w:pStyle w:val="Heading1"/>
        <w:sectPr w:rsidR="00E457C6" w:rsidRPr="001C2FE3" w:rsidSect="00E457C6">
          <w:footerReference w:type="default" r:id="rId9"/>
          <w:pgSz w:w="11906" w:h="16838"/>
          <w:pgMar w:top="1440" w:right="1440" w:bottom="1440" w:left="1440" w:header="708" w:footer="708" w:gutter="0"/>
          <w:cols w:space="708"/>
          <w:titlePg/>
          <w:docGrid w:linePitch="360"/>
        </w:sectPr>
      </w:pPr>
    </w:p>
    <w:p w14:paraId="04C9A5FF" w14:textId="07231062" w:rsidR="00E54180" w:rsidRDefault="00E54180" w:rsidP="00E54180">
      <w:pPr>
        <w:pStyle w:val="Heading1"/>
      </w:pPr>
      <w:r>
        <w:lastRenderedPageBreak/>
        <w:t xml:space="preserve">Executive Summary </w:t>
      </w:r>
    </w:p>
    <w:p w14:paraId="7D9176C9" w14:textId="0BF99307" w:rsidR="00E54180" w:rsidRDefault="00E54180" w:rsidP="00E54180">
      <w:r>
        <w:t>C</w:t>
      </w:r>
      <w:r w:rsidRPr="000426C0">
        <w:t xml:space="preserve">are-experienced children and young people with disabilities face heightened risks and a range of specific challenges and barriers at every stage of their engagement with alternative care systems in Ireland. </w:t>
      </w:r>
    </w:p>
    <w:p w14:paraId="4CFC9406" w14:textId="394E5D2A" w:rsidR="00E54180" w:rsidRPr="000426C0" w:rsidRDefault="00E54180" w:rsidP="00E54180">
      <w:r>
        <w:t xml:space="preserve">In this submission, </w:t>
      </w:r>
      <w:r w:rsidR="00ED5C32">
        <w:t xml:space="preserve">which focuses on disability inclusion within alternative care, </w:t>
      </w:r>
      <w:r>
        <w:t xml:space="preserve">the NDA notes the government’s commitments and obligations under the </w:t>
      </w:r>
      <w:hyperlink r:id="rId10" w:history="1">
        <w:r w:rsidRPr="000A1A2B">
          <w:rPr>
            <w:rStyle w:val="Hyperlink"/>
          </w:rPr>
          <w:t>National Human Rights Strategy for Disabled People 2025-2030</w:t>
        </w:r>
      </w:hyperlink>
      <w:r>
        <w:t xml:space="preserve">, the </w:t>
      </w:r>
      <w:hyperlink r:id="rId11" w:history="1">
        <w:r w:rsidRPr="000A1A2B">
          <w:rPr>
            <w:rStyle w:val="Hyperlink"/>
          </w:rPr>
          <w:t>UN Convention on the Rights of the Child</w:t>
        </w:r>
      </w:hyperlink>
      <w:r>
        <w:t xml:space="preserve"> and the </w:t>
      </w:r>
      <w:hyperlink r:id="rId12" w:history="1">
        <w:r w:rsidRPr="000A1A2B">
          <w:rPr>
            <w:rStyle w:val="Hyperlink"/>
          </w:rPr>
          <w:t>UN Convention on the Rights of Persons with Disabilities</w:t>
        </w:r>
      </w:hyperlink>
      <w:r>
        <w:t xml:space="preserve">. </w:t>
      </w:r>
    </w:p>
    <w:p w14:paraId="287CCEAC" w14:textId="539D6E5E" w:rsidR="00E54180" w:rsidRDefault="00E54180" w:rsidP="00E54180">
      <w:pPr>
        <w:spacing w:after="160"/>
        <w:contextualSpacing/>
      </w:pPr>
      <w:r w:rsidRPr="000426C0">
        <w:t>The NDA advises that a policy framework for alternative care should be rooted in a rights-based, holistic</w:t>
      </w:r>
      <w:r>
        <w:t xml:space="preserve">, </w:t>
      </w:r>
      <w:r w:rsidRPr="000426C0">
        <w:t xml:space="preserve">child-centred </w:t>
      </w:r>
      <w:r>
        <w:t xml:space="preserve">and coordinated </w:t>
      </w:r>
      <w:r w:rsidRPr="000426C0">
        <w:t xml:space="preserve">approach that makes explicit provision for the needs of disabled children and young people, and their families and carers, in all care and aftercare settings. </w:t>
      </w:r>
    </w:p>
    <w:p w14:paraId="502F4B47" w14:textId="77777777" w:rsidR="00E54180" w:rsidRDefault="00E54180" w:rsidP="00E54180">
      <w:pPr>
        <w:spacing w:after="160"/>
        <w:contextualSpacing/>
      </w:pPr>
    </w:p>
    <w:p w14:paraId="5397843F" w14:textId="69FB4361" w:rsidR="003C7EBA" w:rsidRDefault="00E54180" w:rsidP="00E54180">
      <w:pPr>
        <w:spacing w:after="160"/>
        <w:contextualSpacing/>
      </w:pPr>
      <w:proofErr w:type="gramStart"/>
      <w:r>
        <w:t>In order to</w:t>
      </w:r>
      <w:proofErr w:type="gramEnd"/>
      <w:r>
        <w:t xml:space="preserve"> </w:t>
      </w:r>
      <w:r w:rsidRPr="000426C0">
        <w:t>ensur</w:t>
      </w:r>
      <w:r>
        <w:t>e</w:t>
      </w:r>
      <w:r w:rsidRPr="000426C0">
        <w:t xml:space="preserve"> that disabled children and young people can claim their rights and realise their potential on an equal basis with others</w:t>
      </w:r>
      <w:r>
        <w:t xml:space="preserve">, the NDA focuses on 7 key issues that it believes should be given due consideration in the development of a policy framework for alternative care: </w:t>
      </w:r>
      <w:r w:rsidR="003C7EBA" w:rsidRPr="001C2FE3">
        <w:t xml:space="preserve"> </w:t>
      </w:r>
    </w:p>
    <w:p w14:paraId="7A46421B" w14:textId="77777777" w:rsidR="00E54180" w:rsidRPr="001C2FE3" w:rsidRDefault="00E54180" w:rsidP="00E54180">
      <w:pPr>
        <w:pStyle w:val="ListParagraph"/>
        <w:numPr>
          <w:ilvl w:val="0"/>
          <w:numId w:val="21"/>
        </w:numPr>
        <w:rPr>
          <w:lang w:eastAsia="en-IE"/>
        </w:rPr>
      </w:pPr>
      <w:r w:rsidRPr="001C2FE3">
        <w:rPr>
          <w:lang w:eastAsia="en-IE"/>
        </w:rPr>
        <w:t>Issue 1: Interagency coordination underpinned by disability-inclusive legisla</w:t>
      </w:r>
      <w:r>
        <w:rPr>
          <w:lang w:eastAsia="en-IE"/>
        </w:rPr>
        <w:t>tion and policy</w:t>
      </w:r>
    </w:p>
    <w:p w14:paraId="7463040F" w14:textId="77777777" w:rsidR="00E54180" w:rsidRPr="001C2FE3" w:rsidRDefault="00E54180" w:rsidP="00E54180">
      <w:pPr>
        <w:pStyle w:val="ListParagraph"/>
        <w:numPr>
          <w:ilvl w:val="0"/>
          <w:numId w:val="21"/>
        </w:numPr>
        <w:rPr>
          <w:lang w:eastAsia="en-IE"/>
        </w:rPr>
      </w:pPr>
      <w:r w:rsidRPr="001C2FE3">
        <w:rPr>
          <w:lang w:eastAsia="en-IE"/>
        </w:rPr>
        <w:t>Issue 2: Voice of the child</w:t>
      </w:r>
    </w:p>
    <w:p w14:paraId="159FB634" w14:textId="77777777" w:rsidR="00E54180" w:rsidRPr="001C2FE3" w:rsidRDefault="00E54180" w:rsidP="00E54180">
      <w:pPr>
        <w:pStyle w:val="ListParagraph"/>
        <w:numPr>
          <w:ilvl w:val="0"/>
          <w:numId w:val="21"/>
        </w:numPr>
        <w:rPr>
          <w:lang w:eastAsia="en-IE"/>
        </w:rPr>
      </w:pPr>
      <w:r w:rsidRPr="001C2FE3">
        <w:rPr>
          <w:lang w:eastAsia="en-IE"/>
        </w:rPr>
        <w:t>Issue 3: Universal Design</w:t>
      </w:r>
    </w:p>
    <w:p w14:paraId="2B1D9B05" w14:textId="77777777" w:rsidR="00E54180" w:rsidRPr="001C2FE3" w:rsidRDefault="00E54180" w:rsidP="00E54180">
      <w:pPr>
        <w:pStyle w:val="ListParagraph"/>
        <w:numPr>
          <w:ilvl w:val="0"/>
          <w:numId w:val="21"/>
        </w:numPr>
        <w:rPr>
          <w:lang w:eastAsia="en-IE"/>
        </w:rPr>
      </w:pPr>
      <w:r w:rsidRPr="001C2FE3">
        <w:rPr>
          <w:lang w:eastAsia="en-IE"/>
        </w:rPr>
        <w:t>Issue 4: Prevention and early intervention</w:t>
      </w:r>
    </w:p>
    <w:p w14:paraId="29D0D626" w14:textId="77777777" w:rsidR="00E54180" w:rsidRPr="001C2FE3" w:rsidRDefault="00E54180" w:rsidP="00E54180">
      <w:pPr>
        <w:pStyle w:val="ListParagraph"/>
        <w:numPr>
          <w:ilvl w:val="0"/>
          <w:numId w:val="21"/>
        </w:numPr>
        <w:rPr>
          <w:lang w:eastAsia="en-IE"/>
        </w:rPr>
      </w:pPr>
      <w:r w:rsidRPr="001C2FE3">
        <w:rPr>
          <w:lang w:eastAsia="en-IE"/>
        </w:rPr>
        <w:t>Issue 5: Transitioning out of care</w:t>
      </w:r>
    </w:p>
    <w:p w14:paraId="6C8E9E78" w14:textId="77777777" w:rsidR="00E54180" w:rsidRDefault="00E54180" w:rsidP="00E54180">
      <w:pPr>
        <w:pStyle w:val="ListParagraph"/>
        <w:numPr>
          <w:ilvl w:val="0"/>
          <w:numId w:val="21"/>
        </w:numPr>
        <w:rPr>
          <w:lang w:eastAsia="en-IE"/>
        </w:rPr>
      </w:pPr>
      <w:r w:rsidRPr="001C2FE3">
        <w:rPr>
          <w:lang w:eastAsia="en-IE"/>
        </w:rPr>
        <w:t>Issue 6: Disability disaggregated data</w:t>
      </w:r>
    </w:p>
    <w:p w14:paraId="1B327885" w14:textId="3239C02F" w:rsidR="00E54180" w:rsidRPr="001C2FE3" w:rsidRDefault="00E54180" w:rsidP="00E54180">
      <w:pPr>
        <w:pStyle w:val="ListParagraph"/>
        <w:numPr>
          <w:ilvl w:val="0"/>
          <w:numId w:val="21"/>
        </w:numPr>
        <w:rPr>
          <w:lang w:eastAsia="en-IE"/>
        </w:rPr>
      </w:pPr>
      <w:r w:rsidRPr="001C2FE3">
        <w:rPr>
          <w:lang w:eastAsia="en-IE"/>
        </w:rPr>
        <w:t>Issue 7:</w:t>
      </w:r>
      <w:r>
        <w:rPr>
          <w:lang w:eastAsia="en-IE"/>
        </w:rPr>
        <w:t xml:space="preserve"> Support and training</w:t>
      </w:r>
    </w:p>
    <w:p w14:paraId="5EE2441E" w14:textId="317FF153" w:rsidR="009F0AA3" w:rsidRPr="001C2FE3" w:rsidRDefault="00FD2F4A" w:rsidP="0055294F">
      <w:pPr>
        <w:pStyle w:val="Heading1"/>
      </w:pPr>
      <w:r w:rsidRPr="001C2FE3">
        <w:t>Introduction</w:t>
      </w:r>
    </w:p>
    <w:p w14:paraId="29CF17C1" w14:textId="1FCCBCAA" w:rsidR="003C7EBA" w:rsidRPr="001C2FE3" w:rsidRDefault="00E755DC" w:rsidP="0055294F">
      <w:pPr>
        <w:rPr>
          <w:lang w:eastAsia="en-IE"/>
        </w:rPr>
      </w:pPr>
      <w:bookmarkStart w:id="0" w:name="_Hlk207725236"/>
      <w:r w:rsidRPr="001C2FE3">
        <w:t xml:space="preserve">The National Disability Authority (NDA) is the independent statutory body with a duty to provide evidence-informed advice and guidance to Government on disability policy and practice and to promote </w:t>
      </w:r>
      <w:r w:rsidR="007662FC" w:rsidRPr="007662FC">
        <w:t>adoption and application of a Universal Design approach across all sectors.</w:t>
      </w:r>
      <w:r w:rsidRPr="001C2FE3">
        <w:t xml:space="preserve"> </w:t>
      </w:r>
      <w:r w:rsidR="00FD2F4A" w:rsidRPr="001C2FE3">
        <w:rPr>
          <w:lang w:eastAsia="en-IE"/>
        </w:rPr>
        <w:t xml:space="preserve">The NDA </w:t>
      </w:r>
      <w:r w:rsidR="003C7EBA" w:rsidRPr="001C2FE3">
        <w:rPr>
          <w:lang w:eastAsia="en-IE"/>
        </w:rPr>
        <w:t xml:space="preserve">supports the </w:t>
      </w:r>
      <w:r w:rsidR="00161255" w:rsidRPr="001C2FE3">
        <w:rPr>
          <w:lang w:eastAsia="en-IE"/>
        </w:rPr>
        <w:t xml:space="preserve">Government’s ambition to develop a policy framework for alternative care, appreciates the invitation to make a submission, and sees an opportunity in the development of this whole-of-government </w:t>
      </w:r>
      <w:r w:rsidR="00161255" w:rsidRPr="001C2FE3">
        <w:rPr>
          <w:lang w:eastAsia="en-IE"/>
        </w:rPr>
        <w:lastRenderedPageBreak/>
        <w:t>policy framework to</w:t>
      </w:r>
      <w:r w:rsidR="00AE5C5A" w:rsidRPr="001C2FE3">
        <w:rPr>
          <w:lang w:eastAsia="en-IE"/>
        </w:rPr>
        <w:t xml:space="preserve"> articulate an </w:t>
      </w:r>
      <w:r w:rsidR="006467C3" w:rsidRPr="001C2FE3">
        <w:rPr>
          <w:lang w:eastAsia="en-IE"/>
        </w:rPr>
        <w:t>a</w:t>
      </w:r>
      <w:r w:rsidR="00AE5C5A" w:rsidRPr="001C2FE3">
        <w:rPr>
          <w:lang w:eastAsia="en-IE"/>
        </w:rPr>
        <w:t>pproach that is roo</w:t>
      </w:r>
      <w:r w:rsidR="006467C3" w:rsidRPr="001C2FE3">
        <w:rPr>
          <w:lang w:eastAsia="en-IE"/>
        </w:rPr>
        <w:t>ted in disability rights and inclusion.</w:t>
      </w:r>
      <w:r w:rsidR="00161255" w:rsidRPr="001C2FE3">
        <w:rPr>
          <w:lang w:eastAsia="en-IE"/>
        </w:rPr>
        <w:t xml:space="preserve"> </w:t>
      </w:r>
    </w:p>
    <w:p w14:paraId="77F65CB0" w14:textId="001BF69F" w:rsidR="00161255" w:rsidRPr="001C2FE3" w:rsidRDefault="00161255" w:rsidP="0055294F">
      <w:pPr>
        <w:rPr>
          <w:lang w:eastAsia="en-IE"/>
        </w:rPr>
      </w:pPr>
      <w:r w:rsidRPr="001C2FE3">
        <w:rPr>
          <w:lang w:eastAsia="en-IE"/>
        </w:rPr>
        <w:t>The NDA acknowledges that</w:t>
      </w:r>
      <w:r w:rsidR="006467C3" w:rsidRPr="001C2FE3">
        <w:rPr>
          <w:lang w:eastAsia="en-IE"/>
        </w:rPr>
        <w:t xml:space="preserve"> Irish society has undergone</w:t>
      </w:r>
      <w:r w:rsidRPr="001C2FE3">
        <w:rPr>
          <w:lang w:eastAsia="en-IE"/>
        </w:rPr>
        <w:t xml:space="preserve"> </w:t>
      </w:r>
      <w:r w:rsidR="006467C3" w:rsidRPr="001C2FE3">
        <w:rPr>
          <w:lang w:eastAsia="en-IE"/>
        </w:rPr>
        <w:t>r</w:t>
      </w:r>
      <w:r w:rsidRPr="001C2FE3">
        <w:rPr>
          <w:lang w:eastAsia="en-IE"/>
        </w:rPr>
        <w:t>adical transformation in recent decades</w:t>
      </w:r>
      <w:r w:rsidR="006467C3" w:rsidRPr="001C2FE3">
        <w:rPr>
          <w:lang w:eastAsia="en-IE"/>
        </w:rPr>
        <w:t xml:space="preserve"> in its structures and policies for providing alternative care to children, most notably in its reduction in reliance on residential care. </w:t>
      </w:r>
      <w:r w:rsidR="00E53FA1" w:rsidRPr="001C2FE3">
        <w:rPr>
          <w:lang w:eastAsia="en-IE"/>
        </w:rPr>
        <w:t>Significant legislative changes have included the reform of the guardian ad litem service through the Child Care (Amendment) Act 2022</w:t>
      </w:r>
      <w:r w:rsidR="009E28DD" w:rsidRPr="001C2FE3">
        <w:rPr>
          <w:lang w:eastAsia="en-IE"/>
        </w:rPr>
        <w:t>, and t</w:t>
      </w:r>
      <w:r w:rsidR="00571D9B" w:rsidRPr="001C2FE3">
        <w:rPr>
          <w:lang w:eastAsia="en-IE"/>
        </w:rPr>
        <w:t>he NDA welcomes the</w:t>
      </w:r>
      <w:r w:rsidR="001F3E23">
        <w:rPr>
          <w:lang w:eastAsia="en-IE"/>
        </w:rPr>
        <w:t xml:space="preserve"> recent publication of the</w:t>
      </w:r>
      <w:r w:rsidR="00571D9B" w:rsidRPr="001C2FE3">
        <w:rPr>
          <w:lang w:eastAsia="en-IE"/>
        </w:rPr>
        <w:t xml:space="preserve"> </w:t>
      </w:r>
      <w:hyperlink r:id="rId13" w:history="1">
        <w:r w:rsidR="00571D9B" w:rsidRPr="001F3E23">
          <w:rPr>
            <w:rStyle w:val="Hyperlink"/>
            <w:lang w:eastAsia="en-IE"/>
          </w:rPr>
          <w:t>Child Care (Amendment) Bill 2025</w:t>
        </w:r>
      </w:hyperlink>
      <w:r w:rsidR="001F3E23">
        <w:rPr>
          <w:lang w:eastAsia="en-IE"/>
        </w:rPr>
        <w:t>.</w:t>
      </w:r>
      <w:r w:rsidR="009E28DD" w:rsidRPr="001C2FE3">
        <w:rPr>
          <w:lang w:eastAsia="en-IE"/>
        </w:rPr>
        <w:t xml:space="preserve"> This is</w:t>
      </w:r>
      <w:r w:rsidR="00656BC9" w:rsidRPr="001C2FE3">
        <w:rPr>
          <w:lang w:eastAsia="en-IE"/>
        </w:rPr>
        <w:t xml:space="preserve"> set to overhaul key aspects of child welfare and protection service</w:t>
      </w:r>
      <w:r w:rsidR="0089568F">
        <w:rPr>
          <w:lang w:eastAsia="en-IE"/>
        </w:rPr>
        <w:t>s</w:t>
      </w:r>
      <w:r w:rsidR="00656BC9" w:rsidRPr="001C2FE3">
        <w:rPr>
          <w:lang w:eastAsia="en-IE"/>
        </w:rPr>
        <w:t xml:space="preserve"> in Ireland, including in relation to sharing of information between agencies and the duty to cooperate between relevant bodies.</w:t>
      </w:r>
      <w:r w:rsidR="002D5102" w:rsidRPr="001C2FE3">
        <w:rPr>
          <w:lang w:eastAsia="en-IE"/>
        </w:rPr>
        <w:t xml:space="preserve"> Other strands of work underway across </w:t>
      </w:r>
      <w:r w:rsidR="000A1A2B">
        <w:rPr>
          <w:lang w:eastAsia="en-IE"/>
        </w:rPr>
        <w:t>g</w:t>
      </w:r>
      <w:r w:rsidR="002D5102" w:rsidRPr="001C2FE3">
        <w:rPr>
          <w:lang w:eastAsia="en-IE"/>
        </w:rPr>
        <w:t xml:space="preserve">overnment departments that should enhance the wider ecosystem of support for care-experienced children include the work to develop </w:t>
      </w:r>
      <w:r w:rsidR="00504B46" w:rsidRPr="001C2FE3">
        <w:rPr>
          <w:lang w:eastAsia="en-IE"/>
        </w:rPr>
        <w:t xml:space="preserve">CAMHS </w:t>
      </w:r>
      <w:r w:rsidR="002D5102" w:rsidRPr="001C2FE3">
        <w:rPr>
          <w:lang w:eastAsia="en-IE"/>
        </w:rPr>
        <w:t>standards</w:t>
      </w:r>
      <w:r w:rsidR="00504B46" w:rsidRPr="001C2FE3">
        <w:rPr>
          <w:lang w:eastAsia="en-IE"/>
        </w:rPr>
        <w:t>, National Home Sharing standards and the</w:t>
      </w:r>
      <w:r w:rsidR="009E28DD" w:rsidRPr="001C2FE3">
        <w:rPr>
          <w:lang w:eastAsia="en-IE"/>
        </w:rPr>
        <w:t xml:space="preserve"> ongoing review led by the NDA of the Children’s Disability Network Teams</w:t>
      </w:r>
      <w:r w:rsidR="001F3E23">
        <w:rPr>
          <w:lang w:eastAsia="en-IE"/>
        </w:rPr>
        <w:t xml:space="preserve"> (CDNT)</w:t>
      </w:r>
      <w:r w:rsidR="009E28DD" w:rsidRPr="001C2FE3">
        <w:rPr>
          <w:lang w:eastAsia="en-IE"/>
        </w:rPr>
        <w:t xml:space="preserve"> (findings pending).</w:t>
      </w:r>
      <w:r w:rsidR="002D5102" w:rsidRPr="001C2FE3">
        <w:rPr>
          <w:lang w:eastAsia="en-IE"/>
        </w:rPr>
        <w:t xml:space="preserve"> </w:t>
      </w:r>
    </w:p>
    <w:p w14:paraId="748851D7" w14:textId="55073FF5" w:rsidR="00A843C8" w:rsidRPr="001C2FE3" w:rsidRDefault="005169F2" w:rsidP="0055294F">
      <w:pPr>
        <w:rPr>
          <w:lang w:eastAsia="en-IE"/>
        </w:rPr>
      </w:pPr>
      <w:r w:rsidRPr="001C2FE3">
        <w:rPr>
          <w:lang w:eastAsia="en-IE"/>
        </w:rPr>
        <w:t xml:space="preserve">The NDA also notes significant commitments by </w:t>
      </w:r>
      <w:r w:rsidR="00BB1FDC" w:rsidRPr="001C2FE3">
        <w:rPr>
          <w:lang w:eastAsia="en-IE"/>
        </w:rPr>
        <w:t>g</w:t>
      </w:r>
      <w:r w:rsidRPr="001C2FE3">
        <w:rPr>
          <w:lang w:eastAsia="en-IE"/>
        </w:rPr>
        <w:t xml:space="preserve">overnment, as outlined in the </w:t>
      </w:r>
      <w:hyperlink r:id="rId14" w:history="1">
        <w:r w:rsidRPr="001C2FE3">
          <w:rPr>
            <w:rStyle w:val="Hyperlink"/>
            <w:lang w:eastAsia="en-IE"/>
          </w:rPr>
          <w:t>National Human Rights Strategy for Disabled People</w:t>
        </w:r>
        <w:r w:rsidR="009E28DD" w:rsidRPr="001C2FE3">
          <w:rPr>
            <w:rStyle w:val="Hyperlink"/>
            <w:lang w:eastAsia="en-IE"/>
          </w:rPr>
          <w:t xml:space="preserve"> 2025-2030</w:t>
        </w:r>
      </w:hyperlink>
      <w:r w:rsidR="009E28DD" w:rsidRPr="001C2FE3">
        <w:rPr>
          <w:lang w:eastAsia="en-IE"/>
        </w:rPr>
        <w:t>,</w:t>
      </w:r>
      <w:r w:rsidR="00A843C8" w:rsidRPr="001C2FE3">
        <w:rPr>
          <w:lang w:eastAsia="en-IE"/>
        </w:rPr>
        <w:t xml:space="preserve"> that are relevant to work on alternative care, most notably: </w:t>
      </w:r>
    </w:p>
    <w:p w14:paraId="099629AC" w14:textId="377EF313" w:rsidR="00A843C8" w:rsidRPr="001C2FE3" w:rsidRDefault="00A843C8" w:rsidP="0055294F">
      <w:pPr>
        <w:pStyle w:val="ListParagraph"/>
        <w:numPr>
          <w:ilvl w:val="0"/>
          <w:numId w:val="20"/>
        </w:numPr>
        <w:rPr>
          <w:lang w:eastAsia="en-IE"/>
        </w:rPr>
      </w:pPr>
      <w:r w:rsidRPr="001C2FE3">
        <w:rPr>
          <w:lang w:eastAsia="en-IE"/>
        </w:rPr>
        <w:t>Commitment 14 (Accessible Health Services), with a priority action for 2025-26 to develop a comprehensive disability competency training framework for all staff across the health and social care sector aligned with the National Clinical Programme for People with a Disability and co-designed with Disabled Persons’ Organisations.</w:t>
      </w:r>
    </w:p>
    <w:p w14:paraId="5EE68DFA" w14:textId="6C62AC87" w:rsidR="00A843C8" w:rsidRPr="001C2FE3" w:rsidRDefault="00A843C8" w:rsidP="0055294F">
      <w:pPr>
        <w:pStyle w:val="ListParagraph"/>
        <w:numPr>
          <w:ilvl w:val="0"/>
          <w:numId w:val="20"/>
        </w:numPr>
        <w:rPr>
          <w:lang w:eastAsia="en-IE"/>
        </w:rPr>
      </w:pPr>
      <w:r w:rsidRPr="001C2FE3">
        <w:rPr>
          <w:lang w:eastAsia="en-IE"/>
        </w:rPr>
        <w:t>Commitment 15 (Safeguarding), including a priority action to complete an expert-driven, non-statutory safeguarding exercise to identify learnings from the Farrelly Commission’s findings to inform present day safeguarding policies and practices.</w:t>
      </w:r>
    </w:p>
    <w:p w14:paraId="7C897C63" w14:textId="5D1EA8F5" w:rsidR="005169F2" w:rsidRPr="001C2FE3" w:rsidRDefault="003A534D" w:rsidP="0055294F">
      <w:pPr>
        <w:pStyle w:val="ListParagraph"/>
        <w:numPr>
          <w:ilvl w:val="0"/>
          <w:numId w:val="20"/>
        </w:numPr>
        <w:rPr>
          <w:szCs w:val="24"/>
          <w:lang w:eastAsia="en-IE"/>
        </w:rPr>
      </w:pPr>
      <w:r w:rsidRPr="001C2FE3">
        <w:rPr>
          <w:lang w:eastAsia="en-IE"/>
        </w:rPr>
        <w:t>W</w:t>
      </w:r>
      <w:r w:rsidR="005169F2" w:rsidRPr="001C2FE3">
        <w:rPr>
          <w:lang w:eastAsia="en-IE"/>
        </w:rPr>
        <w:t>orkforce planning</w:t>
      </w:r>
      <w:r w:rsidRPr="001C2FE3">
        <w:rPr>
          <w:lang w:eastAsia="en-IE"/>
        </w:rPr>
        <w:t xml:space="preserve"> as a cross-government initiative, specifically by increasing </w:t>
      </w:r>
      <w:r w:rsidR="005169F2" w:rsidRPr="001C2FE3">
        <w:rPr>
          <w:lang w:eastAsia="en-IE"/>
        </w:rPr>
        <w:t>training places and work placements for health and social care professional</w:t>
      </w:r>
      <w:r w:rsidR="007662FC">
        <w:rPr>
          <w:lang w:eastAsia="en-IE"/>
        </w:rPr>
        <w:t>s</w:t>
      </w:r>
      <w:r w:rsidRPr="001C2FE3">
        <w:rPr>
          <w:lang w:eastAsia="en-IE"/>
        </w:rPr>
        <w:t>,</w:t>
      </w:r>
      <w:r w:rsidR="005169F2" w:rsidRPr="001C2FE3">
        <w:rPr>
          <w:lang w:eastAsia="en-IE"/>
        </w:rPr>
        <w:t xml:space="preserve"> ensuring we are planning for projected future demand; </w:t>
      </w:r>
      <w:r w:rsidRPr="001C2FE3">
        <w:rPr>
          <w:lang w:eastAsia="en-IE"/>
        </w:rPr>
        <w:t>e</w:t>
      </w:r>
      <w:r w:rsidR="005169F2" w:rsidRPr="001C2FE3">
        <w:rPr>
          <w:lang w:eastAsia="en-IE"/>
        </w:rPr>
        <w:t>nhanc</w:t>
      </w:r>
      <w:r w:rsidRPr="001C2FE3">
        <w:rPr>
          <w:lang w:eastAsia="en-IE"/>
        </w:rPr>
        <w:t>ing</w:t>
      </w:r>
      <w:r w:rsidR="005169F2" w:rsidRPr="001C2FE3">
        <w:rPr>
          <w:lang w:eastAsia="en-IE"/>
        </w:rPr>
        <w:t xml:space="preserve"> recruitment processes and attract</w:t>
      </w:r>
      <w:r w:rsidRPr="001C2FE3">
        <w:rPr>
          <w:lang w:eastAsia="en-IE"/>
        </w:rPr>
        <w:t>ing</w:t>
      </w:r>
      <w:r w:rsidR="005169F2" w:rsidRPr="001C2FE3">
        <w:rPr>
          <w:lang w:eastAsia="en-IE"/>
        </w:rPr>
        <w:t xml:space="preserve"> international </w:t>
      </w:r>
      <w:r w:rsidR="005169F2" w:rsidRPr="001C2FE3">
        <w:rPr>
          <w:szCs w:val="24"/>
          <w:lang w:eastAsia="en-IE"/>
        </w:rPr>
        <w:t>professionals to address workforce shortages; and</w:t>
      </w:r>
      <w:r w:rsidRPr="001C2FE3">
        <w:rPr>
          <w:szCs w:val="24"/>
          <w:lang w:eastAsia="en-IE"/>
        </w:rPr>
        <w:t xml:space="preserve"> improving</w:t>
      </w:r>
      <w:r w:rsidR="005169F2" w:rsidRPr="001C2FE3">
        <w:rPr>
          <w:szCs w:val="24"/>
          <w:lang w:eastAsia="en-IE"/>
        </w:rPr>
        <w:t xml:space="preserve"> retention of the existing workforce.</w:t>
      </w:r>
    </w:p>
    <w:p w14:paraId="2AF2C694" w14:textId="77777777" w:rsidR="001405AB" w:rsidRPr="001C2FE3" w:rsidRDefault="001405AB" w:rsidP="001405AB">
      <w:r w:rsidRPr="001C2FE3">
        <w:t xml:space="preserve">As noted in the most recent </w:t>
      </w:r>
      <w:hyperlink r:id="rId15" w:history="1">
        <w:r w:rsidRPr="001C2FE3">
          <w:rPr>
            <w:rStyle w:val="Hyperlink"/>
          </w:rPr>
          <w:t>Annual Report of the Special Rapporteur on Child Protection</w:t>
        </w:r>
      </w:hyperlink>
      <w:r w:rsidRPr="001C2FE3">
        <w:t xml:space="preserve"> (2022), there is strong evidence of children and families reporting that they feel well looked after and respected within the care system. HIQA’s recently published annual report, the </w:t>
      </w:r>
      <w:hyperlink r:id="rId16" w:history="1">
        <w:r w:rsidRPr="001C2FE3">
          <w:rPr>
            <w:rStyle w:val="Hyperlink"/>
          </w:rPr>
          <w:t>Overview Report on the Regulation and Monitoring of Children’s Services in 2024</w:t>
        </w:r>
      </w:hyperlink>
      <w:r w:rsidRPr="001C2FE3">
        <w:t xml:space="preserve">, found good levels of care and support overall across children’s services under its </w:t>
      </w:r>
      <w:r w:rsidRPr="001C2FE3">
        <w:lastRenderedPageBreak/>
        <w:t>remit, with children and young people telling inspectors about improvements they had seen and how services were supporting them. </w:t>
      </w:r>
    </w:p>
    <w:p w14:paraId="628E0A50" w14:textId="250048FA" w:rsidR="00A01BE3" w:rsidRPr="001C2FE3" w:rsidRDefault="002D5102" w:rsidP="0055294F">
      <w:pPr>
        <w:pStyle w:val="ListBullet"/>
        <w:numPr>
          <w:ilvl w:val="0"/>
          <w:numId w:val="0"/>
        </w:numPr>
        <w:rPr>
          <w:rFonts w:ascii="Verdana" w:hAnsi="Verdana"/>
          <w:sz w:val="24"/>
          <w:lang w:eastAsia="en-IE"/>
        </w:rPr>
      </w:pPr>
      <w:r w:rsidRPr="001C2FE3">
        <w:rPr>
          <w:rFonts w:ascii="Verdana" w:hAnsi="Verdana"/>
          <w:sz w:val="24"/>
          <w:lang w:eastAsia="en-IE"/>
        </w:rPr>
        <w:t xml:space="preserve">Nonetheless, significant </w:t>
      </w:r>
      <w:r w:rsidR="00994F7F" w:rsidRPr="001C2FE3">
        <w:rPr>
          <w:rFonts w:ascii="Verdana" w:hAnsi="Verdana"/>
          <w:sz w:val="24"/>
          <w:lang w:eastAsia="en-IE"/>
        </w:rPr>
        <w:t>challenges</w:t>
      </w:r>
      <w:r w:rsidR="0000151D" w:rsidRPr="001C2FE3">
        <w:rPr>
          <w:rFonts w:ascii="Verdana" w:hAnsi="Verdana"/>
          <w:sz w:val="24"/>
          <w:lang w:eastAsia="en-IE"/>
        </w:rPr>
        <w:t xml:space="preserve"> across the alternative care system have been </w:t>
      </w:r>
      <w:r w:rsidRPr="001C2FE3">
        <w:rPr>
          <w:rFonts w:ascii="Verdana" w:hAnsi="Verdana"/>
          <w:sz w:val="24"/>
          <w:lang w:eastAsia="en-IE"/>
        </w:rPr>
        <w:t>identified</w:t>
      </w:r>
      <w:r w:rsidR="009E28DD" w:rsidRPr="001C2FE3">
        <w:rPr>
          <w:rFonts w:ascii="Verdana" w:hAnsi="Verdana"/>
          <w:sz w:val="24"/>
          <w:lang w:eastAsia="en-IE"/>
        </w:rPr>
        <w:t xml:space="preserve">, including </w:t>
      </w:r>
      <w:r w:rsidR="001405AB" w:rsidRPr="001C2FE3">
        <w:rPr>
          <w:rFonts w:ascii="Verdana" w:hAnsi="Verdana"/>
          <w:sz w:val="24"/>
          <w:lang w:eastAsia="en-IE"/>
        </w:rPr>
        <w:t>particular concern regarding the care for</w:t>
      </w:r>
      <w:r w:rsidR="0089568F">
        <w:rPr>
          <w:rFonts w:ascii="Verdana" w:hAnsi="Verdana"/>
          <w:sz w:val="24"/>
          <w:lang w:eastAsia="en-IE"/>
        </w:rPr>
        <w:t>,</w:t>
      </w:r>
      <w:r w:rsidR="001405AB" w:rsidRPr="001C2FE3">
        <w:rPr>
          <w:rFonts w:ascii="Verdana" w:hAnsi="Verdana"/>
          <w:sz w:val="24"/>
          <w:lang w:eastAsia="en-IE"/>
        </w:rPr>
        <w:t xml:space="preserve"> and safety of</w:t>
      </w:r>
      <w:r w:rsidR="0089568F">
        <w:rPr>
          <w:rFonts w:ascii="Verdana" w:hAnsi="Verdana"/>
          <w:sz w:val="24"/>
          <w:lang w:eastAsia="en-IE"/>
        </w:rPr>
        <w:t>,</w:t>
      </w:r>
      <w:r w:rsidR="001405AB" w:rsidRPr="001C2FE3">
        <w:rPr>
          <w:rFonts w:ascii="Verdana" w:hAnsi="Verdana"/>
          <w:sz w:val="24"/>
          <w:lang w:eastAsia="en-IE"/>
        </w:rPr>
        <w:t xml:space="preserve"> disabled children and young people</w:t>
      </w:r>
      <w:r w:rsidR="006F4D51" w:rsidRPr="001C2FE3">
        <w:rPr>
          <w:rFonts w:ascii="Verdana" w:hAnsi="Verdana"/>
          <w:sz w:val="24"/>
          <w:lang w:eastAsia="en-IE"/>
        </w:rPr>
        <w:t xml:space="preserve"> – although the data available on care-experienced children and young people with disabilities is limited.</w:t>
      </w:r>
      <w:r w:rsidR="001405AB" w:rsidRPr="001C2FE3">
        <w:rPr>
          <w:rFonts w:ascii="Verdana" w:hAnsi="Verdana"/>
          <w:sz w:val="24"/>
          <w:lang w:eastAsia="en-IE"/>
        </w:rPr>
        <w:t xml:space="preserve"> </w:t>
      </w:r>
      <w:r w:rsidR="00512DAC" w:rsidRPr="001C2FE3">
        <w:rPr>
          <w:rFonts w:ascii="Verdana" w:hAnsi="Verdana"/>
          <w:sz w:val="24"/>
          <w:lang w:eastAsia="en-IE"/>
        </w:rPr>
        <w:t>R</w:t>
      </w:r>
      <w:r w:rsidR="009E28DD" w:rsidRPr="001C2FE3">
        <w:rPr>
          <w:rFonts w:ascii="Verdana" w:hAnsi="Verdana"/>
          <w:sz w:val="24"/>
          <w:lang w:eastAsia="en-IE"/>
        </w:rPr>
        <w:t>eports by the Ombudsman for Children’s Office (OCO)</w:t>
      </w:r>
      <w:r w:rsidR="00512DAC" w:rsidRPr="001C2FE3">
        <w:rPr>
          <w:rStyle w:val="FootnoteReference"/>
          <w:rFonts w:ascii="Verdana" w:hAnsi="Verdana"/>
          <w:sz w:val="24"/>
          <w:lang w:eastAsia="en-IE"/>
        </w:rPr>
        <w:t xml:space="preserve"> </w:t>
      </w:r>
      <w:r w:rsidR="00512DAC" w:rsidRPr="001C2FE3">
        <w:rPr>
          <w:rStyle w:val="FootnoteReference"/>
          <w:rFonts w:ascii="Verdana" w:hAnsi="Verdana"/>
          <w:sz w:val="24"/>
          <w:lang w:eastAsia="en-IE"/>
        </w:rPr>
        <w:footnoteReference w:id="1"/>
      </w:r>
      <w:r w:rsidR="00512DAC" w:rsidRPr="001C2FE3">
        <w:rPr>
          <w:rFonts w:ascii="Verdana" w:hAnsi="Verdana"/>
          <w:sz w:val="24"/>
          <w:lang w:eastAsia="en-IE"/>
        </w:rPr>
        <w:t xml:space="preserve"> </w:t>
      </w:r>
      <w:r w:rsidR="00512DAC" w:rsidRPr="001C2FE3">
        <w:rPr>
          <w:rStyle w:val="FootnoteReference"/>
          <w:rFonts w:ascii="Verdana" w:hAnsi="Verdana"/>
          <w:sz w:val="24"/>
          <w:lang w:eastAsia="en-IE"/>
        </w:rPr>
        <w:footnoteReference w:id="2"/>
      </w:r>
      <w:r w:rsidR="00512DAC" w:rsidRPr="001C2FE3">
        <w:rPr>
          <w:rFonts w:ascii="Verdana" w:hAnsi="Verdana"/>
          <w:sz w:val="24"/>
          <w:lang w:eastAsia="en-IE"/>
        </w:rPr>
        <w:t xml:space="preserve"> and the </w:t>
      </w:r>
      <w:hyperlink r:id="rId17" w:history="1">
        <w:r w:rsidR="00512DAC" w:rsidRPr="001C2FE3">
          <w:rPr>
            <w:rStyle w:val="Hyperlink"/>
            <w:rFonts w:ascii="Verdana" w:hAnsi="Verdana"/>
            <w:sz w:val="24"/>
            <w:lang w:eastAsia="en-IE"/>
          </w:rPr>
          <w:t>Farrelly Commission</w:t>
        </w:r>
      </w:hyperlink>
      <w:r w:rsidR="00512DAC" w:rsidRPr="001C2FE3">
        <w:rPr>
          <w:rFonts w:ascii="Verdana" w:hAnsi="Verdana"/>
          <w:sz w:val="24"/>
          <w:lang w:eastAsia="en-IE"/>
        </w:rPr>
        <w:t xml:space="preserve"> have highlighted</w:t>
      </w:r>
      <w:r w:rsidR="00275CA9" w:rsidRPr="001C2FE3">
        <w:rPr>
          <w:rFonts w:ascii="Verdana" w:hAnsi="Verdana"/>
          <w:sz w:val="24"/>
          <w:lang w:eastAsia="en-IE"/>
        </w:rPr>
        <w:t xml:space="preserve"> </w:t>
      </w:r>
      <w:r w:rsidR="00D9063F" w:rsidRPr="001C2FE3">
        <w:rPr>
          <w:rFonts w:ascii="Verdana" w:hAnsi="Verdana"/>
          <w:sz w:val="24"/>
          <w:lang w:eastAsia="en-IE"/>
        </w:rPr>
        <w:t xml:space="preserve">structural </w:t>
      </w:r>
      <w:r w:rsidR="00861C40" w:rsidRPr="001C2FE3">
        <w:rPr>
          <w:rFonts w:ascii="Verdana" w:hAnsi="Verdana"/>
          <w:sz w:val="24"/>
          <w:lang w:eastAsia="en-IE"/>
        </w:rPr>
        <w:t xml:space="preserve">gaps and </w:t>
      </w:r>
      <w:r w:rsidR="00D9063F" w:rsidRPr="001C2FE3">
        <w:rPr>
          <w:rFonts w:ascii="Verdana" w:hAnsi="Verdana"/>
          <w:sz w:val="24"/>
          <w:lang w:eastAsia="en-IE"/>
        </w:rPr>
        <w:t>failures in duty of care</w:t>
      </w:r>
      <w:r w:rsidR="0000151D" w:rsidRPr="001C2FE3">
        <w:rPr>
          <w:rFonts w:ascii="Verdana" w:hAnsi="Verdana"/>
          <w:sz w:val="24"/>
          <w:lang w:eastAsia="en-IE"/>
        </w:rPr>
        <w:t xml:space="preserve"> that resulted in harm for </w:t>
      </w:r>
      <w:r w:rsidR="006F4D51" w:rsidRPr="001C2FE3">
        <w:rPr>
          <w:rFonts w:ascii="Verdana" w:hAnsi="Verdana"/>
          <w:sz w:val="24"/>
          <w:lang w:eastAsia="en-IE"/>
        </w:rPr>
        <w:t xml:space="preserve">specific </w:t>
      </w:r>
      <w:r w:rsidR="00275CA9" w:rsidRPr="001C2FE3">
        <w:rPr>
          <w:rFonts w:ascii="Verdana" w:hAnsi="Verdana"/>
          <w:sz w:val="24"/>
          <w:lang w:eastAsia="en-IE"/>
        </w:rPr>
        <w:t xml:space="preserve">disabled </w:t>
      </w:r>
      <w:r w:rsidR="0000151D" w:rsidRPr="001C2FE3">
        <w:rPr>
          <w:rFonts w:ascii="Verdana" w:hAnsi="Verdana"/>
          <w:sz w:val="24"/>
          <w:lang w:eastAsia="en-IE"/>
        </w:rPr>
        <w:t>children and their families</w:t>
      </w:r>
      <w:r w:rsidR="00A4032D" w:rsidRPr="001C2FE3">
        <w:rPr>
          <w:rFonts w:ascii="Verdana" w:hAnsi="Verdana"/>
          <w:sz w:val="24"/>
          <w:lang w:eastAsia="en-IE"/>
        </w:rPr>
        <w:t>.</w:t>
      </w:r>
      <w:r w:rsidRPr="001C2FE3">
        <w:rPr>
          <w:rFonts w:ascii="Verdana" w:hAnsi="Verdana"/>
          <w:sz w:val="24"/>
          <w:lang w:eastAsia="en-IE"/>
        </w:rPr>
        <w:t xml:space="preserve"> </w:t>
      </w:r>
      <w:r w:rsidR="006F4D51" w:rsidRPr="001C2FE3">
        <w:rPr>
          <w:rFonts w:ascii="Verdana" w:hAnsi="Verdana"/>
          <w:sz w:val="24"/>
          <w:lang w:eastAsia="en-IE"/>
        </w:rPr>
        <w:t>Meanwhile, t</w:t>
      </w:r>
      <w:r w:rsidR="00A4032D" w:rsidRPr="001C2FE3">
        <w:rPr>
          <w:rFonts w:ascii="Verdana" w:hAnsi="Verdana"/>
          <w:sz w:val="24"/>
          <w:lang w:eastAsia="en-IE"/>
        </w:rPr>
        <w:t xml:space="preserve">he OCO research on barriers to </w:t>
      </w:r>
      <w:r w:rsidR="00A01BE3" w:rsidRPr="001C2FE3">
        <w:rPr>
          <w:rFonts w:ascii="Verdana" w:hAnsi="Verdana"/>
          <w:sz w:val="24"/>
          <w:lang w:eastAsia="en-IE"/>
        </w:rPr>
        <w:t xml:space="preserve">the </w:t>
      </w:r>
      <w:r w:rsidR="00A4032D" w:rsidRPr="001C2FE3">
        <w:rPr>
          <w:rFonts w:ascii="Verdana" w:hAnsi="Verdana"/>
          <w:sz w:val="24"/>
          <w:lang w:eastAsia="en-IE"/>
        </w:rPr>
        <w:t xml:space="preserve">realisation of rights of children with disabilities in Ireland, </w:t>
      </w:r>
      <w:hyperlink r:id="rId18" w:history="1">
        <w:r w:rsidR="00A4032D" w:rsidRPr="001C2FE3">
          <w:rPr>
            <w:rStyle w:val="Hyperlink"/>
            <w:rFonts w:ascii="Verdana" w:hAnsi="Verdana"/>
            <w:sz w:val="24"/>
            <w:lang w:eastAsia="en-IE"/>
          </w:rPr>
          <w:t>Mind the Gap</w:t>
        </w:r>
      </w:hyperlink>
      <w:r w:rsidR="00A4032D" w:rsidRPr="001C2FE3">
        <w:rPr>
          <w:rFonts w:ascii="Verdana" w:hAnsi="Verdana"/>
          <w:sz w:val="24"/>
          <w:lang w:eastAsia="en-IE"/>
        </w:rPr>
        <w:t xml:space="preserve">, </w:t>
      </w:r>
      <w:r w:rsidR="006F4D51" w:rsidRPr="001C2FE3">
        <w:rPr>
          <w:rFonts w:ascii="Verdana" w:hAnsi="Verdana"/>
          <w:sz w:val="24"/>
          <w:lang w:eastAsia="en-IE"/>
        </w:rPr>
        <w:t xml:space="preserve">found </w:t>
      </w:r>
      <w:r w:rsidR="00994F7F" w:rsidRPr="001C2FE3">
        <w:rPr>
          <w:rFonts w:ascii="Verdana" w:hAnsi="Verdana"/>
          <w:sz w:val="24"/>
          <w:lang w:eastAsia="en-IE"/>
        </w:rPr>
        <w:t xml:space="preserve">an over-reliance on residential care or inadequate care placements for disabled children; </w:t>
      </w:r>
      <w:r w:rsidR="006F4D51" w:rsidRPr="001C2FE3">
        <w:rPr>
          <w:rFonts w:ascii="Verdana" w:hAnsi="Verdana"/>
          <w:sz w:val="24"/>
          <w:lang w:eastAsia="en-IE"/>
        </w:rPr>
        <w:t xml:space="preserve">that disabled children faced </w:t>
      </w:r>
      <w:r w:rsidR="00F9515D" w:rsidRPr="001C2FE3">
        <w:rPr>
          <w:rFonts w:ascii="Verdana" w:hAnsi="Verdana"/>
          <w:sz w:val="24"/>
          <w:lang w:eastAsia="en-IE"/>
        </w:rPr>
        <w:t xml:space="preserve">additional </w:t>
      </w:r>
      <w:r w:rsidR="006F4D51" w:rsidRPr="001C2FE3">
        <w:rPr>
          <w:rFonts w:ascii="Verdana" w:hAnsi="Verdana"/>
          <w:sz w:val="24"/>
          <w:lang w:eastAsia="en-IE"/>
        </w:rPr>
        <w:t xml:space="preserve">barriers to having their voices heard; </w:t>
      </w:r>
      <w:r w:rsidR="00F9515D" w:rsidRPr="001C2FE3">
        <w:rPr>
          <w:rFonts w:ascii="Verdana" w:hAnsi="Verdana"/>
          <w:sz w:val="24"/>
          <w:lang w:eastAsia="en-IE"/>
        </w:rPr>
        <w:t>and that the system failed to provide a</w:t>
      </w:r>
      <w:r w:rsidR="006F4D51" w:rsidRPr="001C2FE3">
        <w:rPr>
          <w:rFonts w:ascii="Verdana" w:hAnsi="Verdana"/>
          <w:sz w:val="24"/>
          <w:lang w:eastAsia="en-IE"/>
        </w:rPr>
        <w:t>dequate supports for parents</w:t>
      </w:r>
      <w:r w:rsidR="00F9515D" w:rsidRPr="001C2FE3">
        <w:rPr>
          <w:rFonts w:ascii="Verdana" w:hAnsi="Verdana"/>
          <w:sz w:val="24"/>
          <w:lang w:eastAsia="en-IE"/>
        </w:rPr>
        <w:t xml:space="preserve"> of disabled children. </w:t>
      </w:r>
    </w:p>
    <w:p w14:paraId="3527940C" w14:textId="5FCFADF4" w:rsidR="00361B27" w:rsidRPr="001C2FE3" w:rsidRDefault="00AD717B" w:rsidP="0055294F">
      <w:r w:rsidRPr="001C2FE3">
        <w:t xml:space="preserve">In </w:t>
      </w:r>
      <w:r w:rsidR="00C4469E">
        <w:t>Empowering People In Care (</w:t>
      </w:r>
      <w:r w:rsidR="00361B27" w:rsidRPr="001C2FE3">
        <w:t>EPIC</w:t>
      </w:r>
      <w:r w:rsidR="00C4469E">
        <w:t>)</w:t>
      </w:r>
      <w:r w:rsidR="00361B27" w:rsidRPr="001C2FE3">
        <w:t>’s 2023 report</w:t>
      </w:r>
      <w:r w:rsidR="00A03494">
        <w:t xml:space="preserve"> on the care and aftercare e</w:t>
      </w:r>
      <w:r w:rsidR="000A1A2B">
        <w:t>xperience</w:t>
      </w:r>
      <w:r w:rsidR="00A03494">
        <w:t>s</w:t>
      </w:r>
      <w:r w:rsidR="000A1A2B">
        <w:t xml:space="preserve"> of </w:t>
      </w:r>
      <w:r w:rsidR="00A03494">
        <w:t>disabled c</w:t>
      </w:r>
      <w:r w:rsidR="000A1A2B">
        <w:t>hildren</w:t>
      </w:r>
      <w:r w:rsidR="00A03494">
        <w:t>,</w:t>
      </w:r>
      <w:r w:rsidR="000A1A2B">
        <w:t xml:space="preserve"> </w:t>
      </w:r>
      <w:r w:rsidRPr="001C2FE3">
        <w:t>par</w:t>
      </w:r>
      <w:r w:rsidR="00EB3956" w:rsidRPr="001C2FE3">
        <w:t>ticipants spoke about “wrong assumptions being made about their disability, a lack of awareness of ‘invisible’ disabilities, struggles with change or communication, and a lack of recognition among care professionals of the distinctive nature of certain disabilities… Difficulties in securing appropriate accommodation, and accessibility issues in foster homes, residential care, and social housing also featured prominently.”</w:t>
      </w:r>
      <w:r w:rsidR="00A03494">
        <w:rPr>
          <w:rStyle w:val="FootnoteReference"/>
        </w:rPr>
        <w:footnoteReference w:id="3"/>
      </w:r>
      <w:r w:rsidR="00361B27" w:rsidRPr="001C2FE3">
        <w:t xml:space="preserve"> </w:t>
      </w:r>
    </w:p>
    <w:p w14:paraId="0649DC73" w14:textId="214A5DED" w:rsidR="00A01BE3" w:rsidRPr="001C2FE3" w:rsidRDefault="00A01BE3" w:rsidP="0055294F">
      <w:r w:rsidRPr="001C2FE3">
        <w:rPr>
          <w:lang w:eastAsia="en-IE"/>
        </w:rPr>
        <w:t xml:space="preserve">Noting concerns </w:t>
      </w:r>
      <w:r w:rsidR="005845D5">
        <w:rPr>
          <w:lang w:eastAsia="en-IE"/>
        </w:rPr>
        <w:t>related to the</w:t>
      </w:r>
      <w:r w:rsidRPr="001C2FE3">
        <w:rPr>
          <w:lang w:eastAsia="en-IE"/>
        </w:rPr>
        <w:t xml:space="preserve"> gradual increase in reliance over the past decade on a private, for profit, residential care model, t</w:t>
      </w:r>
      <w:r w:rsidRPr="001C2FE3">
        <w:rPr>
          <w:szCs w:val="24"/>
          <w:lang w:eastAsia="en-IE"/>
        </w:rPr>
        <w:t xml:space="preserve">he </w:t>
      </w:r>
      <w:r w:rsidRPr="00A03494">
        <w:rPr>
          <w:szCs w:val="24"/>
          <w:lang w:eastAsia="en-IE"/>
        </w:rPr>
        <w:t>Special Rapporteur on Child Protection</w:t>
      </w:r>
      <w:r w:rsidRPr="001C2FE3">
        <w:rPr>
          <w:szCs w:val="24"/>
          <w:lang w:eastAsia="en-IE"/>
        </w:rPr>
        <w:t xml:space="preserve"> </w:t>
      </w:r>
      <w:r w:rsidRPr="001C2FE3">
        <w:rPr>
          <w:lang w:eastAsia="en-IE"/>
        </w:rPr>
        <w:t xml:space="preserve">found </w:t>
      </w:r>
      <w:r w:rsidR="00A03494">
        <w:rPr>
          <w:lang w:eastAsia="en-IE"/>
        </w:rPr>
        <w:t xml:space="preserve">that </w:t>
      </w:r>
      <w:r w:rsidRPr="001C2FE3">
        <w:rPr>
          <w:szCs w:val="24"/>
          <w:lang w:eastAsia="en-IE"/>
        </w:rPr>
        <w:t>there are a range of risks associated with private residential care</w:t>
      </w:r>
      <w:r w:rsidR="00AD717B" w:rsidRPr="001C2FE3">
        <w:rPr>
          <w:szCs w:val="24"/>
          <w:lang w:eastAsia="en-IE"/>
        </w:rPr>
        <w:t xml:space="preserve"> that could have </w:t>
      </w:r>
      <w:r w:rsidR="00E548A0">
        <w:rPr>
          <w:szCs w:val="24"/>
          <w:lang w:eastAsia="en-IE"/>
        </w:rPr>
        <w:t xml:space="preserve">an </w:t>
      </w:r>
      <w:r w:rsidR="00AD717B" w:rsidRPr="001C2FE3">
        <w:rPr>
          <w:szCs w:val="24"/>
          <w:lang w:eastAsia="en-IE"/>
        </w:rPr>
        <w:t>impact on disabled children and young people</w:t>
      </w:r>
      <w:r w:rsidRPr="001C2FE3">
        <w:rPr>
          <w:lang w:eastAsia="en-IE"/>
        </w:rPr>
        <w:t xml:space="preserve">. </w:t>
      </w:r>
      <w:bookmarkStart w:id="1" w:name="_Hlk215992597"/>
      <w:r w:rsidR="00AD717B" w:rsidRPr="001C2FE3">
        <w:rPr>
          <w:lang w:eastAsia="en-IE"/>
        </w:rPr>
        <w:t xml:space="preserve">In particular, he noted the concern that </w:t>
      </w:r>
      <w:r w:rsidR="00AD717B" w:rsidRPr="001C2FE3">
        <w:t>they are more risk-averse (driven in part by pressure from insurers in the Irish context) and therefore reluctant to cater for children who present with more challenging behaviour. He also noted that the</w:t>
      </w:r>
      <w:r w:rsidR="00581364" w:rsidRPr="001C2FE3">
        <w:t>ir staff are less qualified on average</w:t>
      </w:r>
      <w:r w:rsidR="005845D5">
        <w:t xml:space="preserve"> than staff funded through the public sector</w:t>
      </w:r>
      <w:r w:rsidR="00581364" w:rsidRPr="001C2FE3">
        <w:t xml:space="preserve">, that they experience more frequent staff turnover, and that it has created a two-tier system </w:t>
      </w:r>
      <w:r w:rsidRPr="001C2FE3">
        <w:rPr>
          <w:lang w:eastAsia="en-IE"/>
        </w:rPr>
        <w:t>(</w:t>
      </w:r>
      <w:r w:rsidRPr="001C2FE3">
        <w:rPr>
          <w:szCs w:val="24"/>
        </w:rPr>
        <w:t xml:space="preserve">with </w:t>
      </w:r>
      <w:proofErr w:type="spellStart"/>
      <w:r w:rsidRPr="001C2FE3">
        <w:rPr>
          <w:szCs w:val="24"/>
        </w:rPr>
        <w:t>Tusla</w:t>
      </w:r>
      <w:proofErr w:type="spellEnd"/>
      <w:r w:rsidRPr="001C2FE3">
        <w:rPr>
          <w:szCs w:val="24"/>
        </w:rPr>
        <w:t>-owned centres inspected by HIQA</w:t>
      </w:r>
      <w:r w:rsidR="00581364" w:rsidRPr="001C2FE3">
        <w:rPr>
          <w:szCs w:val="24"/>
        </w:rPr>
        <w:t xml:space="preserve"> and </w:t>
      </w:r>
      <w:r w:rsidRPr="001C2FE3">
        <w:rPr>
          <w:szCs w:val="24"/>
        </w:rPr>
        <w:t>pri</w:t>
      </w:r>
      <w:r w:rsidRPr="001C2FE3">
        <w:t xml:space="preserve">vately owned </w:t>
      </w:r>
      <w:r w:rsidR="00581364" w:rsidRPr="001C2FE3">
        <w:t xml:space="preserve">ones </w:t>
      </w:r>
      <w:r w:rsidRPr="001C2FE3">
        <w:t xml:space="preserve">inspected by </w:t>
      </w:r>
      <w:proofErr w:type="spellStart"/>
      <w:r w:rsidRPr="001C2FE3">
        <w:t>Tusla</w:t>
      </w:r>
      <w:proofErr w:type="spellEnd"/>
      <w:r w:rsidRPr="001C2FE3">
        <w:t>)</w:t>
      </w:r>
      <w:r w:rsidR="00581364" w:rsidRPr="001C2FE3">
        <w:t>.</w:t>
      </w:r>
      <w:r w:rsidR="00A03494">
        <w:rPr>
          <w:rStyle w:val="FootnoteReference"/>
        </w:rPr>
        <w:footnoteReference w:id="4"/>
      </w:r>
    </w:p>
    <w:bookmarkEnd w:id="1"/>
    <w:p w14:paraId="766ADB95" w14:textId="16FB3882" w:rsidR="00724FC9" w:rsidRPr="001C2FE3" w:rsidRDefault="00EB3956" w:rsidP="0055294F">
      <w:r w:rsidRPr="001C2FE3">
        <w:t xml:space="preserve">Taking a wider perspective, </w:t>
      </w:r>
      <w:r w:rsidR="00695AD4" w:rsidRPr="001C2FE3">
        <w:t>there is an intersection between disability, poverty and exclusion</w:t>
      </w:r>
      <w:r w:rsidR="00A03494">
        <w:t xml:space="preserve"> that requires a holistic, whole-of-government </w:t>
      </w:r>
      <w:r w:rsidR="00A03494">
        <w:lastRenderedPageBreak/>
        <w:t>approach to</w:t>
      </w:r>
      <w:r w:rsidR="00695AD4" w:rsidRPr="001C2FE3">
        <w:t xml:space="preserve"> alternative care. </w:t>
      </w:r>
      <w:r w:rsidR="008E1449">
        <w:t xml:space="preserve">While concrete data is not available, </w:t>
      </w:r>
      <w:r w:rsidR="00C4469E">
        <w:t xml:space="preserve">it is understood that </w:t>
      </w:r>
      <w:r w:rsidR="00501540" w:rsidRPr="001C2FE3">
        <w:t>a significant proportion of care-experienced children have a disability.</w:t>
      </w:r>
      <w:r w:rsidR="00C4469E">
        <w:rPr>
          <w:rStyle w:val="FootnoteReference"/>
        </w:rPr>
        <w:footnoteReference w:id="5"/>
      </w:r>
      <w:r w:rsidR="00501540" w:rsidRPr="001C2FE3">
        <w:t xml:space="preserve"> As they transition out of the care system, th</w:t>
      </w:r>
      <w:r w:rsidR="00C4469E">
        <w:t xml:space="preserve">ey </w:t>
      </w:r>
      <w:r w:rsidR="00501540" w:rsidRPr="001C2FE3">
        <w:t>risk facing compounded</w:t>
      </w:r>
      <w:r w:rsidR="001901B9" w:rsidRPr="001C2FE3">
        <w:t xml:space="preserve"> and life-long</w:t>
      </w:r>
      <w:r w:rsidR="00501540" w:rsidRPr="001C2FE3">
        <w:t xml:space="preserve"> challenges arising from both their disability and their lived experience before and during </w:t>
      </w:r>
      <w:r w:rsidR="00C4469E">
        <w:t xml:space="preserve">their </w:t>
      </w:r>
      <w:r w:rsidR="00501540" w:rsidRPr="001C2FE3">
        <w:t xml:space="preserve">time in care. Meanwhile, </w:t>
      </w:r>
      <w:r w:rsidR="001901B9" w:rsidRPr="001C2FE3">
        <w:t>families affected by disability face heightened risk of exclusion</w:t>
      </w:r>
      <w:r w:rsidR="002D492D">
        <w:t xml:space="preserve">, </w:t>
      </w:r>
      <w:r w:rsidR="001901B9" w:rsidRPr="001C2FE3">
        <w:t>poverty</w:t>
      </w:r>
      <w:r w:rsidR="002D492D">
        <w:t xml:space="preserve"> and stress</w:t>
      </w:r>
      <w:r w:rsidR="001901B9" w:rsidRPr="001C2FE3">
        <w:t xml:space="preserve"> that may </w:t>
      </w:r>
      <w:r w:rsidR="00581364" w:rsidRPr="001C2FE3">
        <w:t>contribute to family breakdown</w:t>
      </w:r>
      <w:r w:rsidR="001901B9" w:rsidRPr="001C2FE3">
        <w:t xml:space="preserve">. </w:t>
      </w:r>
      <w:r w:rsidR="002D492D">
        <w:t xml:space="preserve">Factors here </w:t>
      </w:r>
      <w:r w:rsidR="001901B9" w:rsidRPr="001C2FE3">
        <w:t>include</w:t>
      </w:r>
      <w:r w:rsidR="002D492D">
        <w:t xml:space="preserve"> the impact of parents’ mental health challenges on family resilience; </w:t>
      </w:r>
      <w:r w:rsidR="001901B9" w:rsidRPr="001C2FE3">
        <w:t xml:space="preserve">barriers for disabled children and young people accessing </w:t>
      </w:r>
      <w:r w:rsidR="00501540" w:rsidRPr="001C2FE3">
        <w:t>both formal and non-formal education</w:t>
      </w:r>
      <w:r w:rsidR="002D492D">
        <w:t>;</w:t>
      </w:r>
      <w:r w:rsidR="001901B9" w:rsidRPr="001C2FE3">
        <w:t xml:space="preserve"> as well as barriers </w:t>
      </w:r>
      <w:r w:rsidR="002D492D">
        <w:t>to their participation, and the participation of their parents/guardians, in the labour m</w:t>
      </w:r>
      <w:r w:rsidR="001901B9" w:rsidRPr="001C2FE3">
        <w:t>arket</w:t>
      </w:r>
      <w:r w:rsidR="002D492D">
        <w:t>.</w:t>
      </w:r>
    </w:p>
    <w:p w14:paraId="0C222CD1" w14:textId="79BB7BE8" w:rsidR="004E2BAD" w:rsidRPr="001C2FE3" w:rsidRDefault="003146D3" w:rsidP="000A1A2B">
      <w:pPr>
        <w:rPr>
          <w:lang w:eastAsia="en-IE"/>
        </w:rPr>
      </w:pPr>
      <w:r w:rsidRPr="001C2FE3">
        <w:rPr>
          <w:lang w:eastAsia="en-IE"/>
        </w:rPr>
        <w:t>Noting this context, the NDA</w:t>
      </w:r>
      <w:r w:rsidR="0051528C" w:rsidRPr="001C2FE3">
        <w:rPr>
          <w:lang w:eastAsia="en-IE"/>
        </w:rPr>
        <w:t xml:space="preserve"> welcomes the Department of Children, Disability and Equality’s commitment to </w:t>
      </w:r>
      <w:r w:rsidR="00861C40" w:rsidRPr="001C2FE3">
        <w:rPr>
          <w:lang w:eastAsia="en-IE"/>
        </w:rPr>
        <w:t>a whole-of-government approach to alternative care and draws attention to the following key issues</w:t>
      </w:r>
      <w:r w:rsidR="000A1A2B">
        <w:rPr>
          <w:lang w:eastAsia="en-IE"/>
        </w:rPr>
        <w:t xml:space="preserve"> that are critical to the delivery of an alternative care system in which disabled children and young people are safe,</w:t>
      </w:r>
      <w:r w:rsidR="002D492D">
        <w:rPr>
          <w:lang w:eastAsia="en-IE"/>
        </w:rPr>
        <w:t xml:space="preserve"> supported</w:t>
      </w:r>
      <w:r w:rsidR="000A1A2B">
        <w:rPr>
          <w:lang w:eastAsia="en-IE"/>
        </w:rPr>
        <w:t xml:space="preserve"> and can </w:t>
      </w:r>
      <w:r w:rsidR="002D492D">
        <w:rPr>
          <w:lang w:eastAsia="en-IE"/>
        </w:rPr>
        <w:t>realise</w:t>
      </w:r>
      <w:r w:rsidR="000A1A2B">
        <w:rPr>
          <w:lang w:eastAsia="en-IE"/>
        </w:rPr>
        <w:t xml:space="preserve"> their rights</w:t>
      </w:r>
      <w:r w:rsidR="002D492D">
        <w:rPr>
          <w:lang w:eastAsia="en-IE"/>
        </w:rPr>
        <w:t xml:space="preserve"> and potential</w:t>
      </w:r>
      <w:r w:rsidR="000A1A2B">
        <w:rPr>
          <w:lang w:eastAsia="en-IE"/>
        </w:rPr>
        <w:t xml:space="preserve"> on an equal basis with others. </w:t>
      </w:r>
      <w:bookmarkEnd w:id="0"/>
    </w:p>
    <w:p w14:paraId="708CB8C4" w14:textId="55662FDD" w:rsidR="002D5102" w:rsidRPr="001C2FE3" w:rsidRDefault="002D5102" w:rsidP="0055294F">
      <w:pPr>
        <w:pStyle w:val="Heading1"/>
      </w:pPr>
      <w:r w:rsidRPr="001C2FE3">
        <w:t xml:space="preserve">Issue 1: </w:t>
      </w:r>
      <w:r w:rsidR="00FB5830" w:rsidRPr="001C2FE3">
        <w:t xml:space="preserve">Interagency </w:t>
      </w:r>
      <w:r w:rsidR="00E548A0">
        <w:t>c</w:t>
      </w:r>
      <w:r w:rsidR="00FB5830" w:rsidRPr="001C2FE3">
        <w:t xml:space="preserve">oordination underpinned by </w:t>
      </w:r>
      <w:r w:rsidR="00E548A0">
        <w:t>d</w:t>
      </w:r>
      <w:r w:rsidR="00FB5830" w:rsidRPr="001C2FE3">
        <w:t xml:space="preserve">isability </w:t>
      </w:r>
      <w:r w:rsidR="00E548A0">
        <w:t>i</w:t>
      </w:r>
      <w:r w:rsidR="00FB5830" w:rsidRPr="001C2FE3">
        <w:t xml:space="preserve">nclusive </w:t>
      </w:r>
      <w:r w:rsidR="00E548A0">
        <w:t>legislation and policy</w:t>
      </w:r>
      <w:r w:rsidR="003A534D" w:rsidRPr="001C2FE3">
        <w:t xml:space="preserve"> </w:t>
      </w:r>
    </w:p>
    <w:p w14:paraId="5856841B" w14:textId="3F224BB3" w:rsidR="00314EB6" w:rsidRPr="001C2FE3" w:rsidRDefault="00314EB6" w:rsidP="0055294F">
      <w:pPr>
        <w:pStyle w:val="Heading2"/>
      </w:pPr>
      <w:r w:rsidRPr="001C2FE3">
        <w:t xml:space="preserve">Strengthening interagency coordination </w:t>
      </w:r>
    </w:p>
    <w:p w14:paraId="0D7A4F1B" w14:textId="58F840B4" w:rsidR="009073A5" w:rsidRPr="001C2FE3" w:rsidRDefault="00E971C6" w:rsidP="0055294F">
      <w:r>
        <w:t>P</w:t>
      </w:r>
      <w:r w:rsidR="00CC3217" w:rsidRPr="001C2FE3">
        <w:t xml:space="preserve">roblems with poor coordination between agencies, and a lack of clarity around roles and responsibilities for children with complex difficulties </w:t>
      </w:r>
      <w:r w:rsidR="00F36989" w:rsidRPr="001C2FE3">
        <w:t>in the care system</w:t>
      </w:r>
      <w:r>
        <w:t>,</w:t>
      </w:r>
      <w:r w:rsidR="00F36989" w:rsidRPr="001C2FE3">
        <w:t xml:space="preserve"> are well documented</w:t>
      </w:r>
      <w:r w:rsidR="00CC3217" w:rsidRPr="001C2FE3">
        <w:t>.</w:t>
      </w:r>
      <w:r w:rsidR="00F36989" w:rsidRPr="001C2FE3">
        <w:t xml:space="preserve"> </w:t>
      </w:r>
      <w:r w:rsidR="00CC3217" w:rsidRPr="001C2FE3">
        <w:t>The O</w:t>
      </w:r>
      <w:r w:rsidR="00861C40" w:rsidRPr="001C2FE3">
        <w:t>CO</w:t>
      </w:r>
      <w:r w:rsidR="00581364" w:rsidRPr="001C2FE3">
        <w:t>’s reports on Jack’s Case and Molly’s Case (cited above)</w:t>
      </w:r>
      <w:r w:rsidR="00CC3217" w:rsidRPr="001C2FE3">
        <w:t xml:space="preserve"> </w:t>
      </w:r>
      <w:r w:rsidR="00581364" w:rsidRPr="001C2FE3">
        <w:t>fo</w:t>
      </w:r>
      <w:r w:rsidR="00CC3217" w:rsidRPr="001C2FE3">
        <w:t xml:space="preserve">und a lack of coordination between the HSE and </w:t>
      </w:r>
      <w:proofErr w:type="spellStart"/>
      <w:r w:rsidR="00CC3217" w:rsidRPr="001C2FE3">
        <w:t>Tusla</w:t>
      </w:r>
      <w:proofErr w:type="spellEnd"/>
      <w:r w:rsidR="00CC3217" w:rsidRPr="001C2FE3">
        <w:t xml:space="preserve"> in supporting children with disabilities in the care of the state</w:t>
      </w:r>
      <w:r w:rsidR="00764FBE" w:rsidRPr="001C2FE3">
        <w:t xml:space="preserve">. </w:t>
      </w:r>
      <w:r w:rsidR="00204D5F" w:rsidRPr="001C2FE3">
        <w:t>The Health Information and Quality Authority (</w:t>
      </w:r>
      <w:r w:rsidR="00CE195B" w:rsidRPr="001C2FE3">
        <w:t>HIQA</w:t>
      </w:r>
      <w:r w:rsidR="00204D5F" w:rsidRPr="001C2FE3">
        <w:t>)</w:t>
      </w:r>
      <w:r w:rsidR="00CE195B" w:rsidRPr="001C2FE3">
        <w:t xml:space="preserve"> and Mental Health Commi</w:t>
      </w:r>
      <w:r w:rsidR="00CC3217" w:rsidRPr="001C2FE3">
        <w:t>ssion</w:t>
      </w:r>
      <w:r w:rsidR="00204D5F" w:rsidRPr="001C2FE3">
        <w:t xml:space="preserve"> (MHC)</w:t>
      </w:r>
      <w:r w:rsidR="00CC3217" w:rsidRPr="001C2FE3">
        <w:t xml:space="preserve"> highlighted the critical need for improving interagency working across health and social care services </w:t>
      </w:r>
      <w:r w:rsidR="005845D5">
        <w:t>for</w:t>
      </w:r>
      <w:r w:rsidR="00CC3217" w:rsidRPr="001C2FE3">
        <w:t xml:space="preserve"> children. While noting good practice examples, </w:t>
      </w:r>
      <w:r w:rsidR="00204D5F" w:rsidRPr="001C2FE3">
        <w:t>the</w:t>
      </w:r>
      <w:r w:rsidR="00C00BB7" w:rsidRPr="001C2FE3">
        <w:t>y</w:t>
      </w:r>
      <w:r w:rsidR="00F36989" w:rsidRPr="001C2FE3">
        <w:t xml:space="preserve"> reported inconsistent implementation of the</w:t>
      </w:r>
      <w:r w:rsidR="00861C40" w:rsidRPr="001C2FE3">
        <w:t xml:space="preserve"> </w:t>
      </w:r>
      <w:hyperlink r:id="rId19" w:history="1">
        <w:r w:rsidR="00861C40" w:rsidRPr="001C2FE3">
          <w:rPr>
            <w:rStyle w:val="Hyperlink"/>
            <w:lang w:eastAsia="en-IE"/>
          </w:rPr>
          <w:t xml:space="preserve">Joint Protocol for Interagency Collaboration between the Health Service Executive and </w:t>
        </w:r>
        <w:proofErr w:type="spellStart"/>
        <w:r w:rsidR="00861C40" w:rsidRPr="001C2FE3">
          <w:rPr>
            <w:rStyle w:val="Hyperlink"/>
            <w:lang w:eastAsia="en-IE"/>
          </w:rPr>
          <w:t>Tusla</w:t>
        </w:r>
        <w:proofErr w:type="spellEnd"/>
      </w:hyperlink>
      <w:r w:rsidR="00861C40" w:rsidRPr="001C2FE3">
        <w:rPr>
          <w:lang w:eastAsia="en-IE"/>
        </w:rPr>
        <w:t xml:space="preserve"> (the Joint Working Protocol) </w:t>
      </w:r>
      <w:r w:rsidR="00F36989" w:rsidRPr="001C2FE3">
        <w:t xml:space="preserve">and </w:t>
      </w:r>
      <w:r w:rsidR="00CC3217" w:rsidRPr="001C2FE3">
        <w:t xml:space="preserve">found </w:t>
      </w:r>
      <w:r w:rsidR="00764FBE" w:rsidRPr="001C2FE3">
        <w:t>a “</w:t>
      </w:r>
      <w:r w:rsidR="00245DF8" w:rsidRPr="001C2FE3">
        <w:t>tendency of services to work in silos and a lack of formal working arrangements</w:t>
      </w:r>
      <w:r w:rsidR="00EA42FE">
        <w:t xml:space="preserve">… </w:t>
      </w:r>
      <w:r w:rsidR="00245DF8" w:rsidRPr="001C2FE3">
        <w:t>to support different services to work together in a more coordinated and collaborative way</w:t>
      </w:r>
      <w:r w:rsidR="00204D5F" w:rsidRPr="001C2FE3">
        <w:t>.</w:t>
      </w:r>
      <w:r w:rsidR="00F36989" w:rsidRPr="001C2FE3">
        <w:t>”</w:t>
      </w:r>
      <w:r w:rsidR="00204D5F" w:rsidRPr="001C2FE3">
        <w:rPr>
          <w:rStyle w:val="FootnoteReference"/>
        </w:rPr>
        <w:footnoteReference w:id="6"/>
      </w:r>
      <w:r w:rsidR="00F36989" w:rsidRPr="001C2FE3">
        <w:t xml:space="preserve"> </w:t>
      </w:r>
    </w:p>
    <w:p w14:paraId="04361AC2" w14:textId="32A9D5C8" w:rsidR="009073A5" w:rsidRPr="001C2FE3" w:rsidRDefault="009073A5" w:rsidP="0055294F">
      <w:r w:rsidRPr="001C2FE3">
        <w:t>The U</w:t>
      </w:r>
      <w:r w:rsidR="00E971C6">
        <w:t xml:space="preserve">N </w:t>
      </w:r>
      <w:r w:rsidRPr="001C2FE3">
        <w:t>Committee on the Rights of the Child</w:t>
      </w:r>
      <w:r w:rsidR="006541F5">
        <w:t xml:space="preserve"> (CRC)</w:t>
      </w:r>
      <w:r w:rsidRPr="001C2FE3">
        <w:t xml:space="preserve"> recommended that the State review the effectiveness of existing mechanisms for facilitating </w:t>
      </w:r>
      <w:r w:rsidRPr="001C2FE3">
        <w:lastRenderedPageBreak/>
        <w:t>interagency coordination on activities affecting children.</w:t>
      </w:r>
      <w:r w:rsidR="00EA42FE">
        <w:rPr>
          <w:rStyle w:val="FootnoteReference"/>
        </w:rPr>
        <w:footnoteReference w:id="7"/>
      </w:r>
      <w:r w:rsidR="00314EB6" w:rsidRPr="001C2FE3">
        <w:t xml:space="preserve"> Similarly, the </w:t>
      </w:r>
      <w:r w:rsidR="00314EB6" w:rsidRPr="00EA42FE">
        <w:t>Special Rapporteur on Child Protection</w:t>
      </w:r>
      <w:r w:rsidR="00314EB6" w:rsidRPr="001C2FE3">
        <w:t xml:space="preserve"> found that a “key issue for children in care who have complex needs appears to be that no one agency assumes responsibility and ensures that they receive the support and services that they need”.</w:t>
      </w:r>
      <w:r w:rsidR="00EA42FE">
        <w:rPr>
          <w:rStyle w:val="FootnoteReference"/>
        </w:rPr>
        <w:footnoteReference w:id="8"/>
      </w:r>
    </w:p>
    <w:p w14:paraId="08DFDA32" w14:textId="38C7ECFF" w:rsidR="004202F9" w:rsidRPr="001C2FE3" w:rsidRDefault="004202F9" w:rsidP="00204D5F">
      <w:r w:rsidRPr="001C2FE3">
        <w:t xml:space="preserve">The National Review Panel’s </w:t>
      </w:r>
      <w:hyperlink r:id="rId20" w:history="1">
        <w:r w:rsidRPr="001C2FE3">
          <w:rPr>
            <w:rStyle w:val="Hyperlink"/>
          </w:rPr>
          <w:t>2024 Report</w:t>
        </w:r>
      </w:hyperlink>
      <w:r w:rsidRPr="001C2FE3">
        <w:t xml:space="preserve"> noted the need for greater clarity in procedural guidance about lead responsibility for the management and coordination of cases where children are at risk of significant harm associated with disability or mental health need</w:t>
      </w:r>
      <w:r w:rsidR="00204D5F" w:rsidRPr="001C2FE3">
        <w:t>. They recommended</w:t>
      </w:r>
      <w:r w:rsidRPr="001C2FE3">
        <w:t xml:space="preserve"> </w:t>
      </w:r>
      <w:r w:rsidRPr="00EA42FE">
        <w:t>(p.9)</w:t>
      </w:r>
      <w:r w:rsidR="00204D5F" w:rsidRPr="001C2FE3">
        <w:t xml:space="preserve"> that </w:t>
      </w:r>
      <w:proofErr w:type="spellStart"/>
      <w:r w:rsidRPr="001C2FE3">
        <w:t>Tusla</w:t>
      </w:r>
      <w:proofErr w:type="spellEnd"/>
      <w:r w:rsidRPr="001C2FE3">
        <w:t xml:space="preserve"> should develop a national policy and strategy to address the mental health needs of children in care</w:t>
      </w:r>
      <w:r w:rsidR="00204D5F" w:rsidRPr="001C2FE3">
        <w:t xml:space="preserve">, and that the Joint Working Protocol </w:t>
      </w:r>
      <w:r w:rsidRPr="001C2FE3">
        <w:t>needs further revision to assist in the management of contested cases.</w:t>
      </w:r>
    </w:p>
    <w:p w14:paraId="281F77C3" w14:textId="4C096920" w:rsidR="0046652E" w:rsidRPr="001C2FE3" w:rsidRDefault="0046652E" w:rsidP="0055294F">
      <w:r w:rsidRPr="001C2FE3">
        <w:t>Th</w:t>
      </w:r>
      <w:r w:rsidR="009073A5" w:rsidRPr="001C2FE3">
        <w:t>ese challenges were</w:t>
      </w:r>
      <w:r w:rsidRPr="001C2FE3">
        <w:t xml:space="preserve"> echoed in the data collected by the NDA as part of the </w:t>
      </w:r>
      <w:r w:rsidR="005845D5">
        <w:t xml:space="preserve">review of the </w:t>
      </w:r>
      <w:r w:rsidR="0065274C">
        <w:t>C</w:t>
      </w:r>
      <w:r w:rsidR="009428AF">
        <w:t>DNT</w:t>
      </w:r>
      <w:r w:rsidR="0065274C">
        <w:t xml:space="preserve"> </w:t>
      </w:r>
      <w:r w:rsidR="005845D5">
        <w:t>service model</w:t>
      </w:r>
      <w:r w:rsidRPr="001C2FE3">
        <w:t xml:space="preserve"> (findings pending), where poor coordination, unclear pathways and </w:t>
      </w:r>
      <w:r w:rsidR="00F36989" w:rsidRPr="001C2FE3">
        <w:t xml:space="preserve">uncertainty </w:t>
      </w:r>
      <w:r w:rsidRPr="001C2FE3">
        <w:t>between agencies around where responsibility sits in complex cases</w:t>
      </w:r>
      <w:r w:rsidR="00F36989" w:rsidRPr="001C2FE3">
        <w:t xml:space="preserve"> (such as where a disabled child’s family does not have capacity to cope)</w:t>
      </w:r>
      <w:r w:rsidRPr="001C2FE3">
        <w:t xml:space="preserve"> have been a feature of the review</w:t>
      </w:r>
      <w:r w:rsidR="00F36989" w:rsidRPr="001C2FE3">
        <w:t>.</w:t>
      </w:r>
    </w:p>
    <w:p w14:paraId="493781F2" w14:textId="3EF3BA47" w:rsidR="009133FA" w:rsidRPr="001C2FE3" w:rsidRDefault="004202F9" w:rsidP="0055294F">
      <w:r w:rsidRPr="001C2FE3">
        <w:t>In this context, t</w:t>
      </w:r>
      <w:r w:rsidR="00335DBD" w:rsidRPr="001C2FE3">
        <w:t>he NDA welcomes the</w:t>
      </w:r>
      <w:r w:rsidR="00AF2779">
        <w:t xml:space="preserve"> recent publication of</w:t>
      </w:r>
      <w:r w:rsidR="00335DBD" w:rsidRPr="001C2FE3">
        <w:t xml:space="preserve"> the Child Care (Amendment) Bill 2025</w:t>
      </w:r>
      <w:r w:rsidR="00DD254D" w:rsidRPr="001C2FE3">
        <w:t xml:space="preserve">, which </w:t>
      </w:r>
      <w:r w:rsidR="00AF2779">
        <w:t xml:space="preserve">would introduce (if enacted) </w:t>
      </w:r>
      <w:r w:rsidR="00DD254D" w:rsidRPr="001C2FE3">
        <w:t xml:space="preserve">a statutory duty to cooperate, a clear basis for sharing information between agencies and the establishment of a Child Care Implementation and Inter-Agency Committee to support coordination in the delivery of services to children and families known to </w:t>
      </w:r>
      <w:proofErr w:type="spellStart"/>
      <w:r w:rsidR="00DD254D" w:rsidRPr="001C2FE3">
        <w:t>Tusla</w:t>
      </w:r>
      <w:proofErr w:type="spellEnd"/>
      <w:r w:rsidR="00DD254D" w:rsidRPr="001C2FE3">
        <w:t xml:space="preserve">. </w:t>
      </w:r>
    </w:p>
    <w:p w14:paraId="4248E00F" w14:textId="77777777" w:rsidR="004D02FF" w:rsidRDefault="009133FA" w:rsidP="0055294F">
      <w:r w:rsidRPr="001C2FE3">
        <w:t>The NDA advises, in develop</w:t>
      </w:r>
      <w:r w:rsidR="00C00BB7" w:rsidRPr="001C2FE3">
        <w:t>ing</w:t>
      </w:r>
      <w:r w:rsidRPr="001C2FE3">
        <w:t xml:space="preserve"> </w:t>
      </w:r>
      <w:r w:rsidR="0046652E" w:rsidRPr="001C2FE3">
        <w:t xml:space="preserve">a policy framework on alternative care, </w:t>
      </w:r>
      <w:r w:rsidRPr="001C2FE3">
        <w:t xml:space="preserve">that </w:t>
      </w:r>
      <w:r w:rsidR="0046652E" w:rsidRPr="001C2FE3">
        <w:t>consideration be given to how</w:t>
      </w:r>
      <w:r w:rsidR="009073A5" w:rsidRPr="001C2FE3">
        <w:t xml:space="preserve"> such</w:t>
      </w:r>
      <w:r w:rsidR="0046652E" w:rsidRPr="001C2FE3">
        <w:t xml:space="preserve"> </w:t>
      </w:r>
      <w:r w:rsidRPr="001C2FE3">
        <w:t xml:space="preserve">statutory provision for interagency coordination can be delivered in practice – including </w:t>
      </w:r>
      <w:r w:rsidR="00C00BB7" w:rsidRPr="001C2FE3">
        <w:t>by</w:t>
      </w:r>
      <w:r w:rsidR="009073A5" w:rsidRPr="001C2FE3">
        <w:t xml:space="preserve"> articulating</w:t>
      </w:r>
      <w:r w:rsidR="004D02FF">
        <w:t>:</w:t>
      </w:r>
      <w:r w:rsidR="009073A5" w:rsidRPr="001C2FE3">
        <w:t xml:space="preserve"> </w:t>
      </w:r>
    </w:p>
    <w:p w14:paraId="5F39C94D" w14:textId="7A7197B5" w:rsidR="004D02FF" w:rsidRDefault="009073A5" w:rsidP="004D02FF">
      <w:pPr>
        <w:pStyle w:val="ListParagraph"/>
        <w:numPr>
          <w:ilvl w:val="0"/>
          <w:numId w:val="33"/>
        </w:numPr>
      </w:pPr>
      <w:r w:rsidRPr="001C2FE3">
        <w:t>clear organisational responsibilities</w:t>
      </w:r>
      <w:r w:rsidR="00314EB6" w:rsidRPr="001C2FE3">
        <w:t xml:space="preserve"> across relevant </w:t>
      </w:r>
      <w:r w:rsidR="004202F9" w:rsidRPr="001C2FE3">
        <w:t>health and social care agencies</w:t>
      </w:r>
      <w:r w:rsidR="004D02FF">
        <w:t>,</w:t>
      </w:r>
    </w:p>
    <w:p w14:paraId="170C0F1D" w14:textId="77777777" w:rsidR="004D02FF" w:rsidRDefault="009073A5" w:rsidP="004D02FF">
      <w:pPr>
        <w:pStyle w:val="ListParagraph"/>
        <w:numPr>
          <w:ilvl w:val="0"/>
          <w:numId w:val="33"/>
        </w:numPr>
      </w:pPr>
      <w:r w:rsidRPr="001C2FE3">
        <w:t>practical system</w:t>
      </w:r>
      <w:r w:rsidR="003739FC" w:rsidRPr="001C2FE3">
        <w:t>s</w:t>
      </w:r>
      <w:r w:rsidRPr="001C2FE3">
        <w:t xml:space="preserve"> to formalise working arrangements</w:t>
      </w:r>
      <w:r w:rsidR="000A6657" w:rsidRPr="001C2FE3">
        <w:t>,</w:t>
      </w:r>
      <w:r w:rsidRPr="001C2FE3">
        <w:t xml:space="preserve"> </w:t>
      </w:r>
    </w:p>
    <w:p w14:paraId="2B770666" w14:textId="77777777" w:rsidR="004D02FF" w:rsidRDefault="009133FA" w:rsidP="004D02FF">
      <w:pPr>
        <w:pStyle w:val="ListParagraph"/>
        <w:numPr>
          <w:ilvl w:val="0"/>
          <w:numId w:val="33"/>
        </w:numPr>
      </w:pPr>
      <w:r w:rsidRPr="001C2FE3">
        <w:t>effective monitoring and accountability mechanisms</w:t>
      </w:r>
      <w:r w:rsidR="000A6657" w:rsidRPr="001C2FE3">
        <w:t xml:space="preserve">, and </w:t>
      </w:r>
    </w:p>
    <w:p w14:paraId="73E734D9" w14:textId="44AC9258" w:rsidR="00335DBD" w:rsidRPr="001C2FE3" w:rsidRDefault="000A6657" w:rsidP="004D02FF">
      <w:pPr>
        <w:pStyle w:val="ListParagraph"/>
        <w:numPr>
          <w:ilvl w:val="0"/>
          <w:numId w:val="33"/>
        </w:numPr>
      </w:pPr>
      <w:r w:rsidRPr="001C2FE3">
        <w:t>making provision for adequate staff training</w:t>
      </w:r>
      <w:r w:rsidR="00C00BB7" w:rsidRPr="001C2FE3">
        <w:t xml:space="preserve"> on this issue</w:t>
      </w:r>
      <w:r w:rsidRPr="001C2FE3">
        <w:t>.</w:t>
      </w:r>
    </w:p>
    <w:p w14:paraId="1F8EDBAC" w14:textId="201B63CF" w:rsidR="00A711A1" w:rsidRPr="001C2FE3" w:rsidRDefault="00A711A1" w:rsidP="0055294F">
      <w:pPr>
        <w:pStyle w:val="Heading2"/>
        <w:rPr>
          <w:lang w:eastAsia="en-IE"/>
        </w:rPr>
      </w:pPr>
      <w:r w:rsidRPr="001C2FE3">
        <w:rPr>
          <w:lang w:eastAsia="en-IE"/>
        </w:rPr>
        <w:lastRenderedPageBreak/>
        <w:t xml:space="preserve">Making </w:t>
      </w:r>
      <w:r w:rsidR="00314EB6" w:rsidRPr="001C2FE3">
        <w:rPr>
          <w:lang w:eastAsia="en-IE"/>
        </w:rPr>
        <w:t>explicit provision for care-experienced disabled children to support equitable access</w:t>
      </w:r>
    </w:p>
    <w:p w14:paraId="758A9E07" w14:textId="20FD50B9" w:rsidR="00A711A1" w:rsidRPr="001C2FE3" w:rsidRDefault="00586CDF" w:rsidP="0055294F">
      <w:pPr>
        <w:rPr>
          <w:lang w:eastAsia="en-IE"/>
        </w:rPr>
      </w:pPr>
      <w:r w:rsidRPr="001C2FE3">
        <w:rPr>
          <w:lang w:eastAsia="en-IE"/>
        </w:rPr>
        <w:t>The OCO</w:t>
      </w:r>
      <w:r w:rsidR="00A711A1" w:rsidRPr="001C2FE3">
        <w:rPr>
          <w:lang w:eastAsia="en-IE"/>
        </w:rPr>
        <w:t xml:space="preserve">’s </w:t>
      </w:r>
      <w:r w:rsidR="008C32FE" w:rsidRPr="001C2FE3">
        <w:rPr>
          <w:lang w:eastAsia="en-IE"/>
        </w:rPr>
        <w:t>2021</w:t>
      </w:r>
      <w:r w:rsidR="00A711A1" w:rsidRPr="001C2FE3">
        <w:rPr>
          <w:lang w:eastAsia="en-IE"/>
        </w:rPr>
        <w:t xml:space="preserve"> research on barriers to the </w:t>
      </w:r>
      <w:r w:rsidR="004202F9" w:rsidRPr="001C2FE3">
        <w:rPr>
          <w:lang w:eastAsia="en-IE"/>
        </w:rPr>
        <w:t>realisation</w:t>
      </w:r>
      <w:r w:rsidR="00A711A1" w:rsidRPr="001C2FE3">
        <w:rPr>
          <w:lang w:eastAsia="en-IE"/>
        </w:rPr>
        <w:t xml:space="preserve"> of the rights of children with disabilities in Ireland,</w:t>
      </w:r>
      <w:r w:rsidR="00C00BB7" w:rsidRPr="001C2FE3">
        <w:rPr>
          <w:lang w:eastAsia="en-IE"/>
        </w:rPr>
        <w:t xml:space="preserve"> </w:t>
      </w:r>
      <w:hyperlink r:id="rId21" w:history="1">
        <w:r w:rsidR="00C00BB7" w:rsidRPr="001C2FE3">
          <w:rPr>
            <w:rStyle w:val="Hyperlink"/>
            <w:lang w:eastAsia="en-IE"/>
          </w:rPr>
          <w:t>Mind the Gap</w:t>
        </w:r>
      </w:hyperlink>
      <w:r w:rsidR="00C00BB7" w:rsidRPr="001C2FE3">
        <w:rPr>
          <w:lang w:eastAsia="en-IE"/>
        </w:rPr>
        <w:t xml:space="preserve">, </w:t>
      </w:r>
      <w:r w:rsidR="00A711A1" w:rsidRPr="001C2FE3">
        <w:rPr>
          <w:lang w:eastAsia="en-IE"/>
        </w:rPr>
        <w:t xml:space="preserve">found that the implicit or explicit exclusion of disabled children in child-focused laws, policies and programmes is a pervasive barrier. </w:t>
      </w:r>
      <w:r w:rsidR="003739FC" w:rsidRPr="001C2FE3">
        <w:rPr>
          <w:lang w:eastAsia="en-IE"/>
        </w:rPr>
        <w:t>The OCO noted that t</w:t>
      </w:r>
      <w:r w:rsidR="00A711A1" w:rsidRPr="001C2FE3">
        <w:rPr>
          <w:lang w:eastAsia="en-IE"/>
        </w:rPr>
        <w:t>he Child Care Act 1991, which – pending amendment – governs the provision of child welfare and protection services, is not inclusive of children with disabilities</w:t>
      </w:r>
      <w:r w:rsidR="00512DAC" w:rsidRPr="001C2FE3">
        <w:rPr>
          <w:lang w:eastAsia="en-IE"/>
        </w:rPr>
        <w:t xml:space="preserve">. </w:t>
      </w:r>
    </w:p>
    <w:p w14:paraId="403F7B54" w14:textId="6A34B588" w:rsidR="00550072" w:rsidRDefault="00550072" w:rsidP="0055294F">
      <w:r w:rsidRPr="001C2FE3">
        <w:rPr>
          <w:lang w:eastAsia="en-IE"/>
        </w:rPr>
        <w:t>EPIC’s research on the experiences of disabled children in the care system identified failures to make specific provision for needs arising from disability, finding that “several gaps in provision emerged, including a lack of coordination between agencies, insufficient awareness of available supports for children and young people with disabilities within the care system, and limited capacity to respond to ongoing support or accessibility needs.”</w:t>
      </w:r>
      <w:r w:rsidRPr="001C2FE3">
        <w:rPr>
          <w:rStyle w:val="FootnoteReference"/>
          <w:lang w:eastAsia="en-IE"/>
        </w:rPr>
        <w:footnoteReference w:id="9"/>
      </w:r>
      <w:r>
        <w:rPr>
          <w:lang w:eastAsia="en-IE"/>
        </w:rPr>
        <w:t xml:space="preserve"> Similarly, OCO in one </w:t>
      </w:r>
      <w:r w:rsidRPr="001C2FE3">
        <w:rPr>
          <w:lang w:eastAsia="en-IE"/>
        </w:rPr>
        <w:t xml:space="preserve">investigation </w:t>
      </w:r>
      <w:r>
        <w:rPr>
          <w:lang w:eastAsia="en-IE"/>
        </w:rPr>
        <w:t xml:space="preserve">found that neither the HSE nor </w:t>
      </w:r>
      <w:proofErr w:type="spellStart"/>
      <w:r>
        <w:rPr>
          <w:lang w:eastAsia="en-IE"/>
        </w:rPr>
        <w:t>Tusla</w:t>
      </w:r>
      <w:proofErr w:type="spellEnd"/>
      <w:r>
        <w:rPr>
          <w:lang w:eastAsia="en-IE"/>
        </w:rPr>
        <w:t xml:space="preserve"> saw the child in question as both a child in care and a child with a disability. This failure to take an intersectional approach to understanding </w:t>
      </w:r>
      <w:r w:rsidR="00BE2E9E">
        <w:rPr>
          <w:lang w:eastAsia="en-IE"/>
        </w:rPr>
        <w:t xml:space="preserve">the child’s </w:t>
      </w:r>
      <w:r>
        <w:rPr>
          <w:lang w:eastAsia="en-IE"/>
        </w:rPr>
        <w:t>needs affected the care provided.</w:t>
      </w:r>
      <w:r w:rsidRPr="001C2FE3">
        <w:rPr>
          <w:rStyle w:val="FootnoteReference"/>
          <w:lang w:eastAsia="en-IE"/>
        </w:rPr>
        <w:footnoteReference w:id="10"/>
      </w:r>
    </w:p>
    <w:p w14:paraId="4B770F16" w14:textId="12B89E39" w:rsidR="00FB5830" w:rsidRPr="001C2FE3" w:rsidRDefault="00EF64CB" w:rsidP="0055294F">
      <w:r w:rsidRPr="001C2FE3">
        <w:t xml:space="preserve">Article 23 of the </w:t>
      </w:r>
      <w:hyperlink r:id="rId22" w:history="1">
        <w:r w:rsidRPr="001C2FE3">
          <w:rPr>
            <w:rStyle w:val="Hyperlink"/>
          </w:rPr>
          <w:t>UN Convention on the Rights of Persons with Disabilities</w:t>
        </w:r>
      </w:hyperlink>
      <w:r w:rsidRPr="001C2FE3">
        <w:t xml:space="preserve"> enshrines the right to a family life as follows: “Where the immediate family is unable to care for a child with disabilities, undertake every effort to provide alternative care within the wider family, and failing that, within the community in a family setting”. In practice, however, disabled children face immense challenges in realising this right. </w:t>
      </w:r>
      <w:r w:rsidR="009B79C0">
        <w:t>For example, t</w:t>
      </w:r>
      <w:r w:rsidRPr="001C2FE3">
        <w:t xml:space="preserve">he OCO’s </w:t>
      </w:r>
      <w:r w:rsidR="00FB5830" w:rsidRPr="001C2FE3">
        <w:t xml:space="preserve">Mind the Gap report (citing research by the Child Care Law Reporting Project) </w:t>
      </w:r>
      <w:r w:rsidRPr="001C2FE3">
        <w:t xml:space="preserve">found </w:t>
      </w:r>
      <w:r w:rsidR="00FB5830" w:rsidRPr="001C2FE3">
        <w:t xml:space="preserve">that children who </w:t>
      </w:r>
      <w:r w:rsidR="00BE2E9E">
        <w:t>have an</w:t>
      </w:r>
      <w:r w:rsidR="00BE2E9E" w:rsidRPr="001C2FE3">
        <w:t xml:space="preserve"> </w:t>
      </w:r>
      <w:r w:rsidR="00FB5830" w:rsidRPr="001C2FE3">
        <w:t xml:space="preserve">intellectual </w:t>
      </w:r>
      <w:r w:rsidR="00BE2E9E">
        <w:t>disability</w:t>
      </w:r>
      <w:r w:rsidR="00BE2E9E" w:rsidRPr="001C2FE3">
        <w:t xml:space="preserve"> </w:t>
      </w:r>
      <w:r w:rsidR="00FB5830" w:rsidRPr="001C2FE3">
        <w:t xml:space="preserve">are disproportionately more likely to be taken into residential care than foster care: </w:t>
      </w:r>
      <w:bookmarkStart w:id="2" w:name="_Hlk216096868"/>
      <w:r w:rsidR="00FB5830" w:rsidRPr="001C2FE3">
        <w:t>“More than 90% of children in care are in foster family placements. When the data is disaggregated to take account of children with an intellectual disability, only 50% of children with an intellectual disability</w:t>
      </w:r>
      <w:r w:rsidR="00B16426">
        <w:t xml:space="preserve"> </w:t>
      </w:r>
      <w:r w:rsidR="00FB5830" w:rsidRPr="001C2FE3">
        <w:t>are placed in a foster care setting</w:t>
      </w:r>
      <w:r w:rsidR="00C3378D" w:rsidRPr="001C2FE3">
        <w:t>.</w:t>
      </w:r>
      <w:r w:rsidR="00FB5830" w:rsidRPr="001C2FE3">
        <w:t>”</w:t>
      </w:r>
      <w:r w:rsidR="00C3378D" w:rsidRPr="001C2FE3">
        <w:rPr>
          <w:rStyle w:val="FootnoteReference"/>
        </w:rPr>
        <w:footnoteReference w:id="11"/>
      </w:r>
      <w:bookmarkEnd w:id="2"/>
    </w:p>
    <w:p w14:paraId="04AF667B" w14:textId="6E197978" w:rsidR="002C6B78" w:rsidRPr="001C2FE3" w:rsidRDefault="004202F9" w:rsidP="0055294F">
      <w:pPr>
        <w:rPr>
          <w:lang w:eastAsia="en-IE"/>
        </w:rPr>
      </w:pPr>
      <w:r w:rsidRPr="001C2FE3">
        <w:rPr>
          <w:lang w:eastAsia="en-IE"/>
        </w:rPr>
        <w:t>Drawing on this learning, the NDA advises that a framework for alternative care</w:t>
      </w:r>
      <w:r w:rsidR="009A72FE" w:rsidRPr="001C2FE3">
        <w:rPr>
          <w:lang w:eastAsia="en-IE"/>
        </w:rPr>
        <w:t>, including relevant provisions in legislation, policy and guidance,</w:t>
      </w:r>
      <w:r w:rsidRPr="001C2FE3">
        <w:rPr>
          <w:lang w:eastAsia="en-IE"/>
        </w:rPr>
        <w:t xml:space="preserve"> should </w:t>
      </w:r>
      <w:r w:rsidR="009A72FE" w:rsidRPr="001C2FE3">
        <w:rPr>
          <w:lang w:eastAsia="en-IE"/>
        </w:rPr>
        <w:t xml:space="preserve">make </w:t>
      </w:r>
      <w:r w:rsidR="009A72FE" w:rsidRPr="004D02FF">
        <w:rPr>
          <w:b/>
          <w:bCs/>
          <w:lang w:eastAsia="en-IE"/>
        </w:rPr>
        <w:t>explicit provision</w:t>
      </w:r>
      <w:r w:rsidR="009A72FE" w:rsidRPr="001C2FE3">
        <w:rPr>
          <w:lang w:eastAsia="en-IE"/>
        </w:rPr>
        <w:t xml:space="preserve"> for the rights and support needs of disabled children, noting the intersection between disability, mental health and care experiences</w:t>
      </w:r>
      <w:r w:rsidR="00FB5830" w:rsidRPr="001C2FE3">
        <w:rPr>
          <w:lang w:eastAsia="en-IE"/>
        </w:rPr>
        <w:t>, and how disabled children can be supported to claim their rights on an equal basis with others.</w:t>
      </w:r>
      <w:r w:rsidR="00BC2C3D">
        <w:rPr>
          <w:lang w:eastAsia="en-IE"/>
        </w:rPr>
        <w:t xml:space="preserve"> This may </w:t>
      </w:r>
      <w:r w:rsidR="00BC2C3D">
        <w:rPr>
          <w:lang w:eastAsia="en-IE"/>
        </w:rPr>
        <w:lastRenderedPageBreak/>
        <w:t xml:space="preserve">require considering additional resource needs so that disabled children have equal access to foster family placements. </w:t>
      </w:r>
    </w:p>
    <w:p w14:paraId="77633BB1" w14:textId="58795C4D" w:rsidR="0086594E" w:rsidRPr="001C2FE3" w:rsidRDefault="003D6714" w:rsidP="0055294F">
      <w:pPr>
        <w:pStyle w:val="Heading1"/>
      </w:pPr>
      <w:r w:rsidRPr="001C2FE3">
        <w:t xml:space="preserve">Issue </w:t>
      </w:r>
      <w:r w:rsidR="002D5102" w:rsidRPr="001C2FE3">
        <w:t>2</w:t>
      </w:r>
      <w:r w:rsidRPr="001C2FE3">
        <w:t xml:space="preserve">: </w:t>
      </w:r>
      <w:r w:rsidR="00FB5830" w:rsidRPr="001C2FE3">
        <w:t xml:space="preserve">Voice of the </w:t>
      </w:r>
      <w:r w:rsidR="00E548A0">
        <w:t>c</w:t>
      </w:r>
      <w:r w:rsidR="00FB5830" w:rsidRPr="001C2FE3">
        <w:t>hild</w:t>
      </w:r>
      <w:r w:rsidR="00B91936" w:rsidRPr="001C2FE3">
        <w:t xml:space="preserve"> </w:t>
      </w:r>
    </w:p>
    <w:p w14:paraId="18A8D420" w14:textId="3763F036" w:rsidR="00B77623" w:rsidRPr="001C2FE3" w:rsidRDefault="00563E29" w:rsidP="0055294F">
      <w:r w:rsidRPr="001C2FE3">
        <w:t>The NDA</w:t>
      </w:r>
      <w:r w:rsidR="00B77623" w:rsidRPr="001C2FE3">
        <w:t xml:space="preserve"> notes that ensuring meaningful participation of children and young people, including provision of additional supports to ensure participation of those with a disability, is an obligation on the state as set out in the UN Convention on the Rights of the Child and the UN Convention on the Rights of Persons with Disabilities.</w:t>
      </w:r>
    </w:p>
    <w:p w14:paraId="650BB778" w14:textId="726619D3" w:rsidR="00864E5C" w:rsidRPr="001C2FE3" w:rsidRDefault="0052578C" w:rsidP="0055294F">
      <w:r w:rsidRPr="001C2FE3">
        <w:t xml:space="preserve">Strong foundations are in place to support good </w:t>
      </w:r>
      <w:r w:rsidR="00B77623" w:rsidRPr="001C2FE3">
        <w:t>practice in this are</w:t>
      </w:r>
      <w:r w:rsidRPr="001C2FE3">
        <w:t>a, most</w:t>
      </w:r>
      <w:r w:rsidR="00A31ABD" w:rsidRPr="001C2FE3">
        <w:t xml:space="preserve"> notably</w:t>
      </w:r>
      <w:r w:rsidRPr="001C2FE3">
        <w:t xml:space="preserve"> in the </w:t>
      </w:r>
      <w:hyperlink r:id="rId23" w:history="1">
        <w:r w:rsidRPr="001C2FE3">
          <w:rPr>
            <w:rStyle w:val="Hyperlink"/>
          </w:rPr>
          <w:t>Participation Framework: National Framework for Children and Young People’s Participation in Decision-Making</w:t>
        </w:r>
      </w:hyperlink>
      <w:r w:rsidRPr="001C2FE3">
        <w:t xml:space="preserve"> – a key resource with practical guidance for service providers, rooted in the Lundy Model’s four elements (space, voice, audience and influence). </w:t>
      </w:r>
      <w:r w:rsidR="00563E29" w:rsidRPr="001C2FE3">
        <w:t xml:space="preserve">HIQA’s </w:t>
      </w:r>
      <w:hyperlink r:id="rId24" w:history="1">
        <w:r w:rsidR="00563E29" w:rsidRPr="001C2FE3">
          <w:rPr>
            <w:rStyle w:val="Hyperlink"/>
          </w:rPr>
          <w:t>Draft National Standards for Children’s Social Services</w:t>
        </w:r>
      </w:hyperlink>
      <w:r w:rsidR="00563E29" w:rsidRPr="001C2FE3">
        <w:t xml:space="preserve"> </w:t>
      </w:r>
      <w:r w:rsidR="00051535" w:rsidRPr="001C2FE3">
        <w:t xml:space="preserve">speak of </w:t>
      </w:r>
      <w:r w:rsidR="00563E29" w:rsidRPr="001C2FE3">
        <w:t>enabl</w:t>
      </w:r>
      <w:r w:rsidR="00051535" w:rsidRPr="001C2FE3">
        <w:t>ing</w:t>
      </w:r>
      <w:r w:rsidR="00563E29" w:rsidRPr="001C2FE3">
        <w:t xml:space="preserve"> a child-centred approach and recognise that children who are at risk or are in the care of</w:t>
      </w:r>
      <w:r w:rsidR="00051535" w:rsidRPr="001C2FE3">
        <w:t xml:space="preserve"> </w:t>
      </w:r>
      <w:r w:rsidR="00563E29" w:rsidRPr="001C2FE3">
        <w:t>the</w:t>
      </w:r>
      <w:r w:rsidR="00051535" w:rsidRPr="001C2FE3">
        <w:t xml:space="preserve"> </w:t>
      </w:r>
      <w:r w:rsidR="00563E29" w:rsidRPr="001C2FE3">
        <w:t>state have a right to responsive and accountable services that support them to be involved in decisions about their care</w:t>
      </w:r>
      <w:r w:rsidR="00051535" w:rsidRPr="001C2FE3">
        <w:t xml:space="preserve">. </w:t>
      </w:r>
      <w:r w:rsidR="00B77623" w:rsidRPr="001C2FE3">
        <w:t>Action 12 of the HSE’s</w:t>
      </w:r>
      <w:r w:rsidR="00B77623" w:rsidRPr="001C2FE3">
        <w:rPr>
          <w:color w:val="657C9C" w:themeColor="text2" w:themeTint="BF"/>
        </w:rPr>
        <w:t xml:space="preserve"> </w:t>
      </w:r>
      <w:hyperlink r:id="rId25" w:history="1">
        <w:r w:rsidR="00B77623" w:rsidRPr="001C2FE3">
          <w:rPr>
            <w:rStyle w:val="Hyperlink"/>
          </w:rPr>
          <w:t>Child and Youth Mental Health Office Action Plan 2024 – 2027</w:t>
        </w:r>
      </w:hyperlink>
      <w:r w:rsidR="00B77623" w:rsidRPr="001C2FE3">
        <w:t xml:space="preserve"> commits to involving children, young people, families and their supporting networks through collaboration and co-production, ensuring that service improvement programmes are implemented in a way that best considers their views.</w:t>
      </w:r>
      <w:r w:rsidRPr="001C2FE3">
        <w:t xml:space="preserve"> </w:t>
      </w:r>
    </w:p>
    <w:p w14:paraId="0B7B5A06" w14:textId="4ED90B62" w:rsidR="000D16D0" w:rsidRDefault="00864E5C" w:rsidP="0055294F">
      <w:r w:rsidRPr="001C2FE3">
        <w:t xml:space="preserve">There are documented barriers, however, to the meaningful participation of disabled children and young people in decisions relating to their care. </w:t>
      </w:r>
      <w:r w:rsidR="000D16D0">
        <w:t>In its review of literature, the</w:t>
      </w:r>
      <w:r w:rsidR="000D16D0" w:rsidRPr="001C2FE3">
        <w:rPr>
          <w:szCs w:val="24"/>
        </w:rPr>
        <w:t xml:space="preserve"> OCO</w:t>
      </w:r>
      <w:r w:rsidR="000D16D0">
        <w:t xml:space="preserve">’s </w:t>
      </w:r>
      <w:r w:rsidR="000D16D0" w:rsidRPr="001C2FE3">
        <w:rPr>
          <w:szCs w:val="24"/>
        </w:rPr>
        <w:t>Mind the Gap</w:t>
      </w:r>
      <w:r w:rsidR="000D16D0">
        <w:t xml:space="preserve"> report noted research findings that </w:t>
      </w:r>
      <w:proofErr w:type="spellStart"/>
      <w:r w:rsidR="000D16D0">
        <w:t>Tusla</w:t>
      </w:r>
      <w:proofErr w:type="spellEnd"/>
      <w:r w:rsidR="000D16D0">
        <w:t xml:space="preserve"> practitioners were experiencing difficulties consulting with harder-to-reach children and young people, including those with disabilities; that </w:t>
      </w:r>
      <w:r w:rsidR="000D16D0" w:rsidRPr="001C2FE3">
        <w:rPr>
          <w:szCs w:val="24"/>
          <w:lang w:eastAsia="en-IE"/>
        </w:rPr>
        <w:t xml:space="preserve">some local </w:t>
      </w:r>
      <w:proofErr w:type="spellStart"/>
      <w:r w:rsidR="000D16D0" w:rsidRPr="001C2FE3">
        <w:rPr>
          <w:szCs w:val="24"/>
          <w:lang w:eastAsia="en-IE"/>
        </w:rPr>
        <w:t>Tusla</w:t>
      </w:r>
      <w:proofErr w:type="spellEnd"/>
      <w:r w:rsidR="000D16D0" w:rsidRPr="001C2FE3">
        <w:rPr>
          <w:szCs w:val="24"/>
          <w:lang w:eastAsia="en-IE"/>
        </w:rPr>
        <w:t xml:space="preserve"> service areas lacked resources for children with communication and sensory difficulties to adequately have their voice heard</w:t>
      </w:r>
      <w:r w:rsidR="000D16D0">
        <w:rPr>
          <w:szCs w:val="24"/>
          <w:lang w:eastAsia="en-IE"/>
        </w:rPr>
        <w:t xml:space="preserve">; and that </w:t>
      </w:r>
      <w:r w:rsidR="000D16D0" w:rsidRPr="001C2FE3">
        <w:rPr>
          <w:szCs w:val="24"/>
          <w:lang w:eastAsia="en-IE"/>
        </w:rPr>
        <w:t>skills to engage seldom</w:t>
      </w:r>
      <w:r w:rsidR="000D16D0">
        <w:rPr>
          <w:lang w:eastAsia="en-IE"/>
        </w:rPr>
        <w:t xml:space="preserve"> </w:t>
      </w:r>
      <w:r w:rsidR="000D16D0" w:rsidRPr="001C2FE3">
        <w:rPr>
          <w:szCs w:val="24"/>
          <w:lang w:eastAsia="en-IE"/>
        </w:rPr>
        <w:t>heard children and young people and skills to communicate creatively were the top two skills development needs identified by the staff</w:t>
      </w:r>
      <w:r w:rsidR="000D16D0">
        <w:rPr>
          <w:szCs w:val="24"/>
          <w:lang w:eastAsia="en-IE"/>
        </w:rPr>
        <w:t xml:space="preserve"> in a </w:t>
      </w:r>
      <w:proofErr w:type="spellStart"/>
      <w:r w:rsidR="000D16D0">
        <w:rPr>
          <w:szCs w:val="24"/>
          <w:lang w:eastAsia="en-IE"/>
        </w:rPr>
        <w:t>Tusla</w:t>
      </w:r>
      <w:proofErr w:type="spellEnd"/>
      <w:r w:rsidR="000D16D0">
        <w:rPr>
          <w:szCs w:val="24"/>
          <w:lang w:eastAsia="en-IE"/>
        </w:rPr>
        <w:t xml:space="preserve"> survey.</w:t>
      </w:r>
      <w:r w:rsidR="000D16D0" w:rsidRPr="001C2FE3">
        <w:rPr>
          <w:szCs w:val="24"/>
          <w:lang w:eastAsia="en-IE"/>
        </w:rPr>
        <w:t xml:space="preserve"> </w:t>
      </w:r>
      <w:r w:rsidR="000D16D0">
        <w:rPr>
          <w:lang w:eastAsia="en-IE"/>
        </w:rPr>
        <w:t xml:space="preserve">It also noted a </w:t>
      </w:r>
      <w:r w:rsidR="000D16D0" w:rsidRPr="001C2FE3">
        <w:rPr>
          <w:szCs w:val="24"/>
          <w:lang w:eastAsia="en-IE"/>
        </w:rPr>
        <w:t xml:space="preserve">consistent finding in the HIQA child protection and welfare and alternative care inspection reports that services need access to a </w:t>
      </w:r>
      <w:r w:rsidR="00E25074">
        <w:rPr>
          <w:szCs w:val="24"/>
          <w:lang w:eastAsia="en-IE"/>
        </w:rPr>
        <w:t xml:space="preserve">hearing </w:t>
      </w:r>
      <w:r w:rsidR="000D16D0" w:rsidRPr="001C2FE3">
        <w:rPr>
          <w:szCs w:val="24"/>
          <w:lang w:eastAsia="en-IE"/>
        </w:rPr>
        <w:t>loop system</w:t>
      </w:r>
      <w:r w:rsidR="00BE2E9E">
        <w:rPr>
          <w:szCs w:val="24"/>
          <w:lang w:eastAsia="en-IE"/>
        </w:rPr>
        <w:t xml:space="preserve"> for children who are hard of hearing</w:t>
      </w:r>
      <w:r w:rsidR="000D16D0" w:rsidRPr="001C2FE3">
        <w:rPr>
          <w:szCs w:val="24"/>
          <w:lang w:eastAsia="en-IE"/>
        </w:rPr>
        <w:t xml:space="preserve"> and for information to be provided in Braille.</w:t>
      </w:r>
      <w:r w:rsidR="000D16D0">
        <w:rPr>
          <w:rStyle w:val="FootnoteReference"/>
          <w:lang w:eastAsia="en-IE"/>
        </w:rPr>
        <w:footnoteReference w:id="12"/>
      </w:r>
    </w:p>
    <w:p w14:paraId="1E0D359C" w14:textId="62FB0CBB" w:rsidR="001C2FE3" w:rsidRPr="001C2FE3" w:rsidRDefault="001C2FE3" w:rsidP="001C2FE3">
      <w:r w:rsidRPr="001C2FE3">
        <w:rPr>
          <w:szCs w:val="24"/>
        </w:rPr>
        <w:t xml:space="preserve">The NDA therefore advises that consideration be given to including an explicit disability-rights framing of the right of children to </w:t>
      </w:r>
      <w:r w:rsidR="003517A0">
        <w:rPr>
          <w:szCs w:val="24"/>
        </w:rPr>
        <w:t>participate in decision-making</w:t>
      </w:r>
      <w:r w:rsidRPr="001C2FE3">
        <w:t>, making provision for how the</w:t>
      </w:r>
      <w:r w:rsidR="009A7B81">
        <w:t xml:space="preserve">ir voices </w:t>
      </w:r>
      <w:r w:rsidRPr="001C2FE3">
        <w:t xml:space="preserve">can be </w:t>
      </w:r>
      <w:r w:rsidRPr="001C2FE3">
        <w:lastRenderedPageBreak/>
        <w:t>meaningfully support</w:t>
      </w:r>
      <w:r w:rsidR="003517A0">
        <w:t>ed</w:t>
      </w:r>
      <w:r w:rsidRPr="001C2FE3">
        <w:t xml:space="preserve"> and respected as part of a co-production model. The policy framework </w:t>
      </w:r>
      <w:r w:rsidR="00620D72">
        <w:t xml:space="preserve">could </w:t>
      </w:r>
      <w:r w:rsidRPr="001C2FE3">
        <w:t>recognise the specific barriers to participation that disabled children, young people and their families can experience, and provide clear guidance on how inclusion can be supported in practice – including support for a range of forms of communication. It should also provide for key enablers of meaningful and sustained participation in practice</w:t>
      </w:r>
      <w:r w:rsidR="003517A0">
        <w:t xml:space="preserve">, such as </w:t>
      </w:r>
      <w:r w:rsidRPr="001C2FE3">
        <w:t xml:space="preserve">organisational buy-in; training </w:t>
      </w:r>
      <w:r w:rsidR="00620D72">
        <w:t>for service providers</w:t>
      </w:r>
      <w:r w:rsidRPr="001C2FE3">
        <w:t>; resources (financial, human, time)</w:t>
      </w:r>
      <w:r w:rsidR="003517A0">
        <w:t>;</w:t>
      </w:r>
      <w:r w:rsidRPr="001C2FE3">
        <w:t xml:space="preserve"> and monitoring mechanisms. </w:t>
      </w:r>
    </w:p>
    <w:p w14:paraId="04F0C917" w14:textId="38D424A5" w:rsidR="00F9515D" w:rsidRPr="001C2FE3" w:rsidRDefault="002743C8" w:rsidP="0055294F">
      <w:r>
        <w:t>The NDA notes that disabled children and young people in care settings face heightened risk of exploitation and abuse, along with additional barriers arising from their disability to making complaints and accessing information, support and r</w:t>
      </w:r>
      <w:r w:rsidRPr="006541F5">
        <w:t xml:space="preserve">edress. The </w:t>
      </w:r>
      <w:r w:rsidR="00620D72" w:rsidRPr="006541F5">
        <w:t>CRC</w:t>
      </w:r>
      <w:r w:rsidR="006541F5" w:rsidRPr="006541F5">
        <w:t xml:space="preserve">’s </w:t>
      </w:r>
      <w:r w:rsidR="00620D72" w:rsidRPr="006541F5">
        <w:t>2023 Concluding Observations</w:t>
      </w:r>
      <w:r w:rsidR="006541F5" w:rsidRPr="006541F5">
        <w:t xml:space="preserve"> (cited above)</w:t>
      </w:r>
      <w:r w:rsidR="00620D72">
        <w:t xml:space="preserve"> </w:t>
      </w:r>
      <w:r>
        <w:t xml:space="preserve">recommended </w:t>
      </w:r>
      <w:r w:rsidR="00620D72">
        <w:t>ensuring the availability of accessible and child-friendly channels for reporting, monitoring and remedying violence and abuse for children in care.</w:t>
      </w:r>
      <w:r>
        <w:t xml:space="preserve"> Endorsing this, the NDA </w:t>
      </w:r>
      <w:r w:rsidR="000D16D0" w:rsidRPr="001C2FE3">
        <w:t xml:space="preserve">advises that the new policy framework explore </w:t>
      </w:r>
      <w:r w:rsidR="000D16D0" w:rsidRPr="002743C8">
        <w:t>how best to ensure that it delivers on the CRC’s recommendations</w:t>
      </w:r>
      <w:r w:rsidR="00A60A47">
        <w:t xml:space="preserve"> across the alternative care system, </w:t>
      </w:r>
      <w:r>
        <w:t>including for children with different communication</w:t>
      </w:r>
      <w:r w:rsidR="005F0743">
        <w:t>, cognitive, processing and emotional</w:t>
      </w:r>
      <w:r>
        <w:t xml:space="preserve"> needs. </w:t>
      </w:r>
    </w:p>
    <w:p w14:paraId="5CDB89EC" w14:textId="78CFC6CB" w:rsidR="003A2727" w:rsidRPr="001C2FE3" w:rsidRDefault="003A2727" w:rsidP="0055294F">
      <w:pPr>
        <w:pStyle w:val="Heading1"/>
      </w:pPr>
      <w:r w:rsidRPr="001C2FE3">
        <w:t xml:space="preserve">Issue 3: Universal Design </w:t>
      </w:r>
    </w:p>
    <w:p w14:paraId="359E0E20" w14:textId="3CC47FCF" w:rsidR="006167B5" w:rsidRPr="001C2FE3" w:rsidRDefault="006167B5" w:rsidP="0055294F">
      <w:r w:rsidRPr="001C2FE3">
        <w:t xml:space="preserve">The NDA notes the findings in </w:t>
      </w:r>
      <w:hyperlink r:id="rId26" w:history="1">
        <w:r w:rsidRPr="001C2FE3">
          <w:rPr>
            <w:rStyle w:val="Hyperlink"/>
          </w:rPr>
          <w:t>EPICs 2023 research</w:t>
        </w:r>
      </w:hyperlink>
      <w:r w:rsidRPr="001C2FE3">
        <w:t>, which highlighted a range of barriers that disabled children and young people experienced</w:t>
      </w:r>
      <w:r w:rsidR="008A4854" w:rsidRPr="001C2FE3">
        <w:t xml:space="preserve"> within </w:t>
      </w:r>
      <w:r w:rsidRPr="001C2FE3">
        <w:t>the care system</w:t>
      </w:r>
      <w:r w:rsidR="008A4854" w:rsidRPr="001C2FE3">
        <w:t>. This included l</w:t>
      </w:r>
      <w:r w:rsidRPr="001C2FE3">
        <w:t>ack of awareness of ‘invisible’ disabilities</w:t>
      </w:r>
      <w:r w:rsidR="008A4854" w:rsidRPr="001C2FE3">
        <w:t xml:space="preserve">; </w:t>
      </w:r>
      <w:r w:rsidRPr="001C2FE3">
        <w:t>struggles with communication</w:t>
      </w:r>
      <w:r w:rsidR="008A4854" w:rsidRPr="001C2FE3">
        <w:t>;</w:t>
      </w:r>
      <w:r w:rsidRPr="001C2FE3">
        <w:t xml:space="preserve"> difficulties in securing appropriate accommodation</w:t>
      </w:r>
      <w:r w:rsidR="008A4854" w:rsidRPr="001C2FE3">
        <w:t xml:space="preserve">; </w:t>
      </w:r>
      <w:r w:rsidRPr="001C2FE3">
        <w:t>and accessibility issues in foster homes, residential care</w:t>
      </w:r>
      <w:r w:rsidR="008A4854" w:rsidRPr="001C2FE3">
        <w:t>,</w:t>
      </w:r>
      <w:r w:rsidRPr="001C2FE3">
        <w:t xml:space="preserve"> and social housing.</w:t>
      </w:r>
    </w:p>
    <w:p w14:paraId="4B9ED411" w14:textId="620CF779" w:rsidR="00572309" w:rsidRPr="001C2FE3" w:rsidRDefault="006167B5" w:rsidP="0055294F">
      <w:r w:rsidRPr="001C2FE3">
        <w:t xml:space="preserve">In developing a policy framework for alternative care, </w:t>
      </w:r>
      <w:r w:rsidR="008A4854" w:rsidRPr="001C2FE3">
        <w:t xml:space="preserve">the NDA suggests that </w:t>
      </w:r>
      <w:r w:rsidRPr="001C2FE3">
        <w:t xml:space="preserve">opportunities should be explored for embedding </w:t>
      </w:r>
      <w:r w:rsidR="004857B9" w:rsidRPr="001C2FE3">
        <w:t xml:space="preserve">Universal Design (UD) </w:t>
      </w:r>
      <w:r w:rsidRPr="001C2FE3">
        <w:t xml:space="preserve">principles </w:t>
      </w:r>
      <w:r w:rsidR="00773F43" w:rsidRPr="001C2FE3">
        <w:t>in all</w:t>
      </w:r>
      <w:r w:rsidR="002375AF" w:rsidRPr="001C2FE3">
        <w:t xml:space="preserve"> aspects of service delivery</w:t>
      </w:r>
      <w:r w:rsidR="004857B9" w:rsidRPr="001C2FE3">
        <w:t xml:space="preserve">. UD promotes services that can be accessed, understood and used by children and young people with diverse needs, communication styles and disabilities. </w:t>
      </w:r>
    </w:p>
    <w:p w14:paraId="0A1589B1" w14:textId="1E060C93" w:rsidR="00572309" w:rsidRPr="001C2FE3" w:rsidRDefault="005F0743" w:rsidP="0055294F">
      <w:r w:rsidRPr="001C2FE3">
        <w:t xml:space="preserve">The HSE’s </w:t>
      </w:r>
      <w:hyperlink r:id="rId27" w:history="1">
        <w:r w:rsidRPr="001C2FE3">
          <w:rPr>
            <w:rStyle w:val="Hyperlink"/>
          </w:rPr>
          <w:t>National Guidelines on Accessible Health and Social Care Services</w:t>
        </w:r>
      </w:hyperlink>
      <w:r w:rsidR="00BE2E9E">
        <w:t>, developed with the NDA,</w:t>
      </w:r>
      <w:r w:rsidRPr="001C2FE3">
        <w:t xml:space="preserve"> provide practical guidance to all health and social care staff about how they can provide accessible services. The guidelines outline how to deliver disability-friendly services, how to make premises accessible, how to accommodate additional needs of people with disabilities, and how to communicate with people with disabilities in ways that are appropriate to their needs.</w:t>
      </w:r>
    </w:p>
    <w:p w14:paraId="736B53FB" w14:textId="2B17772F" w:rsidR="004857B9" w:rsidRPr="001C2FE3" w:rsidRDefault="00F01BBD" w:rsidP="0055294F">
      <w:r w:rsidRPr="001C2FE3">
        <w:t xml:space="preserve">To support universal access, understanding and use for all children and young people across the alternative care system, and their families, </w:t>
      </w:r>
      <w:r w:rsidR="005F0743">
        <w:t xml:space="preserve">the following </w:t>
      </w:r>
      <w:r w:rsidR="00893442" w:rsidRPr="001C2FE3">
        <w:t>U</w:t>
      </w:r>
      <w:r w:rsidR="00853579" w:rsidRPr="001C2FE3">
        <w:t xml:space="preserve">D </w:t>
      </w:r>
      <w:r w:rsidR="004857B9" w:rsidRPr="001C2FE3">
        <w:t xml:space="preserve">approaches </w:t>
      </w:r>
      <w:r w:rsidR="005F0743">
        <w:t>would also be applicable</w:t>
      </w:r>
      <w:r w:rsidRPr="001C2FE3">
        <w:t xml:space="preserve">: </w:t>
      </w:r>
    </w:p>
    <w:p w14:paraId="7781A92F" w14:textId="40ECA85B" w:rsidR="004857B9" w:rsidRPr="001C2FE3" w:rsidRDefault="004857B9" w:rsidP="0055294F">
      <w:pPr>
        <w:pStyle w:val="ListParagraph"/>
        <w:numPr>
          <w:ilvl w:val="0"/>
          <w:numId w:val="29"/>
        </w:numPr>
        <w:spacing w:after="160"/>
        <w:contextualSpacing/>
      </w:pPr>
      <w:hyperlink r:id="rId28" w:history="1">
        <w:r w:rsidRPr="001C2FE3">
          <w:rPr>
            <w:rStyle w:val="Hyperlink"/>
          </w:rPr>
          <w:t>EN17161:2019 (Design for All)</w:t>
        </w:r>
      </w:hyperlink>
      <w:r w:rsidR="00BE2E9E">
        <w:t xml:space="preserve"> (an EU standard)</w:t>
      </w:r>
      <w:r w:rsidRPr="001C2FE3">
        <w:t xml:space="preserve"> to guide holistic, organisation-wide decision making around accessibility and inclusion.</w:t>
      </w:r>
    </w:p>
    <w:p w14:paraId="44446A95" w14:textId="14A4C503" w:rsidR="004857B9" w:rsidRPr="001C2FE3" w:rsidRDefault="004857B9" w:rsidP="0055294F">
      <w:pPr>
        <w:pStyle w:val="ListParagraph"/>
        <w:numPr>
          <w:ilvl w:val="0"/>
          <w:numId w:val="29"/>
        </w:numPr>
        <w:spacing w:after="160"/>
        <w:contextualSpacing/>
      </w:pPr>
      <w:hyperlink r:id="rId29" w:history="1">
        <w:r w:rsidRPr="001C2FE3">
          <w:rPr>
            <w:rStyle w:val="Hyperlink"/>
          </w:rPr>
          <w:t>Customer Communications Toolkit for Services to the Public – a Universal Design Approach</w:t>
        </w:r>
      </w:hyperlink>
      <w:r w:rsidRPr="001C2FE3">
        <w:t xml:space="preserve"> developed by the Centre for Excellence in Universal Design (CEUD) at the NDA and the Department of Public Expenditure NDP Delivery and Reform to ensure that all information, consent materials, appointment systems and feedback channels are accessible, understandable and usable</w:t>
      </w:r>
      <w:r w:rsidR="00651917">
        <w:t>,</w:t>
      </w:r>
      <w:r w:rsidR="00E25074">
        <w:t xml:space="preserve"> covering written, verbal, digital and sign language</w:t>
      </w:r>
      <w:r w:rsidRPr="001C2FE3">
        <w:t>.</w:t>
      </w:r>
    </w:p>
    <w:p w14:paraId="0FB9AF5F" w14:textId="77777777" w:rsidR="004857B9" w:rsidRPr="001C2FE3" w:rsidRDefault="004857B9" w:rsidP="0055294F">
      <w:pPr>
        <w:pStyle w:val="ListParagraph"/>
        <w:numPr>
          <w:ilvl w:val="0"/>
          <w:numId w:val="29"/>
        </w:numPr>
        <w:spacing w:after="160"/>
        <w:contextualSpacing/>
      </w:pPr>
      <w:r w:rsidRPr="001C2FE3">
        <w:t xml:space="preserve">The </w:t>
      </w:r>
      <w:hyperlink r:id="rId30" w:history="1">
        <w:r w:rsidRPr="001C2FE3">
          <w:rPr>
            <w:rStyle w:val="Hyperlink"/>
          </w:rPr>
          <w:t>HSE’s Plain Language Guidelines</w:t>
        </w:r>
      </w:hyperlink>
      <w:r w:rsidRPr="001C2FE3">
        <w:t xml:space="preserve">.  </w:t>
      </w:r>
    </w:p>
    <w:p w14:paraId="61898FCC" w14:textId="1A6D4B9D" w:rsidR="004857B9" w:rsidRPr="001C2FE3" w:rsidRDefault="004857B9" w:rsidP="0055294F">
      <w:pPr>
        <w:pStyle w:val="ListParagraph"/>
        <w:numPr>
          <w:ilvl w:val="0"/>
          <w:numId w:val="29"/>
        </w:numPr>
        <w:spacing w:after="160"/>
        <w:contextualSpacing/>
      </w:pPr>
      <w:r w:rsidRPr="001C2FE3">
        <w:t xml:space="preserve">The </w:t>
      </w:r>
      <w:hyperlink r:id="rId31" w:history="1">
        <w:r w:rsidRPr="001C2FE3">
          <w:rPr>
            <w:rStyle w:val="Hyperlink"/>
          </w:rPr>
          <w:t>Code of Practice on Accessible Information and Services</w:t>
        </w:r>
      </w:hyperlink>
      <w:r w:rsidRPr="001C2FE3">
        <w:t xml:space="preserve">, developed by the NDA and designed to guide public bodies in meeting their statutory obligations under the Disability Act 2005.  </w:t>
      </w:r>
    </w:p>
    <w:p w14:paraId="755E7F77" w14:textId="77777777" w:rsidR="004857B9" w:rsidRPr="001C2FE3" w:rsidRDefault="004857B9" w:rsidP="0055294F">
      <w:pPr>
        <w:pStyle w:val="ListParagraph"/>
        <w:numPr>
          <w:ilvl w:val="0"/>
          <w:numId w:val="29"/>
        </w:numPr>
        <w:spacing w:after="160"/>
        <w:contextualSpacing/>
      </w:pPr>
      <w:r w:rsidRPr="001C2FE3">
        <w:t>Inclusive wayfinding and service navigation approaches recognising that anxiety, cognitive load and emotional distress can significantly affect a young person’s ability to engage.</w:t>
      </w:r>
    </w:p>
    <w:p w14:paraId="2872DC51" w14:textId="77777777" w:rsidR="005F0743" w:rsidRDefault="004857B9" w:rsidP="0055294F">
      <w:pPr>
        <w:pStyle w:val="ListParagraph"/>
        <w:numPr>
          <w:ilvl w:val="0"/>
          <w:numId w:val="29"/>
        </w:numPr>
        <w:spacing w:after="160"/>
        <w:contextualSpacing/>
      </w:pPr>
      <w:r w:rsidRPr="001C2FE3">
        <w:t>Multimodal information provision (visual, auditory, digital, paper, Easy Read, plain English, for example) to support different processing needs.</w:t>
      </w:r>
    </w:p>
    <w:p w14:paraId="4221EA98" w14:textId="2A764578" w:rsidR="00925E0A" w:rsidRDefault="00925E0A" w:rsidP="0055294F">
      <w:pPr>
        <w:pStyle w:val="ListParagraph"/>
        <w:numPr>
          <w:ilvl w:val="0"/>
          <w:numId w:val="29"/>
        </w:numPr>
        <w:spacing w:after="160"/>
        <w:contextualSpacing/>
      </w:pPr>
      <w:r>
        <w:t xml:space="preserve">Universal and multi-channel communication options such as </w:t>
      </w:r>
      <w:r w:rsidRPr="001C2FE3">
        <w:t>instant messaging</w:t>
      </w:r>
      <w:r>
        <w:t>,</w:t>
      </w:r>
      <w:r w:rsidRPr="001C2FE3">
        <w:t xml:space="preserve"> accessible digital contact points</w:t>
      </w:r>
      <w:r>
        <w:t xml:space="preserve"> and Real Time Text (RTT) – a </w:t>
      </w:r>
      <w:r w:rsidRPr="001C2FE3">
        <w:t>universal communication technology that supports real-time, text-based conversations between service users and staff</w:t>
      </w:r>
      <w:r>
        <w:t xml:space="preserve"> that was recently launched in Ireland </w:t>
      </w:r>
      <w:r w:rsidRPr="001C2FE3">
        <w:t>(</w:t>
      </w:r>
      <w:proofErr w:type="spellStart"/>
      <w:r>
        <w:fldChar w:fldCharType="begin"/>
      </w:r>
      <w:r>
        <w:instrText>HYPERLINK "https://www.comreg.ie/real-time-text-rtt-service-launched-in-ireland"</w:instrText>
      </w:r>
      <w:r>
        <w:fldChar w:fldCharType="separate"/>
      </w:r>
      <w:r w:rsidRPr="001C2FE3">
        <w:rPr>
          <w:rStyle w:val="Hyperlink"/>
        </w:rPr>
        <w:t>ComReg</w:t>
      </w:r>
      <w:proofErr w:type="spellEnd"/>
      <w:r w:rsidRPr="001C2FE3">
        <w:rPr>
          <w:rStyle w:val="Hyperlink"/>
        </w:rPr>
        <w:t>, July 2025</w:t>
      </w:r>
      <w:r>
        <w:fldChar w:fldCharType="end"/>
      </w:r>
      <w:r w:rsidRPr="001C2FE3">
        <w:t>)</w:t>
      </w:r>
      <w:r>
        <w:t xml:space="preserve">. RTT </w:t>
      </w:r>
      <w:r w:rsidRPr="001C2FE3">
        <w:t>enables people who are Deaf, hard of hearing or have speech communication disabilities to engage directly with health and social services without relying just on voice calls or intermediaries.</w:t>
      </w:r>
    </w:p>
    <w:p w14:paraId="5317F5DF" w14:textId="34AA9B93" w:rsidR="00B16426" w:rsidRDefault="00B16426" w:rsidP="0055294F">
      <w:pPr>
        <w:pStyle w:val="ListParagraph"/>
        <w:numPr>
          <w:ilvl w:val="0"/>
          <w:numId w:val="29"/>
        </w:numPr>
        <w:spacing w:after="160"/>
        <w:contextualSpacing/>
      </w:pPr>
      <w:r>
        <w:t xml:space="preserve">Incorporating UD approaches into staff training would support varied communication methods and accommodate various needs, including sensory issues. </w:t>
      </w:r>
    </w:p>
    <w:p w14:paraId="6DE5C46B" w14:textId="099437D6" w:rsidR="00B16426" w:rsidRDefault="00B16426" w:rsidP="0055294F">
      <w:pPr>
        <w:pStyle w:val="ListParagraph"/>
        <w:numPr>
          <w:ilvl w:val="0"/>
          <w:numId w:val="29"/>
        </w:numPr>
        <w:spacing w:after="160"/>
        <w:contextualSpacing/>
      </w:pPr>
      <w:r>
        <w:t>Approaches adopted by alternative care systems should be trauma informed.</w:t>
      </w:r>
    </w:p>
    <w:p w14:paraId="78F1B843" w14:textId="18E443E1" w:rsidR="005F0743" w:rsidRPr="001C2FE3" w:rsidRDefault="005F0743" w:rsidP="0055294F">
      <w:r>
        <w:t>Finally, t</w:t>
      </w:r>
      <w:r w:rsidRPr="001C2FE3">
        <w:t xml:space="preserve">he NDA acknowledges the complexity of the alternative care system, with a range of settings across foster, residential and special care. However, the high proportion of children in care with a disability and the barriers noted above point to the need to strengthen practice. Learning from the </w:t>
      </w:r>
      <w:hyperlink r:id="rId32" w:history="1">
        <w:r w:rsidRPr="001C2FE3">
          <w:rPr>
            <w:rStyle w:val="Hyperlink"/>
          </w:rPr>
          <w:t>Access and Inclusion Model</w:t>
        </w:r>
      </w:hyperlink>
      <w:r w:rsidRPr="001C2FE3">
        <w:t xml:space="preserve"> </w:t>
      </w:r>
      <w:r w:rsidR="00172147">
        <w:t xml:space="preserve">(AIM) </w:t>
      </w:r>
      <w:r w:rsidRPr="001C2FE3">
        <w:t>for early learning and care settings, through which a tiered system of both universal and needs-based targeted supports are available,</w:t>
      </w:r>
      <w:r w:rsidR="00172147">
        <w:rPr>
          <w:rStyle w:val="FootnoteReference"/>
        </w:rPr>
        <w:footnoteReference w:id="13"/>
      </w:r>
      <w:r w:rsidRPr="001C2FE3">
        <w:t xml:space="preserve"> may be relevant to the policy framework for alternative care. Key features of AIM include its provision for staff training on disability-inclusive care, for retrofitting or necessary adaptions to physical spaces, and for dedicated Inclusion Coordinator roles to advise and support access.</w:t>
      </w:r>
    </w:p>
    <w:p w14:paraId="5F6598F9" w14:textId="3F1151D5" w:rsidR="0086594E" w:rsidRPr="001C2FE3" w:rsidRDefault="003D6714" w:rsidP="0055294F">
      <w:pPr>
        <w:pStyle w:val="Heading1"/>
      </w:pPr>
      <w:r w:rsidRPr="001C2FE3">
        <w:lastRenderedPageBreak/>
        <w:t xml:space="preserve">Issue </w:t>
      </w:r>
      <w:r w:rsidR="00272F0D" w:rsidRPr="001C2FE3">
        <w:t>4</w:t>
      </w:r>
      <w:r w:rsidRPr="001C2FE3">
        <w:t xml:space="preserve">: </w:t>
      </w:r>
      <w:r w:rsidR="00406F82" w:rsidRPr="001C2FE3">
        <w:t>Prevention and early intervention</w:t>
      </w:r>
      <w:r w:rsidR="00B91936" w:rsidRPr="001C2FE3">
        <w:t xml:space="preserve"> </w:t>
      </w:r>
    </w:p>
    <w:p w14:paraId="5953AB63" w14:textId="1A706363" w:rsidR="00CB4DC3" w:rsidRDefault="000062E0" w:rsidP="0055294F">
      <w:r>
        <w:t>As outlined in the Introduction, fam</w:t>
      </w:r>
      <w:r w:rsidRPr="001C2FE3">
        <w:t xml:space="preserve">ilies affected by disability </w:t>
      </w:r>
      <w:r>
        <w:t xml:space="preserve">(be it caring for disabled children or where a parent or guardian has a disability) </w:t>
      </w:r>
      <w:r w:rsidRPr="001C2FE3">
        <w:t>face heightened risk of exclusion</w:t>
      </w:r>
      <w:r>
        <w:t xml:space="preserve">, </w:t>
      </w:r>
      <w:r w:rsidRPr="001C2FE3">
        <w:t>poverty</w:t>
      </w:r>
      <w:r>
        <w:t xml:space="preserve"> and stress</w:t>
      </w:r>
      <w:r w:rsidRPr="001C2FE3">
        <w:t xml:space="preserve"> that may contribute to family breakdown.</w:t>
      </w:r>
      <w:r w:rsidR="00586B39">
        <w:t xml:space="preserve"> </w:t>
      </w:r>
      <w:r w:rsidR="00A253AE">
        <w:t>T</w:t>
      </w:r>
      <w:r w:rsidR="006541F5">
        <w:t xml:space="preserve">he NDA </w:t>
      </w:r>
      <w:r w:rsidR="00CB4DC3">
        <w:t xml:space="preserve">recommends that the policy framework </w:t>
      </w:r>
      <w:r>
        <w:t xml:space="preserve">reflect the </w:t>
      </w:r>
      <w:r w:rsidR="00CB4DC3">
        <w:t>range of supports th</w:t>
      </w:r>
      <w:r w:rsidR="004D02FF">
        <w:t xml:space="preserve">ese families </w:t>
      </w:r>
      <w:r w:rsidR="00CB4DC3">
        <w:t xml:space="preserve">need to </w:t>
      </w:r>
      <w:r w:rsidR="00586B39">
        <w:t>enhance resilience and safeguard the right to a family life. In particular, the NDA highlight</w:t>
      </w:r>
      <w:r w:rsidR="009A5FC8">
        <w:t>s</w:t>
      </w:r>
      <w:r w:rsidR="00586B39">
        <w:t>:</w:t>
      </w:r>
    </w:p>
    <w:p w14:paraId="134C30BC" w14:textId="0EF2F8C1" w:rsidR="00137059" w:rsidRDefault="00586B39" w:rsidP="00586B39">
      <w:pPr>
        <w:pStyle w:val="ListParagraph"/>
        <w:numPr>
          <w:ilvl w:val="0"/>
          <w:numId w:val="32"/>
        </w:numPr>
      </w:pPr>
      <w:r>
        <w:t xml:space="preserve">The critical role that respite plays for families </w:t>
      </w:r>
      <w:r w:rsidR="00137059">
        <w:t xml:space="preserve">caring for disabled children, </w:t>
      </w:r>
      <w:r w:rsidR="00571C56">
        <w:t>especially</w:t>
      </w:r>
      <w:r w:rsidR="00137059">
        <w:t xml:space="preserve"> those with complex needs</w:t>
      </w:r>
      <w:r>
        <w:t xml:space="preserve">. </w:t>
      </w:r>
      <w:r w:rsidR="00137059">
        <w:t xml:space="preserve">The OCO, reporting to the </w:t>
      </w:r>
      <w:r w:rsidR="00137059" w:rsidRPr="00225927">
        <w:t>CRC</w:t>
      </w:r>
      <w:r w:rsidR="00137059">
        <w:t>, highlighted the inadequacy of respite care available, along with a lack of support services more broadly to help families care for their children at home.</w:t>
      </w:r>
      <w:r w:rsidR="00225927">
        <w:rPr>
          <w:rStyle w:val="FootnoteReference"/>
        </w:rPr>
        <w:footnoteReference w:id="14"/>
      </w:r>
      <w:r w:rsidR="00137059">
        <w:t xml:space="preserve"> This mirrors the data gathered to date in the NDA’s ongoing review of the CDNT </w:t>
      </w:r>
      <w:r w:rsidR="0044513D">
        <w:t xml:space="preserve">service </w:t>
      </w:r>
      <w:r w:rsidR="00137059">
        <w:t>model (findings pending), with a range of stakeholders calling for more access to respite</w:t>
      </w:r>
      <w:r w:rsidR="0044513D">
        <w:t xml:space="preserve"> (both traditional and alternative respite)</w:t>
      </w:r>
      <w:r w:rsidR="00137059">
        <w:t xml:space="preserve">, along with clearer definitions, better coordination and an overarching strategy for respite care.  </w:t>
      </w:r>
    </w:p>
    <w:p w14:paraId="2226C319" w14:textId="03916181" w:rsidR="00586B39" w:rsidRDefault="00586B39" w:rsidP="00586B39">
      <w:pPr>
        <w:pStyle w:val="ListParagraph"/>
        <w:numPr>
          <w:ilvl w:val="0"/>
          <w:numId w:val="32"/>
        </w:numPr>
      </w:pPr>
      <w:r>
        <w:t>The ongoing work</w:t>
      </w:r>
      <w:r w:rsidR="00225927">
        <w:t>, led by the HSE, to develop draft National Standards for Home Sharing Services for Disabled Children and Adults</w:t>
      </w:r>
      <w:r>
        <w:t xml:space="preserve"> </w:t>
      </w:r>
      <w:r w:rsidR="00225927">
        <w:t>(due for public consultation in 2026)</w:t>
      </w:r>
      <w:r w:rsidR="0018754D">
        <w:t xml:space="preserve">, which aim to set out a national vision and framework </w:t>
      </w:r>
      <w:r w:rsidR="00E84974">
        <w:t xml:space="preserve">for </w:t>
      </w:r>
      <w:r w:rsidR="0018754D">
        <w:t xml:space="preserve">person-centred, high quality, safe and </w:t>
      </w:r>
      <w:r w:rsidR="00D803B6">
        <w:t>effective Home Sharing services.</w:t>
      </w:r>
      <w:r w:rsidR="00225927">
        <w:t xml:space="preserve"> </w:t>
      </w:r>
      <w:r w:rsidR="00E84974">
        <w:t>N</w:t>
      </w:r>
      <w:r w:rsidR="00571C56">
        <w:t>ot</w:t>
      </w:r>
      <w:r w:rsidR="00B44762">
        <w:t>ing</w:t>
      </w:r>
      <w:r w:rsidR="00571C56">
        <w:t xml:space="preserve"> that the OCO has expressed concern to the CRC at the lack of oversight of home sharing respite for children with disabilities</w:t>
      </w:r>
      <w:r w:rsidR="00B44762">
        <w:t>,</w:t>
      </w:r>
      <w:r w:rsidR="00571C56">
        <w:rPr>
          <w:rStyle w:val="FootnoteReference"/>
        </w:rPr>
        <w:footnoteReference w:id="15"/>
      </w:r>
      <w:r w:rsidR="00B44762">
        <w:t xml:space="preserve"> </w:t>
      </w:r>
      <w:r w:rsidR="00E84974">
        <w:t xml:space="preserve">the NDA welcomes this process </w:t>
      </w:r>
      <w:r w:rsidR="00B44762">
        <w:t xml:space="preserve">and sees a key function for Home Sharing for short-term (respite) or long-term living arrangements </w:t>
      </w:r>
      <w:r w:rsidR="00E84974">
        <w:t>that emphasise family-like relationships.</w:t>
      </w:r>
      <w:r w:rsidR="00571C56">
        <w:t xml:space="preserve"> </w:t>
      </w:r>
      <w:r>
        <w:t xml:space="preserve">  </w:t>
      </w:r>
    </w:p>
    <w:p w14:paraId="16EECB64" w14:textId="050FDA2C" w:rsidR="0055701B" w:rsidRPr="001C2FE3" w:rsidRDefault="003D6714" w:rsidP="0055294F">
      <w:pPr>
        <w:pStyle w:val="Heading1"/>
      </w:pPr>
      <w:r w:rsidRPr="001C2FE3">
        <w:t xml:space="preserve">Issue </w:t>
      </w:r>
      <w:r w:rsidR="00F64E3F" w:rsidRPr="001C2FE3">
        <w:t>5</w:t>
      </w:r>
      <w:r w:rsidRPr="001C2FE3">
        <w:t>: Transition</w:t>
      </w:r>
      <w:r w:rsidR="00616FEA" w:rsidRPr="001C2FE3">
        <w:t xml:space="preserve">ing out of </w:t>
      </w:r>
      <w:r w:rsidR="00406F82" w:rsidRPr="001C2FE3">
        <w:t>c</w:t>
      </w:r>
      <w:r w:rsidR="00616FEA" w:rsidRPr="001C2FE3">
        <w:t>are</w:t>
      </w:r>
    </w:p>
    <w:p w14:paraId="529CA274" w14:textId="58EED10A" w:rsidR="00CB2F55" w:rsidRPr="001C2FE3" w:rsidRDefault="00CB2F55" w:rsidP="003D044D">
      <w:pPr>
        <w:pStyle w:val="Heading2"/>
      </w:pPr>
      <w:r w:rsidRPr="001C2FE3">
        <w:t>Gaps in Aftercare Planning and Support</w:t>
      </w:r>
    </w:p>
    <w:p w14:paraId="24D2F0B0" w14:textId="5E89CDD8" w:rsidR="00CB2F55" w:rsidRPr="001C2FE3" w:rsidRDefault="00C7513E" w:rsidP="0055294F">
      <w:r>
        <w:t xml:space="preserve">The </w:t>
      </w:r>
      <w:r w:rsidR="00CB2F55" w:rsidRPr="001C2FE3">
        <w:t xml:space="preserve">HIQA and MHC position paper, </w:t>
      </w:r>
      <w:hyperlink r:id="rId33" w:history="1">
        <w:r w:rsidR="00CB2F55" w:rsidRPr="001C2FE3">
          <w:rPr>
            <w:rStyle w:val="Hyperlink"/>
          </w:rPr>
          <w:t>Key Considerations to Inform the National Policy Framework for Children and Young People 2023 – 2028</w:t>
        </w:r>
      </w:hyperlink>
      <w:r w:rsidR="00CB2F55" w:rsidRPr="001C2FE3">
        <w:t xml:space="preserve">, </w:t>
      </w:r>
      <w:r>
        <w:t xml:space="preserve">found the need from their research for </w:t>
      </w:r>
      <w:r w:rsidR="00CB2F55" w:rsidRPr="001C2FE3">
        <w:t xml:space="preserve">well-considered and tailored aftercare planning for young people leaving the care of the State. </w:t>
      </w:r>
      <w:r>
        <w:t xml:space="preserve">Similarly, the </w:t>
      </w:r>
      <w:r w:rsidR="00CB2F55" w:rsidRPr="001C2FE3">
        <w:t>OCO</w:t>
      </w:r>
      <w:r>
        <w:t xml:space="preserve"> </w:t>
      </w:r>
      <w:r w:rsidR="00CB2F55" w:rsidRPr="001C2FE3">
        <w:t xml:space="preserve">highlighted </w:t>
      </w:r>
      <w:proofErr w:type="gramStart"/>
      <w:r w:rsidR="00CB2F55" w:rsidRPr="001C2FE3">
        <w:t>a number of</w:t>
      </w:r>
      <w:proofErr w:type="gramEnd"/>
      <w:r w:rsidR="00CB2F55" w:rsidRPr="001C2FE3">
        <w:t xml:space="preserve"> concerns around aftercare planning, including delays in, and inadequate levels of, aftercare planning; failures to allocate aftercare workers; considerable variation in aftercare </w:t>
      </w:r>
      <w:r w:rsidR="00CB2F55" w:rsidRPr="001C2FE3">
        <w:lastRenderedPageBreak/>
        <w:t>service provision nationally; and deficits in interagency cooperation in the provision of aftercare supports for children with disabilities.</w:t>
      </w:r>
      <w:r w:rsidRPr="001C2FE3">
        <w:rPr>
          <w:rStyle w:val="FootnoteReference"/>
        </w:rPr>
        <w:footnoteReference w:id="16"/>
      </w:r>
    </w:p>
    <w:p w14:paraId="7F332E86" w14:textId="0B9AC765" w:rsidR="00CB2F55" w:rsidRPr="001C2FE3" w:rsidRDefault="00CB2F55" w:rsidP="00653A7C">
      <w:pPr>
        <w:pStyle w:val="Heading2"/>
      </w:pPr>
      <w:r w:rsidRPr="001C2FE3">
        <w:t>Barriers to employment and further or higher education for disabled young people</w:t>
      </w:r>
    </w:p>
    <w:p w14:paraId="720EAD26" w14:textId="1CE1F889" w:rsidR="00CB2F55" w:rsidRPr="001C2FE3" w:rsidRDefault="00CB2F55" w:rsidP="0055294F">
      <w:r w:rsidRPr="001C2FE3">
        <w:t xml:space="preserve">Currently, there is no clear pathway from education to employment for young people with disabilities. </w:t>
      </w:r>
      <w:r w:rsidRPr="001C2FE3">
        <w:rPr>
          <w:rFonts w:cs="Arial"/>
          <w:color w:val="222222"/>
          <w:szCs w:val="26"/>
          <w:shd w:val="clear" w:color="auto" w:fill="FFFFFF"/>
        </w:rPr>
        <w:t xml:space="preserve">The NDA’s report on the </w:t>
      </w:r>
      <w:hyperlink r:id="rId34" w:history="1">
        <w:r w:rsidRPr="001C2FE3">
          <w:rPr>
            <w:rStyle w:val="Hyperlink"/>
            <w:rFonts w:cs="Arial"/>
            <w:szCs w:val="26"/>
            <w:shd w:val="clear" w:color="auto" w:fill="FFFFFF"/>
          </w:rPr>
          <w:t>final review of progress under the Comprehensive Employment Strategy for People with Disabilities</w:t>
        </w:r>
      </w:hyperlink>
      <w:r w:rsidRPr="001C2FE3">
        <w:rPr>
          <w:rFonts w:cs="Arial"/>
          <w:color w:val="222222"/>
          <w:szCs w:val="26"/>
          <w:shd w:val="clear" w:color="auto" w:fill="FFFFFF"/>
        </w:rPr>
        <w:t xml:space="preserve"> found that the rate of young people with disabilities not in employment, education, or training (NEET) remains more than twice that of young people without disabilities.</w:t>
      </w:r>
    </w:p>
    <w:p w14:paraId="585A5EEA" w14:textId="666EF9BC" w:rsidR="00CB2F55" w:rsidRDefault="00CB2F55" w:rsidP="00653A7C">
      <w:pPr>
        <w:spacing w:after="0"/>
      </w:pPr>
      <w:r w:rsidRPr="001C2FE3">
        <w:t xml:space="preserve">The ESRI’s </w:t>
      </w:r>
      <w:hyperlink r:id="rId35" w:history="1">
        <w:r w:rsidRPr="001C2FE3">
          <w:rPr>
            <w:rStyle w:val="Hyperlink"/>
          </w:rPr>
          <w:t>Care to College: an Exploratory Study on Care-Experienced Students’ Educational Journeys</w:t>
        </w:r>
      </w:hyperlink>
      <w:r w:rsidRPr="001C2FE3">
        <w:t xml:space="preserve"> found that </w:t>
      </w:r>
      <w:r w:rsidR="00C7513E">
        <w:t xml:space="preserve">while </w:t>
      </w:r>
      <w:r w:rsidRPr="001C2FE3">
        <w:t>care-experienced young people are not a homogenous group</w:t>
      </w:r>
      <w:r w:rsidR="00C7513E">
        <w:t xml:space="preserve">, </w:t>
      </w:r>
      <w:r w:rsidR="00653A7C">
        <w:t xml:space="preserve">they tend </w:t>
      </w:r>
      <w:r w:rsidRPr="001C2FE3">
        <w:t xml:space="preserve">on average to have poorer educational outcomes compared to their peers who have not been in state care. </w:t>
      </w:r>
      <w:r w:rsidR="00653A7C">
        <w:t>From their research, t</w:t>
      </w:r>
      <w:r w:rsidRPr="001C2FE3">
        <w:t>his was asso</w:t>
      </w:r>
      <w:r w:rsidRPr="004E2BAD">
        <w:t>ciated with a range of factors,</w:t>
      </w:r>
      <w:r w:rsidRPr="001C2FE3">
        <w:t xml:space="preserve"> </w:t>
      </w:r>
      <w:r w:rsidRPr="004E2BAD">
        <w:t>such as quality of support received when in care, placement breakdowns,</w:t>
      </w:r>
      <w:r w:rsidRPr="001C2FE3">
        <w:t xml:space="preserve"> </w:t>
      </w:r>
      <w:r w:rsidRPr="004E2BAD">
        <w:t>neighbourhood and community characteristics, experiences of trauma before</w:t>
      </w:r>
      <w:r w:rsidRPr="001C2FE3">
        <w:t xml:space="preserve"> </w:t>
      </w:r>
      <w:r w:rsidRPr="004E2BAD">
        <w:t>entering the care system</w:t>
      </w:r>
      <w:r w:rsidR="00653A7C">
        <w:t>, f</w:t>
      </w:r>
      <w:r w:rsidRPr="004E2BAD">
        <w:t>requent school</w:t>
      </w:r>
      <w:r w:rsidRPr="001C2FE3">
        <w:t xml:space="preserve"> </w:t>
      </w:r>
      <w:r w:rsidRPr="004E2BAD">
        <w:t xml:space="preserve">changes </w:t>
      </w:r>
      <w:r w:rsidR="00653A7C">
        <w:t xml:space="preserve">and associated adverse effects </w:t>
      </w:r>
      <w:r w:rsidRPr="004E2BAD">
        <w:t>on mental health, wellbeing and</w:t>
      </w:r>
      <w:r w:rsidRPr="001C2FE3">
        <w:t xml:space="preserve"> </w:t>
      </w:r>
      <w:r w:rsidRPr="004E2BAD">
        <w:t xml:space="preserve">behaviour. </w:t>
      </w:r>
      <w:r w:rsidR="003D044D">
        <w:t>ESRI found that h</w:t>
      </w:r>
      <w:r w:rsidRPr="004E2BAD">
        <w:t>aving a special educational need</w:t>
      </w:r>
      <w:r w:rsidR="00653A7C">
        <w:t xml:space="preserve"> </w:t>
      </w:r>
      <w:r w:rsidRPr="001C2FE3">
        <w:t>and/or disability further impact</w:t>
      </w:r>
      <w:r w:rsidR="003D044D">
        <w:t>ed</w:t>
      </w:r>
      <w:r w:rsidRPr="001C2FE3">
        <w:t xml:space="preserve"> the educational outcomes of care experienced children and young people.</w:t>
      </w:r>
    </w:p>
    <w:p w14:paraId="04CD43EC" w14:textId="77777777" w:rsidR="00653A7C" w:rsidRPr="001C2FE3" w:rsidRDefault="00653A7C" w:rsidP="00653A7C">
      <w:pPr>
        <w:spacing w:after="0"/>
      </w:pPr>
    </w:p>
    <w:p w14:paraId="3AB9D47C" w14:textId="3C5D4AA3" w:rsidR="00FC6F25" w:rsidRPr="001C2FE3" w:rsidRDefault="00FC6F25" w:rsidP="00653A7C">
      <w:pPr>
        <w:pStyle w:val="Heading2"/>
      </w:pPr>
      <w:r w:rsidRPr="001C2FE3">
        <w:t>Inclusive transitions and aftercare</w:t>
      </w:r>
    </w:p>
    <w:p w14:paraId="3918FB93" w14:textId="11B4C8C4" w:rsidR="00B52DE8" w:rsidRPr="001C2FE3" w:rsidRDefault="00A62C25" w:rsidP="0055294F">
      <w:r w:rsidRPr="001C2FE3">
        <w:t xml:space="preserve">The NDA notes the </w:t>
      </w:r>
      <w:r w:rsidRPr="00653A7C">
        <w:t>CRC’s recommendation</w:t>
      </w:r>
      <w:r w:rsidR="003D044D">
        <w:t xml:space="preserve"> </w:t>
      </w:r>
      <w:r w:rsidRPr="001C2FE3">
        <w:t>to develop community-based services to provide adequate education, support and opportunities for independent living for children leaving care.</w:t>
      </w:r>
      <w:r w:rsidR="003D044D">
        <w:rPr>
          <w:rStyle w:val="FootnoteReference"/>
        </w:rPr>
        <w:footnoteReference w:id="17"/>
      </w:r>
      <w:r w:rsidRPr="001C2FE3">
        <w:t xml:space="preserve"> </w:t>
      </w:r>
      <w:r w:rsidR="00B52DE8" w:rsidRPr="001C2FE3">
        <w:t xml:space="preserve">The NDA </w:t>
      </w:r>
      <w:r w:rsidR="00EF3FD3" w:rsidRPr="001C2FE3">
        <w:t xml:space="preserve">suggests </w:t>
      </w:r>
      <w:r w:rsidR="00B52DE8" w:rsidRPr="001C2FE3">
        <w:t xml:space="preserve">that, in developing a policy framework for alternative care, a holistic, whole-of-government perspective is needed on the support structures that should be provided as young people transition </w:t>
      </w:r>
      <w:r w:rsidR="007B7D63" w:rsidRPr="001C2FE3">
        <w:t>out of care settings</w:t>
      </w:r>
      <w:r w:rsidR="00B52DE8" w:rsidRPr="001C2FE3">
        <w:t xml:space="preserve">, whether that’s </w:t>
      </w:r>
      <w:r w:rsidR="007B7D63" w:rsidRPr="001C2FE3">
        <w:t xml:space="preserve">transitioning to birth families, </w:t>
      </w:r>
      <w:r w:rsidR="00B52DE8" w:rsidRPr="001C2FE3">
        <w:t xml:space="preserve">adult health and disability services, further or higher education, the labour market or </w:t>
      </w:r>
      <w:r w:rsidR="007B7D63" w:rsidRPr="001C2FE3">
        <w:t xml:space="preserve">taking </w:t>
      </w:r>
      <w:r w:rsidR="00B52DE8" w:rsidRPr="001C2FE3">
        <w:t>other steps towards independent living.</w:t>
      </w:r>
      <w:r w:rsidR="007B7D63" w:rsidRPr="001C2FE3">
        <w:t xml:space="preserve"> </w:t>
      </w:r>
    </w:p>
    <w:p w14:paraId="04F43D71" w14:textId="025208A3" w:rsidR="00F8346C" w:rsidRDefault="00290596" w:rsidP="0055294F">
      <w:pPr>
        <w:spacing w:after="0"/>
      </w:pPr>
      <w:r w:rsidRPr="001C2FE3">
        <w:t>The NDA advises that due consideration be given to how a policy framework for alternative care might make explicit provision for the additional</w:t>
      </w:r>
      <w:r w:rsidR="00992EE9">
        <w:t>, intersecting</w:t>
      </w:r>
      <w:r w:rsidRPr="001C2FE3">
        <w:t xml:space="preserve"> needs of disabled young people transitioning from alternative care settings</w:t>
      </w:r>
      <w:r w:rsidR="00992EE9">
        <w:t xml:space="preserve"> – noting that they </w:t>
      </w:r>
      <w:r w:rsidR="00616FEA" w:rsidRPr="001C2FE3">
        <w:t>can experience heightened vulnerability due to the barriers arising from both their disability and their care experience</w:t>
      </w:r>
      <w:r w:rsidR="00992EE9">
        <w:t xml:space="preserve">. As such, </w:t>
      </w:r>
      <w:r w:rsidR="00616FEA" w:rsidRPr="001C2FE3">
        <w:t xml:space="preserve">the NDA advocates that </w:t>
      </w:r>
      <w:r w:rsidR="0024525B" w:rsidRPr="001C2FE3">
        <w:t>aftercar</w:t>
      </w:r>
      <w:r w:rsidR="00616FEA" w:rsidRPr="001C2FE3">
        <w:t xml:space="preserve">e supports need in-built flexibility and agility to allow for tailored, individual planning and </w:t>
      </w:r>
      <w:r w:rsidR="00616FEA" w:rsidRPr="001C2FE3">
        <w:lastRenderedPageBreak/>
        <w:t xml:space="preserve">adaptive support that prioritises continuity of care and independent living. </w:t>
      </w:r>
      <w:r w:rsidR="0024525B" w:rsidRPr="001C2FE3">
        <w:t>Key elements of such a framework might include:</w:t>
      </w:r>
    </w:p>
    <w:p w14:paraId="0D440FB7" w14:textId="77777777" w:rsidR="001F423D" w:rsidRPr="001C2FE3" w:rsidRDefault="001F423D" w:rsidP="0055294F">
      <w:pPr>
        <w:spacing w:after="0"/>
      </w:pPr>
    </w:p>
    <w:p w14:paraId="2A83F63C" w14:textId="74E9E085" w:rsidR="00390587" w:rsidRPr="001C2FE3" w:rsidRDefault="00A62C25" w:rsidP="001F423D">
      <w:pPr>
        <w:pStyle w:val="ListParagraph"/>
        <w:numPr>
          <w:ilvl w:val="0"/>
          <w:numId w:val="31"/>
        </w:numPr>
      </w:pPr>
      <w:r w:rsidRPr="001C2FE3">
        <w:t>Enabling young</w:t>
      </w:r>
      <w:r w:rsidR="0024525B" w:rsidRPr="001C2FE3">
        <w:t xml:space="preserve"> people </w:t>
      </w:r>
      <w:r w:rsidRPr="001C2FE3">
        <w:t>to</w:t>
      </w:r>
      <w:r w:rsidR="0024525B" w:rsidRPr="001C2FE3">
        <w:t xml:space="preserve"> </w:t>
      </w:r>
      <w:r w:rsidR="00EE659E" w:rsidRPr="001C2FE3">
        <w:t>remain in care beyond 18 years where appropriate</w:t>
      </w:r>
      <w:r w:rsidR="00FC6F25" w:rsidRPr="001C2FE3">
        <w:t xml:space="preserve">, especially </w:t>
      </w:r>
      <w:r w:rsidR="009A5FC8">
        <w:t>if there are ongoing challenges arising from a disability</w:t>
      </w:r>
      <w:r w:rsidR="00FC6F25" w:rsidRPr="001C2FE3">
        <w:t>.</w:t>
      </w:r>
      <w:r w:rsidR="00EE659E" w:rsidRPr="001C2FE3">
        <w:t xml:space="preserve"> The NDA notes that </w:t>
      </w:r>
      <w:r w:rsidR="00F64E3F" w:rsidRPr="001C2FE3">
        <w:t xml:space="preserve">there is precedent </w:t>
      </w:r>
      <w:r w:rsidR="003708CC" w:rsidRPr="001C2FE3">
        <w:t xml:space="preserve">in recognising the specific needs of young adults </w:t>
      </w:r>
      <w:r w:rsidR="00F64E3F" w:rsidRPr="001C2FE3">
        <w:t xml:space="preserve">in the </w:t>
      </w:r>
      <w:r w:rsidR="003708CC" w:rsidRPr="001C2FE3">
        <w:t xml:space="preserve">work </w:t>
      </w:r>
      <w:r w:rsidR="00F64E3F" w:rsidRPr="001C2FE3">
        <w:t xml:space="preserve">of the </w:t>
      </w:r>
      <w:r w:rsidR="003708CC" w:rsidRPr="0028225A">
        <w:t>Youth Mental Health Transitions Specialist Group</w:t>
      </w:r>
      <w:r w:rsidR="003708CC" w:rsidRPr="001C2FE3">
        <w:t>, wh</w:t>
      </w:r>
      <w:r w:rsidR="009A5FC8">
        <w:t>ich</w:t>
      </w:r>
      <w:r w:rsidR="003708CC" w:rsidRPr="001C2FE3">
        <w:t xml:space="preserve"> recommended the development of a new mental health service for young people </w:t>
      </w:r>
      <w:r w:rsidR="009A5FC8">
        <w:t>(</w:t>
      </w:r>
      <w:r w:rsidR="003708CC" w:rsidRPr="001C2FE3">
        <w:t>15–25 years</w:t>
      </w:r>
      <w:r w:rsidR="009A5FC8">
        <w:t>).</w:t>
      </w:r>
      <w:r w:rsidR="0028225A">
        <w:rPr>
          <w:rStyle w:val="FootnoteReference"/>
        </w:rPr>
        <w:footnoteReference w:id="18"/>
      </w:r>
    </w:p>
    <w:p w14:paraId="11273712" w14:textId="75740A0C" w:rsidR="003708CC" w:rsidRPr="001C2FE3" w:rsidRDefault="003708CC" w:rsidP="001F423D">
      <w:pPr>
        <w:pStyle w:val="ListParagraph"/>
        <w:numPr>
          <w:ilvl w:val="0"/>
          <w:numId w:val="31"/>
        </w:numPr>
      </w:pPr>
      <w:r w:rsidRPr="001C2FE3">
        <w:t>Effective protocols for cooperation between relevant Departments and Agencies for education, health, disability, employment, housing and social protection to ensure seamless transitions and access to information, grants and supports, including those for disability.</w:t>
      </w:r>
    </w:p>
    <w:p w14:paraId="4D4E8BDD" w14:textId="15CBAB9C" w:rsidR="00EE659E" w:rsidRPr="001C2FE3" w:rsidRDefault="00EE659E" w:rsidP="001F423D">
      <w:pPr>
        <w:pStyle w:val="ListParagraph"/>
        <w:numPr>
          <w:ilvl w:val="0"/>
          <w:numId w:val="31"/>
        </w:numPr>
      </w:pPr>
      <w:r w:rsidRPr="001C2FE3">
        <w:t xml:space="preserve">A </w:t>
      </w:r>
      <w:r w:rsidR="003D044D">
        <w:t xml:space="preserve">flexible </w:t>
      </w:r>
      <w:r w:rsidRPr="001C2FE3">
        <w:t>framework that supports child/young person</w:t>
      </w:r>
      <w:r w:rsidR="008E36E3" w:rsidRPr="001C2FE3">
        <w:t>-led</w:t>
      </w:r>
      <w:r w:rsidRPr="001C2FE3">
        <w:t xml:space="preserve"> planning, backed by dedicated aftercare workers</w:t>
      </w:r>
      <w:r w:rsidR="001F423D">
        <w:t xml:space="preserve"> who are </w:t>
      </w:r>
      <w:r w:rsidRPr="001C2FE3">
        <w:t>equipped with the skills to support disabled young people and their families</w:t>
      </w:r>
      <w:r w:rsidR="001F423D">
        <w:t xml:space="preserve"> and </w:t>
      </w:r>
      <w:r w:rsidR="008E36E3" w:rsidRPr="001C2FE3">
        <w:t>can help t</w:t>
      </w:r>
      <w:r w:rsidRPr="001C2FE3">
        <w:t>o ensure early, coordinated, interagency planning</w:t>
      </w:r>
      <w:r w:rsidR="003708CC" w:rsidRPr="001C2FE3">
        <w:t xml:space="preserve"> and </w:t>
      </w:r>
      <w:r w:rsidR="001F423D">
        <w:t>response to need</w:t>
      </w:r>
      <w:r w:rsidR="008E36E3" w:rsidRPr="001C2FE3">
        <w:t>.</w:t>
      </w:r>
    </w:p>
    <w:p w14:paraId="291973A2" w14:textId="6809C73B" w:rsidR="00EE659E" w:rsidRPr="001C2FE3" w:rsidRDefault="008E36E3" w:rsidP="001F423D">
      <w:pPr>
        <w:pStyle w:val="ListParagraph"/>
        <w:numPr>
          <w:ilvl w:val="0"/>
          <w:numId w:val="31"/>
        </w:numPr>
      </w:pPr>
      <w:r w:rsidRPr="001C2FE3">
        <w:t>Recognition and provision for the fact that life-long mental health needs may arise from a person’s experience before and during time in care, for which access to appropriate supports should be considered.</w:t>
      </w:r>
    </w:p>
    <w:p w14:paraId="5C652D0A" w14:textId="72023CBE" w:rsidR="002F14E7" w:rsidRPr="001C2FE3" w:rsidRDefault="00C91B76" w:rsidP="001F423D">
      <w:pPr>
        <w:pStyle w:val="ListParagraph"/>
        <w:numPr>
          <w:ilvl w:val="0"/>
          <w:numId w:val="30"/>
        </w:numPr>
      </w:pPr>
      <w:r w:rsidRPr="001C2FE3">
        <w:t>Pro</w:t>
      </w:r>
      <w:r w:rsidR="003708CC" w:rsidRPr="001C2FE3">
        <w:t xml:space="preserve">motion of Home Sharing </w:t>
      </w:r>
      <w:r w:rsidR="00FC6F25" w:rsidRPr="001C2FE3">
        <w:t xml:space="preserve">as a model for supporting transitions for disabled young people with care experience. Standard </w:t>
      </w:r>
      <w:r w:rsidR="00F14521" w:rsidRPr="001C2FE3">
        <w:t>3</w:t>
      </w:r>
      <w:r w:rsidR="00FC6F25" w:rsidRPr="001C2FE3">
        <w:t xml:space="preserve"> of the Draft National Standards for Home Sharing that are currently under consultation</w:t>
      </w:r>
      <w:r w:rsidR="00A62C25" w:rsidRPr="001C2FE3">
        <w:t xml:space="preserve"> </w:t>
      </w:r>
      <w:r w:rsidR="00F14521" w:rsidRPr="001C2FE3">
        <w:t xml:space="preserve">(discussed further above) </w:t>
      </w:r>
      <w:r w:rsidR="00A62C25" w:rsidRPr="001C2FE3">
        <w:t xml:space="preserve">has a particular focus on transition to </w:t>
      </w:r>
      <w:r w:rsidR="00F14521" w:rsidRPr="001C2FE3">
        <w:t>H</w:t>
      </w:r>
      <w:r w:rsidR="00A62C25" w:rsidRPr="001C2FE3">
        <w:t xml:space="preserve">ome </w:t>
      </w:r>
      <w:r w:rsidR="00F14521" w:rsidRPr="001C2FE3">
        <w:t>S</w:t>
      </w:r>
      <w:r w:rsidR="00A62C25" w:rsidRPr="001C2FE3">
        <w:t xml:space="preserve">haring </w:t>
      </w:r>
      <w:r w:rsidR="00F14521" w:rsidRPr="001C2FE3">
        <w:t xml:space="preserve">from foster care as part of a planned transition to adulthood and independent living. </w:t>
      </w:r>
    </w:p>
    <w:p w14:paraId="447C2FEA" w14:textId="6311ED4B" w:rsidR="0086594E" w:rsidRPr="001C2FE3" w:rsidRDefault="00B91936" w:rsidP="0055294F">
      <w:pPr>
        <w:pStyle w:val="Heading1"/>
      </w:pPr>
      <w:r w:rsidRPr="001C2FE3">
        <w:t xml:space="preserve">Issue </w:t>
      </w:r>
      <w:r w:rsidR="00FC6F25" w:rsidRPr="001C2FE3">
        <w:t>6</w:t>
      </w:r>
      <w:r w:rsidRPr="001C2FE3">
        <w:t xml:space="preserve">: </w:t>
      </w:r>
      <w:r w:rsidR="00F14521" w:rsidRPr="001C2FE3">
        <w:t>Support</w:t>
      </w:r>
      <w:r w:rsidR="00E548A0">
        <w:t xml:space="preserve"> and training</w:t>
      </w:r>
    </w:p>
    <w:p w14:paraId="17547640" w14:textId="6F1B1761" w:rsidR="00235E46" w:rsidRPr="001C2FE3" w:rsidRDefault="00235E46" w:rsidP="0055294F">
      <w:pPr>
        <w:pStyle w:val="ListBullet"/>
        <w:numPr>
          <w:ilvl w:val="0"/>
          <w:numId w:val="0"/>
        </w:numPr>
        <w:rPr>
          <w:rFonts w:ascii="Verdana" w:hAnsi="Verdana"/>
          <w:sz w:val="24"/>
        </w:rPr>
      </w:pPr>
      <w:r w:rsidRPr="001C2FE3">
        <w:rPr>
          <w:rFonts w:ascii="Verdana" w:hAnsi="Verdana"/>
          <w:sz w:val="24"/>
        </w:rPr>
        <w:t>The NDA notes tha</w:t>
      </w:r>
      <w:r w:rsidRPr="00E548A0">
        <w:rPr>
          <w:rFonts w:ascii="Verdana" w:hAnsi="Verdana"/>
          <w:sz w:val="24"/>
        </w:rPr>
        <w:t xml:space="preserve">t the challenges in staff recruitment and retention across the health and social care sectors are well documented. An area of particular concern, highlighted in the most recent </w:t>
      </w:r>
      <w:hyperlink r:id="rId36" w:history="1">
        <w:r w:rsidRPr="00E548A0">
          <w:rPr>
            <w:rStyle w:val="Hyperlink"/>
            <w:rFonts w:ascii="Verdana" w:hAnsi="Verdana"/>
            <w:sz w:val="24"/>
          </w:rPr>
          <w:t>Annual Report of the Special Rapporteur on Child Protection (2022)</w:t>
        </w:r>
      </w:hyperlink>
      <w:r w:rsidRPr="00E548A0">
        <w:rPr>
          <w:rFonts w:ascii="Verdana" w:hAnsi="Verdana"/>
          <w:sz w:val="24"/>
        </w:rPr>
        <w:t xml:space="preserve">, is the increase in use by </w:t>
      </w:r>
      <w:proofErr w:type="spellStart"/>
      <w:r w:rsidRPr="00E548A0">
        <w:rPr>
          <w:rFonts w:ascii="Verdana" w:hAnsi="Verdana"/>
          <w:sz w:val="24"/>
        </w:rPr>
        <w:t>Tusla</w:t>
      </w:r>
      <w:proofErr w:type="spellEnd"/>
      <w:r w:rsidRPr="00E548A0">
        <w:rPr>
          <w:rFonts w:ascii="Verdana" w:hAnsi="Verdana"/>
          <w:sz w:val="24"/>
        </w:rPr>
        <w:t xml:space="preserve"> of private residential care providers. His research identified a range of staff-related risks associated with the reliance on private residential care – including frequent staff turnover (making it difficult for children and young people to build relationships) and lower qualification levels on average c</w:t>
      </w:r>
      <w:r w:rsidRPr="001C2FE3">
        <w:rPr>
          <w:rFonts w:ascii="Verdana" w:hAnsi="Verdana"/>
          <w:sz w:val="24"/>
        </w:rPr>
        <w:t>ompared to state providers.</w:t>
      </w:r>
    </w:p>
    <w:p w14:paraId="5F1C4BFE" w14:textId="7119935E" w:rsidR="005E7C3D" w:rsidRPr="001C2FE3" w:rsidRDefault="00235E46" w:rsidP="0055294F">
      <w:pPr>
        <w:pStyle w:val="ListBullet"/>
        <w:numPr>
          <w:ilvl w:val="0"/>
          <w:numId w:val="0"/>
        </w:numPr>
        <w:rPr>
          <w:rFonts w:ascii="Verdana" w:hAnsi="Verdana"/>
          <w:sz w:val="24"/>
        </w:rPr>
      </w:pPr>
      <w:r w:rsidRPr="001C2FE3">
        <w:rPr>
          <w:rFonts w:ascii="Verdana" w:hAnsi="Verdana"/>
          <w:sz w:val="24"/>
        </w:rPr>
        <w:t xml:space="preserve">Looking specifically at needs of disabled children and young people in the system, </w:t>
      </w:r>
      <w:r w:rsidR="005E7C3D" w:rsidRPr="00CC792F">
        <w:rPr>
          <w:rFonts w:ascii="Verdana" w:hAnsi="Verdana"/>
          <w:sz w:val="24"/>
        </w:rPr>
        <w:t>EPIC</w:t>
      </w:r>
      <w:r w:rsidR="00F14521" w:rsidRPr="00CC792F">
        <w:rPr>
          <w:rFonts w:ascii="Verdana" w:hAnsi="Verdana"/>
          <w:sz w:val="24"/>
        </w:rPr>
        <w:t>’s research</w:t>
      </w:r>
      <w:r w:rsidR="00F14521" w:rsidRPr="001C2FE3">
        <w:rPr>
          <w:rFonts w:ascii="Verdana" w:hAnsi="Verdana"/>
          <w:sz w:val="24"/>
        </w:rPr>
        <w:t xml:space="preserve"> </w:t>
      </w:r>
      <w:r w:rsidR="00CC792F">
        <w:rPr>
          <w:rFonts w:ascii="Verdana" w:hAnsi="Verdana"/>
          <w:sz w:val="24"/>
        </w:rPr>
        <w:t xml:space="preserve">(cited above) </w:t>
      </w:r>
      <w:r w:rsidR="00F14521" w:rsidRPr="001C2FE3">
        <w:rPr>
          <w:rFonts w:ascii="Verdana" w:hAnsi="Verdana"/>
          <w:sz w:val="24"/>
        </w:rPr>
        <w:t>found that</w:t>
      </w:r>
      <w:r w:rsidR="00417F17" w:rsidRPr="001C2FE3">
        <w:rPr>
          <w:rFonts w:ascii="Verdana" w:hAnsi="Verdana"/>
          <w:sz w:val="24"/>
        </w:rPr>
        <w:t xml:space="preserve"> while most </w:t>
      </w:r>
      <w:r w:rsidR="005E7C3D" w:rsidRPr="001C2FE3">
        <w:rPr>
          <w:rFonts w:ascii="Verdana" w:hAnsi="Verdana"/>
          <w:sz w:val="24"/>
        </w:rPr>
        <w:t xml:space="preserve">participants </w:t>
      </w:r>
      <w:r w:rsidR="005E7C3D" w:rsidRPr="001C2FE3">
        <w:rPr>
          <w:rFonts w:ascii="Verdana" w:hAnsi="Verdana"/>
          <w:sz w:val="24"/>
        </w:rPr>
        <w:lastRenderedPageBreak/>
        <w:t xml:space="preserve">described positive experiences of Social Workers and other professionals, </w:t>
      </w:r>
      <w:r w:rsidR="00417F17" w:rsidRPr="001C2FE3">
        <w:rPr>
          <w:rFonts w:ascii="Verdana" w:hAnsi="Verdana"/>
          <w:sz w:val="24"/>
        </w:rPr>
        <w:t>“</w:t>
      </w:r>
      <w:r w:rsidR="005E7C3D" w:rsidRPr="001C2FE3">
        <w:rPr>
          <w:rFonts w:ascii="Verdana" w:hAnsi="Verdana"/>
          <w:sz w:val="24"/>
        </w:rPr>
        <w:t>there were a range of negative interactions which had a detrimental impact on their care experience, including poor communication, disregard for disability needs, and a sense that their views were not being sought or considered in decision-making.”</w:t>
      </w:r>
    </w:p>
    <w:p w14:paraId="41399AE7" w14:textId="69D0A1A0" w:rsidR="00151975" w:rsidRPr="001C2FE3" w:rsidRDefault="007D7A3D" w:rsidP="0055294F">
      <w:pPr>
        <w:pStyle w:val="ListBullet"/>
        <w:numPr>
          <w:ilvl w:val="0"/>
          <w:numId w:val="0"/>
        </w:numPr>
        <w:rPr>
          <w:rFonts w:ascii="Verdana" w:hAnsi="Verdana"/>
          <w:sz w:val="24"/>
        </w:rPr>
      </w:pPr>
      <w:bookmarkStart w:id="3" w:name="_Hlk208490679"/>
      <w:r w:rsidRPr="001C2FE3">
        <w:rPr>
          <w:rFonts w:ascii="Verdana" w:hAnsi="Verdana"/>
          <w:sz w:val="24"/>
        </w:rPr>
        <w:t xml:space="preserve">A consistent </w:t>
      </w:r>
      <w:r w:rsidRPr="00CC792F">
        <w:rPr>
          <w:rFonts w:ascii="Verdana" w:hAnsi="Verdana"/>
          <w:sz w:val="24"/>
        </w:rPr>
        <w:t>HIQA finding</w:t>
      </w:r>
      <w:r w:rsidRPr="001C2FE3">
        <w:rPr>
          <w:rFonts w:ascii="Verdana" w:hAnsi="Verdana"/>
          <w:sz w:val="24"/>
        </w:rPr>
        <w:t xml:space="preserve"> has been that when children have assigned staff members who are allocated to work directly with them, </w:t>
      </w:r>
      <w:proofErr w:type="gramStart"/>
      <w:r w:rsidRPr="001C2FE3">
        <w:rPr>
          <w:rFonts w:ascii="Verdana" w:hAnsi="Verdana"/>
          <w:sz w:val="24"/>
        </w:rPr>
        <w:t>the majority of</w:t>
      </w:r>
      <w:proofErr w:type="gramEnd"/>
      <w:r w:rsidRPr="001C2FE3">
        <w:rPr>
          <w:rFonts w:ascii="Verdana" w:hAnsi="Verdana"/>
          <w:sz w:val="24"/>
        </w:rPr>
        <w:t xml:space="preserve"> children receive a good service.</w:t>
      </w:r>
      <w:r w:rsidR="00CC792F">
        <w:rPr>
          <w:rStyle w:val="FootnoteReference"/>
          <w:rFonts w:ascii="Verdana" w:hAnsi="Verdana"/>
          <w:sz w:val="24"/>
        </w:rPr>
        <w:footnoteReference w:id="19"/>
      </w:r>
    </w:p>
    <w:p w14:paraId="6DC173F9" w14:textId="5505ABDE" w:rsidR="00363C44" w:rsidRPr="001C2FE3" w:rsidRDefault="00363C44" w:rsidP="0055294F">
      <w:pPr>
        <w:pStyle w:val="ListBullet"/>
        <w:numPr>
          <w:ilvl w:val="0"/>
          <w:numId w:val="0"/>
        </w:numPr>
        <w:rPr>
          <w:rFonts w:ascii="Verdana" w:hAnsi="Verdana"/>
          <w:sz w:val="24"/>
        </w:rPr>
      </w:pPr>
      <w:r w:rsidRPr="001C2FE3">
        <w:rPr>
          <w:rFonts w:ascii="Verdana" w:hAnsi="Verdana"/>
          <w:sz w:val="24"/>
        </w:rPr>
        <w:t xml:space="preserve">Noting the above, </w:t>
      </w:r>
      <w:bookmarkEnd w:id="3"/>
      <w:r w:rsidR="00F426C1" w:rsidRPr="001C2FE3">
        <w:rPr>
          <w:rFonts w:ascii="Verdana" w:hAnsi="Verdana"/>
          <w:sz w:val="24"/>
        </w:rPr>
        <w:t xml:space="preserve">the </w:t>
      </w:r>
      <w:r w:rsidR="0055294F" w:rsidRPr="001C2FE3">
        <w:rPr>
          <w:rFonts w:ascii="Verdana" w:hAnsi="Verdana"/>
          <w:sz w:val="24"/>
        </w:rPr>
        <w:t xml:space="preserve">NDA </w:t>
      </w:r>
      <w:r w:rsidR="0078788B" w:rsidRPr="001C2FE3">
        <w:rPr>
          <w:rFonts w:ascii="Verdana" w:hAnsi="Verdana"/>
          <w:sz w:val="24"/>
        </w:rPr>
        <w:t xml:space="preserve">advises that the </w:t>
      </w:r>
      <w:r w:rsidR="005669CB" w:rsidRPr="001C2FE3">
        <w:rPr>
          <w:rFonts w:ascii="Verdana" w:hAnsi="Verdana"/>
          <w:sz w:val="24"/>
        </w:rPr>
        <w:t xml:space="preserve">policy framework </w:t>
      </w:r>
      <w:r w:rsidR="0078788B" w:rsidRPr="001C2FE3">
        <w:rPr>
          <w:rFonts w:ascii="Verdana" w:hAnsi="Verdana"/>
          <w:sz w:val="24"/>
        </w:rPr>
        <w:t xml:space="preserve">give due consideration to how </w:t>
      </w:r>
      <w:r w:rsidR="00342E60" w:rsidRPr="001C2FE3">
        <w:rPr>
          <w:rFonts w:ascii="Verdana" w:hAnsi="Verdana"/>
          <w:sz w:val="24"/>
        </w:rPr>
        <w:t>all those involved in deliver</w:t>
      </w:r>
      <w:r w:rsidR="00302CFC">
        <w:rPr>
          <w:rFonts w:ascii="Verdana" w:hAnsi="Verdana"/>
          <w:sz w:val="24"/>
        </w:rPr>
        <w:t>ing</w:t>
      </w:r>
      <w:r w:rsidR="00342E60" w:rsidRPr="001C2FE3">
        <w:rPr>
          <w:rFonts w:ascii="Verdana" w:hAnsi="Verdana"/>
          <w:sz w:val="24"/>
        </w:rPr>
        <w:t xml:space="preserve"> alternative care services </w:t>
      </w:r>
      <w:r w:rsidR="00A73BA9">
        <w:rPr>
          <w:rFonts w:ascii="Verdana" w:hAnsi="Verdana"/>
          <w:sz w:val="24"/>
        </w:rPr>
        <w:t xml:space="preserve">(including staff and families providing foster, respite and Home Share services) </w:t>
      </w:r>
      <w:r w:rsidR="00342E60" w:rsidRPr="001C2FE3">
        <w:rPr>
          <w:rFonts w:ascii="Verdana" w:hAnsi="Verdana"/>
          <w:sz w:val="24"/>
        </w:rPr>
        <w:t xml:space="preserve">can be supported to </w:t>
      </w:r>
      <w:r w:rsidR="00A73BA9">
        <w:rPr>
          <w:rFonts w:ascii="Verdana" w:hAnsi="Verdana"/>
          <w:sz w:val="24"/>
        </w:rPr>
        <w:t xml:space="preserve">provide disability-inclusive care. </w:t>
      </w:r>
      <w:r w:rsidR="00342E60" w:rsidRPr="001C2FE3">
        <w:rPr>
          <w:rFonts w:ascii="Verdana" w:hAnsi="Verdana"/>
          <w:sz w:val="24"/>
        </w:rPr>
        <w:t>In particular:</w:t>
      </w:r>
      <w:r w:rsidRPr="001C2FE3">
        <w:rPr>
          <w:rFonts w:ascii="Verdana" w:hAnsi="Verdana"/>
          <w:sz w:val="24"/>
        </w:rPr>
        <w:t xml:space="preserve"> </w:t>
      </w:r>
    </w:p>
    <w:p w14:paraId="50270ABC" w14:textId="52F02C36" w:rsidR="00342E60" w:rsidRPr="001C2FE3" w:rsidRDefault="00342E60" w:rsidP="0055294F">
      <w:pPr>
        <w:pStyle w:val="ListBullet"/>
        <w:numPr>
          <w:ilvl w:val="0"/>
          <w:numId w:val="30"/>
        </w:numPr>
        <w:rPr>
          <w:rFonts w:ascii="Verdana" w:hAnsi="Verdana"/>
          <w:sz w:val="24"/>
        </w:rPr>
      </w:pPr>
      <w:r w:rsidRPr="001C2FE3">
        <w:rPr>
          <w:rFonts w:ascii="Verdana" w:hAnsi="Verdana"/>
          <w:sz w:val="24"/>
        </w:rPr>
        <w:t xml:space="preserve">Consider mandating that all children in care and aftercare are assigned dedicated </w:t>
      </w:r>
      <w:r w:rsidR="00F426C1" w:rsidRPr="001C2FE3">
        <w:rPr>
          <w:rFonts w:ascii="Verdana" w:hAnsi="Verdana"/>
          <w:sz w:val="24"/>
        </w:rPr>
        <w:t xml:space="preserve">staff to work directly with </w:t>
      </w:r>
      <w:r w:rsidRPr="001C2FE3">
        <w:rPr>
          <w:rFonts w:ascii="Verdana" w:hAnsi="Verdana"/>
          <w:sz w:val="24"/>
        </w:rPr>
        <w:t xml:space="preserve">them </w:t>
      </w:r>
      <w:r w:rsidR="00F426C1" w:rsidRPr="001C2FE3">
        <w:rPr>
          <w:rFonts w:ascii="Verdana" w:hAnsi="Verdana"/>
          <w:sz w:val="24"/>
        </w:rPr>
        <w:t>as standard</w:t>
      </w:r>
      <w:r w:rsidR="00A73BA9">
        <w:rPr>
          <w:rFonts w:ascii="Verdana" w:hAnsi="Verdana"/>
          <w:sz w:val="24"/>
        </w:rPr>
        <w:t xml:space="preserve"> practice.</w:t>
      </w:r>
    </w:p>
    <w:p w14:paraId="28F77082" w14:textId="52D5A146" w:rsidR="00F426C1" w:rsidRPr="001C2FE3" w:rsidRDefault="0063630D" w:rsidP="0055294F">
      <w:pPr>
        <w:pStyle w:val="ListBullet"/>
        <w:numPr>
          <w:ilvl w:val="0"/>
          <w:numId w:val="30"/>
        </w:numPr>
        <w:rPr>
          <w:rFonts w:ascii="Verdana" w:hAnsi="Verdana"/>
          <w:sz w:val="24"/>
        </w:rPr>
      </w:pPr>
      <w:r w:rsidRPr="001C2FE3">
        <w:rPr>
          <w:rFonts w:ascii="Verdana" w:hAnsi="Verdana"/>
          <w:sz w:val="24"/>
        </w:rPr>
        <w:t xml:space="preserve">Prioritise </w:t>
      </w:r>
      <w:r w:rsidR="00E81AA1" w:rsidRPr="001C2FE3">
        <w:rPr>
          <w:rFonts w:ascii="Verdana" w:hAnsi="Verdana"/>
          <w:sz w:val="24"/>
        </w:rPr>
        <w:t xml:space="preserve">comprehensive </w:t>
      </w:r>
      <w:r w:rsidRPr="001C2FE3">
        <w:rPr>
          <w:rFonts w:ascii="Verdana" w:hAnsi="Verdana"/>
          <w:sz w:val="24"/>
        </w:rPr>
        <w:t xml:space="preserve">training </w:t>
      </w:r>
      <w:r w:rsidR="00A73BA9">
        <w:rPr>
          <w:rFonts w:ascii="Verdana" w:hAnsi="Verdana"/>
          <w:sz w:val="24"/>
        </w:rPr>
        <w:t>on</w:t>
      </w:r>
      <w:r w:rsidR="00E81AA1" w:rsidRPr="001C2FE3">
        <w:rPr>
          <w:rFonts w:ascii="Verdana" w:hAnsi="Verdana"/>
          <w:sz w:val="24"/>
        </w:rPr>
        <w:t xml:space="preserve"> disability equality, </w:t>
      </w:r>
      <w:r w:rsidR="00A73BA9">
        <w:rPr>
          <w:rFonts w:ascii="Verdana" w:hAnsi="Verdana"/>
          <w:sz w:val="24"/>
        </w:rPr>
        <w:t>intersectionality, U</w:t>
      </w:r>
      <w:r w:rsidR="00E81AA1" w:rsidRPr="001C2FE3">
        <w:rPr>
          <w:rFonts w:ascii="Verdana" w:hAnsi="Verdana"/>
          <w:sz w:val="24"/>
        </w:rPr>
        <w:t xml:space="preserve">niversal </w:t>
      </w:r>
      <w:r w:rsidR="00A73BA9">
        <w:rPr>
          <w:rFonts w:ascii="Verdana" w:hAnsi="Verdana"/>
          <w:sz w:val="24"/>
        </w:rPr>
        <w:t>D</w:t>
      </w:r>
      <w:r w:rsidR="00E81AA1" w:rsidRPr="001C2FE3">
        <w:rPr>
          <w:rFonts w:ascii="Verdana" w:hAnsi="Verdana"/>
          <w:sz w:val="24"/>
        </w:rPr>
        <w:t>esign</w:t>
      </w:r>
      <w:r w:rsidR="0061461C">
        <w:rPr>
          <w:rFonts w:ascii="Verdana" w:hAnsi="Verdana"/>
          <w:sz w:val="24"/>
        </w:rPr>
        <w:t xml:space="preserve"> and</w:t>
      </w:r>
      <w:r w:rsidR="00E81AA1" w:rsidRPr="001C2FE3">
        <w:rPr>
          <w:rFonts w:ascii="Verdana" w:hAnsi="Verdana"/>
          <w:sz w:val="24"/>
        </w:rPr>
        <w:t xml:space="preserve"> </w:t>
      </w:r>
      <w:r w:rsidR="00A73BA9">
        <w:rPr>
          <w:rFonts w:ascii="Verdana" w:hAnsi="Verdana"/>
          <w:sz w:val="24"/>
        </w:rPr>
        <w:t xml:space="preserve">skills to support additional care needs, </w:t>
      </w:r>
      <w:r w:rsidR="0061461C">
        <w:rPr>
          <w:rFonts w:ascii="Verdana" w:hAnsi="Verdana"/>
          <w:sz w:val="24"/>
        </w:rPr>
        <w:t>including multiple</w:t>
      </w:r>
      <w:r w:rsidR="00E81AA1" w:rsidRPr="001C2FE3">
        <w:rPr>
          <w:rFonts w:ascii="Verdana" w:hAnsi="Verdana"/>
          <w:sz w:val="24"/>
        </w:rPr>
        <w:t xml:space="preserve"> communication formats – i.e. Hanen (training focused on how to enable communication in an inclusive framework), </w:t>
      </w:r>
      <w:proofErr w:type="spellStart"/>
      <w:r w:rsidR="00E81AA1" w:rsidRPr="001C2FE3">
        <w:rPr>
          <w:rFonts w:ascii="Verdana" w:hAnsi="Verdana"/>
          <w:sz w:val="24"/>
        </w:rPr>
        <w:t>Lámh</w:t>
      </w:r>
      <w:proofErr w:type="spellEnd"/>
      <w:r w:rsidR="00E81AA1" w:rsidRPr="001C2FE3">
        <w:rPr>
          <w:rFonts w:ascii="Verdana" w:hAnsi="Verdana"/>
          <w:sz w:val="24"/>
        </w:rPr>
        <w:t xml:space="preserve"> (a manual sign system used by children and adults with intellectual disabilities and communication needs in Ireland)</w:t>
      </w:r>
      <w:r w:rsidR="00A73BA9">
        <w:rPr>
          <w:rFonts w:ascii="Verdana" w:hAnsi="Verdana"/>
          <w:sz w:val="24"/>
        </w:rPr>
        <w:t xml:space="preserve">, </w:t>
      </w:r>
      <w:r w:rsidR="00E81AA1" w:rsidRPr="001C2FE3">
        <w:rPr>
          <w:rFonts w:ascii="Verdana" w:hAnsi="Verdana"/>
          <w:sz w:val="24"/>
        </w:rPr>
        <w:t>Irish Sign Language</w:t>
      </w:r>
      <w:r w:rsidR="001F3E23">
        <w:rPr>
          <w:rFonts w:ascii="Verdana" w:hAnsi="Verdana"/>
          <w:sz w:val="24"/>
        </w:rPr>
        <w:t xml:space="preserve"> </w:t>
      </w:r>
      <w:r w:rsidR="001F3E23">
        <w:rPr>
          <w:rFonts w:ascii="Verdana" w:hAnsi="Verdana"/>
          <w:sz w:val="24"/>
        </w:rPr>
        <w:t>and Augmentative and Alternative Communication (AAC)</w:t>
      </w:r>
      <w:r w:rsidR="00E81AA1" w:rsidRPr="001C2FE3">
        <w:rPr>
          <w:rFonts w:ascii="Verdana" w:hAnsi="Verdana"/>
          <w:sz w:val="24"/>
        </w:rPr>
        <w:t>, where relevant and appropriate</w:t>
      </w:r>
      <w:r w:rsidR="00A73BA9">
        <w:rPr>
          <w:rFonts w:ascii="Verdana" w:hAnsi="Verdana"/>
          <w:sz w:val="24"/>
        </w:rPr>
        <w:t>.</w:t>
      </w:r>
      <w:r w:rsidR="00C0445F">
        <w:rPr>
          <w:rFonts w:ascii="Verdana" w:hAnsi="Verdana"/>
          <w:sz w:val="24"/>
        </w:rPr>
        <w:t xml:space="preserve"> </w:t>
      </w:r>
      <w:r w:rsidR="00C0445F">
        <w:rPr>
          <w:rFonts w:ascii="Verdana" w:hAnsi="Verdana"/>
          <w:sz w:val="24"/>
        </w:rPr>
        <w:t>The NDA is currently drafting guidance</w:t>
      </w:r>
      <w:r w:rsidR="008A4E34">
        <w:rPr>
          <w:rFonts w:ascii="Verdana" w:hAnsi="Verdana"/>
          <w:sz w:val="24"/>
        </w:rPr>
        <w:t xml:space="preserve"> for public sector staff, </w:t>
      </w:r>
      <w:r w:rsidR="008A4E34">
        <w:rPr>
          <w:rFonts w:ascii="Verdana" w:hAnsi="Verdana"/>
          <w:sz w:val="24"/>
        </w:rPr>
        <w:t>in line with Action 82 of the Autism Innovation Strategy</w:t>
      </w:r>
      <w:r w:rsidR="00C0445F">
        <w:rPr>
          <w:rFonts w:ascii="Verdana" w:hAnsi="Verdana"/>
          <w:sz w:val="24"/>
        </w:rPr>
        <w:t>, to support non-speaking and minimally speaking people</w:t>
      </w:r>
      <w:r w:rsidR="008A4E34">
        <w:rPr>
          <w:rFonts w:ascii="Verdana" w:hAnsi="Verdana"/>
          <w:sz w:val="24"/>
        </w:rPr>
        <w:t xml:space="preserve"> (</w:t>
      </w:r>
      <w:r w:rsidR="001F3E23">
        <w:rPr>
          <w:rFonts w:ascii="Verdana" w:hAnsi="Verdana"/>
          <w:sz w:val="24"/>
        </w:rPr>
        <w:t>including AAC users</w:t>
      </w:r>
      <w:r w:rsidR="008A4E34">
        <w:rPr>
          <w:rFonts w:ascii="Verdana" w:hAnsi="Verdana"/>
          <w:sz w:val="24"/>
        </w:rPr>
        <w:t>)</w:t>
      </w:r>
      <w:r w:rsidR="00C0445F">
        <w:rPr>
          <w:rFonts w:ascii="Verdana" w:hAnsi="Verdana"/>
          <w:sz w:val="24"/>
        </w:rPr>
        <w:t xml:space="preserve"> to access public services.</w:t>
      </w:r>
      <w:r w:rsidR="008A4E34">
        <w:rPr>
          <w:rFonts w:ascii="Verdana" w:hAnsi="Verdana"/>
          <w:sz w:val="24"/>
        </w:rPr>
        <w:t xml:space="preserve"> This guidance is due for publication in Quarter 1 of 2026.</w:t>
      </w:r>
      <w:r w:rsidR="00C0445F">
        <w:rPr>
          <w:rFonts w:ascii="Verdana" w:hAnsi="Verdana"/>
          <w:sz w:val="24"/>
        </w:rPr>
        <w:t xml:space="preserve">   </w:t>
      </w:r>
    </w:p>
    <w:p w14:paraId="2A7C132F" w14:textId="33AC4530" w:rsidR="007D7A3D" w:rsidRPr="001C2FE3" w:rsidRDefault="0063630D" w:rsidP="0055294F">
      <w:pPr>
        <w:pStyle w:val="ListBullet"/>
        <w:numPr>
          <w:ilvl w:val="0"/>
          <w:numId w:val="30"/>
        </w:numPr>
        <w:rPr>
          <w:rFonts w:ascii="Verdana" w:hAnsi="Verdana"/>
          <w:sz w:val="24"/>
        </w:rPr>
      </w:pPr>
      <w:r w:rsidRPr="001C2FE3">
        <w:rPr>
          <w:rFonts w:ascii="Verdana" w:hAnsi="Verdana"/>
          <w:sz w:val="24"/>
        </w:rPr>
        <w:t xml:space="preserve">Consider </w:t>
      </w:r>
      <w:r w:rsidR="00A73BA9">
        <w:rPr>
          <w:rFonts w:ascii="Verdana" w:hAnsi="Verdana"/>
          <w:sz w:val="24"/>
        </w:rPr>
        <w:t>how dedicated support might be made available to</w:t>
      </w:r>
      <w:r w:rsidR="003A5B4C">
        <w:rPr>
          <w:rFonts w:ascii="Verdana" w:hAnsi="Verdana"/>
          <w:sz w:val="24"/>
        </w:rPr>
        <w:t xml:space="preserve"> provide targeted advice to</w:t>
      </w:r>
      <w:r w:rsidR="00A73BA9">
        <w:rPr>
          <w:rFonts w:ascii="Verdana" w:hAnsi="Verdana"/>
          <w:sz w:val="24"/>
        </w:rPr>
        <w:t xml:space="preserve"> frontline staff and </w:t>
      </w:r>
      <w:r w:rsidR="003A5B4C">
        <w:rPr>
          <w:rFonts w:ascii="Verdana" w:hAnsi="Verdana"/>
          <w:sz w:val="24"/>
        </w:rPr>
        <w:t xml:space="preserve">to </w:t>
      </w:r>
      <w:r w:rsidR="00A73BA9">
        <w:rPr>
          <w:rFonts w:ascii="Verdana" w:hAnsi="Verdana"/>
          <w:sz w:val="24"/>
        </w:rPr>
        <w:t xml:space="preserve">foster, respite and home share families </w:t>
      </w:r>
      <w:r w:rsidR="00992EE9">
        <w:rPr>
          <w:rFonts w:ascii="Verdana" w:hAnsi="Verdana"/>
          <w:sz w:val="24"/>
        </w:rPr>
        <w:t xml:space="preserve">in cases </w:t>
      </w:r>
      <w:r w:rsidR="003A5B4C">
        <w:rPr>
          <w:rFonts w:ascii="Verdana" w:hAnsi="Verdana"/>
          <w:sz w:val="24"/>
        </w:rPr>
        <w:t xml:space="preserve">with highly specialised needs. </w:t>
      </w:r>
      <w:r w:rsidR="00D120CA" w:rsidRPr="001C2FE3">
        <w:rPr>
          <w:rFonts w:ascii="Verdana" w:hAnsi="Verdana"/>
          <w:sz w:val="24"/>
        </w:rPr>
        <w:t xml:space="preserve"> </w:t>
      </w:r>
    </w:p>
    <w:p w14:paraId="377724AC" w14:textId="58364023" w:rsidR="0086594E" w:rsidRPr="001C2FE3" w:rsidRDefault="00724FC9" w:rsidP="0055294F">
      <w:pPr>
        <w:pStyle w:val="Heading1"/>
      </w:pPr>
      <w:r w:rsidRPr="001C2FE3">
        <w:t xml:space="preserve">Issue </w:t>
      </w:r>
      <w:r w:rsidR="00FC6F25" w:rsidRPr="001C2FE3">
        <w:t>7:</w:t>
      </w:r>
      <w:r w:rsidR="002669DD" w:rsidRPr="001C2FE3">
        <w:t xml:space="preserve"> Disability </w:t>
      </w:r>
      <w:r w:rsidR="00E548A0">
        <w:t>d</w:t>
      </w:r>
      <w:r w:rsidR="002669DD" w:rsidRPr="001C2FE3">
        <w:t xml:space="preserve">isaggregated </w:t>
      </w:r>
      <w:r w:rsidR="00E548A0">
        <w:t>d</w:t>
      </w:r>
      <w:r w:rsidR="002669DD" w:rsidRPr="001C2FE3">
        <w:t>ata</w:t>
      </w:r>
    </w:p>
    <w:p w14:paraId="4A57DFAE" w14:textId="7295053D" w:rsidR="00970C28" w:rsidRPr="001C2FE3" w:rsidRDefault="0061461C" w:rsidP="0055294F">
      <w:r w:rsidRPr="0061461C">
        <w:t xml:space="preserve">The </w:t>
      </w:r>
      <w:r w:rsidR="000077B7" w:rsidRPr="0061461C">
        <w:t>OCO</w:t>
      </w:r>
      <w:r w:rsidR="002669DD" w:rsidRPr="001C2FE3">
        <w:t xml:space="preserve"> ha</w:t>
      </w:r>
      <w:r>
        <w:t>s</w:t>
      </w:r>
      <w:r w:rsidR="002669DD" w:rsidRPr="001C2FE3">
        <w:t xml:space="preserve"> noted in </w:t>
      </w:r>
      <w:r>
        <w:t>its</w:t>
      </w:r>
      <w:r w:rsidR="002669DD" w:rsidRPr="001C2FE3">
        <w:t xml:space="preserve"> research that the available data on care-experienced children with disabilities is limited</w:t>
      </w:r>
      <w:r w:rsidR="001022CE" w:rsidRPr="001C2FE3">
        <w:t xml:space="preserve"> and </w:t>
      </w:r>
      <w:r>
        <w:t>has</w:t>
      </w:r>
      <w:r w:rsidR="001022CE" w:rsidRPr="001C2FE3">
        <w:t xml:space="preserve"> recommended that</w:t>
      </w:r>
      <w:r>
        <w:t xml:space="preserve"> disability disaggregated </w:t>
      </w:r>
      <w:r w:rsidR="001022CE" w:rsidRPr="001C2FE3">
        <w:t>data should be collected and published to support evidence-informed policy and practice.</w:t>
      </w:r>
      <w:r w:rsidRPr="001C2FE3">
        <w:rPr>
          <w:rStyle w:val="FootnoteReference"/>
        </w:rPr>
        <w:footnoteReference w:id="20"/>
      </w:r>
      <w:r w:rsidR="001022CE" w:rsidRPr="001C2FE3">
        <w:t xml:space="preserve"> </w:t>
      </w:r>
      <w:r w:rsidR="00970C28" w:rsidRPr="001C2FE3">
        <w:t>The NDA endorses this</w:t>
      </w:r>
      <w:r w:rsidR="001022CE" w:rsidRPr="001C2FE3">
        <w:t xml:space="preserve"> position and notes also the </w:t>
      </w:r>
      <w:r w:rsidR="00426932">
        <w:t xml:space="preserve">CRC’s </w:t>
      </w:r>
      <w:r w:rsidR="001022CE" w:rsidRPr="001C2FE3">
        <w:t>recommendation</w:t>
      </w:r>
      <w:r w:rsidR="00426932">
        <w:t xml:space="preserve"> that the State </w:t>
      </w:r>
      <w:r w:rsidR="001022CE" w:rsidRPr="00426932">
        <w:t>“strengthen the collection and analysis of data on children in disadvantaged situations including children with disabilities, children in alternative</w:t>
      </w:r>
      <w:r w:rsidR="001022CE" w:rsidRPr="001C2FE3">
        <w:t xml:space="preserve"> care, children </w:t>
      </w:r>
      <w:r w:rsidR="001022CE" w:rsidRPr="001C2FE3">
        <w:lastRenderedPageBreak/>
        <w:t>experiencing homelessness, children without a regular residence status, migrant children and Roma children”.</w:t>
      </w:r>
      <w:r w:rsidR="00426932">
        <w:rPr>
          <w:rStyle w:val="FootnoteReference"/>
        </w:rPr>
        <w:footnoteReference w:id="21"/>
      </w:r>
    </w:p>
    <w:p w14:paraId="505E9A08" w14:textId="4CC55CA9" w:rsidR="000810DC" w:rsidRPr="001C2FE3" w:rsidRDefault="00CB6CF4" w:rsidP="0055294F">
      <w:r w:rsidRPr="001C2FE3">
        <w:t>T</w:t>
      </w:r>
      <w:r w:rsidR="00AC0EC3" w:rsidRPr="001C2FE3">
        <w:t xml:space="preserve">he </w:t>
      </w:r>
      <w:hyperlink r:id="rId37" w:history="1">
        <w:r w:rsidR="00AC0EC3" w:rsidRPr="001C2FE3">
          <w:rPr>
            <w:rStyle w:val="Hyperlink"/>
          </w:rPr>
          <w:t>Care Experiences programme</w:t>
        </w:r>
      </w:hyperlink>
      <w:r w:rsidR="00AC0EC3" w:rsidRPr="001C2FE3">
        <w:t xml:space="preserve">, </w:t>
      </w:r>
      <w:r w:rsidR="0039193E" w:rsidRPr="001C2FE3">
        <w:t xml:space="preserve">a longitudinal study on children in care that was </w:t>
      </w:r>
      <w:r w:rsidR="00AC0EC3" w:rsidRPr="001C2FE3">
        <w:t xml:space="preserve">launched </w:t>
      </w:r>
      <w:r w:rsidR="0039193E" w:rsidRPr="001C2FE3">
        <w:t xml:space="preserve">in 2022, </w:t>
      </w:r>
      <w:r w:rsidRPr="001C2FE3">
        <w:t xml:space="preserve">is a welcome initiative that should </w:t>
      </w:r>
      <w:r w:rsidR="0039193E" w:rsidRPr="001C2FE3">
        <w:t>bring rich data</w:t>
      </w:r>
      <w:r w:rsidR="0061461C">
        <w:t>,</w:t>
      </w:r>
      <w:r w:rsidRPr="001C2FE3">
        <w:t xml:space="preserve"> and the NDA hopes that lived experiences of disabled children and young people are reflected in that study. T</w:t>
      </w:r>
      <w:r w:rsidR="0039193E" w:rsidRPr="001C2FE3">
        <w:t xml:space="preserve">he NDA </w:t>
      </w:r>
      <w:r w:rsidRPr="001C2FE3">
        <w:t xml:space="preserve">further </w:t>
      </w:r>
      <w:r w:rsidR="0039193E" w:rsidRPr="001C2FE3">
        <w:t xml:space="preserve">advises that </w:t>
      </w:r>
      <w:r w:rsidRPr="001C2FE3">
        <w:t xml:space="preserve">the proposed policy framework on alternative care </w:t>
      </w:r>
      <w:r w:rsidR="0061461C">
        <w:t xml:space="preserve">should look </w:t>
      </w:r>
      <w:r w:rsidRPr="001C2FE3">
        <w:t xml:space="preserve">at </w:t>
      </w:r>
      <w:r w:rsidR="00437A44" w:rsidRPr="001C2FE3">
        <w:t xml:space="preserve">how ethical data collection and monitoring </w:t>
      </w:r>
      <w:r w:rsidRPr="001C2FE3">
        <w:t xml:space="preserve">commitments can be built into the </w:t>
      </w:r>
      <w:r w:rsidR="00437A44" w:rsidRPr="001C2FE3">
        <w:t>fram</w:t>
      </w:r>
      <w:r w:rsidRPr="001C2FE3">
        <w:t>e</w:t>
      </w:r>
      <w:r w:rsidR="00437A44" w:rsidRPr="001C2FE3">
        <w:t xml:space="preserve">work, </w:t>
      </w:r>
      <w:r w:rsidRPr="001C2FE3">
        <w:t xml:space="preserve">with a particular lens on the lived experiences of disabled children and young people and their families, </w:t>
      </w:r>
      <w:r w:rsidR="00437A44" w:rsidRPr="001C2FE3">
        <w:t xml:space="preserve">supported </w:t>
      </w:r>
      <w:r w:rsidRPr="001C2FE3">
        <w:t xml:space="preserve">by Universal Design </w:t>
      </w:r>
      <w:r w:rsidR="00437A44" w:rsidRPr="001C2FE3">
        <w:t xml:space="preserve">and inclusive </w:t>
      </w:r>
      <w:r w:rsidRPr="001C2FE3">
        <w:t xml:space="preserve">research </w:t>
      </w:r>
      <w:r w:rsidR="00437A44" w:rsidRPr="001C2FE3">
        <w:t>methodologies</w:t>
      </w:r>
      <w:r w:rsidRPr="001C2FE3">
        <w:t>.</w:t>
      </w:r>
    </w:p>
    <w:p w14:paraId="36D32EB3" w14:textId="36A84345" w:rsidR="007B349B" w:rsidRPr="001C2FE3" w:rsidRDefault="007B349B" w:rsidP="0055294F">
      <w:pPr>
        <w:pStyle w:val="Heading1"/>
      </w:pPr>
      <w:r w:rsidRPr="001C2FE3">
        <w:t>Conclusion</w:t>
      </w:r>
    </w:p>
    <w:p w14:paraId="06285E22" w14:textId="77777777" w:rsidR="00E548A0" w:rsidRPr="000426C0" w:rsidRDefault="00D67505" w:rsidP="0055294F">
      <w:r w:rsidRPr="000426C0">
        <w:t>As outlined in this submission</w:t>
      </w:r>
      <w:r w:rsidR="00426932" w:rsidRPr="000426C0">
        <w:t>,</w:t>
      </w:r>
      <w:r w:rsidRPr="000426C0">
        <w:t xml:space="preserve"> </w:t>
      </w:r>
      <w:r w:rsidR="00426932" w:rsidRPr="000426C0">
        <w:t xml:space="preserve">care-experienced children and young </w:t>
      </w:r>
      <w:r w:rsidRPr="000426C0">
        <w:t xml:space="preserve">people with disabilities </w:t>
      </w:r>
      <w:r w:rsidR="00426932" w:rsidRPr="000426C0">
        <w:t>face heightened risk</w:t>
      </w:r>
      <w:r w:rsidR="00E548A0" w:rsidRPr="000426C0">
        <w:t>s</w:t>
      </w:r>
      <w:r w:rsidR="00426932" w:rsidRPr="000426C0">
        <w:t xml:space="preserve"> and a range of specific challenges and barriers at every stage of their engagement with alternative care systems in Ireland. </w:t>
      </w:r>
    </w:p>
    <w:p w14:paraId="6E6B88E4" w14:textId="4492CB8C" w:rsidR="00D67505" w:rsidRPr="000426C0" w:rsidRDefault="000426C0" w:rsidP="0055294F">
      <w:r w:rsidRPr="000426C0">
        <w:t>T</w:t>
      </w:r>
      <w:r w:rsidR="00E548A0" w:rsidRPr="000426C0">
        <w:t>he NDA advises that a policy framework for alternative care</w:t>
      </w:r>
      <w:r w:rsidRPr="000426C0">
        <w:t xml:space="preserve"> should be rooted in a rights-based, holistic</w:t>
      </w:r>
      <w:r>
        <w:t xml:space="preserve">, </w:t>
      </w:r>
      <w:r w:rsidRPr="000426C0">
        <w:t xml:space="preserve">child-centred </w:t>
      </w:r>
      <w:r>
        <w:t xml:space="preserve">and well-coordinated </w:t>
      </w:r>
      <w:r w:rsidRPr="000426C0">
        <w:t>approach that makes explicit provision for the needs of disabled children and young people, and their families and carers, in all care and aftercare settings. This is critical to ensur</w:t>
      </w:r>
      <w:r>
        <w:t>ing</w:t>
      </w:r>
      <w:r w:rsidRPr="000426C0">
        <w:t xml:space="preserve"> that disabled children and young people can claim their rights and realise their potential on an equal basis with others. </w:t>
      </w:r>
      <w:r w:rsidR="00E548A0" w:rsidRPr="000426C0">
        <w:t xml:space="preserve"> </w:t>
      </w:r>
    </w:p>
    <w:p w14:paraId="6E027E69" w14:textId="657F6088" w:rsidR="00E828C4" w:rsidRPr="001C2FE3" w:rsidRDefault="00D67505" w:rsidP="0055294F">
      <w:pPr>
        <w:rPr>
          <w:lang w:eastAsia="en-IE"/>
        </w:rPr>
      </w:pPr>
      <w:r w:rsidRPr="001C2FE3">
        <w:rPr>
          <w:lang w:eastAsia="en-IE"/>
        </w:rPr>
        <w:t>The NDA is available for follow-up on any of the issues raised in this submission</w:t>
      </w:r>
      <w:r w:rsidR="00CD48D1" w:rsidRPr="001C2FE3">
        <w:rPr>
          <w:lang w:eastAsia="en-IE"/>
        </w:rPr>
        <w:t>.</w:t>
      </w:r>
    </w:p>
    <w:sectPr w:rsidR="00E828C4" w:rsidRPr="001C2F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4F5B" w14:textId="77777777" w:rsidR="00E457C6" w:rsidRDefault="00E457C6" w:rsidP="00917FAC">
      <w:pPr>
        <w:spacing w:after="0"/>
      </w:pPr>
      <w:r>
        <w:separator/>
      </w:r>
    </w:p>
  </w:endnote>
  <w:endnote w:type="continuationSeparator" w:id="0">
    <w:p w14:paraId="687149CA" w14:textId="77777777" w:rsidR="00E457C6" w:rsidRDefault="00E457C6"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5AE39CBD" w:rsidR="00917FAC" w:rsidRDefault="001419D4" w:rsidP="00E457C6">
    <w:pPr>
      <w:pStyle w:val="Footer"/>
    </w:pPr>
    <w:r>
      <w:t xml:space="preserve">NDA Submission on the </w:t>
    </w:r>
    <w:r w:rsidR="00A744E7">
      <w:t>National Policy Framework on Alternative Care</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1D2B" w14:textId="77777777" w:rsidR="00E457C6" w:rsidRDefault="00E457C6" w:rsidP="00917FAC">
      <w:pPr>
        <w:spacing w:after="0"/>
      </w:pPr>
      <w:r>
        <w:separator/>
      </w:r>
    </w:p>
  </w:footnote>
  <w:footnote w:type="continuationSeparator" w:id="0">
    <w:p w14:paraId="2B578365" w14:textId="77777777" w:rsidR="00E457C6" w:rsidRDefault="00E457C6" w:rsidP="00917FAC">
      <w:pPr>
        <w:spacing w:after="0"/>
      </w:pPr>
      <w:r>
        <w:continuationSeparator/>
      </w:r>
    </w:p>
  </w:footnote>
  <w:footnote w:id="1">
    <w:p w14:paraId="48E91DC4" w14:textId="5188BD13" w:rsidR="00512DAC" w:rsidRDefault="00512DAC" w:rsidP="00512DAC">
      <w:pPr>
        <w:pStyle w:val="FootnoteText"/>
      </w:pPr>
      <w:r>
        <w:rPr>
          <w:rStyle w:val="FootnoteReference"/>
        </w:rPr>
        <w:footnoteRef/>
      </w:r>
      <w:r>
        <w:t xml:space="preserve"> </w:t>
      </w:r>
      <w:r w:rsidRPr="00764FBE">
        <w:t>O</w:t>
      </w:r>
      <w:r w:rsidR="000A1A2B">
        <w:t xml:space="preserve">CO (2018), </w:t>
      </w:r>
      <w:hyperlink r:id="rId1" w:history="1">
        <w:r w:rsidRPr="00764FBE">
          <w:rPr>
            <w:rStyle w:val="Hyperlink"/>
          </w:rPr>
          <w:t xml:space="preserve">Molly's case: How </w:t>
        </w:r>
        <w:proofErr w:type="spellStart"/>
        <w:r w:rsidRPr="00764FBE">
          <w:rPr>
            <w:rStyle w:val="Hyperlink"/>
          </w:rPr>
          <w:t>Tusla</w:t>
        </w:r>
        <w:proofErr w:type="spellEnd"/>
        <w:r w:rsidRPr="00764FBE">
          <w:rPr>
            <w:rStyle w:val="Hyperlink"/>
          </w:rPr>
          <w:t xml:space="preserve"> and the HSE provided and coordinated supports for a child with a disability in the care of the State</w:t>
        </w:r>
      </w:hyperlink>
    </w:p>
  </w:footnote>
  <w:footnote w:id="2">
    <w:p w14:paraId="3227C497" w14:textId="584B2CED" w:rsidR="00512DAC" w:rsidRDefault="00512DAC" w:rsidP="00512DAC">
      <w:pPr>
        <w:pStyle w:val="FootnoteText"/>
      </w:pPr>
      <w:r>
        <w:rPr>
          <w:rStyle w:val="FootnoteReference"/>
        </w:rPr>
        <w:footnoteRef/>
      </w:r>
      <w:r>
        <w:t xml:space="preserve"> </w:t>
      </w:r>
      <w:r w:rsidRPr="00764FBE">
        <w:t>O</w:t>
      </w:r>
      <w:r w:rsidR="000A1A2B">
        <w:t>CO (2020),</w:t>
      </w:r>
      <w:r w:rsidRPr="00764FBE">
        <w:t xml:space="preserve"> </w:t>
      </w:r>
      <w:hyperlink r:id="rId2" w:history="1">
        <w:r w:rsidRPr="00764FBE">
          <w:rPr>
            <w:rStyle w:val="Hyperlink"/>
          </w:rPr>
          <w:t>Jack’s Case: How the HSE and Tusla, the Child and Family Agency, provided for and managed the care of a child with profound disabilities</w:t>
        </w:r>
      </w:hyperlink>
    </w:p>
  </w:footnote>
  <w:footnote w:id="3">
    <w:p w14:paraId="06164FD6" w14:textId="74F04001" w:rsidR="00A03494" w:rsidRDefault="00A03494">
      <w:pPr>
        <w:pStyle w:val="FootnoteText"/>
      </w:pPr>
      <w:r>
        <w:rPr>
          <w:rStyle w:val="FootnoteReference"/>
        </w:rPr>
        <w:footnoteRef/>
      </w:r>
      <w:r>
        <w:t xml:space="preserve"> EPIC (2023), </w:t>
      </w:r>
      <w:hyperlink r:id="rId3" w:history="1">
        <w:r w:rsidRPr="00A03494">
          <w:rPr>
            <w:rStyle w:val="Hyperlink"/>
          </w:rPr>
          <w:t>Headphones, Odd Shoes &amp; a Second Chance at Life: an Exploration of the Experience of Children in Care &amp; Care-Leavers with Disabilities</w:t>
        </w:r>
      </w:hyperlink>
      <w:r>
        <w:t>, p. 4</w:t>
      </w:r>
    </w:p>
  </w:footnote>
  <w:footnote w:id="4">
    <w:p w14:paraId="04E9EF4B" w14:textId="7D4E3B02" w:rsidR="00A03494" w:rsidRDefault="00A03494">
      <w:pPr>
        <w:pStyle w:val="FootnoteText"/>
      </w:pPr>
      <w:r>
        <w:rPr>
          <w:rStyle w:val="FootnoteReference"/>
        </w:rPr>
        <w:footnoteRef/>
      </w:r>
      <w:r>
        <w:t xml:space="preserve"> Professor Conor O’Mahony (2022), </w:t>
      </w:r>
      <w:hyperlink r:id="rId4" w:history="1">
        <w:r w:rsidRPr="00A03494">
          <w:rPr>
            <w:rStyle w:val="Hyperlink"/>
          </w:rPr>
          <w:t>Annual Report of the Special Rapporteur on Child Protection</w:t>
        </w:r>
      </w:hyperlink>
      <w:r>
        <w:t>, Chapter 3: Private Residential Care</w:t>
      </w:r>
    </w:p>
  </w:footnote>
  <w:footnote w:id="5">
    <w:p w14:paraId="1BCF8E2B" w14:textId="50D91DDB" w:rsidR="00C4469E" w:rsidRDefault="00C4469E">
      <w:pPr>
        <w:pStyle w:val="FootnoteText"/>
      </w:pPr>
      <w:r>
        <w:rPr>
          <w:rStyle w:val="FootnoteReference"/>
        </w:rPr>
        <w:footnoteRef/>
      </w:r>
      <w:r>
        <w:t xml:space="preserve"> For example, in EPIC’s 2023 report, footnote </w:t>
      </w:r>
      <w:r w:rsidR="009428AF">
        <w:t>3</w:t>
      </w:r>
      <w:r>
        <w:t xml:space="preserve"> above, it noted that in its research on young people receiving aftercare support, 25% of the cohort under review had a diagnosed learning disability. See p. 18.</w:t>
      </w:r>
    </w:p>
  </w:footnote>
  <w:footnote w:id="6">
    <w:p w14:paraId="5FBCE9D4" w14:textId="4F35D698" w:rsidR="00204D5F" w:rsidRDefault="00204D5F">
      <w:pPr>
        <w:pStyle w:val="FootnoteText"/>
      </w:pPr>
      <w:r>
        <w:rPr>
          <w:rStyle w:val="FootnoteReference"/>
        </w:rPr>
        <w:footnoteRef/>
      </w:r>
      <w:r>
        <w:t xml:space="preserve"> HIQA and MHC, </w:t>
      </w:r>
      <w:hyperlink r:id="rId5" w:history="1">
        <w:r w:rsidRPr="00204D5F">
          <w:rPr>
            <w:rStyle w:val="Hyperlink"/>
          </w:rPr>
          <w:t>Key Considerations to Inform the National Policy Framework for Children and Young People 2023-2028</w:t>
        </w:r>
      </w:hyperlink>
      <w:r>
        <w:t>, p.8</w:t>
      </w:r>
    </w:p>
  </w:footnote>
  <w:footnote w:id="7">
    <w:p w14:paraId="20BA8BCC" w14:textId="6C4BDA29" w:rsidR="00EA42FE" w:rsidRDefault="00EA42FE">
      <w:pPr>
        <w:pStyle w:val="FootnoteText"/>
      </w:pPr>
      <w:r>
        <w:rPr>
          <w:rStyle w:val="FootnoteReference"/>
        </w:rPr>
        <w:footnoteRef/>
      </w:r>
      <w:r>
        <w:t xml:space="preserve"> UN Committee on the Rights of the Child (2023), </w:t>
      </w:r>
      <w:hyperlink r:id="rId6" w:history="1">
        <w:r w:rsidRPr="00426932">
          <w:rPr>
            <w:rStyle w:val="Hyperlink"/>
          </w:rPr>
          <w:t>Concluding Observations on the Combined Fifth and Sixth Period Reports of Ireland</w:t>
        </w:r>
      </w:hyperlink>
      <w:r>
        <w:t xml:space="preserve">, p.2 </w:t>
      </w:r>
    </w:p>
  </w:footnote>
  <w:footnote w:id="8">
    <w:p w14:paraId="1143EE7F" w14:textId="635AEFAE" w:rsidR="00EA42FE" w:rsidRDefault="00EA42FE">
      <w:pPr>
        <w:pStyle w:val="FootnoteText"/>
      </w:pPr>
      <w:r>
        <w:rPr>
          <w:rStyle w:val="FootnoteReference"/>
        </w:rPr>
        <w:footnoteRef/>
      </w:r>
      <w:r>
        <w:t xml:space="preserve"> Professor Conor O’Mahony (2022), </w:t>
      </w:r>
      <w:hyperlink r:id="rId7" w:history="1">
        <w:r w:rsidRPr="00A03494">
          <w:rPr>
            <w:rStyle w:val="Hyperlink"/>
          </w:rPr>
          <w:t>Annual Report of the Special Rapporteur on Child Protection</w:t>
        </w:r>
      </w:hyperlink>
      <w:r>
        <w:t>, p.63</w:t>
      </w:r>
    </w:p>
  </w:footnote>
  <w:footnote w:id="9">
    <w:p w14:paraId="4B90DAE8" w14:textId="77777777" w:rsidR="00550072" w:rsidRDefault="00550072" w:rsidP="00550072">
      <w:pPr>
        <w:pStyle w:val="FootnoteText"/>
      </w:pPr>
      <w:r>
        <w:rPr>
          <w:rStyle w:val="FootnoteReference"/>
        </w:rPr>
        <w:footnoteRef/>
      </w:r>
      <w:r>
        <w:t xml:space="preserve"> EPIC (2023), </w:t>
      </w:r>
      <w:hyperlink r:id="rId8" w:history="1">
        <w:r w:rsidRPr="008C32FE">
          <w:rPr>
            <w:rStyle w:val="Hyperlink"/>
          </w:rPr>
          <w:t>Headphones, Old Shoes &amp; a Second Chance at Life</w:t>
        </w:r>
      </w:hyperlink>
      <w:r>
        <w:t>, p. 5</w:t>
      </w:r>
    </w:p>
  </w:footnote>
  <w:footnote w:id="10">
    <w:p w14:paraId="52B43B1B" w14:textId="77777777" w:rsidR="00550072" w:rsidRDefault="00550072" w:rsidP="00550072">
      <w:pPr>
        <w:pStyle w:val="FootnoteText"/>
      </w:pPr>
      <w:r>
        <w:rPr>
          <w:rStyle w:val="FootnoteReference"/>
        </w:rPr>
        <w:footnoteRef/>
      </w:r>
      <w:r>
        <w:t xml:space="preserve"> OCO</w:t>
      </w:r>
      <w:r w:rsidRPr="004202F9">
        <w:t xml:space="preserve"> (2018), </w:t>
      </w:r>
      <w:hyperlink r:id="rId9" w:history="1">
        <w:r w:rsidRPr="004202F9">
          <w:rPr>
            <w:rStyle w:val="Hyperlink"/>
          </w:rPr>
          <w:t>Molly’s* case: How Tusla and the HSE provided and coordinated supports for a child with a disability in the care of the State</w:t>
        </w:r>
      </w:hyperlink>
      <w:r>
        <w:t>, p.17</w:t>
      </w:r>
    </w:p>
  </w:footnote>
  <w:footnote w:id="11">
    <w:p w14:paraId="503B1A18" w14:textId="1A2D8424" w:rsidR="00C3378D" w:rsidRDefault="00C3378D">
      <w:pPr>
        <w:pStyle w:val="FootnoteText"/>
      </w:pPr>
      <w:r>
        <w:rPr>
          <w:rStyle w:val="FootnoteReference"/>
        </w:rPr>
        <w:footnoteRef/>
      </w:r>
      <w:r>
        <w:t xml:space="preserve"> OCO (2021), </w:t>
      </w:r>
      <w:hyperlink r:id="rId10" w:history="1">
        <w:r w:rsidRPr="00C3378D">
          <w:rPr>
            <w:rStyle w:val="Hyperlink"/>
          </w:rPr>
          <w:t>Mind the Gap: Barriers to the Realisation of the Rights of Children with Disabilities in Ireland</w:t>
        </w:r>
      </w:hyperlink>
      <w:r>
        <w:t>, p.60</w:t>
      </w:r>
    </w:p>
  </w:footnote>
  <w:footnote w:id="12">
    <w:p w14:paraId="561BA5F0" w14:textId="7DB59AE8" w:rsidR="000D16D0" w:rsidRDefault="000D16D0" w:rsidP="000D16D0">
      <w:pPr>
        <w:pStyle w:val="FootnoteText"/>
      </w:pPr>
      <w:r>
        <w:rPr>
          <w:rStyle w:val="FootnoteReference"/>
        </w:rPr>
        <w:footnoteRef/>
      </w:r>
      <w:r>
        <w:t xml:space="preserve"> OCO (2021), </w:t>
      </w:r>
      <w:hyperlink r:id="rId11" w:history="1">
        <w:r w:rsidRPr="00C3378D">
          <w:rPr>
            <w:rStyle w:val="Hyperlink"/>
          </w:rPr>
          <w:t>Mind the Gap: Barriers to the Realisation of the Rights of Children with Disabilities in Ireland</w:t>
        </w:r>
      </w:hyperlink>
      <w:r>
        <w:t>, p.29</w:t>
      </w:r>
    </w:p>
  </w:footnote>
  <w:footnote w:id="13">
    <w:p w14:paraId="6FF1B7AC" w14:textId="013DCE0C" w:rsidR="00172147" w:rsidRDefault="00172147" w:rsidP="00172147">
      <w:pPr>
        <w:pStyle w:val="FootnoteText"/>
      </w:pPr>
      <w:r>
        <w:rPr>
          <w:rStyle w:val="FootnoteReference"/>
        </w:rPr>
        <w:footnoteRef/>
      </w:r>
      <w:r>
        <w:t xml:space="preserve"> AIM provides for </w:t>
      </w:r>
      <w:hyperlink r:id="rId12" w:history="1">
        <w:r w:rsidRPr="00707B51">
          <w:rPr>
            <w:rStyle w:val="Hyperlink"/>
          </w:rPr>
          <w:t>7 levels of support</w:t>
        </w:r>
      </w:hyperlink>
      <w:r w:rsidR="00707B51">
        <w:t>,</w:t>
      </w:r>
      <w:r>
        <w:t xml:space="preserve"> from universal to targeted</w:t>
      </w:r>
      <w:r w:rsidR="00707B51">
        <w:t>,</w:t>
      </w:r>
      <w:r>
        <w:t xml:space="preserve"> </w:t>
      </w:r>
      <w:r w:rsidR="00707B51">
        <w:t>depending on level of individual need.</w:t>
      </w:r>
    </w:p>
  </w:footnote>
  <w:footnote w:id="14">
    <w:p w14:paraId="179BCE09" w14:textId="3777A088" w:rsidR="00225927" w:rsidRDefault="00225927">
      <w:pPr>
        <w:pStyle w:val="FootnoteText"/>
      </w:pPr>
      <w:r>
        <w:rPr>
          <w:rStyle w:val="FootnoteReference"/>
        </w:rPr>
        <w:footnoteRef/>
      </w:r>
      <w:r>
        <w:t xml:space="preserve"> </w:t>
      </w:r>
      <w:r w:rsidRPr="00616FEA">
        <w:t>O</w:t>
      </w:r>
      <w:r>
        <w:t xml:space="preserve">CO (2022), </w:t>
      </w:r>
      <w:hyperlink r:id="rId13" w:history="1">
        <w:r w:rsidRPr="003D044D">
          <w:rPr>
            <w:rStyle w:val="Hyperlink"/>
          </w:rPr>
          <w:t>Report of the Ombudsman for Children’s Office to the UN Committee on the Rights of the Child pursuant to the combined fifth and sixth reports submitted by Ireland</w:t>
        </w:r>
      </w:hyperlink>
      <w:r>
        <w:t>, p.38</w:t>
      </w:r>
    </w:p>
  </w:footnote>
  <w:footnote w:id="15">
    <w:p w14:paraId="6B69D989" w14:textId="5D270484" w:rsidR="00571C56" w:rsidRPr="00651917" w:rsidRDefault="00571C56">
      <w:pPr>
        <w:pStyle w:val="FootnoteText"/>
        <w:rPr>
          <w:lang w:val="es-ES"/>
        </w:rPr>
      </w:pPr>
      <w:r>
        <w:rPr>
          <w:rStyle w:val="FootnoteReference"/>
        </w:rPr>
        <w:footnoteRef/>
      </w:r>
      <w:r w:rsidRPr="00651917">
        <w:rPr>
          <w:lang w:val="es-ES"/>
        </w:rPr>
        <w:t xml:space="preserve"> </w:t>
      </w:r>
      <w:r w:rsidRPr="00651917">
        <w:rPr>
          <w:lang w:val="es-ES"/>
        </w:rPr>
        <w:t>OCO (2022), Ibid</w:t>
      </w:r>
      <w:r w:rsidR="00651917">
        <w:rPr>
          <w:lang w:val="es-ES"/>
        </w:rPr>
        <w:t>.</w:t>
      </w:r>
      <w:r w:rsidRPr="00651917">
        <w:rPr>
          <w:lang w:val="es-ES"/>
        </w:rPr>
        <w:t>, p.38</w:t>
      </w:r>
    </w:p>
  </w:footnote>
  <w:footnote w:id="16">
    <w:p w14:paraId="769544DD" w14:textId="22A3794E" w:rsidR="00C7513E" w:rsidRPr="00651917" w:rsidRDefault="00C7513E" w:rsidP="00C7513E">
      <w:pPr>
        <w:pStyle w:val="FootnoteText"/>
        <w:rPr>
          <w:lang w:val="es-ES"/>
        </w:rPr>
      </w:pPr>
      <w:r>
        <w:rPr>
          <w:rStyle w:val="FootnoteReference"/>
        </w:rPr>
        <w:footnoteRef/>
      </w:r>
      <w:r w:rsidRPr="00651917">
        <w:rPr>
          <w:lang w:val="es-ES"/>
        </w:rPr>
        <w:t xml:space="preserve"> O</w:t>
      </w:r>
      <w:r w:rsidR="003D044D" w:rsidRPr="00651917">
        <w:rPr>
          <w:lang w:val="es-ES"/>
        </w:rPr>
        <w:t xml:space="preserve">CO (2022), </w:t>
      </w:r>
      <w:r w:rsidR="00225927" w:rsidRPr="00651917">
        <w:rPr>
          <w:lang w:val="es-ES"/>
        </w:rPr>
        <w:t xml:space="preserve">Ibid., </w:t>
      </w:r>
      <w:r w:rsidR="003D044D" w:rsidRPr="00651917">
        <w:rPr>
          <w:lang w:val="es-ES"/>
        </w:rPr>
        <w:t>p.</w:t>
      </w:r>
      <w:r w:rsidR="0057393A" w:rsidRPr="00651917">
        <w:rPr>
          <w:lang w:val="es-ES"/>
        </w:rPr>
        <w:t>36</w:t>
      </w:r>
      <w:r w:rsidR="003D044D" w:rsidRPr="00651917">
        <w:rPr>
          <w:lang w:val="es-ES"/>
        </w:rPr>
        <w:t xml:space="preserve"> </w:t>
      </w:r>
    </w:p>
  </w:footnote>
  <w:footnote w:id="17">
    <w:p w14:paraId="5F86C2EB" w14:textId="7EF93439" w:rsidR="003D044D" w:rsidRDefault="003D044D">
      <w:pPr>
        <w:pStyle w:val="FootnoteText"/>
      </w:pPr>
      <w:r>
        <w:rPr>
          <w:rStyle w:val="FootnoteReference"/>
        </w:rPr>
        <w:footnoteRef/>
      </w:r>
      <w:r>
        <w:t xml:space="preserve"> UN Committee on the Rights of the Child (2023), </w:t>
      </w:r>
      <w:hyperlink r:id="rId14" w:history="1">
        <w:r w:rsidRPr="00426932">
          <w:rPr>
            <w:rStyle w:val="Hyperlink"/>
          </w:rPr>
          <w:t>Concluding Observations on the Combined Fifth and Sixth Period Reports of Ireland</w:t>
        </w:r>
      </w:hyperlink>
      <w:r>
        <w:t>, p. 9</w:t>
      </w:r>
    </w:p>
  </w:footnote>
  <w:footnote w:id="18">
    <w:p w14:paraId="1C5AC831" w14:textId="38A793C6" w:rsidR="0028225A" w:rsidRDefault="0028225A">
      <w:pPr>
        <w:pStyle w:val="FootnoteText"/>
      </w:pPr>
      <w:r>
        <w:rPr>
          <w:rStyle w:val="FootnoteReference"/>
        </w:rPr>
        <w:footnoteRef/>
      </w:r>
      <w:r>
        <w:t xml:space="preserve"> Youth Mental Health Transitions Specialist Group (2025), </w:t>
      </w:r>
      <w:hyperlink r:id="rId15" w:history="1">
        <w:r w:rsidRPr="0028225A">
          <w:rPr>
            <w:rStyle w:val="Hyperlink"/>
          </w:rPr>
          <w:t>Transforming Youth Mental Health Services in Ireland: a New Model</w:t>
        </w:r>
      </w:hyperlink>
      <w:r>
        <w:t>, p. 18</w:t>
      </w:r>
    </w:p>
  </w:footnote>
  <w:footnote w:id="19">
    <w:p w14:paraId="53B14460" w14:textId="26238DC1" w:rsidR="00CC792F" w:rsidRDefault="00CC792F">
      <w:pPr>
        <w:pStyle w:val="FootnoteText"/>
      </w:pPr>
      <w:r>
        <w:rPr>
          <w:rStyle w:val="FootnoteReference"/>
        </w:rPr>
        <w:footnoteRef/>
      </w:r>
      <w:r>
        <w:t xml:space="preserve"> HIQA (2024), </w:t>
      </w:r>
      <w:hyperlink r:id="rId16" w:history="1">
        <w:r w:rsidRPr="00CC792F">
          <w:rPr>
            <w:rStyle w:val="Hyperlink"/>
          </w:rPr>
          <w:t>Overview Report on the Regulation and Monitoring of Children’s Serv</w:t>
        </w:r>
        <w:r w:rsidR="00992EE9">
          <w:rPr>
            <w:rStyle w:val="Hyperlink"/>
          </w:rPr>
          <w:t>i</w:t>
        </w:r>
        <w:r w:rsidRPr="00CC792F">
          <w:rPr>
            <w:rStyle w:val="Hyperlink"/>
          </w:rPr>
          <w:t>ces in 2024</w:t>
        </w:r>
      </w:hyperlink>
      <w:r>
        <w:t>, p. 6</w:t>
      </w:r>
    </w:p>
  </w:footnote>
  <w:footnote w:id="20">
    <w:p w14:paraId="3C141380" w14:textId="77777777" w:rsidR="0061461C" w:rsidRDefault="0061461C" w:rsidP="0061461C">
      <w:pPr>
        <w:pStyle w:val="FootnoteText"/>
      </w:pPr>
      <w:r>
        <w:rPr>
          <w:rStyle w:val="FootnoteReference"/>
        </w:rPr>
        <w:footnoteRef/>
      </w:r>
      <w:r>
        <w:t xml:space="preserve"> Ombudsman for Children’s Office, </w:t>
      </w:r>
      <w:hyperlink r:id="rId17" w:history="1">
        <w:r w:rsidRPr="000077B7">
          <w:rPr>
            <w:rStyle w:val="Hyperlink"/>
          </w:rPr>
          <w:t>Mind the Gap: Barriers to the Realisation of the Rights of Children with Disabilities in Ireland</w:t>
        </w:r>
      </w:hyperlink>
      <w:r>
        <w:t>, (Moloney et al., 2021), p. 63</w:t>
      </w:r>
    </w:p>
  </w:footnote>
  <w:footnote w:id="21">
    <w:p w14:paraId="59F6E16E" w14:textId="2AC9F957" w:rsidR="00426932" w:rsidRDefault="00426932">
      <w:pPr>
        <w:pStyle w:val="FootnoteText"/>
      </w:pPr>
      <w:r>
        <w:rPr>
          <w:rStyle w:val="FootnoteReference"/>
        </w:rPr>
        <w:footnoteRef/>
      </w:r>
      <w:r>
        <w:t xml:space="preserve"> UN Committee on the Rights of the Child (2023), </w:t>
      </w:r>
      <w:hyperlink r:id="rId18" w:history="1">
        <w:r w:rsidRPr="00426932">
          <w:rPr>
            <w:rStyle w:val="Hyperlink"/>
          </w:rPr>
          <w:t>Concluding Observations on the Combined Fifth and Sixth Period Reports of Ireland</w:t>
        </w:r>
      </w:hyperlink>
      <w:r>
        <w:t>, p.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B41C38"/>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ABB4A22"/>
    <w:multiLevelType w:val="hybridMultilevel"/>
    <w:tmpl w:val="1952CE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2D07799"/>
    <w:multiLevelType w:val="hybridMultilevel"/>
    <w:tmpl w:val="13167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302924"/>
    <w:multiLevelType w:val="hybridMultilevel"/>
    <w:tmpl w:val="E304AB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36E752B"/>
    <w:multiLevelType w:val="hybridMultilevel"/>
    <w:tmpl w:val="A4582C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6FE281C"/>
    <w:multiLevelType w:val="hybridMultilevel"/>
    <w:tmpl w:val="0AD6F9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4305A8A"/>
    <w:multiLevelType w:val="hybridMultilevel"/>
    <w:tmpl w:val="565C9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8001517"/>
    <w:multiLevelType w:val="hybridMultilevel"/>
    <w:tmpl w:val="6E1A6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E21477"/>
    <w:multiLevelType w:val="hybridMultilevel"/>
    <w:tmpl w:val="88220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061141B"/>
    <w:multiLevelType w:val="hybridMultilevel"/>
    <w:tmpl w:val="19AAF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0E66ECA"/>
    <w:multiLevelType w:val="hybridMultilevel"/>
    <w:tmpl w:val="F33E1B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1581090"/>
    <w:multiLevelType w:val="hybridMultilevel"/>
    <w:tmpl w:val="2C701F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3485111"/>
    <w:multiLevelType w:val="hybridMultilevel"/>
    <w:tmpl w:val="67300C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B0002F1"/>
    <w:multiLevelType w:val="hybridMultilevel"/>
    <w:tmpl w:val="0AFA7C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034371"/>
    <w:multiLevelType w:val="hybridMultilevel"/>
    <w:tmpl w:val="FD52D2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04B18C8"/>
    <w:multiLevelType w:val="hybridMultilevel"/>
    <w:tmpl w:val="BDB8D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070F4E"/>
    <w:multiLevelType w:val="hybridMultilevel"/>
    <w:tmpl w:val="82DA5E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25970FC"/>
    <w:multiLevelType w:val="hybridMultilevel"/>
    <w:tmpl w:val="114A8062"/>
    <w:lvl w:ilvl="0" w:tplc="AEDEE8A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C85F0F"/>
    <w:multiLevelType w:val="hybridMultilevel"/>
    <w:tmpl w:val="FB92B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4823888"/>
    <w:multiLevelType w:val="hybridMultilevel"/>
    <w:tmpl w:val="1076C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9EC7B25"/>
    <w:multiLevelType w:val="hybridMultilevel"/>
    <w:tmpl w:val="06CC0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A7B378C"/>
    <w:multiLevelType w:val="hybridMultilevel"/>
    <w:tmpl w:val="78083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3E6098D"/>
    <w:multiLevelType w:val="hybridMultilevel"/>
    <w:tmpl w:val="2A78B4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7C63563"/>
    <w:multiLevelType w:val="hybridMultilevel"/>
    <w:tmpl w:val="306619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93B25D7"/>
    <w:multiLevelType w:val="hybridMultilevel"/>
    <w:tmpl w:val="A27E6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95E5A31"/>
    <w:multiLevelType w:val="hybridMultilevel"/>
    <w:tmpl w:val="B608DD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98230211">
    <w:abstractNumId w:val="1"/>
  </w:num>
  <w:num w:numId="2" w16cid:durableId="1208221761">
    <w:abstractNumId w:val="31"/>
  </w:num>
  <w:num w:numId="3" w16cid:durableId="323360036">
    <w:abstractNumId w:val="13"/>
  </w:num>
  <w:num w:numId="4" w16cid:durableId="1675497173">
    <w:abstractNumId w:val="8"/>
  </w:num>
  <w:num w:numId="5" w16cid:durableId="572157237">
    <w:abstractNumId w:val="9"/>
  </w:num>
  <w:num w:numId="6" w16cid:durableId="1523394075">
    <w:abstractNumId w:val="6"/>
  </w:num>
  <w:num w:numId="7" w16cid:durableId="912929873">
    <w:abstractNumId w:val="26"/>
  </w:num>
  <w:num w:numId="8" w16cid:durableId="589043574">
    <w:abstractNumId w:val="16"/>
  </w:num>
  <w:num w:numId="9" w16cid:durableId="205218207">
    <w:abstractNumId w:val="27"/>
  </w:num>
  <w:num w:numId="10" w16cid:durableId="1885293503">
    <w:abstractNumId w:val="10"/>
  </w:num>
  <w:num w:numId="11" w16cid:durableId="2002656075">
    <w:abstractNumId w:val="11"/>
  </w:num>
  <w:num w:numId="12" w16cid:durableId="1168835005">
    <w:abstractNumId w:val="0"/>
  </w:num>
  <w:num w:numId="13" w16cid:durableId="1893693054">
    <w:abstractNumId w:val="30"/>
  </w:num>
  <w:num w:numId="14" w16cid:durableId="1894465931">
    <w:abstractNumId w:val="21"/>
  </w:num>
  <w:num w:numId="15" w16cid:durableId="316735779">
    <w:abstractNumId w:val="18"/>
  </w:num>
  <w:num w:numId="16" w16cid:durableId="2076319332">
    <w:abstractNumId w:val="3"/>
  </w:num>
  <w:num w:numId="17" w16cid:durableId="1640063763">
    <w:abstractNumId w:val="5"/>
  </w:num>
  <w:num w:numId="18" w16cid:durableId="1797798026">
    <w:abstractNumId w:val="12"/>
  </w:num>
  <w:num w:numId="19" w16cid:durableId="1094596583">
    <w:abstractNumId w:val="22"/>
  </w:num>
  <w:num w:numId="20" w16cid:durableId="1075204195">
    <w:abstractNumId w:val="7"/>
  </w:num>
  <w:num w:numId="21" w16cid:durableId="1435395174">
    <w:abstractNumId w:val="28"/>
  </w:num>
  <w:num w:numId="22" w16cid:durableId="456723496">
    <w:abstractNumId w:val="32"/>
  </w:num>
  <w:num w:numId="23" w16cid:durableId="710152401">
    <w:abstractNumId w:val="25"/>
  </w:num>
  <w:num w:numId="24" w16cid:durableId="1608467912">
    <w:abstractNumId w:val="14"/>
  </w:num>
  <w:num w:numId="25" w16cid:durableId="2065368285">
    <w:abstractNumId w:val="20"/>
  </w:num>
  <w:num w:numId="26" w16cid:durableId="2123720358">
    <w:abstractNumId w:val="15"/>
  </w:num>
  <w:num w:numId="27" w16cid:durableId="1425762823">
    <w:abstractNumId w:val="19"/>
  </w:num>
  <w:num w:numId="28" w16cid:durableId="305864110">
    <w:abstractNumId w:val="24"/>
  </w:num>
  <w:num w:numId="29" w16cid:durableId="886912310">
    <w:abstractNumId w:val="2"/>
  </w:num>
  <w:num w:numId="30" w16cid:durableId="1587416757">
    <w:abstractNumId w:val="29"/>
  </w:num>
  <w:num w:numId="31" w16cid:durableId="1730686969">
    <w:abstractNumId w:val="4"/>
  </w:num>
  <w:num w:numId="32" w16cid:durableId="193229520">
    <w:abstractNumId w:val="23"/>
  </w:num>
  <w:num w:numId="33" w16cid:durableId="12088315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151D"/>
    <w:rsid w:val="000022C6"/>
    <w:rsid w:val="00005864"/>
    <w:rsid w:val="000062E0"/>
    <w:rsid w:val="000077B7"/>
    <w:rsid w:val="0001011C"/>
    <w:rsid w:val="000157E2"/>
    <w:rsid w:val="00016DD2"/>
    <w:rsid w:val="00041812"/>
    <w:rsid w:val="000426C0"/>
    <w:rsid w:val="0005083F"/>
    <w:rsid w:val="00051535"/>
    <w:rsid w:val="00055494"/>
    <w:rsid w:val="000571F7"/>
    <w:rsid w:val="0006646C"/>
    <w:rsid w:val="00074357"/>
    <w:rsid w:val="000766BE"/>
    <w:rsid w:val="000779D8"/>
    <w:rsid w:val="00077BE4"/>
    <w:rsid w:val="000810DC"/>
    <w:rsid w:val="000873F4"/>
    <w:rsid w:val="00087E65"/>
    <w:rsid w:val="000A1A2B"/>
    <w:rsid w:val="000A4612"/>
    <w:rsid w:val="000A6657"/>
    <w:rsid w:val="000B48CE"/>
    <w:rsid w:val="000B5680"/>
    <w:rsid w:val="000C52DD"/>
    <w:rsid w:val="000D16D0"/>
    <w:rsid w:val="000D61AB"/>
    <w:rsid w:val="000D75AD"/>
    <w:rsid w:val="000E09EB"/>
    <w:rsid w:val="000E7CE1"/>
    <w:rsid w:val="000F0144"/>
    <w:rsid w:val="000F0E5F"/>
    <w:rsid w:val="000F5160"/>
    <w:rsid w:val="000F70CE"/>
    <w:rsid w:val="001009A9"/>
    <w:rsid w:val="001022CE"/>
    <w:rsid w:val="0010419F"/>
    <w:rsid w:val="00123354"/>
    <w:rsid w:val="00124BC8"/>
    <w:rsid w:val="00130160"/>
    <w:rsid w:val="00137059"/>
    <w:rsid w:val="001405AB"/>
    <w:rsid w:val="001413ED"/>
    <w:rsid w:val="0014187A"/>
    <w:rsid w:val="00141888"/>
    <w:rsid w:val="001419D4"/>
    <w:rsid w:val="00151975"/>
    <w:rsid w:val="001538BD"/>
    <w:rsid w:val="00161255"/>
    <w:rsid w:val="00172147"/>
    <w:rsid w:val="00172F0B"/>
    <w:rsid w:val="0017450C"/>
    <w:rsid w:val="0017464F"/>
    <w:rsid w:val="00184BFD"/>
    <w:rsid w:val="00186476"/>
    <w:rsid w:val="0018754D"/>
    <w:rsid w:val="001901B9"/>
    <w:rsid w:val="0019199D"/>
    <w:rsid w:val="00196D59"/>
    <w:rsid w:val="001A67E6"/>
    <w:rsid w:val="001A6B8A"/>
    <w:rsid w:val="001B2F08"/>
    <w:rsid w:val="001B7AC2"/>
    <w:rsid w:val="001C2712"/>
    <w:rsid w:val="001C2FE3"/>
    <w:rsid w:val="001C53DE"/>
    <w:rsid w:val="001C612A"/>
    <w:rsid w:val="001C711C"/>
    <w:rsid w:val="001D542D"/>
    <w:rsid w:val="001E2919"/>
    <w:rsid w:val="001F28B4"/>
    <w:rsid w:val="001F3694"/>
    <w:rsid w:val="001F3E23"/>
    <w:rsid w:val="001F423D"/>
    <w:rsid w:val="001F5110"/>
    <w:rsid w:val="002010F9"/>
    <w:rsid w:val="00204D5F"/>
    <w:rsid w:val="0021158F"/>
    <w:rsid w:val="00214ECF"/>
    <w:rsid w:val="00222092"/>
    <w:rsid w:val="00224B98"/>
    <w:rsid w:val="00225927"/>
    <w:rsid w:val="00231015"/>
    <w:rsid w:val="00235E46"/>
    <w:rsid w:val="002364EF"/>
    <w:rsid w:val="002375AF"/>
    <w:rsid w:val="0023776C"/>
    <w:rsid w:val="0024525B"/>
    <w:rsid w:val="00245DF8"/>
    <w:rsid w:val="00247241"/>
    <w:rsid w:val="00255ADA"/>
    <w:rsid w:val="00256811"/>
    <w:rsid w:val="00261408"/>
    <w:rsid w:val="002669DD"/>
    <w:rsid w:val="00272F0D"/>
    <w:rsid w:val="002743C8"/>
    <w:rsid w:val="00275CA9"/>
    <w:rsid w:val="00276F40"/>
    <w:rsid w:val="002805F9"/>
    <w:rsid w:val="0028225A"/>
    <w:rsid w:val="00284FE5"/>
    <w:rsid w:val="0028705D"/>
    <w:rsid w:val="00290596"/>
    <w:rsid w:val="00295774"/>
    <w:rsid w:val="002B7E19"/>
    <w:rsid w:val="002B7F0B"/>
    <w:rsid w:val="002C11C1"/>
    <w:rsid w:val="002C6B78"/>
    <w:rsid w:val="002C7DA3"/>
    <w:rsid w:val="002D2D6C"/>
    <w:rsid w:val="002D37C4"/>
    <w:rsid w:val="002D3CE0"/>
    <w:rsid w:val="002D492D"/>
    <w:rsid w:val="002D5000"/>
    <w:rsid w:val="002D5102"/>
    <w:rsid w:val="002D5CDB"/>
    <w:rsid w:val="002F14E7"/>
    <w:rsid w:val="002F3826"/>
    <w:rsid w:val="002F515B"/>
    <w:rsid w:val="002F5F9B"/>
    <w:rsid w:val="00302CFC"/>
    <w:rsid w:val="0030391F"/>
    <w:rsid w:val="0031069F"/>
    <w:rsid w:val="003146D3"/>
    <w:rsid w:val="00314EB6"/>
    <w:rsid w:val="003171CF"/>
    <w:rsid w:val="003330C1"/>
    <w:rsid w:val="00334733"/>
    <w:rsid w:val="00335DBD"/>
    <w:rsid w:val="00342D73"/>
    <w:rsid w:val="00342E60"/>
    <w:rsid w:val="00350B9A"/>
    <w:rsid w:val="003517A0"/>
    <w:rsid w:val="003550D6"/>
    <w:rsid w:val="003617ED"/>
    <w:rsid w:val="00361B27"/>
    <w:rsid w:val="00363C44"/>
    <w:rsid w:val="003708CC"/>
    <w:rsid w:val="003714B0"/>
    <w:rsid w:val="003739FC"/>
    <w:rsid w:val="00386A8A"/>
    <w:rsid w:val="00390587"/>
    <w:rsid w:val="0039193E"/>
    <w:rsid w:val="0039565F"/>
    <w:rsid w:val="00396F82"/>
    <w:rsid w:val="003A0F1E"/>
    <w:rsid w:val="003A2727"/>
    <w:rsid w:val="003A534D"/>
    <w:rsid w:val="003A5B4C"/>
    <w:rsid w:val="003A7ABF"/>
    <w:rsid w:val="003B156B"/>
    <w:rsid w:val="003B3719"/>
    <w:rsid w:val="003B3C75"/>
    <w:rsid w:val="003C075E"/>
    <w:rsid w:val="003C6F57"/>
    <w:rsid w:val="003C7EBA"/>
    <w:rsid w:val="003D044D"/>
    <w:rsid w:val="003D4638"/>
    <w:rsid w:val="003D6714"/>
    <w:rsid w:val="00405646"/>
    <w:rsid w:val="00406F82"/>
    <w:rsid w:val="00415DDE"/>
    <w:rsid w:val="00417F17"/>
    <w:rsid w:val="004202F9"/>
    <w:rsid w:val="00420DE8"/>
    <w:rsid w:val="00426932"/>
    <w:rsid w:val="00437A44"/>
    <w:rsid w:val="0044513D"/>
    <w:rsid w:val="004653D1"/>
    <w:rsid w:val="0046652E"/>
    <w:rsid w:val="004838F4"/>
    <w:rsid w:val="004857B9"/>
    <w:rsid w:val="00490871"/>
    <w:rsid w:val="00494482"/>
    <w:rsid w:val="00495CDC"/>
    <w:rsid w:val="004A4C59"/>
    <w:rsid w:val="004A68B5"/>
    <w:rsid w:val="004C1FD4"/>
    <w:rsid w:val="004D02FF"/>
    <w:rsid w:val="004D2218"/>
    <w:rsid w:val="004D667A"/>
    <w:rsid w:val="004D70E4"/>
    <w:rsid w:val="004E2BAD"/>
    <w:rsid w:val="004E4E8E"/>
    <w:rsid w:val="004F3697"/>
    <w:rsid w:val="004F7623"/>
    <w:rsid w:val="004F7906"/>
    <w:rsid w:val="00501540"/>
    <w:rsid w:val="00504B46"/>
    <w:rsid w:val="00504F26"/>
    <w:rsid w:val="005101F7"/>
    <w:rsid w:val="00511490"/>
    <w:rsid w:val="00511DF3"/>
    <w:rsid w:val="00512DAC"/>
    <w:rsid w:val="0051528C"/>
    <w:rsid w:val="005164A5"/>
    <w:rsid w:val="005169F2"/>
    <w:rsid w:val="0051711B"/>
    <w:rsid w:val="00524D1B"/>
    <w:rsid w:val="0052578C"/>
    <w:rsid w:val="0052683C"/>
    <w:rsid w:val="00535632"/>
    <w:rsid w:val="005416AE"/>
    <w:rsid w:val="00542EA2"/>
    <w:rsid w:val="005432D9"/>
    <w:rsid w:val="0054415C"/>
    <w:rsid w:val="0054579C"/>
    <w:rsid w:val="00550072"/>
    <w:rsid w:val="0055294F"/>
    <w:rsid w:val="00555929"/>
    <w:rsid w:val="00556F23"/>
    <w:rsid w:val="0055701B"/>
    <w:rsid w:val="00563E29"/>
    <w:rsid w:val="005669CB"/>
    <w:rsid w:val="00571C56"/>
    <w:rsid w:val="00571D9B"/>
    <w:rsid w:val="00572309"/>
    <w:rsid w:val="0057353C"/>
    <w:rsid w:val="0057393A"/>
    <w:rsid w:val="00580F1C"/>
    <w:rsid w:val="00581364"/>
    <w:rsid w:val="005845D5"/>
    <w:rsid w:val="00584B0C"/>
    <w:rsid w:val="00586B39"/>
    <w:rsid w:val="00586CDF"/>
    <w:rsid w:val="00593D99"/>
    <w:rsid w:val="005A394E"/>
    <w:rsid w:val="005A4BCB"/>
    <w:rsid w:val="005A57B4"/>
    <w:rsid w:val="005D1201"/>
    <w:rsid w:val="005D213F"/>
    <w:rsid w:val="005E7C3D"/>
    <w:rsid w:val="005E7F0D"/>
    <w:rsid w:val="005F0743"/>
    <w:rsid w:val="00606638"/>
    <w:rsid w:val="00610919"/>
    <w:rsid w:val="00613BF2"/>
    <w:rsid w:val="0061461C"/>
    <w:rsid w:val="00615DD3"/>
    <w:rsid w:val="006167B5"/>
    <w:rsid w:val="00616FEA"/>
    <w:rsid w:val="00620D72"/>
    <w:rsid w:val="00622AC5"/>
    <w:rsid w:val="00624E2D"/>
    <w:rsid w:val="00635B4D"/>
    <w:rsid w:val="0063630D"/>
    <w:rsid w:val="00637F01"/>
    <w:rsid w:val="006467C3"/>
    <w:rsid w:val="00647485"/>
    <w:rsid w:val="00647A99"/>
    <w:rsid w:val="00651917"/>
    <w:rsid w:val="00652605"/>
    <w:rsid w:val="0065274C"/>
    <w:rsid w:val="006532CA"/>
    <w:rsid w:val="00653A7C"/>
    <w:rsid w:val="006541F5"/>
    <w:rsid w:val="006544B6"/>
    <w:rsid w:val="00656AA8"/>
    <w:rsid w:val="00656BC9"/>
    <w:rsid w:val="006624D3"/>
    <w:rsid w:val="00664A4E"/>
    <w:rsid w:val="00681082"/>
    <w:rsid w:val="006850E9"/>
    <w:rsid w:val="00685EF5"/>
    <w:rsid w:val="00690EA5"/>
    <w:rsid w:val="00691611"/>
    <w:rsid w:val="00692B3C"/>
    <w:rsid w:val="00692C30"/>
    <w:rsid w:val="00693F02"/>
    <w:rsid w:val="00695AD4"/>
    <w:rsid w:val="006B4E4F"/>
    <w:rsid w:val="006B78B2"/>
    <w:rsid w:val="006C1CFB"/>
    <w:rsid w:val="006C5A5D"/>
    <w:rsid w:val="006D27F4"/>
    <w:rsid w:val="006F0B4F"/>
    <w:rsid w:val="006F4D51"/>
    <w:rsid w:val="006F507A"/>
    <w:rsid w:val="00700946"/>
    <w:rsid w:val="00702980"/>
    <w:rsid w:val="00707B51"/>
    <w:rsid w:val="0072232C"/>
    <w:rsid w:val="00724FC9"/>
    <w:rsid w:val="00725AAB"/>
    <w:rsid w:val="00735BF7"/>
    <w:rsid w:val="007410EB"/>
    <w:rsid w:val="00743C7C"/>
    <w:rsid w:val="00745B19"/>
    <w:rsid w:val="00746B75"/>
    <w:rsid w:val="007521B0"/>
    <w:rsid w:val="00764FBE"/>
    <w:rsid w:val="00765C60"/>
    <w:rsid w:val="007662FC"/>
    <w:rsid w:val="00766DBF"/>
    <w:rsid w:val="00773F43"/>
    <w:rsid w:val="0078788B"/>
    <w:rsid w:val="00794514"/>
    <w:rsid w:val="007A3196"/>
    <w:rsid w:val="007B30B4"/>
    <w:rsid w:val="007B349B"/>
    <w:rsid w:val="007B7D63"/>
    <w:rsid w:val="007C269C"/>
    <w:rsid w:val="007C2D5C"/>
    <w:rsid w:val="007C66D0"/>
    <w:rsid w:val="007C6F99"/>
    <w:rsid w:val="007C77FA"/>
    <w:rsid w:val="007D27C5"/>
    <w:rsid w:val="007D7650"/>
    <w:rsid w:val="007D7A3D"/>
    <w:rsid w:val="007E1EA8"/>
    <w:rsid w:val="007E2441"/>
    <w:rsid w:val="007E3C91"/>
    <w:rsid w:val="007E421F"/>
    <w:rsid w:val="007F4E11"/>
    <w:rsid w:val="00806D32"/>
    <w:rsid w:val="00825089"/>
    <w:rsid w:val="008315F1"/>
    <w:rsid w:val="00853579"/>
    <w:rsid w:val="0085668E"/>
    <w:rsid w:val="00861C40"/>
    <w:rsid w:val="00864E5C"/>
    <w:rsid w:val="0086594E"/>
    <w:rsid w:val="00871CA8"/>
    <w:rsid w:val="008760D4"/>
    <w:rsid w:val="00877049"/>
    <w:rsid w:val="00881886"/>
    <w:rsid w:val="00893442"/>
    <w:rsid w:val="00894AC1"/>
    <w:rsid w:val="0089568F"/>
    <w:rsid w:val="008969AB"/>
    <w:rsid w:val="008A3A27"/>
    <w:rsid w:val="008A3AB6"/>
    <w:rsid w:val="008A4854"/>
    <w:rsid w:val="008A4E34"/>
    <w:rsid w:val="008A5984"/>
    <w:rsid w:val="008A7CBF"/>
    <w:rsid w:val="008B1A35"/>
    <w:rsid w:val="008C32FE"/>
    <w:rsid w:val="008C3310"/>
    <w:rsid w:val="008C6DF4"/>
    <w:rsid w:val="008D6D83"/>
    <w:rsid w:val="008E1449"/>
    <w:rsid w:val="008E36E3"/>
    <w:rsid w:val="009073A5"/>
    <w:rsid w:val="009133FA"/>
    <w:rsid w:val="00913463"/>
    <w:rsid w:val="00917FAC"/>
    <w:rsid w:val="00920097"/>
    <w:rsid w:val="009236E4"/>
    <w:rsid w:val="00925E0A"/>
    <w:rsid w:val="009338CB"/>
    <w:rsid w:val="00936517"/>
    <w:rsid w:val="009428AF"/>
    <w:rsid w:val="00956235"/>
    <w:rsid w:val="009564B3"/>
    <w:rsid w:val="009576EA"/>
    <w:rsid w:val="00970C28"/>
    <w:rsid w:val="009800D1"/>
    <w:rsid w:val="009902E6"/>
    <w:rsid w:val="00992EE9"/>
    <w:rsid w:val="00994F7F"/>
    <w:rsid w:val="009A5FC8"/>
    <w:rsid w:val="009A6DB0"/>
    <w:rsid w:val="009A72FE"/>
    <w:rsid w:val="009A74D8"/>
    <w:rsid w:val="009A7B81"/>
    <w:rsid w:val="009B2485"/>
    <w:rsid w:val="009B2705"/>
    <w:rsid w:val="009B2F41"/>
    <w:rsid w:val="009B79C0"/>
    <w:rsid w:val="009D000C"/>
    <w:rsid w:val="009D68B9"/>
    <w:rsid w:val="009D7DBD"/>
    <w:rsid w:val="009E28DD"/>
    <w:rsid w:val="009F0AA3"/>
    <w:rsid w:val="009F4396"/>
    <w:rsid w:val="009F7D32"/>
    <w:rsid w:val="00A01BE3"/>
    <w:rsid w:val="00A03494"/>
    <w:rsid w:val="00A06909"/>
    <w:rsid w:val="00A15B73"/>
    <w:rsid w:val="00A16601"/>
    <w:rsid w:val="00A253AE"/>
    <w:rsid w:val="00A31ABD"/>
    <w:rsid w:val="00A36033"/>
    <w:rsid w:val="00A36A89"/>
    <w:rsid w:val="00A36C42"/>
    <w:rsid w:val="00A4032D"/>
    <w:rsid w:val="00A4781F"/>
    <w:rsid w:val="00A5073D"/>
    <w:rsid w:val="00A5435B"/>
    <w:rsid w:val="00A572FF"/>
    <w:rsid w:val="00A60A47"/>
    <w:rsid w:val="00A610EF"/>
    <w:rsid w:val="00A62C25"/>
    <w:rsid w:val="00A711A1"/>
    <w:rsid w:val="00A738B9"/>
    <w:rsid w:val="00A73BA9"/>
    <w:rsid w:val="00A744E7"/>
    <w:rsid w:val="00A843C8"/>
    <w:rsid w:val="00A97619"/>
    <w:rsid w:val="00A97FC1"/>
    <w:rsid w:val="00AC0EC3"/>
    <w:rsid w:val="00AC1C26"/>
    <w:rsid w:val="00AD3AEB"/>
    <w:rsid w:val="00AD717B"/>
    <w:rsid w:val="00AE5C5A"/>
    <w:rsid w:val="00AF2779"/>
    <w:rsid w:val="00AF336D"/>
    <w:rsid w:val="00B16426"/>
    <w:rsid w:val="00B26EDE"/>
    <w:rsid w:val="00B27A71"/>
    <w:rsid w:val="00B33CFA"/>
    <w:rsid w:val="00B44762"/>
    <w:rsid w:val="00B517D0"/>
    <w:rsid w:val="00B52DE8"/>
    <w:rsid w:val="00B53A64"/>
    <w:rsid w:val="00B54263"/>
    <w:rsid w:val="00B61483"/>
    <w:rsid w:val="00B65068"/>
    <w:rsid w:val="00B7560F"/>
    <w:rsid w:val="00B75CFB"/>
    <w:rsid w:val="00B77623"/>
    <w:rsid w:val="00B81FF1"/>
    <w:rsid w:val="00B8382B"/>
    <w:rsid w:val="00B870ED"/>
    <w:rsid w:val="00B90192"/>
    <w:rsid w:val="00B91936"/>
    <w:rsid w:val="00BA099C"/>
    <w:rsid w:val="00BB1FDC"/>
    <w:rsid w:val="00BC2C3D"/>
    <w:rsid w:val="00BC7D6D"/>
    <w:rsid w:val="00BD4210"/>
    <w:rsid w:val="00BE2E9E"/>
    <w:rsid w:val="00BF32A1"/>
    <w:rsid w:val="00BF4CA1"/>
    <w:rsid w:val="00BF6F9A"/>
    <w:rsid w:val="00C00BB7"/>
    <w:rsid w:val="00C0445F"/>
    <w:rsid w:val="00C07538"/>
    <w:rsid w:val="00C15849"/>
    <w:rsid w:val="00C254EF"/>
    <w:rsid w:val="00C25BB0"/>
    <w:rsid w:val="00C30C98"/>
    <w:rsid w:val="00C32D7F"/>
    <w:rsid w:val="00C3378D"/>
    <w:rsid w:val="00C377C1"/>
    <w:rsid w:val="00C4469E"/>
    <w:rsid w:val="00C475F0"/>
    <w:rsid w:val="00C47F96"/>
    <w:rsid w:val="00C538F6"/>
    <w:rsid w:val="00C63E91"/>
    <w:rsid w:val="00C70A85"/>
    <w:rsid w:val="00C7513E"/>
    <w:rsid w:val="00C86F8E"/>
    <w:rsid w:val="00C91B76"/>
    <w:rsid w:val="00C927A2"/>
    <w:rsid w:val="00C96D26"/>
    <w:rsid w:val="00CA1227"/>
    <w:rsid w:val="00CB2F55"/>
    <w:rsid w:val="00CB4DC3"/>
    <w:rsid w:val="00CB6CF4"/>
    <w:rsid w:val="00CC3217"/>
    <w:rsid w:val="00CC792F"/>
    <w:rsid w:val="00CD390B"/>
    <w:rsid w:val="00CD48D1"/>
    <w:rsid w:val="00CD63D5"/>
    <w:rsid w:val="00CE195B"/>
    <w:rsid w:val="00CE3ECD"/>
    <w:rsid w:val="00CF055D"/>
    <w:rsid w:val="00D07BA2"/>
    <w:rsid w:val="00D10212"/>
    <w:rsid w:val="00D120CA"/>
    <w:rsid w:val="00D434AF"/>
    <w:rsid w:val="00D64850"/>
    <w:rsid w:val="00D67505"/>
    <w:rsid w:val="00D72666"/>
    <w:rsid w:val="00D748B3"/>
    <w:rsid w:val="00D80196"/>
    <w:rsid w:val="00D803B6"/>
    <w:rsid w:val="00D86B92"/>
    <w:rsid w:val="00D9063F"/>
    <w:rsid w:val="00D959FF"/>
    <w:rsid w:val="00D97B01"/>
    <w:rsid w:val="00D97E84"/>
    <w:rsid w:val="00DA4553"/>
    <w:rsid w:val="00DA5FFF"/>
    <w:rsid w:val="00DB00C6"/>
    <w:rsid w:val="00DB1098"/>
    <w:rsid w:val="00DB7D3B"/>
    <w:rsid w:val="00DC487D"/>
    <w:rsid w:val="00DD254D"/>
    <w:rsid w:val="00DD4A10"/>
    <w:rsid w:val="00DE7633"/>
    <w:rsid w:val="00DE7E32"/>
    <w:rsid w:val="00DF61EB"/>
    <w:rsid w:val="00E0371B"/>
    <w:rsid w:val="00E03D28"/>
    <w:rsid w:val="00E06583"/>
    <w:rsid w:val="00E20DFB"/>
    <w:rsid w:val="00E24C7C"/>
    <w:rsid w:val="00E25074"/>
    <w:rsid w:val="00E2629C"/>
    <w:rsid w:val="00E26AE4"/>
    <w:rsid w:val="00E457C6"/>
    <w:rsid w:val="00E45D76"/>
    <w:rsid w:val="00E53F7A"/>
    <w:rsid w:val="00E53FA1"/>
    <w:rsid w:val="00E54180"/>
    <w:rsid w:val="00E548A0"/>
    <w:rsid w:val="00E652EF"/>
    <w:rsid w:val="00E66800"/>
    <w:rsid w:val="00E66BA9"/>
    <w:rsid w:val="00E708BC"/>
    <w:rsid w:val="00E755DC"/>
    <w:rsid w:val="00E76BA4"/>
    <w:rsid w:val="00E77C0C"/>
    <w:rsid w:val="00E81AA1"/>
    <w:rsid w:val="00E828C4"/>
    <w:rsid w:val="00E84873"/>
    <w:rsid w:val="00E84974"/>
    <w:rsid w:val="00E85F90"/>
    <w:rsid w:val="00E95D28"/>
    <w:rsid w:val="00E971C6"/>
    <w:rsid w:val="00E97A63"/>
    <w:rsid w:val="00EA2302"/>
    <w:rsid w:val="00EA42FE"/>
    <w:rsid w:val="00EA4303"/>
    <w:rsid w:val="00EA59EA"/>
    <w:rsid w:val="00EA69CB"/>
    <w:rsid w:val="00EB27BF"/>
    <w:rsid w:val="00EB3956"/>
    <w:rsid w:val="00EB60B6"/>
    <w:rsid w:val="00ED1014"/>
    <w:rsid w:val="00ED15A4"/>
    <w:rsid w:val="00ED1DBB"/>
    <w:rsid w:val="00ED5C32"/>
    <w:rsid w:val="00EE2466"/>
    <w:rsid w:val="00EE659E"/>
    <w:rsid w:val="00EF3FD3"/>
    <w:rsid w:val="00EF64CB"/>
    <w:rsid w:val="00EF6B03"/>
    <w:rsid w:val="00F01BBD"/>
    <w:rsid w:val="00F14521"/>
    <w:rsid w:val="00F1510D"/>
    <w:rsid w:val="00F31CEE"/>
    <w:rsid w:val="00F36989"/>
    <w:rsid w:val="00F426C1"/>
    <w:rsid w:val="00F439A9"/>
    <w:rsid w:val="00F43DFA"/>
    <w:rsid w:val="00F52DBD"/>
    <w:rsid w:val="00F56A02"/>
    <w:rsid w:val="00F64E3F"/>
    <w:rsid w:val="00F80DE0"/>
    <w:rsid w:val="00F80EE1"/>
    <w:rsid w:val="00F80FCF"/>
    <w:rsid w:val="00F8346C"/>
    <w:rsid w:val="00F95045"/>
    <w:rsid w:val="00F9515D"/>
    <w:rsid w:val="00FA3897"/>
    <w:rsid w:val="00FB5830"/>
    <w:rsid w:val="00FC09EC"/>
    <w:rsid w:val="00FC6F25"/>
    <w:rsid w:val="00FD2F4A"/>
    <w:rsid w:val="00FD6A9A"/>
    <w:rsid w:val="00FD6D08"/>
    <w:rsid w:val="00FE5184"/>
    <w:rsid w:val="00FF7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Char,Char Char Char,F1,Footnote Text Char1"/>
    <w:basedOn w:val="Normal"/>
    <w:link w:val="FootnoteTextChar"/>
    <w:unhideWhenUsed/>
    <w:qFormat/>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1 Char"/>
    <w:basedOn w:val="DefaultParagraphFont"/>
    <w:link w:val="FootnoteText"/>
    <w:rsid w:val="004D70E4"/>
    <w:rPr>
      <w:rFonts w:ascii="Verdana" w:hAnsi="Verdana"/>
      <w:sz w:val="20"/>
      <w:szCs w:val="20"/>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SUPE,Footnotes refs,SUPERS"/>
    <w:basedOn w:val="DefaultParagraphFont"/>
    <w:link w:val="4GCharCharCharCharCharChar"/>
    <w:unhideWhenUsed/>
    <w:qFormat/>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FD2F4A"/>
    <w:pPr>
      <w:spacing w:before="240" w:after="160" w:line="240" w:lineRule="exact"/>
      <w:jc w:val="both"/>
    </w:pPr>
    <w:rPr>
      <w:rFonts w:asciiTheme="minorHAnsi" w:hAnsiTheme="minorHAnsi"/>
      <w:sz w:val="22"/>
      <w:vertAlign w:val="superscript"/>
    </w:rPr>
  </w:style>
  <w:style w:type="character" w:styleId="UnresolvedMention">
    <w:name w:val="Unresolved Mention"/>
    <w:basedOn w:val="DefaultParagraphFont"/>
    <w:uiPriority w:val="99"/>
    <w:semiHidden/>
    <w:unhideWhenUsed/>
    <w:rsid w:val="00FD2F4A"/>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4A4C59"/>
    <w:rPr>
      <w:rFonts w:ascii="Verdana" w:hAnsi="Verdana"/>
      <w:sz w:val="24"/>
    </w:rPr>
  </w:style>
  <w:style w:type="paragraph" w:styleId="TOC1">
    <w:name w:val="toc 1"/>
    <w:basedOn w:val="Normal"/>
    <w:next w:val="Normal"/>
    <w:autoRedefine/>
    <w:uiPriority w:val="39"/>
    <w:unhideWhenUsed/>
    <w:rsid w:val="009F0AA3"/>
    <w:pPr>
      <w:spacing w:after="100"/>
    </w:pPr>
  </w:style>
  <w:style w:type="paragraph" w:styleId="TOC2">
    <w:name w:val="toc 2"/>
    <w:basedOn w:val="Normal"/>
    <w:next w:val="Normal"/>
    <w:autoRedefine/>
    <w:uiPriority w:val="39"/>
    <w:unhideWhenUsed/>
    <w:rsid w:val="009F0AA3"/>
    <w:pPr>
      <w:spacing w:after="100"/>
      <w:ind w:left="240"/>
    </w:pPr>
  </w:style>
  <w:style w:type="paragraph" w:styleId="ListBullet">
    <w:name w:val="List Bullet"/>
    <w:basedOn w:val="Normal"/>
    <w:rsid w:val="00B7560F"/>
    <w:pPr>
      <w:numPr>
        <w:numId w:val="12"/>
      </w:numPr>
      <w:spacing w:before="120" w:after="120"/>
    </w:pPr>
    <w:rPr>
      <w:rFonts w:ascii="Gill Sans MT" w:eastAsia="Times New Roman" w:hAnsi="Gill Sans MT" w:cs="Times New Roman"/>
      <w:kern w:val="0"/>
      <w:sz w:val="26"/>
      <w:szCs w:val="24"/>
      <w14:ligatures w14:val="none"/>
    </w:rPr>
  </w:style>
  <w:style w:type="paragraph" w:customStyle="1" w:styleId="BlockQuote">
    <w:name w:val="Block Quote"/>
    <w:basedOn w:val="Normal"/>
    <w:rsid w:val="00B7560F"/>
    <w:pPr>
      <w:ind w:left="720" w:right="720"/>
    </w:pPr>
    <w:rPr>
      <w:rFonts w:ascii="Gill Sans MT" w:eastAsia="Times New Roman" w:hAnsi="Gill Sans MT" w:cs="Times New Roman"/>
      <w:kern w:val="0"/>
      <w:sz w:val="26"/>
      <w:szCs w:val="24"/>
      <w14:ligatures w14:val="none"/>
    </w:rPr>
  </w:style>
  <w:style w:type="paragraph" w:customStyle="1" w:styleId="Default">
    <w:name w:val="Default"/>
    <w:basedOn w:val="Normal"/>
    <w:rsid w:val="00B7560F"/>
    <w:pPr>
      <w:autoSpaceDE w:val="0"/>
      <w:autoSpaceDN w:val="0"/>
      <w:spacing w:after="0"/>
    </w:pPr>
    <w:rPr>
      <w:rFonts w:ascii="Times New Roman" w:hAnsi="Times New Roman" w:cs="Times New Roman"/>
      <w:color w:val="000000"/>
      <w:kern w:val="0"/>
      <w:szCs w:val="24"/>
      <w:lang w:eastAsia="en-IE"/>
      <w14:ligatures w14:val="none"/>
    </w:rPr>
  </w:style>
  <w:style w:type="character" w:customStyle="1" w:styleId="normaltextrun">
    <w:name w:val="normaltextrun"/>
    <w:basedOn w:val="DefaultParagraphFont"/>
    <w:rsid w:val="00B7560F"/>
  </w:style>
  <w:style w:type="character" w:customStyle="1" w:styleId="eop">
    <w:name w:val="eop"/>
    <w:basedOn w:val="DefaultParagraphFont"/>
    <w:rsid w:val="00B7560F"/>
  </w:style>
  <w:style w:type="character" w:customStyle="1" w:styleId="spellingerror">
    <w:name w:val="spellingerror"/>
    <w:basedOn w:val="DefaultParagraphFont"/>
    <w:rsid w:val="00B7560F"/>
  </w:style>
  <w:style w:type="character" w:styleId="FollowedHyperlink">
    <w:name w:val="FollowedHyperlink"/>
    <w:basedOn w:val="DefaultParagraphFont"/>
    <w:uiPriority w:val="99"/>
    <w:semiHidden/>
    <w:unhideWhenUsed/>
    <w:rsid w:val="00B7560F"/>
    <w:rPr>
      <w:color w:val="954F72" w:themeColor="followedHyperlink"/>
      <w:u w:val="single"/>
    </w:rPr>
  </w:style>
  <w:style w:type="paragraph" w:styleId="Revision">
    <w:name w:val="Revision"/>
    <w:hidden/>
    <w:uiPriority w:val="99"/>
    <w:semiHidden/>
    <w:rsid w:val="007D7650"/>
    <w:pPr>
      <w:spacing w:after="0"/>
    </w:pPr>
    <w:rPr>
      <w:rFonts w:ascii="Verdana" w:hAnsi="Verdana"/>
      <w:sz w:val="24"/>
    </w:rPr>
  </w:style>
  <w:style w:type="paragraph" w:styleId="NormalWeb">
    <w:name w:val="Normal (Web)"/>
    <w:basedOn w:val="Normal"/>
    <w:uiPriority w:val="99"/>
    <w:semiHidden/>
    <w:unhideWhenUsed/>
    <w:rsid w:val="00586CDF"/>
    <w:pPr>
      <w:spacing w:before="100" w:beforeAutospacing="1" w:after="100" w:afterAutospacing="1"/>
    </w:pPr>
    <w:rPr>
      <w:rFonts w:ascii="Times New Roman" w:eastAsia="Times New Roman" w:hAnsi="Times New Roman" w:cs="Times New Roman"/>
      <w:kern w:val="0"/>
      <w:szCs w:val="24"/>
      <w:lang w:eastAsia="en-IE"/>
      <w14:ligatures w14:val="none"/>
    </w:rPr>
  </w:style>
  <w:style w:type="paragraph" w:customStyle="1" w:styleId="SingleTxtG">
    <w:name w:val="_ Single Txt_G"/>
    <w:basedOn w:val="Normal"/>
    <w:rsid w:val="00405646"/>
    <w:pPr>
      <w:tabs>
        <w:tab w:val="left" w:pos="1701"/>
        <w:tab w:val="left" w:pos="2268"/>
      </w:tabs>
      <w:suppressAutoHyphens/>
      <w:spacing w:after="120" w:line="240" w:lineRule="atLeast"/>
      <w:ind w:left="1134" w:right="1134"/>
      <w:jc w:val="both"/>
    </w:pPr>
    <w:rPr>
      <w:rFonts w:ascii="Times New Roman" w:eastAsia="SimSun" w:hAnsi="Times New Roman" w:cs="Times New Roman"/>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99989">
      <w:bodyDiv w:val="1"/>
      <w:marLeft w:val="0"/>
      <w:marRight w:val="0"/>
      <w:marTop w:val="0"/>
      <w:marBottom w:val="0"/>
      <w:divBdr>
        <w:top w:val="none" w:sz="0" w:space="0" w:color="auto"/>
        <w:left w:val="none" w:sz="0" w:space="0" w:color="auto"/>
        <w:bottom w:val="none" w:sz="0" w:space="0" w:color="auto"/>
        <w:right w:val="none" w:sz="0" w:space="0" w:color="auto"/>
      </w:divBdr>
    </w:div>
    <w:div w:id="290476530">
      <w:bodyDiv w:val="1"/>
      <w:marLeft w:val="0"/>
      <w:marRight w:val="0"/>
      <w:marTop w:val="0"/>
      <w:marBottom w:val="0"/>
      <w:divBdr>
        <w:top w:val="none" w:sz="0" w:space="0" w:color="auto"/>
        <w:left w:val="none" w:sz="0" w:space="0" w:color="auto"/>
        <w:bottom w:val="none" w:sz="0" w:space="0" w:color="auto"/>
        <w:right w:val="none" w:sz="0" w:space="0" w:color="auto"/>
      </w:divBdr>
    </w:div>
    <w:div w:id="1080716986">
      <w:bodyDiv w:val="1"/>
      <w:marLeft w:val="0"/>
      <w:marRight w:val="0"/>
      <w:marTop w:val="0"/>
      <w:marBottom w:val="0"/>
      <w:divBdr>
        <w:top w:val="none" w:sz="0" w:space="0" w:color="auto"/>
        <w:left w:val="none" w:sz="0" w:space="0" w:color="auto"/>
        <w:bottom w:val="none" w:sz="0" w:space="0" w:color="auto"/>
        <w:right w:val="none" w:sz="0" w:space="0" w:color="auto"/>
      </w:divBdr>
      <w:divsChild>
        <w:div w:id="82604510">
          <w:marLeft w:val="0"/>
          <w:marRight w:val="0"/>
          <w:marTop w:val="0"/>
          <w:marBottom w:val="0"/>
          <w:divBdr>
            <w:top w:val="none" w:sz="0" w:space="0" w:color="auto"/>
            <w:left w:val="none" w:sz="0" w:space="0" w:color="auto"/>
            <w:bottom w:val="none" w:sz="0" w:space="0" w:color="auto"/>
            <w:right w:val="none" w:sz="0" w:space="0" w:color="auto"/>
          </w:divBdr>
        </w:div>
        <w:div w:id="4987377">
          <w:marLeft w:val="0"/>
          <w:marRight w:val="0"/>
          <w:marTop w:val="0"/>
          <w:marBottom w:val="0"/>
          <w:divBdr>
            <w:top w:val="none" w:sz="0" w:space="0" w:color="auto"/>
            <w:left w:val="none" w:sz="0" w:space="0" w:color="auto"/>
            <w:bottom w:val="none" w:sz="0" w:space="0" w:color="auto"/>
            <w:right w:val="none" w:sz="0" w:space="0" w:color="auto"/>
          </w:divBdr>
        </w:div>
        <w:div w:id="5182627">
          <w:marLeft w:val="0"/>
          <w:marRight w:val="0"/>
          <w:marTop w:val="0"/>
          <w:marBottom w:val="0"/>
          <w:divBdr>
            <w:top w:val="none" w:sz="0" w:space="0" w:color="auto"/>
            <w:left w:val="none" w:sz="0" w:space="0" w:color="auto"/>
            <w:bottom w:val="none" w:sz="0" w:space="0" w:color="auto"/>
            <w:right w:val="none" w:sz="0" w:space="0" w:color="auto"/>
          </w:divBdr>
          <w:divsChild>
            <w:div w:id="196893626">
              <w:marLeft w:val="0"/>
              <w:marRight w:val="0"/>
              <w:marTop w:val="0"/>
              <w:marBottom w:val="0"/>
              <w:divBdr>
                <w:top w:val="none" w:sz="0" w:space="0" w:color="auto"/>
                <w:left w:val="none" w:sz="0" w:space="0" w:color="auto"/>
                <w:bottom w:val="none" w:sz="0" w:space="0" w:color="auto"/>
                <w:right w:val="none" w:sz="0" w:space="0" w:color="auto"/>
              </w:divBdr>
              <w:divsChild>
                <w:div w:id="1331716284">
                  <w:marLeft w:val="0"/>
                  <w:marRight w:val="0"/>
                  <w:marTop w:val="0"/>
                  <w:marBottom w:val="0"/>
                  <w:divBdr>
                    <w:top w:val="none" w:sz="0" w:space="0" w:color="auto"/>
                    <w:left w:val="none" w:sz="0" w:space="0" w:color="auto"/>
                    <w:bottom w:val="none" w:sz="0" w:space="0" w:color="auto"/>
                    <w:right w:val="none" w:sz="0" w:space="0" w:color="auto"/>
                  </w:divBdr>
                  <w:divsChild>
                    <w:div w:id="1425802816">
                      <w:marLeft w:val="0"/>
                      <w:marRight w:val="0"/>
                      <w:marTop w:val="0"/>
                      <w:marBottom w:val="0"/>
                      <w:divBdr>
                        <w:top w:val="none" w:sz="0" w:space="0" w:color="auto"/>
                        <w:left w:val="none" w:sz="0" w:space="0" w:color="auto"/>
                        <w:bottom w:val="none" w:sz="0" w:space="0" w:color="auto"/>
                        <w:right w:val="none" w:sz="0" w:space="0" w:color="auto"/>
                      </w:divBdr>
                    </w:div>
                  </w:divsChild>
                </w:div>
                <w:div w:id="824400379">
                  <w:marLeft w:val="0"/>
                  <w:marRight w:val="0"/>
                  <w:marTop w:val="0"/>
                  <w:marBottom w:val="0"/>
                  <w:divBdr>
                    <w:top w:val="none" w:sz="0" w:space="0" w:color="auto"/>
                    <w:left w:val="none" w:sz="0" w:space="0" w:color="auto"/>
                    <w:bottom w:val="none" w:sz="0" w:space="0" w:color="auto"/>
                    <w:right w:val="none" w:sz="0" w:space="0" w:color="auto"/>
                  </w:divBdr>
                  <w:divsChild>
                    <w:div w:id="949437456">
                      <w:marLeft w:val="0"/>
                      <w:marRight w:val="0"/>
                      <w:marTop w:val="0"/>
                      <w:marBottom w:val="0"/>
                      <w:divBdr>
                        <w:top w:val="none" w:sz="0" w:space="0" w:color="auto"/>
                        <w:left w:val="none" w:sz="0" w:space="0" w:color="auto"/>
                        <w:bottom w:val="none" w:sz="0" w:space="0" w:color="auto"/>
                        <w:right w:val="none" w:sz="0" w:space="0" w:color="auto"/>
                      </w:divBdr>
                    </w:div>
                  </w:divsChild>
                </w:div>
                <w:div w:id="1026368782">
                  <w:marLeft w:val="0"/>
                  <w:marRight w:val="0"/>
                  <w:marTop w:val="0"/>
                  <w:marBottom w:val="0"/>
                  <w:divBdr>
                    <w:top w:val="none" w:sz="0" w:space="0" w:color="auto"/>
                    <w:left w:val="none" w:sz="0" w:space="0" w:color="auto"/>
                    <w:bottom w:val="none" w:sz="0" w:space="0" w:color="auto"/>
                    <w:right w:val="none" w:sz="0" w:space="0" w:color="auto"/>
                  </w:divBdr>
                  <w:divsChild>
                    <w:div w:id="645620811">
                      <w:marLeft w:val="0"/>
                      <w:marRight w:val="0"/>
                      <w:marTop w:val="0"/>
                      <w:marBottom w:val="0"/>
                      <w:divBdr>
                        <w:top w:val="none" w:sz="0" w:space="0" w:color="auto"/>
                        <w:left w:val="none" w:sz="0" w:space="0" w:color="auto"/>
                        <w:bottom w:val="none" w:sz="0" w:space="0" w:color="auto"/>
                        <w:right w:val="none" w:sz="0" w:space="0" w:color="auto"/>
                      </w:divBdr>
                    </w:div>
                  </w:divsChild>
                </w:div>
                <w:div w:id="1685663641">
                  <w:marLeft w:val="0"/>
                  <w:marRight w:val="0"/>
                  <w:marTop w:val="0"/>
                  <w:marBottom w:val="0"/>
                  <w:divBdr>
                    <w:top w:val="none" w:sz="0" w:space="0" w:color="auto"/>
                    <w:left w:val="none" w:sz="0" w:space="0" w:color="auto"/>
                    <w:bottom w:val="none" w:sz="0" w:space="0" w:color="auto"/>
                    <w:right w:val="none" w:sz="0" w:space="0" w:color="auto"/>
                  </w:divBdr>
                  <w:divsChild>
                    <w:div w:id="801849167">
                      <w:marLeft w:val="0"/>
                      <w:marRight w:val="0"/>
                      <w:marTop w:val="0"/>
                      <w:marBottom w:val="0"/>
                      <w:divBdr>
                        <w:top w:val="none" w:sz="0" w:space="0" w:color="auto"/>
                        <w:left w:val="none" w:sz="0" w:space="0" w:color="auto"/>
                        <w:bottom w:val="none" w:sz="0" w:space="0" w:color="auto"/>
                        <w:right w:val="none" w:sz="0" w:space="0" w:color="auto"/>
                      </w:divBdr>
                    </w:div>
                  </w:divsChild>
                </w:div>
                <w:div w:id="151607424">
                  <w:marLeft w:val="0"/>
                  <w:marRight w:val="0"/>
                  <w:marTop w:val="0"/>
                  <w:marBottom w:val="0"/>
                  <w:divBdr>
                    <w:top w:val="none" w:sz="0" w:space="0" w:color="auto"/>
                    <w:left w:val="none" w:sz="0" w:space="0" w:color="auto"/>
                    <w:bottom w:val="none" w:sz="0" w:space="0" w:color="auto"/>
                    <w:right w:val="none" w:sz="0" w:space="0" w:color="auto"/>
                  </w:divBdr>
                  <w:divsChild>
                    <w:div w:id="370543150">
                      <w:marLeft w:val="0"/>
                      <w:marRight w:val="0"/>
                      <w:marTop w:val="0"/>
                      <w:marBottom w:val="0"/>
                      <w:divBdr>
                        <w:top w:val="none" w:sz="0" w:space="0" w:color="auto"/>
                        <w:left w:val="none" w:sz="0" w:space="0" w:color="auto"/>
                        <w:bottom w:val="none" w:sz="0" w:space="0" w:color="auto"/>
                        <w:right w:val="none" w:sz="0" w:space="0" w:color="auto"/>
                      </w:divBdr>
                    </w:div>
                  </w:divsChild>
                </w:div>
                <w:div w:id="730619766">
                  <w:marLeft w:val="0"/>
                  <w:marRight w:val="0"/>
                  <w:marTop w:val="0"/>
                  <w:marBottom w:val="0"/>
                  <w:divBdr>
                    <w:top w:val="none" w:sz="0" w:space="0" w:color="auto"/>
                    <w:left w:val="none" w:sz="0" w:space="0" w:color="auto"/>
                    <w:bottom w:val="none" w:sz="0" w:space="0" w:color="auto"/>
                    <w:right w:val="none" w:sz="0" w:space="0" w:color="auto"/>
                  </w:divBdr>
                  <w:divsChild>
                    <w:div w:id="1106458726">
                      <w:marLeft w:val="0"/>
                      <w:marRight w:val="0"/>
                      <w:marTop w:val="0"/>
                      <w:marBottom w:val="0"/>
                      <w:divBdr>
                        <w:top w:val="none" w:sz="0" w:space="0" w:color="auto"/>
                        <w:left w:val="none" w:sz="0" w:space="0" w:color="auto"/>
                        <w:bottom w:val="none" w:sz="0" w:space="0" w:color="auto"/>
                        <w:right w:val="none" w:sz="0" w:space="0" w:color="auto"/>
                      </w:divBdr>
                    </w:div>
                  </w:divsChild>
                </w:div>
                <w:div w:id="1286809296">
                  <w:marLeft w:val="0"/>
                  <w:marRight w:val="0"/>
                  <w:marTop w:val="0"/>
                  <w:marBottom w:val="0"/>
                  <w:divBdr>
                    <w:top w:val="none" w:sz="0" w:space="0" w:color="auto"/>
                    <w:left w:val="none" w:sz="0" w:space="0" w:color="auto"/>
                    <w:bottom w:val="none" w:sz="0" w:space="0" w:color="auto"/>
                    <w:right w:val="none" w:sz="0" w:space="0" w:color="auto"/>
                  </w:divBdr>
                  <w:divsChild>
                    <w:div w:id="1253509373">
                      <w:marLeft w:val="0"/>
                      <w:marRight w:val="0"/>
                      <w:marTop w:val="0"/>
                      <w:marBottom w:val="0"/>
                      <w:divBdr>
                        <w:top w:val="none" w:sz="0" w:space="0" w:color="auto"/>
                        <w:left w:val="none" w:sz="0" w:space="0" w:color="auto"/>
                        <w:bottom w:val="none" w:sz="0" w:space="0" w:color="auto"/>
                        <w:right w:val="none" w:sz="0" w:space="0" w:color="auto"/>
                      </w:divBdr>
                    </w:div>
                  </w:divsChild>
                </w:div>
                <w:div w:id="1055355699">
                  <w:marLeft w:val="0"/>
                  <w:marRight w:val="0"/>
                  <w:marTop w:val="0"/>
                  <w:marBottom w:val="0"/>
                  <w:divBdr>
                    <w:top w:val="none" w:sz="0" w:space="0" w:color="auto"/>
                    <w:left w:val="none" w:sz="0" w:space="0" w:color="auto"/>
                    <w:bottom w:val="none" w:sz="0" w:space="0" w:color="auto"/>
                    <w:right w:val="none" w:sz="0" w:space="0" w:color="auto"/>
                  </w:divBdr>
                  <w:divsChild>
                    <w:div w:id="66154218">
                      <w:marLeft w:val="0"/>
                      <w:marRight w:val="0"/>
                      <w:marTop w:val="0"/>
                      <w:marBottom w:val="0"/>
                      <w:divBdr>
                        <w:top w:val="none" w:sz="0" w:space="0" w:color="auto"/>
                        <w:left w:val="none" w:sz="0" w:space="0" w:color="auto"/>
                        <w:bottom w:val="none" w:sz="0" w:space="0" w:color="auto"/>
                        <w:right w:val="none" w:sz="0" w:space="0" w:color="auto"/>
                      </w:divBdr>
                    </w:div>
                  </w:divsChild>
                </w:div>
                <w:div w:id="1435860980">
                  <w:marLeft w:val="0"/>
                  <w:marRight w:val="0"/>
                  <w:marTop w:val="0"/>
                  <w:marBottom w:val="0"/>
                  <w:divBdr>
                    <w:top w:val="none" w:sz="0" w:space="0" w:color="auto"/>
                    <w:left w:val="none" w:sz="0" w:space="0" w:color="auto"/>
                    <w:bottom w:val="none" w:sz="0" w:space="0" w:color="auto"/>
                    <w:right w:val="none" w:sz="0" w:space="0" w:color="auto"/>
                  </w:divBdr>
                  <w:divsChild>
                    <w:div w:id="280117975">
                      <w:marLeft w:val="0"/>
                      <w:marRight w:val="0"/>
                      <w:marTop w:val="0"/>
                      <w:marBottom w:val="0"/>
                      <w:divBdr>
                        <w:top w:val="none" w:sz="0" w:space="0" w:color="auto"/>
                        <w:left w:val="none" w:sz="0" w:space="0" w:color="auto"/>
                        <w:bottom w:val="none" w:sz="0" w:space="0" w:color="auto"/>
                        <w:right w:val="none" w:sz="0" w:space="0" w:color="auto"/>
                      </w:divBdr>
                    </w:div>
                  </w:divsChild>
                </w:div>
                <w:div w:id="1190029538">
                  <w:marLeft w:val="0"/>
                  <w:marRight w:val="0"/>
                  <w:marTop w:val="0"/>
                  <w:marBottom w:val="0"/>
                  <w:divBdr>
                    <w:top w:val="none" w:sz="0" w:space="0" w:color="auto"/>
                    <w:left w:val="none" w:sz="0" w:space="0" w:color="auto"/>
                    <w:bottom w:val="none" w:sz="0" w:space="0" w:color="auto"/>
                    <w:right w:val="none" w:sz="0" w:space="0" w:color="auto"/>
                  </w:divBdr>
                  <w:divsChild>
                    <w:div w:id="1395201658">
                      <w:marLeft w:val="0"/>
                      <w:marRight w:val="0"/>
                      <w:marTop w:val="0"/>
                      <w:marBottom w:val="0"/>
                      <w:divBdr>
                        <w:top w:val="none" w:sz="0" w:space="0" w:color="auto"/>
                        <w:left w:val="none" w:sz="0" w:space="0" w:color="auto"/>
                        <w:bottom w:val="none" w:sz="0" w:space="0" w:color="auto"/>
                        <w:right w:val="none" w:sz="0" w:space="0" w:color="auto"/>
                      </w:divBdr>
                    </w:div>
                  </w:divsChild>
                </w:div>
                <w:div w:id="1459489212">
                  <w:marLeft w:val="0"/>
                  <w:marRight w:val="0"/>
                  <w:marTop w:val="0"/>
                  <w:marBottom w:val="0"/>
                  <w:divBdr>
                    <w:top w:val="none" w:sz="0" w:space="0" w:color="auto"/>
                    <w:left w:val="none" w:sz="0" w:space="0" w:color="auto"/>
                    <w:bottom w:val="none" w:sz="0" w:space="0" w:color="auto"/>
                    <w:right w:val="none" w:sz="0" w:space="0" w:color="auto"/>
                  </w:divBdr>
                  <w:divsChild>
                    <w:div w:id="14784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1118">
      <w:bodyDiv w:val="1"/>
      <w:marLeft w:val="0"/>
      <w:marRight w:val="0"/>
      <w:marTop w:val="0"/>
      <w:marBottom w:val="0"/>
      <w:divBdr>
        <w:top w:val="none" w:sz="0" w:space="0" w:color="auto"/>
        <w:left w:val="none" w:sz="0" w:space="0" w:color="auto"/>
        <w:bottom w:val="none" w:sz="0" w:space="0" w:color="auto"/>
        <w:right w:val="none" w:sz="0" w:space="0" w:color="auto"/>
      </w:divBdr>
      <w:divsChild>
        <w:div w:id="1246259620">
          <w:marLeft w:val="0"/>
          <w:marRight w:val="0"/>
          <w:marTop w:val="0"/>
          <w:marBottom w:val="0"/>
          <w:divBdr>
            <w:top w:val="none" w:sz="0" w:space="0" w:color="auto"/>
            <w:left w:val="none" w:sz="0" w:space="0" w:color="auto"/>
            <w:bottom w:val="none" w:sz="0" w:space="0" w:color="auto"/>
            <w:right w:val="none" w:sz="0" w:space="0" w:color="auto"/>
          </w:divBdr>
        </w:div>
        <w:div w:id="1760716762">
          <w:marLeft w:val="0"/>
          <w:marRight w:val="0"/>
          <w:marTop w:val="0"/>
          <w:marBottom w:val="0"/>
          <w:divBdr>
            <w:top w:val="none" w:sz="0" w:space="0" w:color="auto"/>
            <w:left w:val="none" w:sz="0" w:space="0" w:color="auto"/>
            <w:bottom w:val="none" w:sz="0" w:space="0" w:color="auto"/>
            <w:right w:val="none" w:sz="0" w:space="0" w:color="auto"/>
          </w:divBdr>
          <w:divsChild>
            <w:div w:id="1898275239">
              <w:marLeft w:val="0"/>
              <w:marRight w:val="0"/>
              <w:marTop w:val="0"/>
              <w:marBottom w:val="0"/>
              <w:divBdr>
                <w:top w:val="none" w:sz="0" w:space="0" w:color="auto"/>
                <w:left w:val="none" w:sz="0" w:space="0" w:color="auto"/>
                <w:bottom w:val="none" w:sz="0" w:space="0" w:color="auto"/>
                <w:right w:val="none" w:sz="0" w:space="0" w:color="auto"/>
              </w:divBdr>
              <w:divsChild>
                <w:div w:id="755521288">
                  <w:marLeft w:val="0"/>
                  <w:marRight w:val="0"/>
                  <w:marTop w:val="0"/>
                  <w:marBottom w:val="0"/>
                  <w:divBdr>
                    <w:top w:val="none" w:sz="0" w:space="0" w:color="auto"/>
                    <w:left w:val="none" w:sz="0" w:space="0" w:color="auto"/>
                    <w:bottom w:val="none" w:sz="0" w:space="0" w:color="auto"/>
                    <w:right w:val="none" w:sz="0" w:space="0" w:color="auto"/>
                  </w:divBdr>
                  <w:divsChild>
                    <w:div w:id="1336373193">
                      <w:marLeft w:val="0"/>
                      <w:marRight w:val="0"/>
                      <w:marTop w:val="0"/>
                      <w:marBottom w:val="0"/>
                      <w:divBdr>
                        <w:top w:val="none" w:sz="0" w:space="0" w:color="auto"/>
                        <w:left w:val="none" w:sz="0" w:space="0" w:color="auto"/>
                        <w:bottom w:val="none" w:sz="0" w:space="0" w:color="auto"/>
                        <w:right w:val="none" w:sz="0" w:space="0" w:color="auto"/>
                      </w:divBdr>
                    </w:div>
                  </w:divsChild>
                </w:div>
                <w:div w:id="1310011074">
                  <w:marLeft w:val="0"/>
                  <w:marRight w:val="0"/>
                  <w:marTop w:val="0"/>
                  <w:marBottom w:val="0"/>
                  <w:divBdr>
                    <w:top w:val="none" w:sz="0" w:space="0" w:color="auto"/>
                    <w:left w:val="none" w:sz="0" w:space="0" w:color="auto"/>
                    <w:bottom w:val="none" w:sz="0" w:space="0" w:color="auto"/>
                    <w:right w:val="none" w:sz="0" w:space="0" w:color="auto"/>
                  </w:divBdr>
                  <w:divsChild>
                    <w:div w:id="2070886259">
                      <w:marLeft w:val="0"/>
                      <w:marRight w:val="0"/>
                      <w:marTop w:val="0"/>
                      <w:marBottom w:val="0"/>
                      <w:divBdr>
                        <w:top w:val="none" w:sz="0" w:space="0" w:color="auto"/>
                        <w:left w:val="none" w:sz="0" w:space="0" w:color="auto"/>
                        <w:bottom w:val="none" w:sz="0" w:space="0" w:color="auto"/>
                        <w:right w:val="none" w:sz="0" w:space="0" w:color="auto"/>
                      </w:divBdr>
                    </w:div>
                  </w:divsChild>
                </w:div>
                <w:div w:id="1614744649">
                  <w:marLeft w:val="0"/>
                  <w:marRight w:val="0"/>
                  <w:marTop w:val="0"/>
                  <w:marBottom w:val="0"/>
                  <w:divBdr>
                    <w:top w:val="none" w:sz="0" w:space="0" w:color="auto"/>
                    <w:left w:val="none" w:sz="0" w:space="0" w:color="auto"/>
                    <w:bottom w:val="none" w:sz="0" w:space="0" w:color="auto"/>
                    <w:right w:val="none" w:sz="0" w:space="0" w:color="auto"/>
                  </w:divBdr>
                  <w:divsChild>
                    <w:div w:id="1675572273">
                      <w:marLeft w:val="0"/>
                      <w:marRight w:val="0"/>
                      <w:marTop w:val="0"/>
                      <w:marBottom w:val="0"/>
                      <w:divBdr>
                        <w:top w:val="none" w:sz="0" w:space="0" w:color="auto"/>
                        <w:left w:val="none" w:sz="0" w:space="0" w:color="auto"/>
                        <w:bottom w:val="none" w:sz="0" w:space="0" w:color="auto"/>
                        <w:right w:val="none" w:sz="0" w:space="0" w:color="auto"/>
                      </w:divBdr>
                    </w:div>
                  </w:divsChild>
                </w:div>
                <w:div w:id="1067454905">
                  <w:marLeft w:val="0"/>
                  <w:marRight w:val="0"/>
                  <w:marTop w:val="0"/>
                  <w:marBottom w:val="0"/>
                  <w:divBdr>
                    <w:top w:val="none" w:sz="0" w:space="0" w:color="auto"/>
                    <w:left w:val="none" w:sz="0" w:space="0" w:color="auto"/>
                    <w:bottom w:val="none" w:sz="0" w:space="0" w:color="auto"/>
                    <w:right w:val="none" w:sz="0" w:space="0" w:color="auto"/>
                  </w:divBdr>
                  <w:divsChild>
                    <w:div w:id="16660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5552">
      <w:bodyDiv w:val="1"/>
      <w:marLeft w:val="0"/>
      <w:marRight w:val="0"/>
      <w:marTop w:val="0"/>
      <w:marBottom w:val="0"/>
      <w:divBdr>
        <w:top w:val="none" w:sz="0" w:space="0" w:color="auto"/>
        <w:left w:val="none" w:sz="0" w:space="0" w:color="auto"/>
        <w:bottom w:val="none" w:sz="0" w:space="0" w:color="auto"/>
        <w:right w:val="none" w:sz="0" w:space="0" w:color="auto"/>
      </w:divBdr>
      <w:divsChild>
        <w:div w:id="683896978">
          <w:marLeft w:val="0"/>
          <w:marRight w:val="0"/>
          <w:marTop w:val="0"/>
          <w:marBottom w:val="0"/>
          <w:divBdr>
            <w:top w:val="none" w:sz="0" w:space="0" w:color="auto"/>
            <w:left w:val="none" w:sz="0" w:space="0" w:color="auto"/>
            <w:bottom w:val="none" w:sz="0" w:space="0" w:color="auto"/>
            <w:right w:val="none" w:sz="0" w:space="0" w:color="auto"/>
          </w:divBdr>
        </w:div>
        <w:div w:id="2138526324">
          <w:marLeft w:val="0"/>
          <w:marRight w:val="0"/>
          <w:marTop w:val="0"/>
          <w:marBottom w:val="0"/>
          <w:divBdr>
            <w:top w:val="none" w:sz="0" w:space="0" w:color="auto"/>
            <w:left w:val="none" w:sz="0" w:space="0" w:color="auto"/>
            <w:bottom w:val="none" w:sz="0" w:space="0" w:color="auto"/>
            <w:right w:val="none" w:sz="0" w:space="0" w:color="auto"/>
          </w:divBdr>
          <w:divsChild>
            <w:div w:id="1271935907">
              <w:marLeft w:val="0"/>
              <w:marRight w:val="0"/>
              <w:marTop w:val="0"/>
              <w:marBottom w:val="0"/>
              <w:divBdr>
                <w:top w:val="none" w:sz="0" w:space="0" w:color="auto"/>
                <w:left w:val="none" w:sz="0" w:space="0" w:color="auto"/>
                <w:bottom w:val="none" w:sz="0" w:space="0" w:color="auto"/>
                <w:right w:val="none" w:sz="0" w:space="0" w:color="auto"/>
              </w:divBdr>
              <w:divsChild>
                <w:div w:id="1446120737">
                  <w:marLeft w:val="0"/>
                  <w:marRight w:val="0"/>
                  <w:marTop w:val="0"/>
                  <w:marBottom w:val="0"/>
                  <w:divBdr>
                    <w:top w:val="none" w:sz="0" w:space="0" w:color="auto"/>
                    <w:left w:val="none" w:sz="0" w:space="0" w:color="auto"/>
                    <w:bottom w:val="none" w:sz="0" w:space="0" w:color="auto"/>
                    <w:right w:val="none" w:sz="0" w:space="0" w:color="auto"/>
                  </w:divBdr>
                  <w:divsChild>
                    <w:div w:id="767236954">
                      <w:marLeft w:val="0"/>
                      <w:marRight w:val="0"/>
                      <w:marTop w:val="0"/>
                      <w:marBottom w:val="0"/>
                      <w:divBdr>
                        <w:top w:val="none" w:sz="0" w:space="0" w:color="auto"/>
                        <w:left w:val="none" w:sz="0" w:space="0" w:color="auto"/>
                        <w:bottom w:val="none" w:sz="0" w:space="0" w:color="auto"/>
                        <w:right w:val="none" w:sz="0" w:space="0" w:color="auto"/>
                      </w:divBdr>
                    </w:div>
                  </w:divsChild>
                </w:div>
                <w:div w:id="931083876">
                  <w:marLeft w:val="0"/>
                  <w:marRight w:val="0"/>
                  <w:marTop w:val="0"/>
                  <w:marBottom w:val="0"/>
                  <w:divBdr>
                    <w:top w:val="none" w:sz="0" w:space="0" w:color="auto"/>
                    <w:left w:val="none" w:sz="0" w:space="0" w:color="auto"/>
                    <w:bottom w:val="none" w:sz="0" w:space="0" w:color="auto"/>
                    <w:right w:val="none" w:sz="0" w:space="0" w:color="auto"/>
                  </w:divBdr>
                  <w:divsChild>
                    <w:div w:id="759566278">
                      <w:marLeft w:val="0"/>
                      <w:marRight w:val="0"/>
                      <w:marTop w:val="0"/>
                      <w:marBottom w:val="0"/>
                      <w:divBdr>
                        <w:top w:val="none" w:sz="0" w:space="0" w:color="auto"/>
                        <w:left w:val="none" w:sz="0" w:space="0" w:color="auto"/>
                        <w:bottom w:val="none" w:sz="0" w:space="0" w:color="auto"/>
                        <w:right w:val="none" w:sz="0" w:space="0" w:color="auto"/>
                      </w:divBdr>
                    </w:div>
                  </w:divsChild>
                </w:div>
                <w:div w:id="114951145">
                  <w:marLeft w:val="0"/>
                  <w:marRight w:val="0"/>
                  <w:marTop w:val="0"/>
                  <w:marBottom w:val="0"/>
                  <w:divBdr>
                    <w:top w:val="none" w:sz="0" w:space="0" w:color="auto"/>
                    <w:left w:val="none" w:sz="0" w:space="0" w:color="auto"/>
                    <w:bottom w:val="none" w:sz="0" w:space="0" w:color="auto"/>
                    <w:right w:val="none" w:sz="0" w:space="0" w:color="auto"/>
                  </w:divBdr>
                  <w:divsChild>
                    <w:div w:id="819544509">
                      <w:marLeft w:val="0"/>
                      <w:marRight w:val="0"/>
                      <w:marTop w:val="0"/>
                      <w:marBottom w:val="0"/>
                      <w:divBdr>
                        <w:top w:val="none" w:sz="0" w:space="0" w:color="auto"/>
                        <w:left w:val="none" w:sz="0" w:space="0" w:color="auto"/>
                        <w:bottom w:val="none" w:sz="0" w:space="0" w:color="auto"/>
                        <w:right w:val="none" w:sz="0" w:space="0" w:color="auto"/>
                      </w:divBdr>
                    </w:div>
                  </w:divsChild>
                </w:div>
                <w:div w:id="1917742893">
                  <w:marLeft w:val="0"/>
                  <w:marRight w:val="0"/>
                  <w:marTop w:val="0"/>
                  <w:marBottom w:val="0"/>
                  <w:divBdr>
                    <w:top w:val="none" w:sz="0" w:space="0" w:color="auto"/>
                    <w:left w:val="none" w:sz="0" w:space="0" w:color="auto"/>
                    <w:bottom w:val="none" w:sz="0" w:space="0" w:color="auto"/>
                    <w:right w:val="none" w:sz="0" w:space="0" w:color="auto"/>
                  </w:divBdr>
                  <w:divsChild>
                    <w:div w:id="415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9569">
      <w:bodyDiv w:val="1"/>
      <w:marLeft w:val="0"/>
      <w:marRight w:val="0"/>
      <w:marTop w:val="0"/>
      <w:marBottom w:val="0"/>
      <w:divBdr>
        <w:top w:val="none" w:sz="0" w:space="0" w:color="auto"/>
        <w:left w:val="none" w:sz="0" w:space="0" w:color="auto"/>
        <w:bottom w:val="none" w:sz="0" w:space="0" w:color="auto"/>
        <w:right w:val="none" w:sz="0" w:space="0" w:color="auto"/>
      </w:divBdr>
    </w:div>
    <w:div w:id="1435515124">
      <w:bodyDiv w:val="1"/>
      <w:marLeft w:val="0"/>
      <w:marRight w:val="0"/>
      <w:marTop w:val="0"/>
      <w:marBottom w:val="0"/>
      <w:divBdr>
        <w:top w:val="none" w:sz="0" w:space="0" w:color="auto"/>
        <w:left w:val="none" w:sz="0" w:space="0" w:color="auto"/>
        <w:bottom w:val="none" w:sz="0" w:space="0" w:color="auto"/>
        <w:right w:val="none" w:sz="0" w:space="0" w:color="auto"/>
      </w:divBdr>
    </w:div>
    <w:div w:id="1438141084">
      <w:bodyDiv w:val="1"/>
      <w:marLeft w:val="0"/>
      <w:marRight w:val="0"/>
      <w:marTop w:val="0"/>
      <w:marBottom w:val="0"/>
      <w:divBdr>
        <w:top w:val="none" w:sz="0" w:space="0" w:color="auto"/>
        <w:left w:val="none" w:sz="0" w:space="0" w:color="auto"/>
        <w:bottom w:val="none" w:sz="0" w:space="0" w:color="auto"/>
        <w:right w:val="none" w:sz="0" w:space="0" w:color="auto"/>
      </w:divBdr>
      <w:divsChild>
        <w:div w:id="317853225">
          <w:marLeft w:val="0"/>
          <w:marRight w:val="0"/>
          <w:marTop w:val="0"/>
          <w:marBottom w:val="0"/>
          <w:divBdr>
            <w:top w:val="none" w:sz="0" w:space="0" w:color="auto"/>
            <w:left w:val="none" w:sz="0" w:space="0" w:color="auto"/>
            <w:bottom w:val="none" w:sz="0" w:space="0" w:color="auto"/>
            <w:right w:val="none" w:sz="0" w:space="0" w:color="auto"/>
          </w:divBdr>
        </w:div>
        <w:div w:id="1583639972">
          <w:marLeft w:val="0"/>
          <w:marRight w:val="0"/>
          <w:marTop w:val="0"/>
          <w:marBottom w:val="0"/>
          <w:divBdr>
            <w:top w:val="none" w:sz="0" w:space="0" w:color="auto"/>
            <w:left w:val="none" w:sz="0" w:space="0" w:color="auto"/>
            <w:bottom w:val="none" w:sz="0" w:space="0" w:color="auto"/>
            <w:right w:val="none" w:sz="0" w:space="0" w:color="auto"/>
          </w:divBdr>
          <w:divsChild>
            <w:div w:id="999429417">
              <w:marLeft w:val="0"/>
              <w:marRight w:val="0"/>
              <w:marTop w:val="0"/>
              <w:marBottom w:val="0"/>
              <w:divBdr>
                <w:top w:val="none" w:sz="0" w:space="0" w:color="auto"/>
                <w:left w:val="none" w:sz="0" w:space="0" w:color="auto"/>
                <w:bottom w:val="none" w:sz="0" w:space="0" w:color="auto"/>
                <w:right w:val="none" w:sz="0" w:space="0" w:color="auto"/>
              </w:divBdr>
              <w:divsChild>
                <w:div w:id="325598431">
                  <w:marLeft w:val="0"/>
                  <w:marRight w:val="0"/>
                  <w:marTop w:val="0"/>
                  <w:marBottom w:val="0"/>
                  <w:divBdr>
                    <w:top w:val="none" w:sz="0" w:space="0" w:color="auto"/>
                    <w:left w:val="none" w:sz="0" w:space="0" w:color="auto"/>
                    <w:bottom w:val="none" w:sz="0" w:space="0" w:color="auto"/>
                    <w:right w:val="none" w:sz="0" w:space="0" w:color="auto"/>
                  </w:divBdr>
                  <w:divsChild>
                    <w:div w:id="1335839696">
                      <w:marLeft w:val="0"/>
                      <w:marRight w:val="0"/>
                      <w:marTop w:val="0"/>
                      <w:marBottom w:val="0"/>
                      <w:divBdr>
                        <w:top w:val="none" w:sz="0" w:space="0" w:color="auto"/>
                        <w:left w:val="none" w:sz="0" w:space="0" w:color="auto"/>
                        <w:bottom w:val="none" w:sz="0" w:space="0" w:color="auto"/>
                        <w:right w:val="none" w:sz="0" w:space="0" w:color="auto"/>
                      </w:divBdr>
                    </w:div>
                  </w:divsChild>
                </w:div>
                <w:div w:id="529029243">
                  <w:marLeft w:val="0"/>
                  <w:marRight w:val="0"/>
                  <w:marTop w:val="0"/>
                  <w:marBottom w:val="0"/>
                  <w:divBdr>
                    <w:top w:val="none" w:sz="0" w:space="0" w:color="auto"/>
                    <w:left w:val="none" w:sz="0" w:space="0" w:color="auto"/>
                    <w:bottom w:val="none" w:sz="0" w:space="0" w:color="auto"/>
                    <w:right w:val="none" w:sz="0" w:space="0" w:color="auto"/>
                  </w:divBdr>
                  <w:divsChild>
                    <w:div w:id="1670793332">
                      <w:marLeft w:val="0"/>
                      <w:marRight w:val="0"/>
                      <w:marTop w:val="0"/>
                      <w:marBottom w:val="0"/>
                      <w:divBdr>
                        <w:top w:val="none" w:sz="0" w:space="0" w:color="auto"/>
                        <w:left w:val="none" w:sz="0" w:space="0" w:color="auto"/>
                        <w:bottom w:val="none" w:sz="0" w:space="0" w:color="auto"/>
                        <w:right w:val="none" w:sz="0" w:space="0" w:color="auto"/>
                      </w:divBdr>
                    </w:div>
                  </w:divsChild>
                </w:div>
                <w:div w:id="1200245767">
                  <w:marLeft w:val="0"/>
                  <w:marRight w:val="0"/>
                  <w:marTop w:val="0"/>
                  <w:marBottom w:val="0"/>
                  <w:divBdr>
                    <w:top w:val="none" w:sz="0" w:space="0" w:color="auto"/>
                    <w:left w:val="none" w:sz="0" w:space="0" w:color="auto"/>
                    <w:bottom w:val="none" w:sz="0" w:space="0" w:color="auto"/>
                    <w:right w:val="none" w:sz="0" w:space="0" w:color="auto"/>
                  </w:divBdr>
                  <w:divsChild>
                    <w:div w:id="2147114679">
                      <w:marLeft w:val="0"/>
                      <w:marRight w:val="0"/>
                      <w:marTop w:val="0"/>
                      <w:marBottom w:val="0"/>
                      <w:divBdr>
                        <w:top w:val="none" w:sz="0" w:space="0" w:color="auto"/>
                        <w:left w:val="none" w:sz="0" w:space="0" w:color="auto"/>
                        <w:bottom w:val="none" w:sz="0" w:space="0" w:color="auto"/>
                        <w:right w:val="none" w:sz="0" w:space="0" w:color="auto"/>
                      </w:divBdr>
                    </w:div>
                  </w:divsChild>
                </w:div>
                <w:div w:id="2071031694">
                  <w:marLeft w:val="0"/>
                  <w:marRight w:val="0"/>
                  <w:marTop w:val="0"/>
                  <w:marBottom w:val="0"/>
                  <w:divBdr>
                    <w:top w:val="none" w:sz="0" w:space="0" w:color="auto"/>
                    <w:left w:val="none" w:sz="0" w:space="0" w:color="auto"/>
                    <w:bottom w:val="none" w:sz="0" w:space="0" w:color="auto"/>
                    <w:right w:val="none" w:sz="0" w:space="0" w:color="auto"/>
                  </w:divBdr>
                  <w:divsChild>
                    <w:div w:id="1406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10718">
      <w:bodyDiv w:val="1"/>
      <w:marLeft w:val="0"/>
      <w:marRight w:val="0"/>
      <w:marTop w:val="0"/>
      <w:marBottom w:val="0"/>
      <w:divBdr>
        <w:top w:val="none" w:sz="0" w:space="0" w:color="auto"/>
        <w:left w:val="none" w:sz="0" w:space="0" w:color="auto"/>
        <w:bottom w:val="none" w:sz="0" w:space="0" w:color="auto"/>
        <w:right w:val="none" w:sz="0" w:space="0" w:color="auto"/>
      </w:divBdr>
    </w:div>
    <w:div w:id="1540048697">
      <w:bodyDiv w:val="1"/>
      <w:marLeft w:val="0"/>
      <w:marRight w:val="0"/>
      <w:marTop w:val="0"/>
      <w:marBottom w:val="0"/>
      <w:divBdr>
        <w:top w:val="none" w:sz="0" w:space="0" w:color="auto"/>
        <w:left w:val="none" w:sz="0" w:space="0" w:color="auto"/>
        <w:bottom w:val="none" w:sz="0" w:space="0" w:color="auto"/>
        <w:right w:val="none" w:sz="0" w:space="0" w:color="auto"/>
      </w:divBdr>
      <w:divsChild>
        <w:div w:id="462887150">
          <w:marLeft w:val="0"/>
          <w:marRight w:val="0"/>
          <w:marTop w:val="0"/>
          <w:marBottom w:val="0"/>
          <w:divBdr>
            <w:top w:val="none" w:sz="0" w:space="0" w:color="auto"/>
            <w:left w:val="none" w:sz="0" w:space="0" w:color="auto"/>
            <w:bottom w:val="none" w:sz="0" w:space="0" w:color="auto"/>
            <w:right w:val="none" w:sz="0" w:space="0" w:color="auto"/>
          </w:divBdr>
        </w:div>
        <w:div w:id="308051826">
          <w:marLeft w:val="0"/>
          <w:marRight w:val="0"/>
          <w:marTop w:val="0"/>
          <w:marBottom w:val="0"/>
          <w:divBdr>
            <w:top w:val="none" w:sz="0" w:space="0" w:color="auto"/>
            <w:left w:val="none" w:sz="0" w:space="0" w:color="auto"/>
            <w:bottom w:val="none" w:sz="0" w:space="0" w:color="auto"/>
            <w:right w:val="none" w:sz="0" w:space="0" w:color="auto"/>
          </w:divBdr>
          <w:divsChild>
            <w:div w:id="1128428162">
              <w:marLeft w:val="0"/>
              <w:marRight w:val="0"/>
              <w:marTop w:val="0"/>
              <w:marBottom w:val="0"/>
              <w:divBdr>
                <w:top w:val="none" w:sz="0" w:space="0" w:color="auto"/>
                <w:left w:val="none" w:sz="0" w:space="0" w:color="auto"/>
                <w:bottom w:val="none" w:sz="0" w:space="0" w:color="auto"/>
                <w:right w:val="none" w:sz="0" w:space="0" w:color="auto"/>
              </w:divBdr>
              <w:divsChild>
                <w:div w:id="442774122">
                  <w:marLeft w:val="0"/>
                  <w:marRight w:val="0"/>
                  <w:marTop w:val="0"/>
                  <w:marBottom w:val="0"/>
                  <w:divBdr>
                    <w:top w:val="none" w:sz="0" w:space="0" w:color="auto"/>
                    <w:left w:val="none" w:sz="0" w:space="0" w:color="auto"/>
                    <w:bottom w:val="none" w:sz="0" w:space="0" w:color="auto"/>
                    <w:right w:val="none" w:sz="0" w:space="0" w:color="auto"/>
                  </w:divBdr>
                  <w:divsChild>
                    <w:div w:id="2071072693">
                      <w:marLeft w:val="0"/>
                      <w:marRight w:val="0"/>
                      <w:marTop w:val="0"/>
                      <w:marBottom w:val="0"/>
                      <w:divBdr>
                        <w:top w:val="none" w:sz="0" w:space="0" w:color="auto"/>
                        <w:left w:val="none" w:sz="0" w:space="0" w:color="auto"/>
                        <w:bottom w:val="none" w:sz="0" w:space="0" w:color="auto"/>
                        <w:right w:val="none" w:sz="0" w:space="0" w:color="auto"/>
                      </w:divBdr>
                    </w:div>
                  </w:divsChild>
                </w:div>
                <w:div w:id="487676476">
                  <w:marLeft w:val="0"/>
                  <w:marRight w:val="0"/>
                  <w:marTop w:val="0"/>
                  <w:marBottom w:val="0"/>
                  <w:divBdr>
                    <w:top w:val="none" w:sz="0" w:space="0" w:color="auto"/>
                    <w:left w:val="none" w:sz="0" w:space="0" w:color="auto"/>
                    <w:bottom w:val="none" w:sz="0" w:space="0" w:color="auto"/>
                    <w:right w:val="none" w:sz="0" w:space="0" w:color="auto"/>
                  </w:divBdr>
                  <w:divsChild>
                    <w:div w:id="318316303">
                      <w:marLeft w:val="0"/>
                      <w:marRight w:val="0"/>
                      <w:marTop w:val="0"/>
                      <w:marBottom w:val="0"/>
                      <w:divBdr>
                        <w:top w:val="none" w:sz="0" w:space="0" w:color="auto"/>
                        <w:left w:val="none" w:sz="0" w:space="0" w:color="auto"/>
                        <w:bottom w:val="none" w:sz="0" w:space="0" w:color="auto"/>
                        <w:right w:val="none" w:sz="0" w:space="0" w:color="auto"/>
                      </w:divBdr>
                    </w:div>
                  </w:divsChild>
                </w:div>
                <w:div w:id="1113986591">
                  <w:marLeft w:val="0"/>
                  <w:marRight w:val="0"/>
                  <w:marTop w:val="0"/>
                  <w:marBottom w:val="0"/>
                  <w:divBdr>
                    <w:top w:val="none" w:sz="0" w:space="0" w:color="auto"/>
                    <w:left w:val="none" w:sz="0" w:space="0" w:color="auto"/>
                    <w:bottom w:val="none" w:sz="0" w:space="0" w:color="auto"/>
                    <w:right w:val="none" w:sz="0" w:space="0" w:color="auto"/>
                  </w:divBdr>
                  <w:divsChild>
                    <w:div w:id="14541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345554">
      <w:bodyDiv w:val="1"/>
      <w:marLeft w:val="0"/>
      <w:marRight w:val="0"/>
      <w:marTop w:val="0"/>
      <w:marBottom w:val="0"/>
      <w:divBdr>
        <w:top w:val="none" w:sz="0" w:space="0" w:color="auto"/>
        <w:left w:val="none" w:sz="0" w:space="0" w:color="auto"/>
        <w:bottom w:val="none" w:sz="0" w:space="0" w:color="auto"/>
        <w:right w:val="none" w:sz="0" w:space="0" w:color="auto"/>
      </w:divBdr>
      <w:divsChild>
        <w:div w:id="422843037">
          <w:marLeft w:val="0"/>
          <w:marRight w:val="0"/>
          <w:marTop w:val="0"/>
          <w:marBottom w:val="0"/>
          <w:divBdr>
            <w:top w:val="none" w:sz="0" w:space="0" w:color="auto"/>
            <w:left w:val="none" w:sz="0" w:space="0" w:color="auto"/>
            <w:bottom w:val="none" w:sz="0" w:space="0" w:color="auto"/>
            <w:right w:val="none" w:sz="0" w:space="0" w:color="auto"/>
          </w:divBdr>
        </w:div>
        <w:div w:id="197359057">
          <w:marLeft w:val="0"/>
          <w:marRight w:val="0"/>
          <w:marTop w:val="0"/>
          <w:marBottom w:val="0"/>
          <w:divBdr>
            <w:top w:val="none" w:sz="0" w:space="0" w:color="auto"/>
            <w:left w:val="none" w:sz="0" w:space="0" w:color="auto"/>
            <w:bottom w:val="none" w:sz="0" w:space="0" w:color="auto"/>
            <w:right w:val="none" w:sz="0" w:space="0" w:color="auto"/>
          </w:divBdr>
        </w:div>
        <w:div w:id="1850867791">
          <w:marLeft w:val="0"/>
          <w:marRight w:val="0"/>
          <w:marTop w:val="0"/>
          <w:marBottom w:val="0"/>
          <w:divBdr>
            <w:top w:val="none" w:sz="0" w:space="0" w:color="auto"/>
            <w:left w:val="none" w:sz="0" w:space="0" w:color="auto"/>
            <w:bottom w:val="none" w:sz="0" w:space="0" w:color="auto"/>
            <w:right w:val="none" w:sz="0" w:space="0" w:color="auto"/>
          </w:divBdr>
          <w:divsChild>
            <w:div w:id="272178744">
              <w:marLeft w:val="0"/>
              <w:marRight w:val="0"/>
              <w:marTop w:val="0"/>
              <w:marBottom w:val="0"/>
              <w:divBdr>
                <w:top w:val="none" w:sz="0" w:space="0" w:color="auto"/>
                <w:left w:val="none" w:sz="0" w:space="0" w:color="auto"/>
                <w:bottom w:val="none" w:sz="0" w:space="0" w:color="auto"/>
                <w:right w:val="none" w:sz="0" w:space="0" w:color="auto"/>
              </w:divBdr>
              <w:divsChild>
                <w:div w:id="217403858">
                  <w:marLeft w:val="0"/>
                  <w:marRight w:val="0"/>
                  <w:marTop w:val="0"/>
                  <w:marBottom w:val="0"/>
                  <w:divBdr>
                    <w:top w:val="none" w:sz="0" w:space="0" w:color="auto"/>
                    <w:left w:val="none" w:sz="0" w:space="0" w:color="auto"/>
                    <w:bottom w:val="none" w:sz="0" w:space="0" w:color="auto"/>
                    <w:right w:val="none" w:sz="0" w:space="0" w:color="auto"/>
                  </w:divBdr>
                  <w:divsChild>
                    <w:div w:id="1943339322">
                      <w:marLeft w:val="0"/>
                      <w:marRight w:val="0"/>
                      <w:marTop w:val="0"/>
                      <w:marBottom w:val="0"/>
                      <w:divBdr>
                        <w:top w:val="none" w:sz="0" w:space="0" w:color="auto"/>
                        <w:left w:val="none" w:sz="0" w:space="0" w:color="auto"/>
                        <w:bottom w:val="none" w:sz="0" w:space="0" w:color="auto"/>
                        <w:right w:val="none" w:sz="0" w:space="0" w:color="auto"/>
                      </w:divBdr>
                    </w:div>
                  </w:divsChild>
                </w:div>
                <w:div w:id="246619437">
                  <w:marLeft w:val="0"/>
                  <w:marRight w:val="0"/>
                  <w:marTop w:val="0"/>
                  <w:marBottom w:val="0"/>
                  <w:divBdr>
                    <w:top w:val="none" w:sz="0" w:space="0" w:color="auto"/>
                    <w:left w:val="none" w:sz="0" w:space="0" w:color="auto"/>
                    <w:bottom w:val="none" w:sz="0" w:space="0" w:color="auto"/>
                    <w:right w:val="none" w:sz="0" w:space="0" w:color="auto"/>
                  </w:divBdr>
                  <w:divsChild>
                    <w:div w:id="1947158096">
                      <w:marLeft w:val="0"/>
                      <w:marRight w:val="0"/>
                      <w:marTop w:val="0"/>
                      <w:marBottom w:val="0"/>
                      <w:divBdr>
                        <w:top w:val="none" w:sz="0" w:space="0" w:color="auto"/>
                        <w:left w:val="none" w:sz="0" w:space="0" w:color="auto"/>
                        <w:bottom w:val="none" w:sz="0" w:space="0" w:color="auto"/>
                        <w:right w:val="none" w:sz="0" w:space="0" w:color="auto"/>
                      </w:divBdr>
                    </w:div>
                  </w:divsChild>
                </w:div>
                <w:div w:id="2110268757">
                  <w:marLeft w:val="0"/>
                  <w:marRight w:val="0"/>
                  <w:marTop w:val="0"/>
                  <w:marBottom w:val="0"/>
                  <w:divBdr>
                    <w:top w:val="none" w:sz="0" w:space="0" w:color="auto"/>
                    <w:left w:val="none" w:sz="0" w:space="0" w:color="auto"/>
                    <w:bottom w:val="none" w:sz="0" w:space="0" w:color="auto"/>
                    <w:right w:val="none" w:sz="0" w:space="0" w:color="auto"/>
                  </w:divBdr>
                  <w:divsChild>
                    <w:div w:id="1487357460">
                      <w:marLeft w:val="0"/>
                      <w:marRight w:val="0"/>
                      <w:marTop w:val="0"/>
                      <w:marBottom w:val="0"/>
                      <w:divBdr>
                        <w:top w:val="none" w:sz="0" w:space="0" w:color="auto"/>
                        <w:left w:val="none" w:sz="0" w:space="0" w:color="auto"/>
                        <w:bottom w:val="none" w:sz="0" w:space="0" w:color="auto"/>
                        <w:right w:val="none" w:sz="0" w:space="0" w:color="auto"/>
                      </w:divBdr>
                    </w:div>
                  </w:divsChild>
                </w:div>
                <w:div w:id="694577302">
                  <w:marLeft w:val="0"/>
                  <w:marRight w:val="0"/>
                  <w:marTop w:val="0"/>
                  <w:marBottom w:val="0"/>
                  <w:divBdr>
                    <w:top w:val="none" w:sz="0" w:space="0" w:color="auto"/>
                    <w:left w:val="none" w:sz="0" w:space="0" w:color="auto"/>
                    <w:bottom w:val="none" w:sz="0" w:space="0" w:color="auto"/>
                    <w:right w:val="none" w:sz="0" w:space="0" w:color="auto"/>
                  </w:divBdr>
                  <w:divsChild>
                    <w:div w:id="769544165">
                      <w:marLeft w:val="0"/>
                      <w:marRight w:val="0"/>
                      <w:marTop w:val="0"/>
                      <w:marBottom w:val="0"/>
                      <w:divBdr>
                        <w:top w:val="none" w:sz="0" w:space="0" w:color="auto"/>
                        <w:left w:val="none" w:sz="0" w:space="0" w:color="auto"/>
                        <w:bottom w:val="none" w:sz="0" w:space="0" w:color="auto"/>
                        <w:right w:val="none" w:sz="0" w:space="0" w:color="auto"/>
                      </w:divBdr>
                    </w:div>
                  </w:divsChild>
                </w:div>
                <w:div w:id="544374153">
                  <w:marLeft w:val="0"/>
                  <w:marRight w:val="0"/>
                  <w:marTop w:val="0"/>
                  <w:marBottom w:val="0"/>
                  <w:divBdr>
                    <w:top w:val="none" w:sz="0" w:space="0" w:color="auto"/>
                    <w:left w:val="none" w:sz="0" w:space="0" w:color="auto"/>
                    <w:bottom w:val="none" w:sz="0" w:space="0" w:color="auto"/>
                    <w:right w:val="none" w:sz="0" w:space="0" w:color="auto"/>
                  </w:divBdr>
                  <w:divsChild>
                    <w:div w:id="1800149501">
                      <w:marLeft w:val="0"/>
                      <w:marRight w:val="0"/>
                      <w:marTop w:val="0"/>
                      <w:marBottom w:val="0"/>
                      <w:divBdr>
                        <w:top w:val="none" w:sz="0" w:space="0" w:color="auto"/>
                        <w:left w:val="none" w:sz="0" w:space="0" w:color="auto"/>
                        <w:bottom w:val="none" w:sz="0" w:space="0" w:color="auto"/>
                        <w:right w:val="none" w:sz="0" w:space="0" w:color="auto"/>
                      </w:divBdr>
                    </w:div>
                  </w:divsChild>
                </w:div>
                <w:div w:id="640967999">
                  <w:marLeft w:val="0"/>
                  <w:marRight w:val="0"/>
                  <w:marTop w:val="0"/>
                  <w:marBottom w:val="0"/>
                  <w:divBdr>
                    <w:top w:val="none" w:sz="0" w:space="0" w:color="auto"/>
                    <w:left w:val="none" w:sz="0" w:space="0" w:color="auto"/>
                    <w:bottom w:val="none" w:sz="0" w:space="0" w:color="auto"/>
                    <w:right w:val="none" w:sz="0" w:space="0" w:color="auto"/>
                  </w:divBdr>
                  <w:divsChild>
                    <w:div w:id="476846847">
                      <w:marLeft w:val="0"/>
                      <w:marRight w:val="0"/>
                      <w:marTop w:val="0"/>
                      <w:marBottom w:val="0"/>
                      <w:divBdr>
                        <w:top w:val="none" w:sz="0" w:space="0" w:color="auto"/>
                        <w:left w:val="none" w:sz="0" w:space="0" w:color="auto"/>
                        <w:bottom w:val="none" w:sz="0" w:space="0" w:color="auto"/>
                        <w:right w:val="none" w:sz="0" w:space="0" w:color="auto"/>
                      </w:divBdr>
                    </w:div>
                  </w:divsChild>
                </w:div>
                <w:div w:id="514541254">
                  <w:marLeft w:val="0"/>
                  <w:marRight w:val="0"/>
                  <w:marTop w:val="0"/>
                  <w:marBottom w:val="0"/>
                  <w:divBdr>
                    <w:top w:val="none" w:sz="0" w:space="0" w:color="auto"/>
                    <w:left w:val="none" w:sz="0" w:space="0" w:color="auto"/>
                    <w:bottom w:val="none" w:sz="0" w:space="0" w:color="auto"/>
                    <w:right w:val="none" w:sz="0" w:space="0" w:color="auto"/>
                  </w:divBdr>
                  <w:divsChild>
                    <w:div w:id="1075278376">
                      <w:marLeft w:val="0"/>
                      <w:marRight w:val="0"/>
                      <w:marTop w:val="0"/>
                      <w:marBottom w:val="0"/>
                      <w:divBdr>
                        <w:top w:val="none" w:sz="0" w:space="0" w:color="auto"/>
                        <w:left w:val="none" w:sz="0" w:space="0" w:color="auto"/>
                        <w:bottom w:val="none" w:sz="0" w:space="0" w:color="auto"/>
                        <w:right w:val="none" w:sz="0" w:space="0" w:color="auto"/>
                      </w:divBdr>
                    </w:div>
                  </w:divsChild>
                </w:div>
                <w:div w:id="1455173264">
                  <w:marLeft w:val="0"/>
                  <w:marRight w:val="0"/>
                  <w:marTop w:val="0"/>
                  <w:marBottom w:val="0"/>
                  <w:divBdr>
                    <w:top w:val="none" w:sz="0" w:space="0" w:color="auto"/>
                    <w:left w:val="none" w:sz="0" w:space="0" w:color="auto"/>
                    <w:bottom w:val="none" w:sz="0" w:space="0" w:color="auto"/>
                    <w:right w:val="none" w:sz="0" w:space="0" w:color="auto"/>
                  </w:divBdr>
                  <w:divsChild>
                    <w:div w:id="1046223566">
                      <w:marLeft w:val="0"/>
                      <w:marRight w:val="0"/>
                      <w:marTop w:val="0"/>
                      <w:marBottom w:val="0"/>
                      <w:divBdr>
                        <w:top w:val="none" w:sz="0" w:space="0" w:color="auto"/>
                        <w:left w:val="none" w:sz="0" w:space="0" w:color="auto"/>
                        <w:bottom w:val="none" w:sz="0" w:space="0" w:color="auto"/>
                        <w:right w:val="none" w:sz="0" w:space="0" w:color="auto"/>
                      </w:divBdr>
                    </w:div>
                  </w:divsChild>
                </w:div>
                <w:div w:id="821889714">
                  <w:marLeft w:val="0"/>
                  <w:marRight w:val="0"/>
                  <w:marTop w:val="0"/>
                  <w:marBottom w:val="0"/>
                  <w:divBdr>
                    <w:top w:val="none" w:sz="0" w:space="0" w:color="auto"/>
                    <w:left w:val="none" w:sz="0" w:space="0" w:color="auto"/>
                    <w:bottom w:val="none" w:sz="0" w:space="0" w:color="auto"/>
                    <w:right w:val="none" w:sz="0" w:space="0" w:color="auto"/>
                  </w:divBdr>
                  <w:divsChild>
                    <w:div w:id="1635090355">
                      <w:marLeft w:val="0"/>
                      <w:marRight w:val="0"/>
                      <w:marTop w:val="0"/>
                      <w:marBottom w:val="0"/>
                      <w:divBdr>
                        <w:top w:val="none" w:sz="0" w:space="0" w:color="auto"/>
                        <w:left w:val="none" w:sz="0" w:space="0" w:color="auto"/>
                        <w:bottom w:val="none" w:sz="0" w:space="0" w:color="auto"/>
                        <w:right w:val="none" w:sz="0" w:space="0" w:color="auto"/>
                      </w:divBdr>
                    </w:div>
                  </w:divsChild>
                </w:div>
                <w:div w:id="456263646">
                  <w:marLeft w:val="0"/>
                  <w:marRight w:val="0"/>
                  <w:marTop w:val="0"/>
                  <w:marBottom w:val="0"/>
                  <w:divBdr>
                    <w:top w:val="none" w:sz="0" w:space="0" w:color="auto"/>
                    <w:left w:val="none" w:sz="0" w:space="0" w:color="auto"/>
                    <w:bottom w:val="none" w:sz="0" w:space="0" w:color="auto"/>
                    <w:right w:val="none" w:sz="0" w:space="0" w:color="auto"/>
                  </w:divBdr>
                  <w:divsChild>
                    <w:div w:id="1358040382">
                      <w:marLeft w:val="0"/>
                      <w:marRight w:val="0"/>
                      <w:marTop w:val="0"/>
                      <w:marBottom w:val="0"/>
                      <w:divBdr>
                        <w:top w:val="none" w:sz="0" w:space="0" w:color="auto"/>
                        <w:left w:val="none" w:sz="0" w:space="0" w:color="auto"/>
                        <w:bottom w:val="none" w:sz="0" w:space="0" w:color="auto"/>
                        <w:right w:val="none" w:sz="0" w:space="0" w:color="auto"/>
                      </w:divBdr>
                    </w:div>
                  </w:divsChild>
                </w:div>
                <w:div w:id="1068573906">
                  <w:marLeft w:val="0"/>
                  <w:marRight w:val="0"/>
                  <w:marTop w:val="0"/>
                  <w:marBottom w:val="0"/>
                  <w:divBdr>
                    <w:top w:val="none" w:sz="0" w:space="0" w:color="auto"/>
                    <w:left w:val="none" w:sz="0" w:space="0" w:color="auto"/>
                    <w:bottom w:val="none" w:sz="0" w:space="0" w:color="auto"/>
                    <w:right w:val="none" w:sz="0" w:space="0" w:color="auto"/>
                  </w:divBdr>
                  <w:divsChild>
                    <w:div w:id="18220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732142">
      <w:bodyDiv w:val="1"/>
      <w:marLeft w:val="0"/>
      <w:marRight w:val="0"/>
      <w:marTop w:val="0"/>
      <w:marBottom w:val="0"/>
      <w:divBdr>
        <w:top w:val="none" w:sz="0" w:space="0" w:color="auto"/>
        <w:left w:val="none" w:sz="0" w:space="0" w:color="auto"/>
        <w:bottom w:val="none" w:sz="0" w:space="0" w:color="auto"/>
        <w:right w:val="none" w:sz="0" w:space="0" w:color="auto"/>
      </w:divBdr>
    </w:div>
    <w:div w:id="1951205604">
      <w:bodyDiv w:val="1"/>
      <w:marLeft w:val="0"/>
      <w:marRight w:val="0"/>
      <w:marTop w:val="0"/>
      <w:marBottom w:val="0"/>
      <w:divBdr>
        <w:top w:val="none" w:sz="0" w:space="0" w:color="auto"/>
        <w:left w:val="none" w:sz="0" w:space="0" w:color="auto"/>
        <w:bottom w:val="none" w:sz="0" w:space="0" w:color="auto"/>
        <w:right w:val="none" w:sz="0" w:space="0" w:color="auto"/>
      </w:divBdr>
    </w:div>
    <w:div w:id="1966621490">
      <w:bodyDiv w:val="1"/>
      <w:marLeft w:val="0"/>
      <w:marRight w:val="0"/>
      <w:marTop w:val="0"/>
      <w:marBottom w:val="0"/>
      <w:divBdr>
        <w:top w:val="none" w:sz="0" w:space="0" w:color="auto"/>
        <w:left w:val="none" w:sz="0" w:space="0" w:color="auto"/>
        <w:bottom w:val="none" w:sz="0" w:space="0" w:color="auto"/>
        <w:right w:val="none" w:sz="0" w:space="0" w:color="auto"/>
      </w:divBdr>
      <w:divsChild>
        <w:div w:id="1489053727">
          <w:marLeft w:val="0"/>
          <w:marRight w:val="0"/>
          <w:marTop w:val="0"/>
          <w:marBottom w:val="0"/>
          <w:divBdr>
            <w:top w:val="none" w:sz="0" w:space="0" w:color="auto"/>
            <w:left w:val="none" w:sz="0" w:space="0" w:color="auto"/>
            <w:bottom w:val="none" w:sz="0" w:space="0" w:color="auto"/>
            <w:right w:val="none" w:sz="0" w:space="0" w:color="auto"/>
          </w:divBdr>
        </w:div>
        <w:div w:id="2104181050">
          <w:marLeft w:val="0"/>
          <w:marRight w:val="0"/>
          <w:marTop w:val="0"/>
          <w:marBottom w:val="0"/>
          <w:divBdr>
            <w:top w:val="none" w:sz="0" w:space="0" w:color="auto"/>
            <w:left w:val="none" w:sz="0" w:space="0" w:color="auto"/>
            <w:bottom w:val="none" w:sz="0" w:space="0" w:color="auto"/>
            <w:right w:val="none" w:sz="0" w:space="0" w:color="auto"/>
          </w:divBdr>
          <w:divsChild>
            <w:div w:id="428232346">
              <w:marLeft w:val="0"/>
              <w:marRight w:val="0"/>
              <w:marTop w:val="0"/>
              <w:marBottom w:val="0"/>
              <w:divBdr>
                <w:top w:val="none" w:sz="0" w:space="0" w:color="auto"/>
                <w:left w:val="none" w:sz="0" w:space="0" w:color="auto"/>
                <w:bottom w:val="none" w:sz="0" w:space="0" w:color="auto"/>
                <w:right w:val="none" w:sz="0" w:space="0" w:color="auto"/>
              </w:divBdr>
              <w:divsChild>
                <w:div w:id="2109037015">
                  <w:marLeft w:val="0"/>
                  <w:marRight w:val="0"/>
                  <w:marTop w:val="0"/>
                  <w:marBottom w:val="0"/>
                  <w:divBdr>
                    <w:top w:val="none" w:sz="0" w:space="0" w:color="auto"/>
                    <w:left w:val="none" w:sz="0" w:space="0" w:color="auto"/>
                    <w:bottom w:val="none" w:sz="0" w:space="0" w:color="auto"/>
                    <w:right w:val="none" w:sz="0" w:space="0" w:color="auto"/>
                  </w:divBdr>
                  <w:divsChild>
                    <w:div w:id="778374985">
                      <w:marLeft w:val="0"/>
                      <w:marRight w:val="0"/>
                      <w:marTop w:val="0"/>
                      <w:marBottom w:val="0"/>
                      <w:divBdr>
                        <w:top w:val="none" w:sz="0" w:space="0" w:color="auto"/>
                        <w:left w:val="none" w:sz="0" w:space="0" w:color="auto"/>
                        <w:bottom w:val="none" w:sz="0" w:space="0" w:color="auto"/>
                        <w:right w:val="none" w:sz="0" w:space="0" w:color="auto"/>
                      </w:divBdr>
                    </w:div>
                  </w:divsChild>
                </w:div>
                <w:div w:id="519246860">
                  <w:marLeft w:val="0"/>
                  <w:marRight w:val="0"/>
                  <w:marTop w:val="0"/>
                  <w:marBottom w:val="0"/>
                  <w:divBdr>
                    <w:top w:val="none" w:sz="0" w:space="0" w:color="auto"/>
                    <w:left w:val="none" w:sz="0" w:space="0" w:color="auto"/>
                    <w:bottom w:val="none" w:sz="0" w:space="0" w:color="auto"/>
                    <w:right w:val="none" w:sz="0" w:space="0" w:color="auto"/>
                  </w:divBdr>
                  <w:divsChild>
                    <w:div w:id="674840001">
                      <w:marLeft w:val="0"/>
                      <w:marRight w:val="0"/>
                      <w:marTop w:val="0"/>
                      <w:marBottom w:val="0"/>
                      <w:divBdr>
                        <w:top w:val="none" w:sz="0" w:space="0" w:color="auto"/>
                        <w:left w:val="none" w:sz="0" w:space="0" w:color="auto"/>
                        <w:bottom w:val="none" w:sz="0" w:space="0" w:color="auto"/>
                        <w:right w:val="none" w:sz="0" w:space="0" w:color="auto"/>
                      </w:divBdr>
                    </w:div>
                  </w:divsChild>
                </w:div>
                <w:div w:id="1243641562">
                  <w:marLeft w:val="0"/>
                  <w:marRight w:val="0"/>
                  <w:marTop w:val="0"/>
                  <w:marBottom w:val="0"/>
                  <w:divBdr>
                    <w:top w:val="none" w:sz="0" w:space="0" w:color="auto"/>
                    <w:left w:val="none" w:sz="0" w:space="0" w:color="auto"/>
                    <w:bottom w:val="none" w:sz="0" w:space="0" w:color="auto"/>
                    <w:right w:val="none" w:sz="0" w:space="0" w:color="auto"/>
                  </w:divBdr>
                  <w:divsChild>
                    <w:div w:id="723262274">
                      <w:marLeft w:val="0"/>
                      <w:marRight w:val="0"/>
                      <w:marTop w:val="0"/>
                      <w:marBottom w:val="0"/>
                      <w:divBdr>
                        <w:top w:val="none" w:sz="0" w:space="0" w:color="auto"/>
                        <w:left w:val="none" w:sz="0" w:space="0" w:color="auto"/>
                        <w:bottom w:val="none" w:sz="0" w:space="0" w:color="auto"/>
                        <w:right w:val="none" w:sz="0" w:space="0" w:color="auto"/>
                      </w:divBdr>
                    </w:div>
                  </w:divsChild>
                </w:div>
                <w:div w:id="1195342931">
                  <w:marLeft w:val="0"/>
                  <w:marRight w:val="0"/>
                  <w:marTop w:val="0"/>
                  <w:marBottom w:val="0"/>
                  <w:divBdr>
                    <w:top w:val="none" w:sz="0" w:space="0" w:color="auto"/>
                    <w:left w:val="none" w:sz="0" w:space="0" w:color="auto"/>
                    <w:bottom w:val="none" w:sz="0" w:space="0" w:color="auto"/>
                    <w:right w:val="none" w:sz="0" w:space="0" w:color="auto"/>
                  </w:divBdr>
                  <w:divsChild>
                    <w:div w:id="6433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1625">
      <w:bodyDiv w:val="1"/>
      <w:marLeft w:val="0"/>
      <w:marRight w:val="0"/>
      <w:marTop w:val="0"/>
      <w:marBottom w:val="0"/>
      <w:divBdr>
        <w:top w:val="none" w:sz="0" w:space="0" w:color="auto"/>
        <w:left w:val="none" w:sz="0" w:space="0" w:color="auto"/>
        <w:bottom w:val="none" w:sz="0" w:space="0" w:color="auto"/>
        <w:right w:val="none" w:sz="0" w:space="0" w:color="auto"/>
      </w:divBdr>
      <w:divsChild>
        <w:div w:id="1705985937">
          <w:marLeft w:val="0"/>
          <w:marRight w:val="0"/>
          <w:marTop w:val="0"/>
          <w:marBottom w:val="0"/>
          <w:divBdr>
            <w:top w:val="none" w:sz="0" w:space="0" w:color="auto"/>
            <w:left w:val="none" w:sz="0" w:space="0" w:color="auto"/>
            <w:bottom w:val="none" w:sz="0" w:space="0" w:color="auto"/>
            <w:right w:val="none" w:sz="0" w:space="0" w:color="auto"/>
          </w:divBdr>
        </w:div>
        <w:div w:id="2124028830">
          <w:marLeft w:val="0"/>
          <w:marRight w:val="0"/>
          <w:marTop w:val="0"/>
          <w:marBottom w:val="0"/>
          <w:divBdr>
            <w:top w:val="none" w:sz="0" w:space="0" w:color="auto"/>
            <w:left w:val="none" w:sz="0" w:space="0" w:color="auto"/>
            <w:bottom w:val="none" w:sz="0" w:space="0" w:color="auto"/>
            <w:right w:val="none" w:sz="0" w:space="0" w:color="auto"/>
          </w:divBdr>
          <w:divsChild>
            <w:div w:id="9727227">
              <w:marLeft w:val="0"/>
              <w:marRight w:val="0"/>
              <w:marTop w:val="0"/>
              <w:marBottom w:val="0"/>
              <w:divBdr>
                <w:top w:val="none" w:sz="0" w:space="0" w:color="auto"/>
                <w:left w:val="none" w:sz="0" w:space="0" w:color="auto"/>
                <w:bottom w:val="none" w:sz="0" w:space="0" w:color="auto"/>
                <w:right w:val="none" w:sz="0" w:space="0" w:color="auto"/>
              </w:divBdr>
              <w:divsChild>
                <w:div w:id="1430080772">
                  <w:marLeft w:val="0"/>
                  <w:marRight w:val="0"/>
                  <w:marTop w:val="0"/>
                  <w:marBottom w:val="0"/>
                  <w:divBdr>
                    <w:top w:val="none" w:sz="0" w:space="0" w:color="auto"/>
                    <w:left w:val="none" w:sz="0" w:space="0" w:color="auto"/>
                    <w:bottom w:val="none" w:sz="0" w:space="0" w:color="auto"/>
                    <w:right w:val="none" w:sz="0" w:space="0" w:color="auto"/>
                  </w:divBdr>
                  <w:divsChild>
                    <w:div w:id="866677974">
                      <w:marLeft w:val="0"/>
                      <w:marRight w:val="0"/>
                      <w:marTop w:val="0"/>
                      <w:marBottom w:val="0"/>
                      <w:divBdr>
                        <w:top w:val="none" w:sz="0" w:space="0" w:color="auto"/>
                        <w:left w:val="none" w:sz="0" w:space="0" w:color="auto"/>
                        <w:bottom w:val="none" w:sz="0" w:space="0" w:color="auto"/>
                        <w:right w:val="none" w:sz="0" w:space="0" w:color="auto"/>
                      </w:divBdr>
                    </w:div>
                  </w:divsChild>
                </w:div>
                <w:div w:id="622012">
                  <w:marLeft w:val="0"/>
                  <w:marRight w:val="0"/>
                  <w:marTop w:val="0"/>
                  <w:marBottom w:val="0"/>
                  <w:divBdr>
                    <w:top w:val="none" w:sz="0" w:space="0" w:color="auto"/>
                    <w:left w:val="none" w:sz="0" w:space="0" w:color="auto"/>
                    <w:bottom w:val="none" w:sz="0" w:space="0" w:color="auto"/>
                    <w:right w:val="none" w:sz="0" w:space="0" w:color="auto"/>
                  </w:divBdr>
                  <w:divsChild>
                    <w:div w:id="1110861511">
                      <w:marLeft w:val="0"/>
                      <w:marRight w:val="0"/>
                      <w:marTop w:val="0"/>
                      <w:marBottom w:val="0"/>
                      <w:divBdr>
                        <w:top w:val="none" w:sz="0" w:space="0" w:color="auto"/>
                        <w:left w:val="none" w:sz="0" w:space="0" w:color="auto"/>
                        <w:bottom w:val="none" w:sz="0" w:space="0" w:color="auto"/>
                        <w:right w:val="none" w:sz="0" w:space="0" w:color="auto"/>
                      </w:divBdr>
                    </w:div>
                  </w:divsChild>
                </w:div>
                <w:div w:id="1868367452">
                  <w:marLeft w:val="0"/>
                  <w:marRight w:val="0"/>
                  <w:marTop w:val="0"/>
                  <w:marBottom w:val="0"/>
                  <w:divBdr>
                    <w:top w:val="none" w:sz="0" w:space="0" w:color="auto"/>
                    <w:left w:val="none" w:sz="0" w:space="0" w:color="auto"/>
                    <w:bottom w:val="none" w:sz="0" w:space="0" w:color="auto"/>
                    <w:right w:val="none" w:sz="0" w:space="0" w:color="auto"/>
                  </w:divBdr>
                  <w:divsChild>
                    <w:div w:id="12254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ireachtas.ie/en/bills/bill/2025/78/" TargetMode="External"/><Relationship Id="rId18" Type="http://schemas.openxmlformats.org/officeDocument/2006/relationships/hyperlink" Target="https://www.oco.ie/library/mind-the-gap-research-on-barriers-to-the-realisation-of-rights-of-children-with-disabilities-in-ireland/" TargetMode="External"/><Relationship Id="rId26" Type="http://schemas.openxmlformats.org/officeDocument/2006/relationships/hyperlink" Target="https://www.epiconline.ie/app/uploads/2024/03/Headphones-Odd-Shoes-A-Second-Chance-at-Life.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co.ie/library/mind-the-gap-research-on-barriers-to-the-realisation-of-rights-of-children-with-disabilities-in-ireland/" TargetMode="External"/><Relationship Id="rId34" Type="http://schemas.openxmlformats.org/officeDocument/2006/relationships/hyperlink" Target="https://nda.ie/publications/final-review-of-progress-under-the-comprehensive-employment-strategy-for-people-with-disabilities-2015-2024" TargetMode="External"/><Relationship Id="rId7" Type="http://schemas.openxmlformats.org/officeDocument/2006/relationships/endnotes" Target="endnotes.xml"/><Relationship Id="rId12" Type="http://schemas.openxmlformats.org/officeDocument/2006/relationships/hyperlink" Target="file:///C:\Users\nicanrih\Desktop\UN%20Convention%20on%20the%20Rights%20of%20Persons%20with%20Disabilities" TargetMode="External"/><Relationship Id="rId17" Type="http://schemas.openxmlformats.org/officeDocument/2006/relationships/hyperlink" Target="https://www.gov.ie/en/department-of-children-disability-and-equality/press-releases/publication-of-the-final-substantive-report-on-the-first-phase-of-the-farrelly-commission/" TargetMode="External"/><Relationship Id="rId25" Type="http://schemas.openxmlformats.org/officeDocument/2006/relationships/hyperlink" Target="https://www.hse.ie/eng/services/list/4/mental-health-services/camhs/publications/hse-child-and-youth-mental-health-office-3-year-action-plan.pdf" TargetMode="External"/><Relationship Id="rId33" Type="http://schemas.openxmlformats.org/officeDocument/2006/relationships/hyperlink" Target="https://www.hiqa.ie/sites/default/files/2023-06/Key-considerations-to-inform-the-National-Policy-Framework-for-Children-and-Young-People-2023-2028.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iqa.ie/sites/default/files/2025-12/Children's-Overview-Report-2024.pdf" TargetMode="External"/><Relationship Id="rId20" Type="http://schemas.openxmlformats.org/officeDocument/2006/relationships/hyperlink" Target="https://www.tusla.ie/uploads/content/20250469_NRP_Annual_Report_2024.pdf" TargetMode="External"/><Relationship Id="rId29" Type="http://schemas.openxmlformats.org/officeDocument/2006/relationships/hyperlink" Target="https://universaldesign.ie/toolkits/customer-communications-toolkit-for-services-to-the-public-a-universal-design-approach-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instruments-mechanisms/instruments/convention-rights-child" TargetMode="External"/><Relationship Id="rId24" Type="http://schemas.openxmlformats.org/officeDocument/2006/relationships/hyperlink" Target="https://www.hiqa.ie/sites/default/files/2021-03/Draft-National-Standards-for-Childrens-Social-Services.pdf" TargetMode="External"/><Relationship Id="rId32" Type="http://schemas.openxmlformats.org/officeDocument/2006/relationships/hyperlink" Target="https://aim.gov.ie/" TargetMode="External"/><Relationship Id="rId37" Type="http://schemas.openxmlformats.org/officeDocument/2006/relationships/hyperlink" Target="https://www.gov.ie/en/department-of-children-disability-and-equality/collections/about-the-care-experiences-programme/" TargetMode="External"/><Relationship Id="rId5" Type="http://schemas.openxmlformats.org/officeDocument/2006/relationships/webSettings" Target="webSettings.xml"/><Relationship Id="rId15" Type="http://schemas.openxmlformats.org/officeDocument/2006/relationships/hyperlink" Target="https://assets.gov.ie/static/documents/special-rapporteur-on-child-protection-15th-report.pdf" TargetMode="External"/><Relationship Id="rId23" Type="http://schemas.openxmlformats.org/officeDocument/2006/relationships/hyperlink" Target="https://hubnanog.ie/participation-framework/" TargetMode="External"/><Relationship Id="rId28" Type="http://schemas.openxmlformats.org/officeDocument/2006/relationships/hyperlink" Target="https://universaldesign.ie/about-universal-design/products-and-services/standard-i-s-en-171612019-design-for-all" TargetMode="External"/><Relationship Id="rId36" Type="http://schemas.openxmlformats.org/officeDocument/2006/relationships/hyperlink" Target="https://assets.gov.ie/static/documents/special-rapporteur-on-child-protection-15th-report.pdf" TargetMode="External"/><Relationship Id="rId10" Type="http://schemas.openxmlformats.org/officeDocument/2006/relationships/hyperlink" Target="https://assets.gov.ie/static/documents/33a36e70/National_Human_Rights_Strategy_for_Disabled_People_WEB_04.09.25.pdf" TargetMode="External"/><Relationship Id="rId19" Type="http://schemas.openxmlformats.org/officeDocument/2006/relationships/hyperlink" Target="https://www.hse.ie/eng/services/list/4/disability/progressing-disability/pds-programme/documents/hse-tusla-2020-joint-protocol-for-interagency-collaboration-between-the-hse-and-tusla.pdf" TargetMode="External"/><Relationship Id="rId31" Type="http://schemas.openxmlformats.org/officeDocument/2006/relationships/hyperlink" Target="https://nda.ie/uploads/publications/Code-of-Practice-on-Accessibility-of-Public-Services-and-Information-Provided-by-Public-Bodi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gov.ie/static/documents/33a36e70/National_Human_Rights_Strategy_for_Disabled_People_WEB_04.09.25.pdf" TargetMode="External"/><Relationship Id="rId22" Type="http://schemas.openxmlformats.org/officeDocument/2006/relationships/hyperlink" Target="https://social.desa.un.org/issues/disability/crpd/convention-on-the-rights-of-persons-with-disabilities-crpd" TargetMode="External"/><Relationship Id="rId27" Type="http://schemas.openxmlformats.org/officeDocument/2006/relationships/hyperlink" Target="https://www2.healthservice.hse.ie/files/179/" TargetMode="External"/><Relationship Id="rId30" Type="http://schemas.openxmlformats.org/officeDocument/2006/relationships/hyperlink" Target="https://assets.hse.ie/media/documents/HSE_Plain_Language_Guidelines.pdf" TargetMode="External"/><Relationship Id="rId35" Type="http://schemas.openxmlformats.org/officeDocument/2006/relationships/hyperlink" Target="https://www.esri.ie/system/files/publications/JR13_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piconline.ie/app/uploads/2024/03/Headphones-Odd-Shoes-A-Second-Chance-at-Life.pdf" TargetMode="External"/><Relationship Id="rId13" Type="http://schemas.openxmlformats.org/officeDocument/2006/relationships/hyperlink" Target="https://www.oco.ie/app/uploads/2022/09/Report-of-the-Ombudsman-for-Childrens-Office-to-the-UN-Committee-on-the-Rights-of-the-Child.pdf" TargetMode="External"/><Relationship Id="rId18" Type="http://schemas.openxmlformats.org/officeDocument/2006/relationships/hyperlink" Target="https://tbinternet.ohchr.org/_layouts/15/treatybodyexternal/Download.aspx?symbolno=CRC%2FC%2FIRL%2FCO%2F5-6&amp;Lang=en" TargetMode="External"/><Relationship Id="rId3" Type="http://schemas.openxmlformats.org/officeDocument/2006/relationships/hyperlink" Target="https://www.epiconline.ie/app/uploads/2024/03/Headphones-Odd-Shoes-A-Second-Chance-at-Life.pdf" TargetMode="External"/><Relationship Id="rId7" Type="http://schemas.openxmlformats.org/officeDocument/2006/relationships/hyperlink" Target="https://assets.gov.ie/static/documents/special-rapporteur-on-child-protection-15th-report.pdf" TargetMode="External"/><Relationship Id="rId12" Type="http://schemas.openxmlformats.org/officeDocument/2006/relationships/hyperlink" Target="https://www.betterstart.ie/for-elc/access-and-inclusion-model/" TargetMode="External"/><Relationship Id="rId17" Type="http://schemas.openxmlformats.org/officeDocument/2006/relationships/hyperlink" Target="https://www.oco.ie/app/uploads/2021/03/MindTheGap_OCO_NUIG_Disability_Report.pdf" TargetMode="External"/><Relationship Id="rId2" Type="http://schemas.openxmlformats.org/officeDocument/2006/relationships/hyperlink" Target="https://www.oco.ie/app/uploads/2020/11/OCO-Jack-Report-25.11.pdf" TargetMode="External"/><Relationship Id="rId16" Type="http://schemas.openxmlformats.org/officeDocument/2006/relationships/hyperlink" Target="https://www.hiqa.ie/sites/default/files/2025-12/Children's-Overview-Report-2024.pdf" TargetMode="External"/><Relationship Id="rId1" Type="http://schemas.openxmlformats.org/officeDocument/2006/relationships/hyperlink" Target="https://www.oco.ie/app/uploads/2018/01/OCO-Investigation-Mollys-Case-Jan-2018.pdf" TargetMode="External"/><Relationship Id="rId6" Type="http://schemas.openxmlformats.org/officeDocument/2006/relationships/hyperlink" Target="https://tbinternet.ohchr.org/_layouts/15/treatybodyexternal/Download.aspx?symbolno=CRC%2FC%2FIRL%2FCO%2F5-6&amp;Lang=en" TargetMode="External"/><Relationship Id="rId11" Type="http://schemas.openxmlformats.org/officeDocument/2006/relationships/hyperlink" Target="https://www.oco.ie/app/uploads/2021/03/MindTheGap_OCO_NUIG_Disability_Report.pdf" TargetMode="External"/><Relationship Id="rId5" Type="http://schemas.openxmlformats.org/officeDocument/2006/relationships/hyperlink" Target="https://www.hiqa.ie/sites/default/files/2023-06/Key-considerations-to-inform-the-National-Policy-Framework-for-Children-and-Young-People-2023-2028.pdf" TargetMode="External"/><Relationship Id="rId15" Type="http://schemas.openxmlformats.org/officeDocument/2006/relationships/hyperlink" Target="https://www.hse.ie/eng/services/list/4/mental-health-services/hse-child-and-youth-mental-health-office/" TargetMode="External"/><Relationship Id="rId10" Type="http://schemas.openxmlformats.org/officeDocument/2006/relationships/hyperlink" Target="https://www.oco.ie/app/uploads/2021/03/MindTheGap_OCO_NUIG_Disability_Report.pdf" TargetMode="External"/><Relationship Id="rId4" Type="http://schemas.openxmlformats.org/officeDocument/2006/relationships/hyperlink" Target="https://assets.gov.ie/static/documents/special-rapporteur-on-child-protection-15th-report.pdf" TargetMode="External"/><Relationship Id="rId9" Type="http://schemas.openxmlformats.org/officeDocument/2006/relationships/hyperlink" Target="https://www.oco.ie/app/uploads/2018/01/OCO-Investigation-Mollys-Case-Jan-2018.pdf" TargetMode="External"/><Relationship Id="rId14" Type="http://schemas.openxmlformats.org/officeDocument/2006/relationships/hyperlink" Target="https://tbinternet.ohchr.org/_layouts/15/treatybodyexternal/Download.aspx?symbolno=CRC%2FC%2FIRL%2FCO%2F5-6&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5521</Words>
  <Characters>31472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Helen Nic an Rí (NDA)</cp:lastModifiedBy>
  <cp:revision>5</cp:revision>
  <dcterms:created xsi:type="dcterms:W3CDTF">2025-12-11T10:56:00Z</dcterms:created>
  <dcterms:modified xsi:type="dcterms:W3CDTF">2025-12-11T15:06:00Z</dcterms:modified>
</cp:coreProperties>
</file>