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A8F6" w14:textId="77777777" w:rsidR="0081311B" w:rsidRDefault="0081311B" w:rsidP="00E3375C">
      <w:pPr>
        <w:pStyle w:val="Title"/>
      </w:pPr>
    </w:p>
    <w:p w14:paraId="756E9609" w14:textId="77777777" w:rsidR="0081311B" w:rsidRDefault="0081311B" w:rsidP="0049133A">
      <w:pPr>
        <w:pStyle w:val="Title"/>
        <w:jc w:val="left"/>
      </w:pPr>
    </w:p>
    <w:p w14:paraId="7FCF2938" w14:textId="77777777" w:rsidR="007336EA" w:rsidRDefault="00E6609A" w:rsidP="00E3375C">
      <w:pPr>
        <w:pStyle w:val="Title"/>
      </w:pPr>
      <w:bookmarkStart w:id="0" w:name="_Toc133325752"/>
      <w:bookmarkStart w:id="1" w:name="_Toc133325991"/>
      <w:bookmarkStart w:id="2" w:name="_Toc132982031"/>
      <w:bookmarkStart w:id="3" w:name="_Toc142909772"/>
      <w:r w:rsidRPr="009C1F21">
        <w:t>NDA Submission</w:t>
      </w:r>
      <w:bookmarkEnd w:id="0"/>
      <w:bookmarkEnd w:id="1"/>
      <w:bookmarkEnd w:id="3"/>
      <w:r w:rsidRPr="009C1F21">
        <w:t xml:space="preserve"> </w:t>
      </w:r>
    </w:p>
    <w:p w14:paraId="4B30B373" w14:textId="536DE59A" w:rsidR="007336EA" w:rsidRDefault="00E6609A" w:rsidP="00E3375C">
      <w:pPr>
        <w:pStyle w:val="Title"/>
      </w:pPr>
      <w:bookmarkStart w:id="4" w:name="_Toc133325753"/>
      <w:bookmarkStart w:id="5" w:name="_Toc133325992"/>
      <w:bookmarkStart w:id="6" w:name="_Toc142909773"/>
      <w:r w:rsidRPr="009C1F21">
        <w:t xml:space="preserve">on </w:t>
      </w:r>
      <w:r w:rsidR="007336EA">
        <w:t>the</w:t>
      </w:r>
      <w:bookmarkEnd w:id="4"/>
      <w:bookmarkEnd w:id="5"/>
      <w:bookmarkEnd w:id="6"/>
    </w:p>
    <w:p w14:paraId="35C1AFFD" w14:textId="77777777" w:rsidR="007336EA" w:rsidRDefault="00E6609A" w:rsidP="00E3375C">
      <w:pPr>
        <w:pStyle w:val="Title"/>
      </w:pPr>
      <w:bookmarkStart w:id="7" w:name="_Toc133325754"/>
      <w:bookmarkStart w:id="8" w:name="_Toc133325993"/>
      <w:bookmarkStart w:id="9" w:name="_Toc142909774"/>
      <w:r w:rsidRPr="009C1F21">
        <w:t xml:space="preserve">Statement of Strategy </w:t>
      </w:r>
      <w:r w:rsidR="00425E44" w:rsidRPr="00425E44">
        <w:t>2023-2025</w:t>
      </w:r>
      <w:bookmarkEnd w:id="7"/>
      <w:bookmarkEnd w:id="8"/>
      <w:bookmarkEnd w:id="9"/>
      <w:r w:rsidR="006D38EB" w:rsidRPr="009C1F21">
        <w:t xml:space="preserve"> </w:t>
      </w:r>
    </w:p>
    <w:p w14:paraId="63D8C8B6" w14:textId="2D15A2C1" w:rsidR="007336EA" w:rsidRDefault="004351C9" w:rsidP="00E3375C">
      <w:pPr>
        <w:pStyle w:val="Title"/>
      </w:pPr>
      <w:bookmarkStart w:id="10" w:name="_Toc133325755"/>
      <w:bookmarkStart w:id="11" w:name="_Toc133325994"/>
      <w:bookmarkStart w:id="12" w:name="_Toc142909775"/>
      <w:r>
        <w:t xml:space="preserve">for </w:t>
      </w:r>
      <w:r w:rsidR="007336EA">
        <w:t>the</w:t>
      </w:r>
      <w:bookmarkEnd w:id="10"/>
      <w:bookmarkEnd w:id="11"/>
      <w:bookmarkEnd w:id="12"/>
    </w:p>
    <w:p w14:paraId="514C58A4" w14:textId="15253281" w:rsidR="00E6609A" w:rsidRDefault="004351C9" w:rsidP="00E3375C">
      <w:pPr>
        <w:pStyle w:val="Title"/>
      </w:pPr>
      <w:bookmarkStart w:id="13" w:name="_Toc133325756"/>
      <w:bookmarkStart w:id="14" w:name="_Toc133325995"/>
      <w:bookmarkStart w:id="15" w:name="_Toc142909776"/>
      <w:r>
        <w:t>Department of Housing</w:t>
      </w:r>
      <w:r w:rsidR="007336EA">
        <w:t>,</w:t>
      </w:r>
      <w:r>
        <w:t xml:space="preserve"> Local Government and Heritage</w:t>
      </w:r>
      <w:bookmarkEnd w:id="2"/>
      <w:bookmarkEnd w:id="13"/>
      <w:bookmarkEnd w:id="14"/>
      <w:r w:rsidR="0049133A">
        <w:rPr>
          <w:rStyle w:val="FootnoteReference"/>
        </w:rPr>
        <w:footnoteReference w:id="1"/>
      </w:r>
      <w:bookmarkEnd w:id="15"/>
    </w:p>
    <w:p w14:paraId="166D171C" w14:textId="58F9194C" w:rsidR="0081311B" w:rsidRPr="0081311B" w:rsidRDefault="0081311B" w:rsidP="0081311B"/>
    <w:p w14:paraId="78F17167" w14:textId="72020650" w:rsidR="0081311B" w:rsidRDefault="004351C9" w:rsidP="00E3375C">
      <w:r>
        <w:t>April</w:t>
      </w:r>
      <w:r w:rsidR="00E3375C" w:rsidRPr="009C1F21">
        <w:t xml:space="preserve"> 2023</w:t>
      </w:r>
    </w:p>
    <w:p w14:paraId="52B9251F" w14:textId="70A65BFF" w:rsidR="0081311B" w:rsidRDefault="0081311B" w:rsidP="00E3375C"/>
    <w:p w14:paraId="39243834" w14:textId="455EC3C8" w:rsidR="0081311B" w:rsidRDefault="0081311B" w:rsidP="00E3375C">
      <w:r>
        <w:rPr>
          <w:rFonts w:eastAsia="Gill Sans MT" w:cs="Gill Sans MT"/>
          <w:noProof/>
          <w:sz w:val="24"/>
          <w:lang w:eastAsia="en-IE"/>
        </w:rPr>
        <w:drawing>
          <wp:inline distT="0" distB="0" distL="0" distR="0" wp14:anchorId="5F89BAA7" wp14:editId="41CA8131">
            <wp:extent cx="2520696" cy="1801368"/>
            <wp:effectExtent l="0" t="0" r="0" b="8890"/>
            <wp:docPr id="13" name="Picture 13"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1D75311D" w14:textId="77777777" w:rsidR="0081311B" w:rsidRDefault="0081311B" w:rsidP="00E3375C"/>
    <w:p w14:paraId="38942FDE" w14:textId="77777777" w:rsidR="0081311B" w:rsidRDefault="0081311B">
      <w:pPr>
        <w:spacing w:after="0"/>
      </w:pPr>
      <w:r>
        <w:br w:type="page"/>
      </w:r>
    </w:p>
    <w:sdt>
      <w:sdtPr>
        <w:rPr>
          <w:rFonts w:ascii="Gill Sans MT" w:eastAsia="Times New Roman" w:hAnsi="Gill Sans MT" w:cs="Times New Roman"/>
          <w:color w:val="auto"/>
          <w:sz w:val="26"/>
          <w:szCs w:val="24"/>
          <w:lang w:val="en-IE"/>
        </w:rPr>
        <w:id w:val="802431655"/>
        <w:docPartObj>
          <w:docPartGallery w:val="Table of Contents"/>
          <w:docPartUnique/>
        </w:docPartObj>
      </w:sdtPr>
      <w:sdtEndPr>
        <w:rPr>
          <w:bCs/>
          <w:noProof/>
        </w:rPr>
      </w:sdtEndPr>
      <w:sdtContent>
        <w:p w14:paraId="0017AC4B" w14:textId="48F2A161" w:rsidR="0081311B" w:rsidRDefault="0081311B">
          <w:pPr>
            <w:pStyle w:val="TOCHeading"/>
          </w:pPr>
          <w:r>
            <w:t>Contents</w:t>
          </w:r>
        </w:p>
        <w:p w14:paraId="18B8B0B2" w14:textId="67593302" w:rsidR="00BB258E" w:rsidRDefault="0081311B">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"1-3" \h \z \u </w:instrText>
          </w:r>
          <w:r>
            <w:fldChar w:fldCharType="separate"/>
          </w:r>
          <w:hyperlink w:anchor="_Toc142909777" w:history="1">
            <w:r w:rsidR="00BB258E" w:rsidRPr="0086206A">
              <w:rPr>
                <w:rStyle w:val="Hyperlink"/>
                <w:noProof/>
              </w:rPr>
              <w:t>Introduction</w:t>
            </w:r>
            <w:r w:rsidR="00BB258E">
              <w:rPr>
                <w:noProof/>
                <w:webHidden/>
              </w:rPr>
              <w:tab/>
            </w:r>
            <w:r w:rsidR="00BB258E">
              <w:rPr>
                <w:noProof/>
                <w:webHidden/>
              </w:rPr>
              <w:fldChar w:fldCharType="begin"/>
            </w:r>
            <w:r w:rsidR="00BB258E">
              <w:rPr>
                <w:noProof/>
                <w:webHidden/>
              </w:rPr>
              <w:instrText xml:space="preserve"> PAGEREF _Toc142909777 \h </w:instrText>
            </w:r>
            <w:r w:rsidR="00BB258E">
              <w:rPr>
                <w:noProof/>
                <w:webHidden/>
              </w:rPr>
            </w:r>
            <w:r w:rsidR="00BB258E">
              <w:rPr>
                <w:noProof/>
                <w:webHidden/>
              </w:rPr>
              <w:fldChar w:fldCharType="separate"/>
            </w:r>
            <w:r w:rsidR="00BB258E">
              <w:rPr>
                <w:noProof/>
                <w:webHidden/>
              </w:rPr>
              <w:t>4</w:t>
            </w:r>
            <w:r w:rsidR="00BB258E">
              <w:rPr>
                <w:noProof/>
                <w:webHidden/>
              </w:rPr>
              <w:fldChar w:fldCharType="end"/>
            </w:r>
          </w:hyperlink>
        </w:p>
        <w:p w14:paraId="005F5DC8" w14:textId="048B1CBB"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78" w:history="1">
            <w:r w:rsidRPr="0086206A">
              <w:rPr>
                <w:rStyle w:val="Hyperlink"/>
                <w:rFonts w:eastAsia="SimSun"/>
                <w:noProof/>
                <w:lang w:eastAsia="en-IE"/>
              </w:rPr>
              <w:t>Policy Commitments</w:t>
            </w:r>
            <w:r>
              <w:rPr>
                <w:noProof/>
                <w:webHidden/>
              </w:rPr>
              <w:tab/>
            </w:r>
            <w:r>
              <w:rPr>
                <w:noProof/>
                <w:webHidden/>
              </w:rPr>
              <w:fldChar w:fldCharType="begin"/>
            </w:r>
            <w:r>
              <w:rPr>
                <w:noProof/>
                <w:webHidden/>
              </w:rPr>
              <w:instrText xml:space="preserve"> PAGEREF _Toc142909778 \h </w:instrText>
            </w:r>
            <w:r>
              <w:rPr>
                <w:noProof/>
                <w:webHidden/>
              </w:rPr>
            </w:r>
            <w:r>
              <w:rPr>
                <w:noProof/>
                <w:webHidden/>
              </w:rPr>
              <w:fldChar w:fldCharType="separate"/>
            </w:r>
            <w:r>
              <w:rPr>
                <w:noProof/>
                <w:webHidden/>
              </w:rPr>
              <w:t>4</w:t>
            </w:r>
            <w:r>
              <w:rPr>
                <w:noProof/>
                <w:webHidden/>
              </w:rPr>
              <w:fldChar w:fldCharType="end"/>
            </w:r>
          </w:hyperlink>
        </w:p>
        <w:p w14:paraId="659D6F36" w14:textId="7F0C8B64"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79" w:history="1">
            <w:r w:rsidRPr="0086206A">
              <w:rPr>
                <w:rStyle w:val="Hyperlink"/>
                <w:rFonts w:eastAsia="SimSun"/>
                <w:noProof/>
                <w:lang w:eastAsia="en-IE"/>
              </w:rPr>
              <w:t>Participation and Engagement</w:t>
            </w:r>
            <w:r>
              <w:rPr>
                <w:noProof/>
                <w:webHidden/>
              </w:rPr>
              <w:tab/>
            </w:r>
            <w:r>
              <w:rPr>
                <w:noProof/>
                <w:webHidden/>
              </w:rPr>
              <w:fldChar w:fldCharType="begin"/>
            </w:r>
            <w:r>
              <w:rPr>
                <w:noProof/>
                <w:webHidden/>
              </w:rPr>
              <w:instrText xml:space="preserve"> PAGEREF _Toc142909779 \h </w:instrText>
            </w:r>
            <w:r>
              <w:rPr>
                <w:noProof/>
                <w:webHidden/>
              </w:rPr>
            </w:r>
            <w:r>
              <w:rPr>
                <w:noProof/>
                <w:webHidden/>
              </w:rPr>
              <w:fldChar w:fldCharType="separate"/>
            </w:r>
            <w:r>
              <w:rPr>
                <w:noProof/>
                <w:webHidden/>
              </w:rPr>
              <w:t>5</w:t>
            </w:r>
            <w:r>
              <w:rPr>
                <w:noProof/>
                <w:webHidden/>
              </w:rPr>
              <w:fldChar w:fldCharType="end"/>
            </w:r>
          </w:hyperlink>
        </w:p>
        <w:p w14:paraId="63C0553D" w14:textId="007B6ED2"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80" w:history="1">
            <w:r w:rsidRPr="0086206A">
              <w:rPr>
                <w:rStyle w:val="Hyperlink"/>
                <w:noProof/>
              </w:rPr>
              <w:t>Crosscutting Strategies</w:t>
            </w:r>
            <w:r>
              <w:rPr>
                <w:noProof/>
                <w:webHidden/>
              </w:rPr>
              <w:tab/>
            </w:r>
            <w:r>
              <w:rPr>
                <w:noProof/>
                <w:webHidden/>
              </w:rPr>
              <w:fldChar w:fldCharType="begin"/>
            </w:r>
            <w:r>
              <w:rPr>
                <w:noProof/>
                <w:webHidden/>
              </w:rPr>
              <w:instrText xml:space="preserve"> PAGEREF _Toc142909780 \h </w:instrText>
            </w:r>
            <w:r>
              <w:rPr>
                <w:noProof/>
                <w:webHidden/>
              </w:rPr>
            </w:r>
            <w:r>
              <w:rPr>
                <w:noProof/>
                <w:webHidden/>
              </w:rPr>
              <w:fldChar w:fldCharType="separate"/>
            </w:r>
            <w:r>
              <w:rPr>
                <w:noProof/>
                <w:webHidden/>
              </w:rPr>
              <w:t>5</w:t>
            </w:r>
            <w:r>
              <w:rPr>
                <w:noProof/>
                <w:webHidden/>
              </w:rPr>
              <w:fldChar w:fldCharType="end"/>
            </w:r>
          </w:hyperlink>
        </w:p>
        <w:p w14:paraId="6492FF97" w14:textId="54D2EF9F" w:rsidR="00BB258E" w:rsidRDefault="00BB258E">
          <w:pPr>
            <w:pStyle w:val="TOC1"/>
            <w:tabs>
              <w:tab w:val="right" w:leader="dot" w:pos="8630"/>
            </w:tabs>
            <w:rPr>
              <w:rFonts w:asciiTheme="minorHAnsi" w:eastAsiaTheme="minorEastAsia" w:hAnsiTheme="minorHAnsi" w:cstheme="minorBidi"/>
              <w:b w:val="0"/>
              <w:noProof/>
              <w:sz w:val="22"/>
              <w:szCs w:val="22"/>
              <w:lang w:eastAsia="en-IE"/>
            </w:rPr>
          </w:pPr>
          <w:hyperlink w:anchor="_Toc142909781" w:history="1">
            <w:r w:rsidRPr="0086206A">
              <w:rPr>
                <w:rStyle w:val="Hyperlink"/>
                <w:noProof/>
              </w:rPr>
              <w:t>Universal Design in Housing</w:t>
            </w:r>
            <w:r>
              <w:rPr>
                <w:noProof/>
                <w:webHidden/>
              </w:rPr>
              <w:tab/>
            </w:r>
            <w:r>
              <w:rPr>
                <w:noProof/>
                <w:webHidden/>
              </w:rPr>
              <w:fldChar w:fldCharType="begin"/>
            </w:r>
            <w:r>
              <w:rPr>
                <w:noProof/>
                <w:webHidden/>
              </w:rPr>
              <w:instrText xml:space="preserve"> PAGEREF _Toc142909781 \h </w:instrText>
            </w:r>
            <w:r>
              <w:rPr>
                <w:noProof/>
                <w:webHidden/>
              </w:rPr>
            </w:r>
            <w:r>
              <w:rPr>
                <w:noProof/>
                <w:webHidden/>
              </w:rPr>
              <w:fldChar w:fldCharType="separate"/>
            </w:r>
            <w:r>
              <w:rPr>
                <w:noProof/>
                <w:webHidden/>
              </w:rPr>
              <w:t>6</w:t>
            </w:r>
            <w:r>
              <w:rPr>
                <w:noProof/>
                <w:webHidden/>
              </w:rPr>
              <w:fldChar w:fldCharType="end"/>
            </w:r>
          </w:hyperlink>
        </w:p>
        <w:p w14:paraId="76643C69" w14:textId="778F36B3"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82" w:history="1">
            <w:r w:rsidRPr="0086206A">
              <w:rPr>
                <w:rStyle w:val="Hyperlink"/>
                <w:noProof/>
              </w:rPr>
              <w:t>National Housing Strategy for Disabled People 2022-27</w:t>
            </w:r>
            <w:r>
              <w:rPr>
                <w:noProof/>
                <w:webHidden/>
              </w:rPr>
              <w:tab/>
            </w:r>
            <w:r>
              <w:rPr>
                <w:noProof/>
                <w:webHidden/>
              </w:rPr>
              <w:fldChar w:fldCharType="begin"/>
            </w:r>
            <w:r>
              <w:rPr>
                <w:noProof/>
                <w:webHidden/>
              </w:rPr>
              <w:instrText xml:space="preserve"> PAGEREF _Toc142909782 \h </w:instrText>
            </w:r>
            <w:r>
              <w:rPr>
                <w:noProof/>
                <w:webHidden/>
              </w:rPr>
            </w:r>
            <w:r>
              <w:rPr>
                <w:noProof/>
                <w:webHidden/>
              </w:rPr>
              <w:fldChar w:fldCharType="separate"/>
            </w:r>
            <w:r>
              <w:rPr>
                <w:noProof/>
                <w:webHidden/>
              </w:rPr>
              <w:t>6</w:t>
            </w:r>
            <w:r>
              <w:rPr>
                <w:noProof/>
                <w:webHidden/>
              </w:rPr>
              <w:fldChar w:fldCharType="end"/>
            </w:r>
          </w:hyperlink>
        </w:p>
        <w:p w14:paraId="7E6E924F" w14:textId="6A3A0966"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83" w:history="1">
            <w:r w:rsidRPr="0086206A">
              <w:rPr>
                <w:rStyle w:val="Hyperlink"/>
                <w:noProof/>
              </w:rPr>
              <w:t>Universal Design Homes Guidance</w:t>
            </w:r>
            <w:r>
              <w:rPr>
                <w:noProof/>
                <w:webHidden/>
              </w:rPr>
              <w:tab/>
            </w:r>
            <w:r>
              <w:rPr>
                <w:noProof/>
                <w:webHidden/>
              </w:rPr>
              <w:fldChar w:fldCharType="begin"/>
            </w:r>
            <w:r>
              <w:rPr>
                <w:noProof/>
                <w:webHidden/>
              </w:rPr>
              <w:instrText xml:space="preserve"> PAGEREF _Toc142909783 \h </w:instrText>
            </w:r>
            <w:r>
              <w:rPr>
                <w:noProof/>
                <w:webHidden/>
              </w:rPr>
            </w:r>
            <w:r>
              <w:rPr>
                <w:noProof/>
                <w:webHidden/>
              </w:rPr>
              <w:fldChar w:fldCharType="separate"/>
            </w:r>
            <w:r>
              <w:rPr>
                <w:noProof/>
                <w:webHidden/>
              </w:rPr>
              <w:t>6</w:t>
            </w:r>
            <w:r>
              <w:rPr>
                <w:noProof/>
                <w:webHidden/>
              </w:rPr>
              <w:fldChar w:fldCharType="end"/>
            </w:r>
          </w:hyperlink>
        </w:p>
        <w:p w14:paraId="72EFDECD" w14:textId="0A749627"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84" w:history="1">
            <w:r w:rsidRPr="0086206A">
              <w:rPr>
                <w:rStyle w:val="Hyperlink"/>
                <w:noProof/>
              </w:rPr>
              <w:t>Need for Part M for Dwellings to be reviewed</w:t>
            </w:r>
            <w:r>
              <w:rPr>
                <w:noProof/>
                <w:webHidden/>
              </w:rPr>
              <w:tab/>
            </w:r>
            <w:r>
              <w:rPr>
                <w:noProof/>
                <w:webHidden/>
              </w:rPr>
              <w:fldChar w:fldCharType="begin"/>
            </w:r>
            <w:r>
              <w:rPr>
                <w:noProof/>
                <w:webHidden/>
              </w:rPr>
              <w:instrText xml:space="preserve"> PAGEREF _Toc142909784 \h </w:instrText>
            </w:r>
            <w:r>
              <w:rPr>
                <w:noProof/>
                <w:webHidden/>
              </w:rPr>
            </w:r>
            <w:r>
              <w:rPr>
                <w:noProof/>
                <w:webHidden/>
              </w:rPr>
              <w:fldChar w:fldCharType="separate"/>
            </w:r>
            <w:r>
              <w:rPr>
                <w:noProof/>
                <w:webHidden/>
              </w:rPr>
              <w:t>7</w:t>
            </w:r>
            <w:r>
              <w:rPr>
                <w:noProof/>
                <w:webHidden/>
              </w:rPr>
              <w:fldChar w:fldCharType="end"/>
            </w:r>
          </w:hyperlink>
        </w:p>
        <w:p w14:paraId="77435348" w14:textId="2040084C"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85" w:history="1">
            <w:r w:rsidRPr="0086206A">
              <w:rPr>
                <w:rStyle w:val="Hyperlink"/>
                <w:noProof/>
              </w:rPr>
              <w:t>Cost Benefit Analysis of Universal Design Homes</w:t>
            </w:r>
            <w:r>
              <w:rPr>
                <w:noProof/>
                <w:webHidden/>
              </w:rPr>
              <w:tab/>
            </w:r>
            <w:r>
              <w:rPr>
                <w:noProof/>
                <w:webHidden/>
              </w:rPr>
              <w:fldChar w:fldCharType="begin"/>
            </w:r>
            <w:r>
              <w:rPr>
                <w:noProof/>
                <w:webHidden/>
              </w:rPr>
              <w:instrText xml:space="preserve"> PAGEREF _Toc142909785 \h </w:instrText>
            </w:r>
            <w:r>
              <w:rPr>
                <w:noProof/>
                <w:webHidden/>
              </w:rPr>
            </w:r>
            <w:r>
              <w:rPr>
                <w:noProof/>
                <w:webHidden/>
              </w:rPr>
              <w:fldChar w:fldCharType="separate"/>
            </w:r>
            <w:r>
              <w:rPr>
                <w:noProof/>
                <w:webHidden/>
              </w:rPr>
              <w:t>7</w:t>
            </w:r>
            <w:r>
              <w:rPr>
                <w:noProof/>
                <w:webHidden/>
              </w:rPr>
              <w:fldChar w:fldCharType="end"/>
            </w:r>
          </w:hyperlink>
        </w:p>
        <w:p w14:paraId="6CDEF840" w14:textId="703B11A6"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86" w:history="1">
            <w:r w:rsidRPr="0086206A">
              <w:rPr>
                <w:rStyle w:val="Hyperlink"/>
                <w:noProof/>
              </w:rPr>
              <w:t>NDA advice on targets for Universal Design in Housing</w:t>
            </w:r>
            <w:r>
              <w:rPr>
                <w:noProof/>
                <w:webHidden/>
              </w:rPr>
              <w:tab/>
            </w:r>
            <w:r>
              <w:rPr>
                <w:noProof/>
                <w:webHidden/>
              </w:rPr>
              <w:fldChar w:fldCharType="begin"/>
            </w:r>
            <w:r>
              <w:rPr>
                <w:noProof/>
                <w:webHidden/>
              </w:rPr>
              <w:instrText xml:space="preserve"> PAGEREF _Toc142909786 \h </w:instrText>
            </w:r>
            <w:r>
              <w:rPr>
                <w:noProof/>
                <w:webHidden/>
              </w:rPr>
            </w:r>
            <w:r>
              <w:rPr>
                <w:noProof/>
                <w:webHidden/>
              </w:rPr>
              <w:fldChar w:fldCharType="separate"/>
            </w:r>
            <w:r>
              <w:rPr>
                <w:noProof/>
                <w:webHidden/>
              </w:rPr>
              <w:t>8</w:t>
            </w:r>
            <w:r>
              <w:rPr>
                <w:noProof/>
                <w:webHidden/>
              </w:rPr>
              <w:fldChar w:fldCharType="end"/>
            </w:r>
          </w:hyperlink>
        </w:p>
        <w:p w14:paraId="40E69C45" w14:textId="69FCCF64"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87" w:history="1">
            <w:r w:rsidRPr="0086206A">
              <w:rPr>
                <w:rStyle w:val="Hyperlink"/>
                <w:noProof/>
              </w:rPr>
              <w:t>Incentives to design and build UD Homes</w:t>
            </w:r>
            <w:r>
              <w:rPr>
                <w:noProof/>
                <w:webHidden/>
              </w:rPr>
              <w:tab/>
            </w:r>
            <w:r>
              <w:rPr>
                <w:noProof/>
                <w:webHidden/>
              </w:rPr>
              <w:fldChar w:fldCharType="begin"/>
            </w:r>
            <w:r>
              <w:rPr>
                <w:noProof/>
                <w:webHidden/>
              </w:rPr>
              <w:instrText xml:space="preserve"> PAGEREF _Toc142909787 \h </w:instrText>
            </w:r>
            <w:r>
              <w:rPr>
                <w:noProof/>
                <w:webHidden/>
              </w:rPr>
            </w:r>
            <w:r>
              <w:rPr>
                <w:noProof/>
                <w:webHidden/>
              </w:rPr>
              <w:fldChar w:fldCharType="separate"/>
            </w:r>
            <w:r>
              <w:rPr>
                <w:noProof/>
                <w:webHidden/>
              </w:rPr>
              <w:t>8</w:t>
            </w:r>
            <w:r>
              <w:rPr>
                <w:noProof/>
                <w:webHidden/>
              </w:rPr>
              <w:fldChar w:fldCharType="end"/>
            </w:r>
          </w:hyperlink>
        </w:p>
        <w:p w14:paraId="6A05E7FE" w14:textId="2A45A265"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88" w:history="1">
            <w:r w:rsidRPr="0086206A">
              <w:rPr>
                <w:rStyle w:val="Hyperlink"/>
                <w:noProof/>
              </w:rPr>
              <w:t>Universal Design Housing Targets in Development Plans</w:t>
            </w:r>
            <w:r>
              <w:rPr>
                <w:noProof/>
                <w:webHidden/>
              </w:rPr>
              <w:tab/>
            </w:r>
            <w:r>
              <w:rPr>
                <w:noProof/>
                <w:webHidden/>
              </w:rPr>
              <w:fldChar w:fldCharType="begin"/>
            </w:r>
            <w:r>
              <w:rPr>
                <w:noProof/>
                <w:webHidden/>
              </w:rPr>
              <w:instrText xml:space="preserve"> PAGEREF _Toc142909788 \h </w:instrText>
            </w:r>
            <w:r>
              <w:rPr>
                <w:noProof/>
                <w:webHidden/>
              </w:rPr>
            </w:r>
            <w:r>
              <w:rPr>
                <w:noProof/>
                <w:webHidden/>
              </w:rPr>
              <w:fldChar w:fldCharType="separate"/>
            </w:r>
            <w:r>
              <w:rPr>
                <w:noProof/>
                <w:webHidden/>
              </w:rPr>
              <w:t>8</w:t>
            </w:r>
            <w:r>
              <w:rPr>
                <w:noProof/>
                <w:webHidden/>
              </w:rPr>
              <w:fldChar w:fldCharType="end"/>
            </w:r>
          </w:hyperlink>
        </w:p>
        <w:p w14:paraId="7FA1EECF" w14:textId="1A9832F8" w:rsidR="00BB258E" w:rsidRDefault="00BB258E">
          <w:pPr>
            <w:pStyle w:val="TOC1"/>
            <w:tabs>
              <w:tab w:val="right" w:leader="dot" w:pos="8630"/>
            </w:tabs>
            <w:rPr>
              <w:rFonts w:asciiTheme="minorHAnsi" w:eastAsiaTheme="minorEastAsia" w:hAnsiTheme="minorHAnsi" w:cstheme="minorBidi"/>
              <w:b w:val="0"/>
              <w:noProof/>
              <w:sz w:val="22"/>
              <w:szCs w:val="22"/>
              <w:lang w:eastAsia="en-IE"/>
            </w:rPr>
          </w:pPr>
          <w:hyperlink w:anchor="_Toc142909789" w:history="1">
            <w:r w:rsidRPr="0086206A">
              <w:rPr>
                <w:rStyle w:val="Hyperlink"/>
                <w:noProof/>
              </w:rPr>
              <w:t>Recent developments in Universal Design in the Built Environment</w:t>
            </w:r>
            <w:r>
              <w:rPr>
                <w:noProof/>
                <w:webHidden/>
              </w:rPr>
              <w:tab/>
            </w:r>
            <w:r>
              <w:rPr>
                <w:noProof/>
                <w:webHidden/>
              </w:rPr>
              <w:fldChar w:fldCharType="begin"/>
            </w:r>
            <w:r>
              <w:rPr>
                <w:noProof/>
                <w:webHidden/>
              </w:rPr>
              <w:instrText xml:space="preserve"> PAGEREF _Toc142909789 \h </w:instrText>
            </w:r>
            <w:r>
              <w:rPr>
                <w:noProof/>
                <w:webHidden/>
              </w:rPr>
            </w:r>
            <w:r>
              <w:rPr>
                <w:noProof/>
                <w:webHidden/>
              </w:rPr>
              <w:fldChar w:fldCharType="separate"/>
            </w:r>
            <w:r>
              <w:rPr>
                <w:noProof/>
                <w:webHidden/>
              </w:rPr>
              <w:t>9</w:t>
            </w:r>
            <w:r>
              <w:rPr>
                <w:noProof/>
                <w:webHidden/>
              </w:rPr>
              <w:fldChar w:fldCharType="end"/>
            </w:r>
          </w:hyperlink>
        </w:p>
        <w:p w14:paraId="02537EDA" w14:textId="64036508"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90" w:history="1">
            <w:r w:rsidRPr="0086206A">
              <w:rPr>
                <w:rStyle w:val="Hyperlink"/>
                <w:noProof/>
              </w:rPr>
              <w:t>New Standard for Accessibility and usability of the Built Environment</w:t>
            </w:r>
            <w:r>
              <w:rPr>
                <w:noProof/>
                <w:webHidden/>
              </w:rPr>
              <w:tab/>
            </w:r>
            <w:r>
              <w:rPr>
                <w:noProof/>
                <w:webHidden/>
              </w:rPr>
              <w:fldChar w:fldCharType="begin"/>
            </w:r>
            <w:r>
              <w:rPr>
                <w:noProof/>
                <w:webHidden/>
              </w:rPr>
              <w:instrText xml:space="preserve"> PAGEREF _Toc142909790 \h </w:instrText>
            </w:r>
            <w:r>
              <w:rPr>
                <w:noProof/>
                <w:webHidden/>
              </w:rPr>
            </w:r>
            <w:r>
              <w:rPr>
                <w:noProof/>
                <w:webHidden/>
              </w:rPr>
              <w:fldChar w:fldCharType="separate"/>
            </w:r>
            <w:r>
              <w:rPr>
                <w:noProof/>
                <w:webHidden/>
              </w:rPr>
              <w:t>9</w:t>
            </w:r>
            <w:r>
              <w:rPr>
                <w:noProof/>
                <w:webHidden/>
              </w:rPr>
              <w:fldChar w:fldCharType="end"/>
            </w:r>
          </w:hyperlink>
        </w:p>
        <w:p w14:paraId="58362A37" w14:textId="049933B2"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91" w:history="1">
            <w:r w:rsidRPr="0086206A">
              <w:rPr>
                <w:rStyle w:val="Hyperlink"/>
                <w:rFonts w:eastAsia="SimSun"/>
                <w:noProof/>
                <w:lang w:eastAsia="en-IE"/>
              </w:rPr>
              <w:t>Places for People, the national policy on architecture</w:t>
            </w:r>
            <w:r>
              <w:rPr>
                <w:noProof/>
                <w:webHidden/>
              </w:rPr>
              <w:tab/>
            </w:r>
            <w:r>
              <w:rPr>
                <w:noProof/>
                <w:webHidden/>
              </w:rPr>
              <w:fldChar w:fldCharType="begin"/>
            </w:r>
            <w:r>
              <w:rPr>
                <w:noProof/>
                <w:webHidden/>
              </w:rPr>
              <w:instrText xml:space="preserve"> PAGEREF _Toc142909791 \h </w:instrText>
            </w:r>
            <w:r>
              <w:rPr>
                <w:noProof/>
                <w:webHidden/>
              </w:rPr>
            </w:r>
            <w:r>
              <w:rPr>
                <w:noProof/>
                <w:webHidden/>
              </w:rPr>
              <w:fldChar w:fldCharType="separate"/>
            </w:r>
            <w:r>
              <w:rPr>
                <w:noProof/>
                <w:webHidden/>
              </w:rPr>
              <w:t>9</w:t>
            </w:r>
            <w:r>
              <w:rPr>
                <w:noProof/>
                <w:webHidden/>
              </w:rPr>
              <w:fldChar w:fldCharType="end"/>
            </w:r>
          </w:hyperlink>
        </w:p>
        <w:p w14:paraId="30FE6297" w14:textId="4C7C8A86"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92" w:history="1">
            <w:r w:rsidRPr="0086206A">
              <w:rPr>
                <w:rStyle w:val="Hyperlink"/>
                <w:noProof/>
              </w:rPr>
              <w:t>Shared Space and the public realm</w:t>
            </w:r>
            <w:r>
              <w:rPr>
                <w:noProof/>
                <w:webHidden/>
              </w:rPr>
              <w:tab/>
            </w:r>
            <w:r>
              <w:rPr>
                <w:noProof/>
                <w:webHidden/>
              </w:rPr>
              <w:fldChar w:fldCharType="begin"/>
            </w:r>
            <w:r>
              <w:rPr>
                <w:noProof/>
                <w:webHidden/>
              </w:rPr>
              <w:instrText xml:space="preserve"> PAGEREF _Toc142909792 \h </w:instrText>
            </w:r>
            <w:r>
              <w:rPr>
                <w:noProof/>
                <w:webHidden/>
              </w:rPr>
            </w:r>
            <w:r>
              <w:rPr>
                <w:noProof/>
                <w:webHidden/>
              </w:rPr>
              <w:fldChar w:fldCharType="separate"/>
            </w:r>
            <w:r>
              <w:rPr>
                <w:noProof/>
                <w:webHidden/>
              </w:rPr>
              <w:t>9</w:t>
            </w:r>
            <w:r>
              <w:rPr>
                <w:noProof/>
                <w:webHidden/>
              </w:rPr>
              <w:fldChar w:fldCharType="end"/>
            </w:r>
          </w:hyperlink>
        </w:p>
        <w:p w14:paraId="2A1906D6" w14:textId="16C0A39C"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93" w:history="1">
            <w:r w:rsidRPr="0086206A">
              <w:rPr>
                <w:rStyle w:val="Hyperlink"/>
                <w:noProof/>
              </w:rPr>
              <w:t>Universal Design Walkability Audit Tool for Roads and Streets in Ireland</w:t>
            </w:r>
            <w:r>
              <w:rPr>
                <w:noProof/>
                <w:webHidden/>
              </w:rPr>
              <w:tab/>
            </w:r>
            <w:r>
              <w:rPr>
                <w:noProof/>
                <w:webHidden/>
              </w:rPr>
              <w:fldChar w:fldCharType="begin"/>
            </w:r>
            <w:r>
              <w:rPr>
                <w:noProof/>
                <w:webHidden/>
              </w:rPr>
              <w:instrText xml:space="preserve"> PAGEREF _Toc142909793 \h </w:instrText>
            </w:r>
            <w:r>
              <w:rPr>
                <w:noProof/>
                <w:webHidden/>
              </w:rPr>
            </w:r>
            <w:r>
              <w:rPr>
                <w:noProof/>
                <w:webHidden/>
              </w:rPr>
              <w:fldChar w:fldCharType="separate"/>
            </w:r>
            <w:r>
              <w:rPr>
                <w:noProof/>
                <w:webHidden/>
              </w:rPr>
              <w:t>10</w:t>
            </w:r>
            <w:r>
              <w:rPr>
                <w:noProof/>
                <w:webHidden/>
              </w:rPr>
              <w:fldChar w:fldCharType="end"/>
            </w:r>
          </w:hyperlink>
        </w:p>
        <w:p w14:paraId="1D27FA43" w14:textId="7BE785B0"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94" w:history="1">
            <w:r w:rsidRPr="0086206A">
              <w:rPr>
                <w:rStyle w:val="Hyperlink"/>
                <w:noProof/>
              </w:rPr>
              <w:t>Changing Places Toilets</w:t>
            </w:r>
            <w:r>
              <w:rPr>
                <w:noProof/>
                <w:webHidden/>
              </w:rPr>
              <w:tab/>
            </w:r>
            <w:r>
              <w:rPr>
                <w:noProof/>
                <w:webHidden/>
              </w:rPr>
              <w:fldChar w:fldCharType="begin"/>
            </w:r>
            <w:r>
              <w:rPr>
                <w:noProof/>
                <w:webHidden/>
              </w:rPr>
              <w:instrText xml:space="preserve"> PAGEREF _Toc142909794 \h </w:instrText>
            </w:r>
            <w:r>
              <w:rPr>
                <w:noProof/>
                <w:webHidden/>
              </w:rPr>
            </w:r>
            <w:r>
              <w:rPr>
                <w:noProof/>
                <w:webHidden/>
              </w:rPr>
              <w:fldChar w:fldCharType="separate"/>
            </w:r>
            <w:r>
              <w:rPr>
                <w:noProof/>
                <w:webHidden/>
              </w:rPr>
              <w:t>11</w:t>
            </w:r>
            <w:r>
              <w:rPr>
                <w:noProof/>
                <w:webHidden/>
              </w:rPr>
              <w:fldChar w:fldCharType="end"/>
            </w:r>
          </w:hyperlink>
        </w:p>
        <w:p w14:paraId="21B8B0DC" w14:textId="0F9BE2B1"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95" w:history="1">
            <w:r w:rsidRPr="0086206A">
              <w:rPr>
                <w:rStyle w:val="Hyperlink"/>
                <w:noProof/>
              </w:rPr>
              <w:t>Heritage sites</w:t>
            </w:r>
            <w:r>
              <w:rPr>
                <w:noProof/>
                <w:webHidden/>
              </w:rPr>
              <w:tab/>
            </w:r>
            <w:r>
              <w:rPr>
                <w:noProof/>
                <w:webHidden/>
              </w:rPr>
              <w:fldChar w:fldCharType="begin"/>
            </w:r>
            <w:r>
              <w:rPr>
                <w:noProof/>
                <w:webHidden/>
              </w:rPr>
              <w:instrText xml:space="preserve"> PAGEREF _Toc142909795 \h </w:instrText>
            </w:r>
            <w:r>
              <w:rPr>
                <w:noProof/>
                <w:webHidden/>
              </w:rPr>
            </w:r>
            <w:r>
              <w:rPr>
                <w:noProof/>
                <w:webHidden/>
              </w:rPr>
              <w:fldChar w:fldCharType="separate"/>
            </w:r>
            <w:r>
              <w:rPr>
                <w:noProof/>
                <w:webHidden/>
              </w:rPr>
              <w:t>11</w:t>
            </w:r>
            <w:r>
              <w:rPr>
                <w:noProof/>
                <w:webHidden/>
              </w:rPr>
              <w:fldChar w:fldCharType="end"/>
            </w:r>
          </w:hyperlink>
        </w:p>
        <w:p w14:paraId="4565BD91" w14:textId="71E5DA18" w:rsidR="00BB258E" w:rsidRDefault="00BB258E">
          <w:pPr>
            <w:pStyle w:val="TOC1"/>
            <w:tabs>
              <w:tab w:val="right" w:leader="dot" w:pos="8630"/>
            </w:tabs>
            <w:rPr>
              <w:rFonts w:asciiTheme="minorHAnsi" w:eastAsiaTheme="minorEastAsia" w:hAnsiTheme="minorHAnsi" w:cstheme="minorBidi"/>
              <w:b w:val="0"/>
              <w:noProof/>
              <w:sz w:val="22"/>
              <w:szCs w:val="22"/>
              <w:lang w:eastAsia="en-IE"/>
            </w:rPr>
          </w:pPr>
          <w:hyperlink w:anchor="_Toc142909796" w:history="1">
            <w:r w:rsidRPr="0086206A">
              <w:rPr>
                <w:rStyle w:val="Hyperlink"/>
                <w:rFonts w:eastAsia="Calibri"/>
                <w:noProof/>
              </w:rPr>
              <w:t>Accessible voting</w:t>
            </w:r>
            <w:r>
              <w:rPr>
                <w:noProof/>
                <w:webHidden/>
              </w:rPr>
              <w:tab/>
            </w:r>
            <w:r>
              <w:rPr>
                <w:noProof/>
                <w:webHidden/>
              </w:rPr>
              <w:fldChar w:fldCharType="begin"/>
            </w:r>
            <w:r>
              <w:rPr>
                <w:noProof/>
                <w:webHidden/>
              </w:rPr>
              <w:instrText xml:space="preserve"> PAGEREF _Toc142909796 \h </w:instrText>
            </w:r>
            <w:r>
              <w:rPr>
                <w:noProof/>
                <w:webHidden/>
              </w:rPr>
            </w:r>
            <w:r>
              <w:rPr>
                <w:noProof/>
                <w:webHidden/>
              </w:rPr>
              <w:fldChar w:fldCharType="separate"/>
            </w:r>
            <w:r>
              <w:rPr>
                <w:noProof/>
                <w:webHidden/>
              </w:rPr>
              <w:t>12</w:t>
            </w:r>
            <w:r>
              <w:rPr>
                <w:noProof/>
                <w:webHidden/>
              </w:rPr>
              <w:fldChar w:fldCharType="end"/>
            </w:r>
          </w:hyperlink>
        </w:p>
        <w:p w14:paraId="6B262EC0" w14:textId="69EF1BAF"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97" w:history="1">
            <w:r w:rsidRPr="0086206A">
              <w:rPr>
                <w:rStyle w:val="Hyperlink"/>
                <w:noProof/>
              </w:rPr>
              <w:t>Assisted Decision-Making (Capacity) Act 2015</w:t>
            </w:r>
            <w:r>
              <w:rPr>
                <w:noProof/>
                <w:webHidden/>
              </w:rPr>
              <w:tab/>
            </w:r>
            <w:r>
              <w:rPr>
                <w:noProof/>
                <w:webHidden/>
              </w:rPr>
              <w:fldChar w:fldCharType="begin"/>
            </w:r>
            <w:r>
              <w:rPr>
                <w:noProof/>
                <w:webHidden/>
              </w:rPr>
              <w:instrText xml:space="preserve"> PAGEREF _Toc142909797 \h </w:instrText>
            </w:r>
            <w:r>
              <w:rPr>
                <w:noProof/>
                <w:webHidden/>
              </w:rPr>
            </w:r>
            <w:r>
              <w:rPr>
                <w:noProof/>
                <w:webHidden/>
              </w:rPr>
              <w:fldChar w:fldCharType="separate"/>
            </w:r>
            <w:r>
              <w:rPr>
                <w:noProof/>
                <w:webHidden/>
              </w:rPr>
              <w:t>12</w:t>
            </w:r>
            <w:r>
              <w:rPr>
                <w:noProof/>
                <w:webHidden/>
              </w:rPr>
              <w:fldChar w:fldCharType="end"/>
            </w:r>
          </w:hyperlink>
        </w:p>
        <w:p w14:paraId="32DC7C1A" w14:textId="2E81485D"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798" w:history="1">
            <w:r w:rsidRPr="0086206A">
              <w:rPr>
                <w:rStyle w:val="Hyperlink"/>
                <w:noProof/>
              </w:rPr>
              <w:t>Election candidates with disabilities</w:t>
            </w:r>
            <w:r>
              <w:rPr>
                <w:noProof/>
                <w:webHidden/>
              </w:rPr>
              <w:tab/>
            </w:r>
            <w:r>
              <w:rPr>
                <w:noProof/>
                <w:webHidden/>
              </w:rPr>
              <w:fldChar w:fldCharType="begin"/>
            </w:r>
            <w:r>
              <w:rPr>
                <w:noProof/>
                <w:webHidden/>
              </w:rPr>
              <w:instrText xml:space="preserve"> PAGEREF _Toc142909798 \h </w:instrText>
            </w:r>
            <w:r>
              <w:rPr>
                <w:noProof/>
                <w:webHidden/>
              </w:rPr>
            </w:r>
            <w:r>
              <w:rPr>
                <w:noProof/>
                <w:webHidden/>
              </w:rPr>
              <w:fldChar w:fldCharType="separate"/>
            </w:r>
            <w:r>
              <w:rPr>
                <w:noProof/>
                <w:webHidden/>
              </w:rPr>
              <w:t>13</w:t>
            </w:r>
            <w:r>
              <w:rPr>
                <w:noProof/>
                <w:webHidden/>
              </w:rPr>
              <w:fldChar w:fldCharType="end"/>
            </w:r>
          </w:hyperlink>
        </w:p>
        <w:p w14:paraId="4F91D121" w14:textId="4EFCDE21" w:rsidR="00BB258E" w:rsidRDefault="00BB258E">
          <w:pPr>
            <w:pStyle w:val="TOC1"/>
            <w:tabs>
              <w:tab w:val="right" w:leader="dot" w:pos="8630"/>
            </w:tabs>
            <w:rPr>
              <w:rFonts w:asciiTheme="minorHAnsi" w:eastAsiaTheme="minorEastAsia" w:hAnsiTheme="minorHAnsi" w:cstheme="minorBidi"/>
              <w:b w:val="0"/>
              <w:noProof/>
              <w:sz w:val="22"/>
              <w:szCs w:val="22"/>
              <w:lang w:eastAsia="en-IE"/>
            </w:rPr>
          </w:pPr>
          <w:hyperlink w:anchor="_Toc142909799" w:history="1">
            <w:r w:rsidRPr="0086206A">
              <w:rPr>
                <w:rStyle w:val="Hyperlink"/>
                <w:rFonts w:eastAsia="SimSun"/>
                <w:noProof/>
                <w:lang w:eastAsia="en-IE"/>
              </w:rPr>
              <w:t>Statutory Obligations</w:t>
            </w:r>
            <w:r>
              <w:rPr>
                <w:noProof/>
                <w:webHidden/>
              </w:rPr>
              <w:tab/>
            </w:r>
            <w:r>
              <w:rPr>
                <w:noProof/>
                <w:webHidden/>
              </w:rPr>
              <w:fldChar w:fldCharType="begin"/>
            </w:r>
            <w:r>
              <w:rPr>
                <w:noProof/>
                <w:webHidden/>
              </w:rPr>
              <w:instrText xml:space="preserve"> PAGEREF _Toc142909799 \h </w:instrText>
            </w:r>
            <w:r>
              <w:rPr>
                <w:noProof/>
                <w:webHidden/>
              </w:rPr>
            </w:r>
            <w:r>
              <w:rPr>
                <w:noProof/>
                <w:webHidden/>
              </w:rPr>
              <w:fldChar w:fldCharType="separate"/>
            </w:r>
            <w:r>
              <w:rPr>
                <w:noProof/>
                <w:webHidden/>
              </w:rPr>
              <w:t>13</w:t>
            </w:r>
            <w:r>
              <w:rPr>
                <w:noProof/>
                <w:webHidden/>
              </w:rPr>
              <w:fldChar w:fldCharType="end"/>
            </w:r>
          </w:hyperlink>
        </w:p>
        <w:p w14:paraId="2810B71B" w14:textId="59A1DF03"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800" w:history="1">
            <w:r w:rsidRPr="0086206A">
              <w:rPr>
                <w:rStyle w:val="Hyperlink"/>
                <w:rFonts w:eastAsia="SimSun"/>
                <w:noProof/>
                <w:lang w:eastAsia="en-IE"/>
              </w:rPr>
              <w:t>Compliance with Part 5 of the Disability Act 2005</w:t>
            </w:r>
            <w:r>
              <w:rPr>
                <w:noProof/>
                <w:webHidden/>
              </w:rPr>
              <w:tab/>
            </w:r>
            <w:r>
              <w:rPr>
                <w:noProof/>
                <w:webHidden/>
              </w:rPr>
              <w:fldChar w:fldCharType="begin"/>
            </w:r>
            <w:r>
              <w:rPr>
                <w:noProof/>
                <w:webHidden/>
              </w:rPr>
              <w:instrText xml:space="preserve"> PAGEREF _Toc142909800 \h </w:instrText>
            </w:r>
            <w:r>
              <w:rPr>
                <w:noProof/>
                <w:webHidden/>
              </w:rPr>
            </w:r>
            <w:r>
              <w:rPr>
                <w:noProof/>
                <w:webHidden/>
              </w:rPr>
              <w:fldChar w:fldCharType="separate"/>
            </w:r>
            <w:r>
              <w:rPr>
                <w:noProof/>
                <w:webHidden/>
              </w:rPr>
              <w:t>13</w:t>
            </w:r>
            <w:r>
              <w:rPr>
                <w:noProof/>
                <w:webHidden/>
              </w:rPr>
              <w:fldChar w:fldCharType="end"/>
            </w:r>
          </w:hyperlink>
        </w:p>
        <w:p w14:paraId="244D51AA" w14:textId="63B74B02"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801" w:history="1">
            <w:r w:rsidRPr="0086206A">
              <w:rPr>
                <w:rStyle w:val="Hyperlink"/>
                <w:rFonts w:eastAsia="SimSun"/>
                <w:noProof/>
                <w:lang w:eastAsia="en-IE"/>
              </w:rPr>
              <w:t>EU Web Accessibility Obligations</w:t>
            </w:r>
            <w:r>
              <w:rPr>
                <w:noProof/>
                <w:webHidden/>
              </w:rPr>
              <w:tab/>
            </w:r>
            <w:r>
              <w:rPr>
                <w:noProof/>
                <w:webHidden/>
              </w:rPr>
              <w:fldChar w:fldCharType="begin"/>
            </w:r>
            <w:r>
              <w:rPr>
                <w:noProof/>
                <w:webHidden/>
              </w:rPr>
              <w:instrText xml:space="preserve"> PAGEREF _Toc142909801 \h </w:instrText>
            </w:r>
            <w:r>
              <w:rPr>
                <w:noProof/>
                <w:webHidden/>
              </w:rPr>
            </w:r>
            <w:r>
              <w:rPr>
                <w:noProof/>
                <w:webHidden/>
              </w:rPr>
              <w:fldChar w:fldCharType="separate"/>
            </w:r>
            <w:r>
              <w:rPr>
                <w:noProof/>
                <w:webHidden/>
              </w:rPr>
              <w:t>14</w:t>
            </w:r>
            <w:r>
              <w:rPr>
                <w:noProof/>
                <w:webHidden/>
              </w:rPr>
              <w:fldChar w:fldCharType="end"/>
            </w:r>
          </w:hyperlink>
        </w:p>
        <w:p w14:paraId="4542ABD7" w14:textId="39190D7F"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802" w:history="1">
            <w:r w:rsidRPr="0086206A">
              <w:rPr>
                <w:rStyle w:val="Hyperlink"/>
                <w:rFonts w:eastAsia="SimSun"/>
                <w:noProof/>
              </w:rPr>
              <w:t>European Accessibility Act (EAA)</w:t>
            </w:r>
            <w:r>
              <w:rPr>
                <w:noProof/>
                <w:webHidden/>
              </w:rPr>
              <w:tab/>
            </w:r>
            <w:r>
              <w:rPr>
                <w:noProof/>
                <w:webHidden/>
              </w:rPr>
              <w:fldChar w:fldCharType="begin"/>
            </w:r>
            <w:r>
              <w:rPr>
                <w:noProof/>
                <w:webHidden/>
              </w:rPr>
              <w:instrText xml:space="preserve"> PAGEREF _Toc142909802 \h </w:instrText>
            </w:r>
            <w:r>
              <w:rPr>
                <w:noProof/>
                <w:webHidden/>
              </w:rPr>
            </w:r>
            <w:r>
              <w:rPr>
                <w:noProof/>
                <w:webHidden/>
              </w:rPr>
              <w:fldChar w:fldCharType="separate"/>
            </w:r>
            <w:r>
              <w:rPr>
                <w:noProof/>
                <w:webHidden/>
              </w:rPr>
              <w:t>15</w:t>
            </w:r>
            <w:r>
              <w:rPr>
                <w:noProof/>
                <w:webHidden/>
              </w:rPr>
              <w:fldChar w:fldCharType="end"/>
            </w:r>
          </w:hyperlink>
        </w:p>
        <w:p w14:paraId="29C74314" w14:textId="5575263E"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803" w:history="1">
            <w:r w:rsidRPr="0086206A">
              <w:rPr>
                <w:rStyle w:val="Hyperlink"/>
                <w:noProof/>
                <w:lang w:eastAsia="en-IE"/>
              </w:rPr>
              <w:t>Compliance with Part 3 of Disability Act 2005</w:t>
            </w:r>
            <w:r>
              <w:rPr>
                <w:noProof/>
                <w:webHidden/>
              </w:rPr>
              <w:tab/>
            </w:r>
            <w:r>
              <w:rPr>
                <w:noProof/>
                <w:webHidden/>
              </w:rPr>
              <w:fldChar w:fldCharType="begin"/>
            </w:r>
            <w:r>
              <w:rPr>
                <w:noProof/>
                <w:webHidden/>
              </w:rPr>
              <w:instrText xml:space="preserve"> PAGEREF _Toc142909803 \h </w:instrText>
            </w:r>
            <w:r>
              <w:rPr>
                <w:noProof/>
                <w:webHidden/>
              </w:rPr>
            </w:r>
            <w:r>
              <w:rPr>
                <w:noProof/>
                <w:webHidden/>
              </w:rPr>
              <w:fldChar w:fldCharType="separate"/>
            </w:r>
            <w:r>
              <w:rPr>
                <w:noProof/>
                <w:webHidden/>
              </w:rPr>
              <w:t>16</w:t>
            </w:r>
            <w:r>
              <w:rPr>
                <w:noProof/>
                <w:webHidden/>
              </w:rPr>
              <w:fldChar w:fldCharType="end"/>
            </w:r>
          </w:hyperlink>
        </w:p>
        <w:p w14:paraId="5C65264A" w14:textId="65C47873"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804" w:history="1">
            <w:r w:rsidRPr="0086206A">
              <w:rPr>
                <w:rStyle w:val="Hyperlink"/>
                <w:noProof/>
                <w:lang w:eastAsia="en-IE"/>
              </w:rPr>
              <w:t>Procurement Requirements</w:t>
            </w:r>
            <w:r>
              <w:rPr>
                <w:noProof/>
                <w:webHidden/>
              </w:rPr>
              <w:tab/>
            </w:r>
            <w:r>
              <w:rPr>
                <w:noProof/>
                <w:webHidden/>
              </w:rPr>
              <w:fldChar w:fldCharType="begin"/>
            </w:r>
            <w:r>
              <w:rPr>
                <w:noProof/>
                <w:webHidden/>
              </w:rPr>
              <w:instrText xml:space="preserve"> PAGEREF _Toc142909804 \h </w:instrText>
            </w:r>
            <w:r>
              <w:rPr>
                <w:noProof/>
                <w:webHidden/>
              </w:rPr>
            </w:r>
            <w:r>
              <w:rPr>
                <w:noProof/>
                <w:webHidden/>
              </w:rPr>
              <w:fldChar w:fldCharType="separate"/>
            </w:r>
            <w:r>
              <w:rPr>
                <w:noProof/>
                <w:webHidden/>
              </w:rPr>
              <w:t>16</w:t>
            </w:r>
            <w:r>
              <w:rPr>
                <w:noProof/>
                <w:webHidden/>
              </w:rPr>
              <w:fldChar w:fldCharType="end"/>
            </w:r>
          </w:hyperlink>
        </w:p>
        <w:p w14:paraId="2F7ABE6C" w14:textId="2C2D2213"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805" w:history="1">
            <w:r w:rsidRPr="0086206A">
              <w:rPr>
                <w:rStyle w:val="Hyperlink"/>
                <w:noProof/>
                <w:lang w:eastAsia="en-IE"/>
              </w:rPr>
              <w:t>Requirement for Accessible Public Buildings under Section 25</w:t>
            </w:r>
            <w:r>
              <w:rPr>
                <w:noProof/>
                <w:webHidden/>
              </w:rPr>
              <w:tab/>
            </w:r>
            <w:r>
              <w:rPr>
                <w:noProof/>
                <w:webHidden/>
              </w:rPr>
              <w:fldChar w:fldCharType="begin"/>
            </w:r>
            <w:r>
              <w:rPr>
                <w:noProof/>
                <w:webHidden/>
              </w:rPr>
              <w:instrText xml:space="preserve"> PAGEREF _Toc142909805 \h </w:instrText>
            </w:r>
            <w:r>
              <w:rPr>
                <w:noProof/>
                <w:webHidden/>
              </w:rPr>
            </w:r>
            <w:r>
              <w:rPr>
                <w:noProof/>
                <w:webHidden/>
              </w:rPr>
              <w:fldChar w:fldCharType="separate"/>
            </w:r>
            <w:r>
              <w:rPr>
                <w:noProof/>
                <w:webHidden/>
              </w:rPr>
              <w:t>17</w:t>
            </w:r>
            <w:r>
              <w:rPr>
                <w:noProof/>
                <w:webHidden/>
              </w:rPr>
              <w:fldChar w:fldCharType="end"/>
            </w:r>
          </w:hyperlink>
        </w:p>
        <w:p w14:paraId="12E81166" w14:textId="4E6EC0E1" w:rsidR="00BB258E" w:rsidRDefault="00BB258E">
          <w:pPr>
            <w:pStyle w:val="TOC2"/>
            <w:tabs>
              <w:tab w:val="right" w:leader="dot" w:pos="8630"/>
            </w:tabs>
            <w:rPr>
              <w:rFonts w:asciiTheme="minorHAnsi" w:eastAsiaTheme="minorEastAsia" w:hAnsiTheme="minorHAnsi" w:cstheme="minorBidi"/>
              <w:noProof/>
              <w:sz w:val="22"/>
              <w:szCs w:val="22"/>
              <w:lang w:eastAsia="en-IE"/>
            </w:rPr>
          </w:pPr>
          <w:hyperlink w:anchor="_Toc142909806" w:history="1">
            <w:r w:rsidRPr="0086206A">
              <w:rPr>
                <w:rStyle w:val="Hyperlink"/>
                <w:rFonts w:eastAsia="SimSun"/>
                <w:noProof/>
                <w:lang w:eastAsia="en-IE"/>
              </w:rPr>
              <w:t>Irish Sign Language Act 2017</w:t>
            </w:r>
            <w:r>
              <w:rPr>
                <w:noProof/>
                <w:webHidden/>
              </w:rPr>
              <w:tab/>
            </w:r>
            <w:r>
              <w:rPr>
                <w:noProof/>
                <w:webHidden/>
              </w:rPr>
              <w:fldChar w:fldCharType="begin"/>
            </w:r>
            <w:r>
              <w:rPr>
                <w:noProof/>
                <w:webHidden/>
              </w:rPr>
              <w:instrText xml:space="preserve"> PAGEREF _Toc142909806 \h </w:instrText>
            </w:r>
            <w:r>
              <w:rPr>
                <w:noProof/>
                <w:webHidden/>
              </w:rPr>
            </w:r>
            <w:r>
              <w:rPr>
                <w:noProof/>
                <w:webHidden/>
              </w:rPr>
              <w:fldChar w:fldCharType="separate"/>
            </w:r>
            <w:r>
              <w:rPr>
                <w:noProof/>
                <w:webHidden/>
              </w:rPr>
              <w:t>18</w:t>
            </w:r>
            <w:r>
              <w:rPr>
                <w:noProof/>
                <w:webHidden/>
              </w:rPr>
              <w:fldChar w:fldCharType="end"/>
            </w:r>
          </w:hyperlink>
        </w:p>
        <w:p w14:paraId="27397903" w14:textId="6406BD00" w:rsidR="0081311B" w:rsidRPr="00BB258E" w:rsidRDefault="00BB258E" w:rsidP="00BB258E">
          <w:pPr>
            <w:pStyle w:val="TOC1"/>
            <w:tabs>
              <w:tab w:val="right" w:leader="dot" w:pos="8630"/>
            </w:tabs>
            <w:rPr>
              <w:rFonts w:asciiTheme="minorHAnsi" w:eastAsiaTheme="minorEastAsia" w:hAnsiTheme="minorHAnsi" w:cstheme="minorBidi"/>
              <w:b w:val="0"/>
              <w:noProof/>
              <w:sz w:val="22"/>
              <w:szCs w:val="22"/>
              <w:lang w:eastAsia="en-IE"/>
            </w:rPr>
          </w:pPr>
          <w:hyperlink w:anchor="_Toc142909807" w:history="1">
            <w:r w:rsidRPr="0086206A">
              <w:rPr>
                <w:rStyle w:val="Hyperlink"/>
                <w:noProof/>
              </w:rPr>
              <w:t>Conclusion</w:t>
            </w:r>
            <w:r>
              <w:rPr>
                <w:noProof/>
                <w:webHidden/>
              </w:rPr>
              <w:tab/>
            </w:r>
            <w:r>
              <w:rPr>
                <w:noProof/>
                <w:webHidden/>
              </w:rPr>
              <w:fldChar w:fldCharType="begin"/>
            </w:r>
            <w:r>
              <w:rPr>
                <w:noProof/>
                <w:webHidden/>
              </w:rPr>
              <w:instrText xml:space="preserve"> PAGEREF _Toc142909807 \h </w:instrText>
            </w:r>
            <w:r>
              <w:rPr>
                <w:noProof/>
                <w:webHidden/>
              </w:rPr>
            </w:r>
            <w:r>
              <w:rPr>
                <w:noProof/>
                <w:webHidden/>
              </w:rPr>
              <w:fldChar w:fldCharType="separate"/>
            </w:r>
            <w:r>
              <w:rPr>
                <w:noProof/>
                <w:webHidden/>
              </w:rPr>
              <w:t>19</w:t>
            </w:r>
            <w:r>
              <w:rPr>
                <w:noProof/>
                <w:webHidden/>
              </w:rPr>
              <w:fldChar w:fldCharType="end"/>
            </w:r>
          </w:hyperlink>
          <w:r w:rsidR="0081311B">
            <w:rPr>
              <w:b w:val="0"/>
              <w:bCs/>
              <w:noProof/>
            </w:rPr>
            <w:fldChar w:fldCharType="end"/>
          </w:r>
        </w:p>
      </w:sdtContent>
    </w:sdt>
    <w:p w14:paraId="24DB76F0" w14:textId="638A186E" w:rsidR="0081311B" w:rsidRDefault="0081311B">
      <w:pPr>
        <w:spacing w:after="0"/>
      </w:pPr>
      <w:r>
        <w:br w:type="page"/>
      </w:r>
    </w:p>
    <w:p w14:paraId="619876D9" w14:textId="77777777" w:rsidR="009C3BD7" w:rsidRPr="009C1F21" w:rsidRDefault="002D05B0" w:rsidP="007336EA">
      <w:pPr>
        <w:pStyle w:val="Heading1"/>
      </w:pPr>
      <w:bookmarkStart w:id="16" w:name="_Toc142909777"/>
      <w:r w:rsidRPr="009C1F21">
        <w:lastRenderedPageBreak/>
        <w:t>Introduction</w:t>
      </w:r>
      <w:bookmarkEnd w:id="16"/>
    </w:p>
    <w:p w14:paraId="31145B8B" w14:textId="32C8FD7E" w:rsidR="00E6609A" w:rsidRPr="009C1F21" w:rsidRDefault="00E6609A" w:rsidP="00E6609A">
      <w:pPr>
        <w:pStyle w:val="Default"/>
        <w:rPr>
          <w:color w:val="auto"/>
          <w:sz w:val="26"/>
          <w:szCs w:val="26"/>
        </w:rPr>
      </w:pPr>
      <w:r w:rsidRPr="009C1F21">
        <w:rPr>
          <w:color w:val="auto"/>
          <w:sz w:val="26"/>
          <w:szCs w:val="26"/>
        </w:rPr>
        <w:t>The National Disability Authority (NDA) is the independent statutory body with a duty to provide information and evidence-informed advice to Government and officials in the public sector on disability matters, and to promote Universal Design. Th</w:t>
      </w:r>
      <w:r w:rsidR="00E5541F" w:rsidRPr="009C1F21">
        <w:rPr>
          <w:color w:val="auto"/>
          <w:sz w:val="26"/>
          <w:szCs w:val="26"/>
        </w:rPr>
        <w:t>is</w:t>
      </w:r>
      <w:r w:rsidRPr="009C1F21">
        <w:rPr>
          <w:color w:val="auto"/>
          <w:sz w:val="26"/>
          <w:szCs w:val="26"/>
        </w:rPr>
        <w:t xml:space="preserve"> </w:t>
      </w:r>
      <w:r w:rsidR="00E5541F" w:rsidRPr="009C1F21">
        <w:rPr>
          <w:color w:val="auto"/>
          <w:sz w:val="26"/>
          <w:szCs w:val="26"/>
        </w:rPr>
        <w:t>s</w:t>
      </w:r>
      <w:r w:rsidR="00C7298E" w:rsidRPr="009C1F21">
        <w:rPr>
          <w:color w:val="auto"/>
          <w:sz w:val="26"/>
          <w:szCs w:val="26"/>
        </w:rPr>
        <w:t xml:space="preserve">ubmission </w:t>
      </w:r>
      <w:r w:rsidR="00E5541F" w:rsidRPr="009C1F21">
        <w:rPr>
          <w:color w:val="auto"/>
          <w:sz w:val="26"/>
          <w:szCs w:val="26"/>
        </w:rPr>
        <w:t>on the</w:t>
      </w:r>
      <w:r w:rsidR="00C7298E" w:rsidRPr="009C1F21">
        <w:rPr>
          <w:color w:val="auto"/>
          <w:sz w:val="26"/>
          <w:szCs w:val="26"/>
        </w:rPr>
        <w:t xml:space="preserve"> </w:t>
      </w:r>
      <w:r w:rsidR="00EA1046" w:rsidRPr="009C1F21">
        <w:rPr>
          <w:color w:val="auto"/>
          <w:sz w:val="26"/>
          <w:szCs w:val="26"/>
        </w:rPr>
        <w:t>Statement</w:t>
      </w:r>
      <w:r w:rsidR="00425E44">
        <w:rPr>
          <w:color w:val="auto"/>
          <w:sz w:val="26"/>
          <w:szCs w:val="26"/>
        </w:rPr>
        <w:t xml:space="preserve"> of Strategy 2023-2025</w:t>
      </w:r>
      <w:r w:rsidRPr="009C1F21">
        <w:rPr>
          <w:color w:val="auto"/>
          <w:sz w:val="26"/>
          <w:szCs w:val="26"/>
        </w:rPr>
        <w:t xml:space="preserve"> address</w:t>
      </w:r>
      <w:r w:rsidR="00894724" w:rsidRPr="009C1F21">
        <w:rPr>
          <w:color w:val="auto"/>
          <w:sz w:val="26"/>
          <w:szCs w:val="26"/>
        </w:rPr>
        <w:t>es</w:t>
      </w:r>
      <w:r w:rsidRPr="009C1F21">
        <w:rPr>
          <w:color w:val="auto"/>
          <w:sz w:val="26"/>
          <w:szCs w:val="26"/>
        </w:rPr>
        <w:t xml:space="preserve"> issues related to </w:t>
      </w:r>
      <w:r w:rsidR="00EA1046" w:rsidRPr="009C1F21">
        <w:rPr>
          <w:color w:val="auto"/>
          <w:sz w:val="26"/>
          <w:szCs w:val="26"/>
        </w:rPr>
        <w:t>this</w:t>
      </w:r>
      <w:r w:rsidR="004351C9">
        <w:rPr>
          <w:color w:val="auto"/>
          <w:sz w:val="26"/>
          <w:szCs w:val="26"/>
        </w:rPr>
        <w:t xml:space="preserve"> D</w:t>
      </w:r>
      <w:r w:rsidRPr="009C1F21">
        <w:rPr>
          <w:color w:val="auto"/>
          <w:sz w:val="26"/>
          <w:szCs w:val="26"/>
        </w:rPr>
        <w:t xml:space="preserve">epartment’s remit which fall within the NDA’s competencies and expertise. </w:t>
      </w:r>
    </w:p>
    <w:p w14:paraId="7508AEDF" w14:textId="77777777" w:rsidR="00E6609A" w:rsidRPr="009C1F21" w:rsidRDefault="00E6609A" w:rsidP="00E6609A">
      <w:pPr>
        <w:pStyle w:val="Default"/>
        <w:rPr>
          <w:color w:val="auto"/>
          <w:sz w:val="26"/>
          <w:szCs w:val="26"/>
        </w:rPr>
      </w:pPr>
    </w:p>
    <w:p w14:paraId="4FF96E11" w14:textId="7DF4B9D9" w:rsidR="00425E44" w:rsidRDefault="00B6200F" w:rsidP="007233A8">
      <w:pPr>
        <w:pStyle w:val="Default"/>
        <w:rPr>
          <w:color w:val="auto"/>
          <w:sz w:val="26"/>
          <w:szCs w:val="26"/>
        </w:rPr>
      </w:pPr>
      <w:r w:rsidRPr="009C1F21">
        <w:rPr>
          <w:color w:val="auto"/>
          <w:sz w:val="26"/>
          <w:szCs w:val="26"/>
        </w:rPr>
        <w:t xml:space="preserve">The NDA recommends that the Department </w:t>
      </w:r>
      <w:r w:rsidR="004351C9" w:rsidRPr="004351C9">
        <w:rPr>
          <w:color w:val="auto"/>
          <w:sz w:val="26"/>
          <w:szCs w:val="26"/>
        </w:rPr>
        <w:t>of Housing</w:t>
      </w:r>
      <w:r w:rsidR="004351C9">
        <w:rPr>
          <w:color w:val="auto"/>
          <w:sz w:val="26"/>
          <w:szCs w:val="26"/>
        </w:rPr>
        <w:t>,</w:t>
      </w:r>
      <w:r w:rsidR="004351C9" w:rsidRPr="004351C9">
        <w:rPr>
          <w:color w:val="auto"/>
          <w:sz w:val="26"/>
          <w:szCs w:val="26"/>
        </w:rPr>
        <w:t xml:space="preserve"> Local Government and Heritage</w:t>
      </w:r>
      <w:r w:rsidRPr="009C1F21">
        <w:rPr>
          <w:color w:val="auto"/>
          <w:sz w:val="26"/>
          <w:szCs w:val="26"/>
        </w:rPr>
        <w:t xml:space="preserve"> </w:t>
      </w:r>
      <w:r w:rsidR="00F03522" w:rsidRPr="009C1F21">
        <w:rPr>
          <w:color w:val="auto"/>
          <w:sz w:val="26"/>
          <w:szCs w:val="26"/>
        </w:rPr>
        <w:t>include</w:t>
      </w:r>
      <w:r w:rsidR="00425E44">
        <w:rPr>
          <w:color w:val="auto"/>
          <w:sz w:val="26"/>
          <w:szCs w:val="26"/>
        </w:rPr>
        <w:t>s</w:t>
      </w:r>
      <w:r w:rsidR="00A36286" w:rsidRPr="009C1F21">
        <w:rPr>
          <w:color w:val="auto"/>
          <w:sz w:val="26"/>
          <w:szCs w:val="26"/>
        </w:rPr>
        <w:t xml:space="preserve"> clear commitments in this new Statement of Strategy </w:t>
      </w:r>
      <w:proofErr w:type="gramStart"/>
      <w:r w:rsidR="00A36286" w:rsidRPr="009C1F21">
        <w:rPr>
          <w:color w:val="auto"/>
          <w:sz w:val="26"/>
          <w:szCs w:val="26"/>
        </w:rPr>
        <w:t>with regard to</w:t>
      </w:r>
      <w:proofErr w:type="gramEnd"/>
      <w:r w:rsidR="00A36286" w:rsidRPr="009C1F21">
        <w:rPr>
          <w:color w:val="auto"/>
          <w:sz w:val="26"/>
          <w:szCs w:val="26"/>
        </w:rPr>
        <w:t xml:space="preserve"> how services and supports within its remit will be provided to members of the public with disabilities. </w:t>
      </w:r>
    </w:p>
    <w:p w14:paraId="2EA8CA45" w14:textId="77777777" w:rsidR="00425E44" w:rsidRDefault="00425E44" w:rsidP="007233A8">
      <w:pPr>
        <w:pStyle w:val="Default"/>
        <w:rPr>
          <w:color w:val="auto"/>
          <w:sz w:val="26"/>
          <w:szCs w:val="26"/>
        </w:rPr>
      </w:pPr>
    </w:p>
    <w:p w14:paraId="692996DF" w14:textId="538E33AC" w:rsidR="00C46DB9" w:rsidRDefault="00CD1785" w:rsidP="007233A8">
      <w:pPr>
        <w:pStyle w:val="Default"/>
        <w:rPr>
          <w:color w:val="auto"/>
          <w:sz w:val="26"/>
          <w:szCs w:val="26"/>
        </w:rPr>
      </w:pPr>
      <w:r w:rsidRPr="009C1F21">
        <w:rPr>
          <w:color w:val="auto"/>
          <w:sz w:val="26"/>
          <w:szCs w:val="26"/>
        </w:rPr>
        <w:t>A clear statement confirming the</w:t>
      </w:r>
      <w:r w:rsidR="00567FA0" w:rsidRPr="009C1F21">
        <w:rPr>
          <w:color w:val="auto"/>
          <w:sz w:val="26"/>
          <w:szCs w:val="26"/>
        </w:rPr>
        <w:t xml:space="preserve"> Government</w:t>
      </w:r>
      <w:r w:rsidRPr="009C1F21">
        <w:rPr>
          <w:color w:val="auto"/>
          <w:sz w:val="26"/>
          <w:szCs w:val="26"/>
        </w:rPr>
        <w:t>’s</w:t>
      </w:r>
      <w:r w:rsidR="00567FA0" w:rsidRPr="009C1F21">
        <w:rPr>
          <w:color w:val="auto"/>
          <w:sz w:val="26"/>
          <w:szCs w:val="26"/>
        </w:rPr>
        <w:t xml:space="preserve"> policy of ‘mainstreaming’ </w:t>
      </w:r>
      <w:r w:rsidR="00085194" w:rsidRPr="009C1F21">
        <w:rPr>
          <w:color w:val="auto"/>
          <w:sz w:val="26"/>
          <w:szCs w:val="26"/>
        </w:rPr>
        <w:t>and referencing</w:t>
      </w:r>
      <w:r w:rsidRPr="009C1F21">
        <w:rPr>
          <w:color w:val="auto"/>
          <w:sz w:val="26"/>
          <w:szCs w:val="26"/>
        </w:rPr>
        <w:t xml:space="preserve"> how </w:t>
      </w:r>
      <w:r w:rsidR="00644039" w:rsidRPr="009C1F21">
        <w:rPr>
          <w:color w:val="auto"/>
          <w:sz w:val="26"/>
          <w:szCs w:val="26"/>
        </w:rPr>
        <w:t xml:space="preserve">the </w:t>
      </w:r>
      <w:r w:rsidR="004351C9" w:rsidRPr="004351C9">
        <w:rPr>
          <w:color w:val="auto"/>
          <w:sz w:val="26"/>
          <w:szCs w:val="26"/>
        </w:rPr>
        <w:t xml:space="preserve">Department of Housing, Local Government and Heritage </w:t>
      </w:r>
      <w:r w:rsidRPr="009C1F21">
        <w:rPr>
          <w:color w:val="auto"/>
          <w:sz w:val="26"/>
          <w:szCs w:val="26"/>
        </w:rPr>
        <w:t xml:space="preserve">will </w:t>
      </w:r>
      <w:r w:rsidR="00567FA0" w:rsidRPr="009C1F21">
        <w:rPr>
          <w:color w:val="auto"/>
          <w:sz w:val="26"/>
          <w:szCs w:val="26"/>
        </w:rPr>
        <w:t>recognise and meet the needs of disabled persons when delivering services</w:t>
      </w:r>
      <w:r w:rsidRPr="009C1F21">
        <w:rPr>
          <w:color w:val="auto"/>
          <w:sz w:val="26"/>
          <w:szCs w:val="26"/>
        </w:rPr>
        <w:t xml:space="preserve"> is a useful approach</w:t>
      </w:r>
      <w:r w:rsidR="00567FA0" w:rsidRPr="009C1F21">
        <w:rPr>
          <w:color w:val="auto"/>
          <w:sz w:val="26"/>
          <w:szCs w:val="26"/>
        </w:rPr>
        <w:t xml:space="preserve">. This </w:t>
      </w:r>
      <w:r w:rsidRPr="009C1F21">
        <w:rPr>
          <w:color w:val="auto"/>
          <w:sz w:val="26"/>
          <w:szCs w:val="26"/>
        </w:rPr>
        <w:t>will require</w:t>
      </w:r>
      <w:r w:rsidR="005E091A" w:rsidRPr="009C1F21">
        <w:rPr>
          <w:color w:val="auto"/>
          <w:sz w:val="26"/>
          <w:szCs w:val="26"/>
        </w:rPr>
        <w:t xml:space="preserve"> the d</w:t>
      </w:r>
      <w:r w:rsidR="00567FA0" w:rsidRPr="009C1F21">
        <w:rPr>
          <w:color w:val="auto"/>
          <w:sz w:val="26"/>
          <w:szCs w:val="26"/>
        </w:rPr>
        <w:t xml:space="preserve">epartment to disability-proof the policies and supports it provides, thereby also ensuring that the </w:t>
      </w:r>
      <w:r w:rsidR="004351C9" w:rsidRPr="004351C9">
        <w:rPr>
          <w:color w:val="auto"/>
          <w:sz w:val="26"/>
          <w:szCs w:val="26"/>
        </w:rPr>
        <w:t xml:space="preserve">Department of Housing, Local Government and Heritage </w:t>
      </w:r>
      <w:r w:rsidR="00567FA0" w:rsidRPr="009C1F21">
        <w:rPr>
          <w:color w:val="auto"/>
          <w:sz w:val="26"/>
          <w:szCs w:val="26"/>
        </w:rPr>
        <w:t>is playing its part in the delivery of the State’s commitments under the United Nations Convention on the Rights of Persons with Disabilities (UNCRPD).</w:t>
      </w:r>
    </w:p>
    <w:p w14:paraId="48AA2435" w14:textId="27181E71" w:rsidR="00D6538D" w:rsidRPr="009C1F21" w:rsidRDefault="00D6538D" w:rsidP="007233A8">
      <w:pPr>
        <w:pStyle w:val="Default"/>
        <w:rPr>
          <w:color w:val="auto"/>
          <w:sz w:val="26"/>
          <w:szCs w:val="26"/>
        </w:rPr>
      </w:pPr>
    </w:p>
    <w:p w14:paraId="423BE8AF" w14:textId="77777777" w:rsidR="00E73998" w:rsidRPr="009C1F21" w:rsidRDefault="00E73998" w:rsidP="007336EA">
      <w:pPr>
        <w:pStyle w:val="Heading2"/>
        <w:rPr>
          <w:rFonts w:eastAsia="SimSun"/>
          <w:lang w:eastAsia="en-IE"/>
        </w:rPr>
      </w:pPr>
      <w:bookmarkStart w:id="17" w:name="_Toc142909778"/>
      <w:r w:rsidRPr="009C1F21">
        <w:rPr>
          <w:rFonts w:eastAsia="SimSun"/>
          <w:lang w:eastAsia="en-IE"/>
        </w:rPr>
        <w:t xml:space="preserve">Policy </w:t>
      </w:r>
      <w:r w:rsidR="007976E3" w:rsidRPr="009C1F21">
        <w:rPr>
          <w:rFonts w:eastAsia="SimSun"/>
          <w:lang w:eastAsia="en-IE"/>
        </w:rPr>
        <w:t>Commitments</w:t>
      </w:r>
      <w:bookmarkEnd w:id="17"/>
    </w:p>
    <w:p w14:paraId="0F5A5CD7" w14:textId="48CEB6F6" w:rsidR="0026622C" w:rsidRDefault="003F5766" w:rsidP="007233A8">
      <w:pPr>
        <w:pStyle w:val="Default"/>
        <w:rPr>
          <w:color w:val="auto"/>
          <w:sz w:val="26"/>
          <w:szCs w:val="26"/>
        </w:rPr>
      </w:pPr>
      <w:r>
        <w:rPr>
          <w:color w:val="auto"/>
          <w:sz w:val="26"/>
          <w:szCs w:val="26"/>
        </w:rPr>
        <w:t xml:space="preserve">Ireland ratified the United Nations Convention on the Rights of Persons with Disabilities (UNCRPD) in 2018. </w:t>
      </w:r>
      <w:r w:rsidR="00AA339A" w:rsidRPr="009C1F21">
        <w:rPr>
          <w:color w:val="auto"/>
          <w:sz w:val="26"/>
          <w:szCs w:val="26"/>
        </w:rPr>
        <w:t xml:space="preserve">A UNCRPD </w:t>
      </w:r>
      <w:r w:rsidR="00A36286" w:rsidRPr="009C1F21">
        <w:rPr>
          <w:color w:val="auto"/>
          <w:sz w:val="26"/>
          <w:szCs w:val="26"/>
        </w:rPr>
        <w:t>I</w:t>
      </w:r>
      <w:r w:rsidR="00AA339A" w:rsidRPr="009C1F21">
        <w:rPr>
          <w:color w:val="auto"/>
          <w:sz w:val="26"/>
          <w:szCs w:val="26"/>
        </w:rPr>
        <w:t>mplementation Strategy is to be developed during 2023</w:t>
      </w:r>
      <w:r w:rsidR="00A36286" w:rsidRPr="009C1F21">
        <w:rPr>
          <w:color w:val="auto"/>
          <w:sz w:val="26"/>
          <w:szCs w:val="26"/>
        </w:rPr>
        <w:t xml:space="preserve">. While the development of the Strategy will be coordinated by the Department of Children, Equality, Disability, Integration and Youth (DCEDIY), there will be obligations and actions for all government departments and across the public sector, </w:t>
      </w:r>
      <w:proofErr w:type="gramStart"/>
      <w:r w:rsidR="00A36286" w:rsidRPr="009C1F21">
        <w:rPr>
          <w:color w:val="auto"/>
          <w:sz w:val="26"/>
          <w:szCs w:val="26"/>
        </w:rPr>
        <w:t>in order to</w:t>
      </w:r>
      <w:proofErr w:type="gramEnd"/>
      <w:r w:rsidR="00A36286" w:rsidRPr="009C1F21">
        <w:rPr>
          <w:color w:val="auto"/>
          <w:sz w:val="26"/>
          <w:szCs w:val="26"/>
        </w:rPr>
        <w:t xml:space="preserve"> ensure the rights of persons with disabiliti</w:t>
      </w:r>
      <w:r w:rsidR="00D01899" w:rsidRPr="009C1F21">
        <w:rPr>
          <w:color w:val="auto"/>
          <w:sz w:val="26"/>
          <w:szCs w:val="26"/>
        </w:rPr>
        <w:t xml:space="preserve">es are recognised and realised. </w:t>
      </w:r>
      <w:r w:rsidR="00AA339A" w:rsidRPr="009C1F21">
        <w:rPr>
          <w:color w:val="auto"/>
          <w:sz w:val="26"/>
          <w:szCs w:val="26"/>
        </w:rPr>
        <w:t xml:space="preserve">Articles of the UNCRPD </w:t>
      </w:r>
      <w:r w:rsidR="00FD394C">
        <w:rPr>
          <w:color w:val="auto"/>
          <w:sz w:val="26"/>
          <w:szCs w:val="26"/>
        </w:rPr>
        <w:t>that</w:t>
      </w:r>
      <w:r w:rsidR="00AA339A" w:rsidRPr="009C1F21">
        <w:rPr>
          <w:color w:val="auto"/>
          <w:sz w:val="26"/>
          <w:szCs w:val="26"/>
        </w:rPr>
        <w:t xml:space="preserve"> are particularly relevant to the </w:t>
      </w:r>
      <w:r w:rsidR="004351C9">
        <w:rPr>
          <w:color w:val="auto"/>
          <w:sz w:val="26"/>
          <w:szCs w:val="26"/>
        </w:rPr>
        <w:t>Department of Housing, Local Government and Heritage</w:t>
      </w:r>
      <w:r w:rsidR="00AA339A" w:rsidRPr="009C1F21">
        <w:rPr>
          <w:color w:val="auto"/>
          <w:sz w:val="26"/>
          <w:szCs w:val="26"/>
        </w:rPr>
        <w:t xml:space="preserve"> </w:t>
      </w:r>
      <w:r w:rsidR="004351C9">
        <w:rPr>
          <w:color w:val="auto"/>
          <w:sz w:val="26"/>
          <w:szCs w:val="26"/>
        </w:rPr>
        <w:t>include:</w:t>
      </w:r>
    </w:p>
    <w:p w14:paraId="3DE26C5B" w14:textId="77777777" w:rsidR="00967EBD" w:rsidRPr="009C1F21" w:rsidRDefault="00967EBD" w:rsidP="007233A8">
      <w:pPr>
        <w:pStyle w:val="Default"/>
        <w:rPr>
          <w:color w:val="auto"/>
          <w:sz w:val="26"/>
          <w:szCs w:val="26"/>
        </w:rPr>
      </w:pPr>
    </w:p>
    <w:p w14:paraId="754DCDC7" w14:textId="7DAFC703" w:rsidR="000E3F15" w:rsidRDefault="000E3F15" w:rsidP="000E3F15">
      <w:pPr>
        <w:pStyle w:val="ListParagraph"/>
        <w:numPr>
          <w:ilvl w:val="0"/>
          <w:numId w:val="25"/>
        </w:numPr>
        <w:spacing w:after="0"/>
        <w:rPr>
          <w:szCs w:val="26"/>
        </w:rPr>
      </w:pPr>
      <w:r>
        <w:rPr>
          <w:szCs w:val="26"/>
        </w:rPr>
        <w:t>Article 9 Accessibility</w:t>
      </w:r>
      <w:r w:rsidRPr="000E3F15">
        <w:rPr>
          <w:szCs w:val="26"/>
        </w:rPr>
        <w:t xml:space="preserve"> </w:t>
      </w:r>
    </w:p>
    <w:p w14:paraId="208EB369" w14:textId="293BAC1E" w:rsidR="000E3F15" w:rsidRDefault="000E3F15" w:rsidP="000E3F15">
      <w:pPr>
        <w:pStyle w:val="ListParagraph"/>
        <w:numPr>
          <w:ilvl w:val="0"/>
          <w:numId w:val="25"/>
        </w:numPr>
        <w:spacing w:after="0"/>
        <w:rPr>
          <w:szCs w:val="26"/>
        </w:rPr>
      </w:pPr>
      <w:r>
        <w:rPr>
          <w:szCs w:val="26"/>
        </w:rPr>
        <w:t xml:space="preserve">Article </w:t>
      </w:r>
      <w:r w:rsidRPr="000E3F15">
        <w:rPr>
          <w:szCs w:val="26"/>
        </w:rPr>
        <w:t>19 Living independently and being included in the community</w:t>
      </w:r>
    </w:p>
    <w:p w14:paraId="7146BC15" w14:textId="683FF87C" w:rsidR="006E4F7A" w:rsidRDefault="006E4F7A" w:rsidP="006E4F7A">
      <w:pPr>
        <w:pStyle w:val="ListParagraph"/>
        <w:numPr>
          <w:ilvl w:val="0"/>
          <w:numId w:val="25"/>
        </w:numPr>
        <w:spacing w:after="0"/>
        <w:rPr>
          <w:szCs w:val="26"/>
        </w:rPr>
      </w:pPr>
      <w:r w:rsidRPr="006E4F7A">
        <w:rPr>
          <w:szCs w:val="26"/>
        </w:rPr>
        <w:t>Article 28 Adequate standard of living and social protection</w:t>
      </w:r>
    </w:p>
    <w:p w14:paraId="2F87601B" w14:textId="07A2078E" w:rsidR="00114C58" w:rsidRDefault="00114C58" w:rsidP="000E3F15">
      <w:pPr>
        <w:pStyle w:val="ListParagraph"/>
        <w:numPr>
          <w:ilvl w:val="0"/>
          <w:numId w:val="25"/>
        </w:numPr>
        <w:spacing w:after="0"/>
        <w:rPr>
          <w:szCs w:val="26"/>
        </w:rPr>
      </w:pPr>
      <w:r>
        <w:rPr>
          <w:szCs w:val="26"/>
        </w:rPr>
        <w:t xml:space="preserve">Article 29 </w:t>
      </w:r>
      <w:r w:rsidR="00410D5E">
        <w:rPr>
          <w:szCs w:val="26"/>
        </w:rPr>
        <w:t>Participation in political and public life</w:t>
      </w:r>
    </w:p>
    <w:p w14:paraId="4E08015F" w14:textId="77777777" w:rsidR="00DA5D81" w:rsidRDefault="00DA5D81" w:rsidP="002667A9">
      <w:pPr>
        <w:spacing w:after="0"/>
        <w:rPr>
          <w:szCs w:val="26"/>
        </w:rPr>
      </w:pPr>
    </w:p>
    <w:p w14:paraId="14109240" w14:textId="5714B627" w:rsidR="00D61734" w:rsidRDefault="00DA5D81" w:rsidP="002667A9">
      <w:pPr>
        <w:spacing w:after="0"/>
        <w:rPr>
          <w:szCs w:val="26"/>
        </w:rPr>
      </w:pPr>
      <w:r>
        <w:rPr>
          <w:szCs w:val="26"/>
        </w:rPr>
        <w:t>T</w:t>
      </w:r>
      <w:r w:rsidRPr="00BF142E">
        <w:rPr>
          <w:szCs w:val="26"/>
        </w:rPr>
        <w:t xml:space="preserve">he NDA would encourage the Department to become actively </w:t>
      </w:r>
      <w:r w:rsidR="004351C9">
        <w:rPr>
          <w:szCs w:val="26"/>
        </w:rPr>
        <w:t>involved in the development of the new</w:t>
      </w:r>
      <w:r w:rsidRPr="00BF142E">
        <w:rPr>
          <w:szCs w:val="26"/>
        </w:rPr>
        <w:t xml:space="preserve"> UNCRPD </w:t>
      </w:r>
      <w:r>
        <w:rPr>
          <w:szCs w:val="26"/>
        </w:rPr>
        <w:t>I</w:t>
      </w:r>
      <w:r w:rsidRPr="00BF142E">
        <w:rPr>
          <w:szCs w:val="26"/>
        </w:rPr>
        <w:t>mplementatio</w:t>
      </w:r>
      <w:r>
        <w:rPr>
          <w:szCs w:val="26"/>
        </w:rPr>
        <w:t>n Strategy</w:t>
      </w:r>
      <w:r w:rsidR="006D6E94">
        <w:rPr>
          <w:szCs w:val="26"/>
        </w:rPr>
        <w:t>.</w:t>
      </w:r>
    </w:p>
    <w:p w14:paraId="509CDD45" w14:textId="07359C9F" w:rsidR="006D2402" w:rsidRDefault="006D2402" w:rsidP="002667A9">
      <w:pPr>
        <w:spacing w:after="0"/>
        <w:rPr>
          <w:szCs w:val="26"/>
        </w:rPr>
      </w:pPr>
      <w:r>
        <w:lastRenderedPageBreak/>
        <w:t>We would recommend that the Department develops processes to ensure that local authorities are fully involved in the development of commitments under the upcoming UNCRPD Implementation Strategy, and that there are mechanisms to facilitate their reporting under the Strategy, so there can be effective monitoring of progress at local as well as national level.</w:t>
      </w:r>
    </w:p>
    <w:p w14:paraId="165ACA50" w14:textId="77777777" w:rsidR="00DA5D81" w:rsidRPr="009C1F21" w:rsidRDefault="00DA5D81" w:rsidP="002667A9">
      <w:pPr>
        <w:spacing w:after="0"/>
        <w:rPr>
          <w:szCs w:val="26"/>
        </w:rPr>
      </w:pPr>
    </w:p>
    <w:p w14:paraId="5AC7655C" w14:textId="77777777" w:rsidR="00A26651" w:rsidRPr="009C1F21" w:rsidRDefault="00A26651" w:rsidP="007336EA">
      <w:pPr>
        <w:pStyle w:val="Heading2"/>
        <w:rPr>
          <w:rFonts w:eastAsia="SimSun"/>
          <w:lang w:eastAsia="en-IE"/>
        </w:rPr>
      </w:pPr>
      <w:bookmarkStart w:id="18" w:name="_Toc142909779"/>
      <w:r w:rsidRPr="009C1F21">
        <w:rPr>
          <w:rFonts w:eastAsia="SimSun"/>
          <w:lang w:eastAsia="en-IE"/>
        </w:rPr>
        <w:t>Participation and Engagement</w:t>
      </w:r>
      <w:bookmarkEnd w:id="18"/>
    </w:p>
    <w:p w14:paraId="4F80AAD2" w14:textId="546DB70B" w:rsidR="00DB344D" w:rsidRDefault="0004523F" w:rsidP="00EE2F98">
      <w:pPr>
        <w:spacing w:after="0"/>
        <w:rPr>
          <w:rFonts w:eastAsia="SimSun" w:cs="Gill Sans MT"/>
          <w:szCs w:val="26"/>
          <w:lang w:eastAsia="en-IE"/>
        </w:rPr>
      </w:pPr>
      <w:r w:rsidRPr="009C1F21">
        <w:rPr>
          <w:rFonts w:eastAsia="SimSun" w:cs="Gill Sans MT"/>
          <w:szCs w:val="26"/>
          <w:lang w:eastAsia="en-IE"/>
        </w:rPr>
        <w:t xml:space="preserve">The </w:t>
      </w:r>
      <w:r w:rsidR="00C03FC5" w:rsidRPr="009C1F21">
        <w:rPr>
          <w:rFonts w:eastAsia="SimSun" w:cs="Gill Sans MT"/>
          <w:szCs w:val="26"/>
          <w:lang w:eastAsia="en-IE"/>
        </w:rPr>
        <w:t>UNCRPD</w:t>
      </w:r>
      <w:r w:rsidR="00A36286" w:rsidRPr="009C1F21">
        <w:rPr>
          <w:rFonts w:eastAsia="SimSun" w:cs="Gill Sans MT"/>
          <w:szCs w:val="26"/>
          <w:lang w:eastAsia="en-IE"/>
        </w:rPr>
        <w:t xml:space="preserve"> also</w:t>
      </w:r>
      <w:r w:rsidR="00C03FC5" w:rsidRPr="009C1F21">
        <w:rPr>
          <w:rFonts w:eastAsia="SimSun" w:cs="Gill Sans MT"/>
          <w:szCs w:val="26"/>
          <w:lang w:eastAsia="en-IE"/>
        </w:rPr>
        <w:t xml:space="preserve"> places an obligation on s</w:t>
      </w:r>
      <w:r w:rsidRPr="009C1F21">
        <w:rPr>
          <w:rFonts w:eastAsia="SimSun" w:cs="Gill Sans MT"/>
          <w:szCs w:val="26"/>
          <w:lang w:eastAsia="en-IE"/>
        </w:rPr>
        <w:t xml:space="preserve">tates to ensure that people with disabilities are included in policy development and decision-making. </w:t>
      </w:r>
      <w:r w:rsidR="009863CC" w:rsidRPr="009C1F21">
        <w:rPr>
          <w:rFonts w:eastAsia="SimSun" w:cs="Gill Sans MT"/>
          <w:szCs w:val="26"/>
          <w:lang w:eastAsia="en-IE"/>
        </w:rPr>
        <w:t xml:space="preserve">The </w:t>
      </w:r>
      <w:r w:rsidR="008E24A4" w:rsidRPr="009C1F21">
        <w:rPr>
          <w:rFonts w:eastAsia="SimSun" w:cs="Gill Sans MT"/>
          <w:szCs w:val="26"/>
          <w:lang w:eastAsia="en-IE"/>
        </w:rPr>
        <w:t xml:space="preserve">NDA </w:t>
      </w:r>
      <w:r w:rsidR="00967EBD">
        <w:rPr>
          <w:rFonts w:eastAsia="SimSun" w:cs="Gill Sans MT"/>
          <w:szCs w:val="26"/>
          <w:lang w:eastAsia="en-IE"/>
        </w:rPr>
        <w:t>encourages the Department</w:t>
      </w:r>
      <w:r w:rsidR="00811AB4" w:rsidRPr="009C1F21">
        <w:rPr>
          <w:rFonts w:eastAsia="SimSun" w:cs="Gill Sans MT"/>
          <w:szCs w:val="26"/>
          <w:lang w:eastAsia="en-IE"/>
        </w:rPr>
        <w:t xml:space="preserve"> </w:t>
      </w:r>
      <w:r w:rsidR="00967EBD">
        <w:rPr>
          <w:rFonts w:eastAsia="SimSun" w:cs="Gill Sans MT"/>
          <w:szCs w:val="26"/>
          <w:lang w:eastAsia="en-IE"/>
        </w:rPr>
        <w:t xml:space="preserve">to </w:t>
      </w:r>
      <w:r w:rsidR="00811AB4" w:rsidRPr="009C1F21">
        <w:rPr>
          <w:rFonts w:eastAsia="SimSun" w:cs="Gill Sans MT"/>
          <w:szCs w:val="26"/>
          <w:lang w:eastAsia="en-IE"/>
        </w:rPr>
        <w:t xml:space="preserve">consult with stakeholders, including </w:t>
      </w:r>
      <w:r w:rsidR="00B34E14" w:rsidRPr="009C1F21">
        <w:rPr>
          <w:rFonts w:eastAsia="SimSun" w:cs="Gill Sans MT"/>
          <w:szCs w:val="26"/>
          <w:lang w:eastAsia="en-IE"/>
        </w:rPr>
        <w:t>Disabled Persons</w:t>
      </w:r>
      <w:r w:rsidR="00D74A36" w:rsidRPr="009C1F21">
        <w:rPr>
          <w:rFonts w:eastAsia="SimSun" w:cs="Gill Sans MT"/>
          <w:szCs w:val="26"/>
          <w:lang w:eastAsia="en-IE"/>
        </w:rPr>
        <w:t>’</w:t>
      </w:r>
      <w:r w:rsidR="00B34E14" w:rsidRPr="009C1F21">
        <w:rPr>
          <w:rFonts w:eastAsia="SimSun" w:cs="Gill Sans MT"/>
          <w:szCs w:val="26"/>
          <w:lang w:eastAsia="en-IE"/>
        </w:rPr>
        <w:t xml:space="preserve"> Organisations (DPOs</w:t>
      </w:r>
      <w:r w:rsidR="00967EBD">
        <w:rPr>
          <w:rFonts w:eastAsia="SimSun" w:cs="Gill Sans MT"/>
          <w:szCs w:val="26"/>
          <w:lang w:eastAsia="en-IE"/>
        </w:rPr>
        <w:t xml:space="preserve">) </w:t>
      </w:r>
      <w:r w:rsidR="00A36286" w:rsidRPr="009C1F21">
        <w:rPr>
          <w:rFonts w:eastAsia="SimSun" w:cs="Gill Sans MT"/>
          <w:szCs w:val="26"/>
          <w:lang w:eastAsia="en-IE"/>
        </w:rPr>
        <w:t>and advises that meaningful engagement and participation should feature throughout the lifetime of the next Statement of Strat</w:t>
      </w:r>
      <w:r w:rsidR="00A26651" w:rsidRPr="009C1F21">
        <w:rPr>
          <w:rFonts w:eastAsia="SimSun" w:cs="Gill Sans MT"/>
          <w:szCs w:val="26"/>
          <w:lang w:eastAsia="en-IE"/>
        </w:rPr>
        <w:t xml:space="preserve">egy, so that policy interventions planned and delivered </w:t>
      </w:r>
      <w:r w:rsidR="00866459" w:rsidRPr="009C1F21">
        <w:rPr>
          <w:rFonts w:eastAsia="SimSun" w:cs="Gill Sans MT"/>
          <w:szCs w:val="26"/>
          <w:lang w:eastAsia="en-IE"/>
        </w:rPr>
        <w:t>by the d</w:t>
      </w:r>
      <w:r w:rsidR="00A26651" w:rsidRPr="009C1F21">
        <w:rPr>
          <w:rFonts w:eastAsia="SimSun" w:cs="Gill Sans MT"/>
          <w:szCs w:val="26"/>
          <w:lang w:eastAsia="en-IE"/>
        </w:rPr>
        <w:t xml:space="preserve">epartment are disability-proofed from the outset. </w:t>
      </w:r>
      <w:r w:rsidR="00DB344D">
        <w:rPr>
          <w:rFonts w:eastAsia="SimSun" w:cs="Gill Sans MT"/>
          <w:szCs w:val="26"/>
          <w:lang w:eastAsia="en-IE"/>
        </w:rPr>
        <w:t xml:space="preserve">We acknowledge the breadth and the accessibility of the consultation that was carried out during the drafting process for the </w:t>
      </w:r>
      <w:r w:rsidR="00DB344D" w:rsidRPr="00DB344D">
        <w:rPr>
          <w:rFonts w:eastAsia="SimSun" w:cs="Gill Sans MT"/>
          <w:b/>
          <w:szCs w:val="26"/>
          <w:lang w:eastAsia="en-IE"/>
        </w:rPr>
        <w:t>National Housing Strategy for Disabled People 2022-27</w:t>
      </w:r>
      <w:r w:rsidR="00DB344D">
        <w:rPr>
          <w:rFonts w:eastAsia="SimSun" w:cs="Gill Sans MT"/>
          <w:szCs w:val="26"/>
          <w:lang w:eastAsia="en-IE"/>
        </w:rPr>
        <w:t xml:space="preserve">. </w:t>
      </w:r>
    </w:p>
    <w:p w14:paraId="101412D1" w14:textId="77777777" w:rsidR="00DB344D" w:rsidRDefault="00DB344D" w:rsidP="00EE2F98">
      <w:pPr>
        <w:spacing w:after="0"/>
        <w:rPr>
          <w:rFonts w:eastAsia="SimSun" w:cs="Gill Sans MT"/>
          <w:szCs w:val="26"/>
          <w:lang w:eastAsia="en-IE"/>
        </w:rPr>
      </w:pPr>
    </w:p>
    <w:p w14:paraId="2E885888" w14:textId="1E4B72D2" w:rsidR="00811AB4" w:rsidRPr="009C1F21" w:rsidRDefault="00A95C0E" w:rsidP="00EE2F98">
      <w:pPr>
        <w:spacing w:after="0"/>
        <w:rPr>
          <w:rFonts w:eastAsia="SimSun" w:cs="Gill Sans MT"/>
          <w:szCs w:val="26"/>
          <w:lang w:eastAsia="en-IE"/>
        </w:rPr>
      </w:pPr>
      <w:r w:rsidRPr="009C1F21">
        <w:rPr>
          <w:rFonts w:eastAsia="SimSun" w:cs="Gill Sans MT"/>
          <w:szCs w:val="26"/>
          <w:lang w:eastAsia="en-IE"/>
        </w:rPr>
        <w:t>T</w:t>
      </w:r>
      <w:r w:rsidR="00A26651" w:rsidRPr="009C1F21">
        <w:rPr>
          <w:rFonts w:eastAsia="SimSun" w:cs="Gill Sans MT"/>
          <w:szCs w:val="26"/>
          <w:lang w:eastAsia="en-IE"/>
        </w:rPr>
        <w:t>he NDA</w:t>
      </w:r>
      <w:r w:rsidR="00B13A9E" w:rsidRPr="009C1F21">
        <w:rPr>
          <w:rFonts w:eastAsia="SimSun" w:cs="Gill Sans MT"/>
          <w:szCs w:val="26"/>
          <w:lang w:eastAsia="en-IE"/>
        </w:rPr>
        <w:t xml:space="preserve"> </w:t>
      </w:r>
      <w:r w:rsidR="003F5766">
        <w:rPr>
          <w:rFonts w:eastAsia="SimSun" w:cs="Gill Sans MT"/>
          <w:szCs w:val="26"/>
          <w:lang w:eastAsia="en-IE"/>
        </w:rPr>
        <w:t xml:space="preserve">has published two documents that may help with this. The </w:t>
      </w:r>
      <w:r w:rsidR="00BF142E">
        <w:rPr>
          <w:rFonts w:eastAsia="SimSun" w:cs="Gill Sans MT"/>
          <w:szCs w:val="26"/>
          <w:lang w:eastAsia="en-IE"/>
        </w:rPr>
        <w:t xml:space="preserve">first </w:t>
      </w:r>
      <w:r w:rsidR="00BF142E" w:rsidRPr="009C1F21">
        <w:rPr>
          <w:rFonts w:eastAsia="SimSun" w:cs="Gill Sans MT"/>
          <w:szCs w:val="26"/>
          <w:lang w:eastAsia="en-IE"/>
        </w:rPr>
        <w:t>‘</w:t>
      </w:r>
      <w:r w:rsidR="00BF142E" w:rsidRPr="0097201B">
        <w:rPr>
          <w:rFonts w:eastAsia="SimSun" w:cs="Gill Sans MT"/>
          <w:b/>
          <w:szCs w:val="26"/>
          <w:lang w:eastAsia="en-IE"/>
        </w:rPr>
        <w:t>Participation</w:t>
      </w:r>
      <w:r w:rsidR="00AB681C" w:rsidRPr="00967EBD">
        <w:rPr>
          <w:rFonts w:eastAsia="SimSun" w:cs="Gill Sans MT"/>
          <w:b/>
          <w:szCs w:val="26"/>
          <w:lang w:eastAsia="en-IE"/>
        </w:rPr>
        <w:t xml:space="preserve"> Matters: Guidelines on implementing the obligation to meaningfully engage with disabled people in public decision making’</w:t>
      </w:r>
      <w:r w:rsidR="003F5766">
        <w:rPr>
          <w:rFonts w:eastAsia="SimSun" w:cs="Gill Sans MT"/>
          <w:b/>
          <w:szCs w:val="26"/>
          <w:lang w:eastAsia="en-IE"/>
        </w:rPr>
        <w:t xml:space="preserve"> </w:t>
      </w:r>
      <w:r w:rsidR="003F5766" w:rsidRPr="00DB344D">
        <w:rPr>
          <w:rFonts w:eastAsia="SimSun" w:cs="Gill Sans MT"/>
          <w:szCs w:val="26"/>
          <w:lang w:eastAsia="en-IE"/>
        </w:rPr>
        <w:t>aims</w:t>
      </w:r>
      <w:r w:rsidRPr="009C1F21">
        <w:rPr>
          <w:rFonts w:eastAsia="SimSun" w:cs="Gill Sans MT"/>
          <w:szCs w:val="26"/>
          <w:lang w:eastAsia="en-IE"/>
        </w:rPr>
        <w:t xml:space="preserve"> </w:t>
      </w:r>
      <w:r w:rsidR="00A26651" w:rsidRPr="009C1F21">
        <w:rPr>
          <w:rFonts w:eastAsia="SimSun" w:cs="Gill Sans MT"/>
          <w:szCs w:val="26"/>
          <w:lang w:eastAsia="en-IE"/>
        </w:rPr>
        <w:t xml:space="preserve">to support public bodies in achieving meaningful engagement with disabled people, especially through their representative </w:t>
      </w:r>
      <w:r w:rsidR="00F20F5D" w:rsidRPr="009C1F21">
        <w:rPr>
          <w:rFonts w:eastAsia="SimSun" w:cs="Gill Sans MT"/>
          <w:szCs w:val="26"/>
          <w:lang w:eastAsia="en-IE"/>
        </w:rPr>
        <w:t>DPOs</w:t>
      </w:r>
      <w:r w:rsidR="00591D3D" w:rsidRPr="009C1F21">
        <w:rPr>
          <w:rFonts w:eastAsia="SimSun" w:cs="Gill Sans MT"/>
          <w:szCs w:val="26"/>
          <w:lang w:eastAsia="en-IE"/>
        </w:rPr>
        <w:t>.</w:t>
      </w:r>
      <w:r w:rsidR="00093154" w:rsidRPr="009C1F21">
        <w:rPr>
          <w:rStyle w:val="FootnoteReference"/>
          <w:rFonts w:eastAsia="SimSun" w:cs="Gill Sans MT"/>
          <w:szCs w:val="26"/>
          <w:lang w:eastAsia="en-IE"/>
        </w:rPr>
        <w:footnoteReference w:id="2"/>
      </w:r>
      <w:r w:rsidR="00EE2F98" w:rsidRPr="009C1F21">
        <w:rPr>
          <w:rFonts w:eastAsia="SimSun" w:cs="Gill Sans MT"/>
          <w:szCs w:val="26"/>
          <w:lang w:eastAsia="en-IE"/>
        </w:rPr>
        <w:t xml:space="preserve"> </w:t>
      </w:r>
      <w:r w:rsidR="00811AB4" w:rsidRPr="009C1F21">
        <w:rPr>
          <w:rFonts w:eastAsia="SimSun" w:cs="Gill Sans MT"/>
          <w:szCs w:val="26"/>
          <w:lang w:eastAsia="en-IE"/>
        </w:rPr>
        <w:t xml:space="preserve">The NDA also produced </w:t>
      </w:r>
      <w:r w:rsidR="00FF2AF4" w:rsidRPr="009C1F21">
        <w:rPr>
          <w:rFonts w:eastAsia="SimSun" w:cs="Gill Sans MT"/>
          <w:szCs w:val="26"/>
          <w:lang w:eastAsia="en-IE"/>
        </w:rPr>
        <w:t>an ‘</w:t>
      </w:r>
      <w:r w:rsidR="00FF2AF4" w:rsidRPr="0097201B">
        <w:rPr>
          <w:rFonts w:eastAsia="SimSun" w:cs="Gill Sans MT"/>
          <w:b/>
          <w:szCs w:val="26"/>
          <w:lang w:eastAsia="en-IE"/>
        </w:rPr>
        <w:t>Advice Paper</w:t>
      </w:r>
      <w:r w:rsidR="00811AB4" w:rsidRPr="0097201B">
        <w:rPr>
          <w:rFonts w:eastAsia="SimSun" w:cs="Gill Sans MT"/>
          <w:b/>
          <w:szCs w:val="26"/>
          <w:lang w:eastAsia="en-IE"/>
        </w:rPr>
        <w:t xml:space="preserve"> on Disability Language and Terminology</w:t>
      </w:r>
      <w:r w:rsidR="00FF2AF4" w:rsidRPr="009C1F21">
        <w:rPr>
          <w:rFonts w:eastAsia="SimSun" w:cs="Gill Sans MT"/>
          <w:szCs w:val="26"/>
          <w:lang w:eastAsia="en-IE"/>
        </w:rPr>
        <w:t>’</w:t>
      </w:r>
      <w:r w:rsidR="00811AB4" w:rsidRPr="009C1F21">
        <w:rPr>
          <w:rFonts w:eastAsia="SimSun" w:cs="Gill Sans MT"/>
          <w:szCs w:val="26"/>
          <w:lang w:eastAsia="en-IE"/>
        </w:rPr>
        <w:t xml:space="preserve"> which is intended as a practical guide for departments and public bodies on the use of language about disability.</w:t>
      </w:r>
      <w:r w:rsidR="00811AB4" w:rsidRPr="009C1F21">
        <w:rPr>
          <w:rStyle w:val="FootnoteReference"/>
          <w:rFonts w:eastAsia="SimSun" w:cs="Gill Sans MT"/>
          <w:szCs w:val="26"/>
          <w:lang w:eastAsia="en-IE"/>
        </w:rPr>
        <w:footnoteReference w:id="3"/>
      </w:r>
      <w:r w:rsidR="00811AB4" w:rsidRPr="009C1F21">
        <w:rPr>
          <w:rFonts w:eastAsia="SimSun" w:cs="Gill Sans MT"/>
          <w:szCs w:val="26"/>
          <w:lang w:eastAsia="en-IE"/>
        </w:rPr>
        <w:t xml:space="preserve"> </w:t>
      </w:r>
    </w:p>
    <w:p w14:paraId="3FB938A4" w14:textId="77777777" w:rsidR="00347440" w:rsidRPr="009C1F21" w:rsidRDefault="00347440" w:rsidP="002667A9">
      <w:pPr>
        <w:spacing w:after="0"/>
        <w:rPr>
          <w:szCs w:val="26"/>
        </w:rPr>
      </w:pPr>
    </w:p>
    <w:p w14:paraId="3FBEC03F" w14:textId="14A59502" w:rsidR="002667A9" w:rsidRPr="009C1F21" w:rsidRDefault="00ED0B9E" w:rsidP="007336EA">
      <w:pPr>
        <w:pStyle w:val="Heading2"/>
      </w:pPr>
      <w:bookmarkStart w:id="19" w:name="_Toc142909780"/>
      <w:r w:rsidRPr="009C1F21">
        <w:t>Crossc</w:t>
      </w:r>
      <w:r w:rsidR="00FF47F3" w:rsidRPr="009C1F21">
        <w:t>utting S</w:t>
      </w:r>
      <w:r w:rsidR="0064333C" w:rsidRPr="009C1F21">
        <w:t>trategies</w:t>
      </w:r>
      <w:bookmarkEnd w:id="19"/>
      <w:r w:rsidR="00550195" w:rsidRPr="009C1F21">
        <w:t xml:space="preserve"> </w:t>
      </w:r>
    </w:p>
    <w:p w14:paraId="13E21478" w14:textId="625A008E" w:rsidR="0004523F" w:rsidRPr="009C1F21" w:rsidRDefault="00D27043" w:rsidP="00FF62CF">
      <w:pPr>
        <w:pStyle w:val="Default"/>
        <w:rPr>
          <w:color w:val="auto"/>
          <w:sz w:val="26"/>
          <w:szCs w:val="26"/>
        </w:rPr>
      </w:pPr>
      <w:r w:rsidRPr="009C1F21">
        <w:rPr>
          <w:color w:val="auto"/>
          <w:sz w:val="26"/>
          <w:szCs w:val="26"/>
        </w:rPr>
        <w:t>Consideration of some of the key issues set out within the UNCRPD Articles identified above will re</w:t>
      </w:r>
      <w:r w:rsidR="0097201B">
        <w:rPr>
          <w:color w:val="auto"/>
          <w:sz w:val="26"/>
          <w:szCs w:val="26"/>
        </w:rPr>
        <w:t>quire input from more than one D</w:t>
      </w:r>
      <w:r w:rsidRPr="009C1F21">
        <w:rPr>
          <w:color w:val="auto"/>
          <w:sz w:val="26"/>
          <w:szCs w:val="26"/>
        </w:rPr>
        <w:t xml:space="preserve">epartment, and the NDA looks forward to </w:t>
      </w:r>
      <w:r w:rsidR="00967EBD">
        <w:rPr>
          <w:color w:val="auto"/>
          <w:sz w:val="26"/>
          <w:szCs w:val="26"/>
        </w:rPr>
        <w:t xml:space="preserve">continuing </w:t>
      </w:r>
      <w:r w:rsidRPr="009C1F21">
        <w:rPr>
          <w:color w:val="auto"/>
          <w:sz w:val="26"/>
          <w:szCs w:val="26"/>
        </w:rPr>
        <w:t xml:space="preserve">collaborative working across government </w:t>
      </w:r>
      <w:r w:rsidR="00BF2EA8">
        <w:rPr>
          <w:color w:val="auto"/>
          <w:sz w:val="26"/>
          <w:szCs w:val="26"/>
        </w:rPr>
        <w:t>during</w:t>
      </w:r>
      <w:r w:rsidRPr="009C1F21">
        <w:rPr>
          <w:color w:val="auto"/>
          <w:sz w:val="26"/>
          <w:szCs w:val="26"/>
        </w:rPr>
        <w:t xml:space="preserve"> the lifetime of this Statement of Strategy. One route</w:t>
      </w:r>
      <w:r w:rsidR="00802665" w:rsidRPr="009C1F21">
        <w:rPr>
          <w:color w:val="auto"/>
          <w:sz w:val="26"/>
          <w:szCs w:val="26"/>
        </w:rPr>
        <w:t xml:space="preserve"> to underpinning this approach</w:t>
      </w:r>
      <w:r w:rsidRPr="009C1F21">
        <w:rPr>
          <w:color w:val="auto"/>
          <w:sz w:val="26"/>
          <w:szCs w:val="26"/>
        </w:rPr>
        <w:t xml:space="preserve"> is to ensure </w:t>
      </w:r>
      <w:r w:rsidR="00484455" w:rsidRPr="009C1F21">
        <w:rPr>
          <w:color w:val="auto"/>
          <w:sz w:val="26"/>
          <w:szCs w:val="26"/>
        </w:rPr>
        <w:t>that</w:t>
      </w:r>
      <w:r w:rsidR="00C4684C" w:rsidRPr="009C1F21">
        <w:rPr>
          <w:color w:val="auto"/>
          <w:sz w:val="26"/>
          <w:szCs w:val="26"/>
        </w:rPr>
        <w:t xml:space="preserve"> commitments in relation to disability </w:t>
      </w:r>
      <w:r w:rsidR="00984AB9" w:rsidRPr="009C1F21">
        <w:rPr>
          <w:color w:val="auto"/>
          <w:sz w:val="26"/>
          <w:szCs w:val="26"/>
        </w:rPr>
        <w:t xml:space="preserve">are </w:t>
      </w:r>
      <w:r w:rsidR="00C4684C" w:rsidRPr="009C1F21">
        <w:rPr>
          <w:color w:val="auto"/>
          <w:sz w:val="26"/>
          <w:szCs w:val="26"/>
        </w:rPr>
        <w:t>articulated in</w:t>
      </w:r>
      <w:r w:rsidR="00484455" w:rsidRPr="009C1F21">
        <w:rPr>
          <w:color w:val="auto"/>
          <w:sz w:val="26"/>
          <w:szCs w:val="26"/>
        </w:rPr>
        <w:t xml:space="preserve"> this Statement of Strategy and </w:t>
      </w:r>
      <w:r w:rsidR="00A33226" w:rsidRPr="009C1F21">
        <w:rPr>
          <w:color w:val="auto"/>
          <w:sz w:val="26"/>
          <w:szCs w:val="26"/>
        </w:rPr>
        <w:t>that</w:t>
      </w:r>
      <w:r w:rsidR="00484455" w:rsidRPr="009C1F21">
        <w:rPr>
          <w:color w:val="auto"/>
          <w:sz w:val="26"/>
          <w:szCs w:val="26"/>
        </w:rPr>
        <w:t xml:space="preserve"> annualised bu</w:t>
      </w:r>
      <w:r w:rsidR="00BF2EA8">
        <w:rPr>
          <w:color w:val="auto"/>
          <w:sz w:val="26"/>
          <w:szCs w:val="26"/>
        </w:rPr>
        <w:t>siness plans of the D</w:t>
      </w:r>
      <w:r w:rsidR="00484455" w:rsidRPr="009C1F21">
        <w:rPr>
          <w:color w:val="auto"/>
          <w:sz w:val="26"/>
          <w:szCs w:val="26"/>
        </w:rPr>
        <w:t>epartment are aligned with other crosscutting strategies</w:t>
      </w:r>
      <w:r w:rsidR="00FF62CF" w:rsidRPr="009C1F21">
        <w:rPr>
          <w:color w:val="auto"/>
          <w:sz w:val="26"/>
          <w:szCs w:val="26"/>
        </w:rPr>
        <w:t xml:space="preserve"> and national policies, such as </w:t>
      </w:r>
      <w:r w:rsidR="00CD1E54">
        <w:rPr>
          <w:color w:val="auto"/>
          <w:sz w:val="26"/>
          <w:szCs w:val="26"/>
        </w:rPr>
        <w:t xml:space="preserve">the </w:t>
      </w:r>
      <w:r w:rsidR="00FF62CF" w:rsidRPr="00CD1E54">
        <w:rPr>
          <w:b/>
          <w:color w:val="auto"/>
          <w:sz w:val="26"/>
          <w:szCs w:val="26"/>
        </w:rPr>
        <w:t>Ro</w:t>
      </w:r>
      <w:r w:rsidR="00CD1E54" w:rsidRPr="00CD1E54">
        <w:rPr>
          <w:b/>
          <w:color w:val="auto"/>
          <w:sz w:val="26"/>
          <w:szCs w:val="26"/>
        </w:rPr>
        <w:t>admap for Social Inclusion 2020–</w:t>
      </w:r>
      <w:r w:rsidR="00FF62CF" w:rsidRPr="00CD1E54">
        <w:rPr>
          <w:b/>
          <w:color w:val="auto"/>
          <w:sz w:val="26"/>
          <w:szCs w:val="26"/>
        </w:rPr>
        <w:t>2025</w:t>
      </w:r>
      <w:r w:rsidR="00FF62CF" w:rsidRPr="009C1F21">
        <w:rPr>
          <w:color w:val="auto"/>
          <w:sz w:val="26"/>
          <w:szCs w:val="26"/>
        </w:rPr>
        <w:t xml:space="preserve">, </w:t>
      </w:r>
      <w:r w:rsidR="00C52C77" w:rsidRPr="00C52C77">
        <w:rPr>
          <w:b/>
          <w:color w:val="auto"/>
          <w:sz w:val="26"/>
          <w:szCs w:val="26"/>
        </w:rPr>
        <w:t>Housing Options for our Ageing Population: Policy Statement</w:t>
      </w:r>
      <w:r w:rsidR="000C7112">
        <w:rPr>
          <w:b/>
          <w:color w:val="auto"/>
          <w:sz w:val="26"/>
          <w:szCs w:val="26"/>
        </w:rPr>
        <w:t>, Town Centre First</w:t>
      </w:r>
      <w:r w:rsidR="00276CCD" w:rsidRPr="009C1F21">
        <w:rPr>
          <w:color w:val="auto"/>
          <w:sz w:val="26"/>
          <w:szCs w:val="26"/>
        </w:rPr>
        <w:t xml:space="preserve">. </w:t>
      </w:r>
    </w:p>
    <w:p w14:paraId="6338026E" w14:textId="77777777" w:rsidR="000F03A4" w:rsidRPr="009C1F21" w:rsidRDefault="000F03A4" w:rsidP="000F03A4">
      <w:pPr>
        <w:spacing w:after="0"/>
        <w:rPr>
          <w:rFonts w:eastAsia="SimSun" w:cs="Gill Sans MT"/>
          <w:szCs w:val="26"/>
          <w:lang w:eastAsia="en-IE"/>
        </w:rPr>
      </w:pPr>
    </w:p>
    <w:p w14:paraId="3111A693" w14:textId="77777777" w:rsidR="007C5116" w:rsidRDefault="0002440C" w:rsidP="00F32210">
      <w:pPr>
        <w:rPr>
          <w:szCs w:val="26"/>
        </w:rPr>
      </w:pPr>
      <w:r w:rsidRPr="009C1F21">
        <w:rPr>
          <w:szCs w:val="26"/>
        </w:rPr>
        <w:lastRenderedPageBreak/>
        <w:t xml:space="preserve">The </w:t>
      </w:r>
      <w:r w:rsidR="00A80100" w:rsidRPr="009C1F21">
        <w:rPr>
          <w:szCs w:val="26"/>
        </w:rPr>
        <w:t xml:space="preserve">NDA would like to take this opportunity to highlight the following key areas of focus relevant to </w:t>
      </w:r>
      <w:r w:rsidR="007C5116">
        <w:rPr>
          <w:szCs w:val="26"/>
        </w:rPr>
        <w:t>the De</w:t>
      </w:r>
      <w:r w:rsidR="00A80100" w:rsidRPr="009C1F21">
        <w:rPr>
          <w:szCs w:val="26"/>
        </w:rPr>
        <w:t>partment</w:t>
      </w:r>
      <w:r w:rsidR="00C4684C" w:rsidRPr="009C1F21">
        <w:rPr>
          <w:szCs w:val="26"/>
        </w:rPr>
        <w:t>, which we suggest could be incorporated within this new Statement of Strategy</w:t>
      </w:r>
      <w:r w:rsidR="00A80100" w:rsidRPr="009C1F21">
        <w:rPr>
          <w:szCs w:val="26"/>
        </w:rPr>
        <w:t xml:space="preserve"> and has organised them under the </w:t>
      </w:r>
      <w:r w:rsidR="003944A4">
        <w:rPr>
          <w:szCs w:val="26"/>
        </w:rPr>
        <w:t>headings</w:t>
      </w:r>
      <w:r w:rsidR="003B57D5">
        <w:rPr>
          <w:szCs w:val="26"/>
        </w:rPr>
        <w:t xml:space="preserve"> of</w:t>
      </w:r>
      <w:r w:rsidR="007C5116">
        <w:rPr>
          <w:szCs w:val="26"/>
        </w:rPr>
        <w:t>:</w:t>
      </w:r>
    </w:p>
    <w:p w14:paraId="3A1DCA0B" w14:textId="77777777" w:rsidR="00C52C77" w:rsidRDefault="00C52C77" w:rsidP="00C52C77">
      <w:pPr>
        <w:pStyle w:val="ListBullet"/>
        <w:numPr>
          <w:ilvl w:val="0"/>
          <w:numId w:val="43"/>
        </w:numPr>
      </w:pPr>
      <w:r>
        <w:t>Universal Design Homes</w:t>
      </w:r>
    </w:p>
    <w:p w14:paraId="33F6B2B9" w14:textId="1A2F1B29" w:rsidR="00C52C77" w:rsidRDefault="00C52C77" w:rsidP="00C52C77">
      <w:pPr>
        <w:pStyle w:val="ListBullet"/>
        <w:numPr>
          <w:ilvl w:val="0"/>
          <w:numId w:val="43"/>
        </w:numPr>
      </w:pPr>
      <w:r>
        <w:t>Built environment</w:t>
      </w:r>
    </w:p>
    <w:p w14:paraId="20F3C2F7" w14:textId="42BCF148" w:rsidR="007C5116" w:rsidRDefault="00C52C77" w:rsidP="00C52C77">
      <w:pPr>
        <w:pStyle w:val="ListBullet"/>
        <w:numPr>
          <w:ilvl w:val="0"/>
          <w:numId w:val="43"/>
        </w:numPr>
      </w:pPr>
      <w:r>
        <w:t>Accessible voting</w:t>
      </w:r>
      <w:r w:rsidR="00990E88">
        <w:t xml:space="preserve">. </w:t>
      </w:r>
    </w:p>
    <w:p w14:paraId="658135F0" w14:textId="3DBFD047" w:rsidR="006B747C" w:rsidRDefault="006B747C" w:rsidP="00C52C77">
      <w:pPr>
        <w:pStyle w:val="ListBullet"/>
        <w:numPr>
          <w:ilvl w:val="0"/>
          <w:numId w:val="43"/>
        </w:numPr>
      </w:pPr>
      <w:r>
        <w:t>Statutory obligations</w:t>
      </w:r>
    </w:p>
    <w:p w14:paraId="76C210B2" w14:textId="6FBF8239" w:rsidR="00A80100" w:rsidRPr="009C1F21" w:rsidRDefault="00990E88" w:rsidP="00F32210">
      <w:pPr>
        <w:rPr>
          <w:szCs w:val="26"/>
        </w:rPr>
      </w:pPr>
      <w:r>
        <w:rPr>
          <w:szCs w:val="26"/>
        </w:rPr>
        <w:t xml:space="preserve">A summary of recommendations is provided at the end. </w:t>
      </w:r>
    </w:p>
    <w:p w14:paraId="25588F8B" w14:textId="77777777" w:rsidR="00BE4994" w:rsidRPr="00BE4994" w:rsidRDefault="00BE4994" w:rsidP="007336EA">
      <w:pPr>
        <w:pStyle w:val="Heading1"/>
      </w:pPr>
      <w:bookmarkStart w:id="20" w:name="_Toc106356785"/>
      <w:bookmarkStart w:id="21" w:name="_Toc142909781"/>
      <w:r w:rsidRPr="00BE4994">
        <w:t>Universal Design in Housing</w:t>
      </w:r>
      <w:bookmarkEnd w:id="20"/>
      <w:bookmarkEnd w:id="21"/>
    </w:p>
    <w:p w14:paraId="10C9D1B9" w14:textId="0DA8AF6F" w:rsidR="0090077D" w:rsidRDefault="0090077D" w:rsidP="007336EA">
      <w:pPr>
        <w:pStyle w:val="Heading2"/>
      </w:pPr>
      <w:bookmarkStart w:id="22" w:name="_Toc106356786"/>
      <w:bookmarkStart w:id="23" w:name="_Toc142909782"/>
      <w:r>
        <w:t>National Housing Strategy for Disabled People 2022-27</w:t>
      </w:r>
      <w:bookmarkEnd w:id="23"/>
    </w:p>
    <w:p w14:paraId="2432CDCB" w14:textId="10E630BE" w:rsidR="008E79A4" w:rsidRDefault="008E79A4" w:rsidP="0090077D">
      <w:r>
        <w:t xml:space="preserve">This </w:t>
      </w:r>
      <w:r w:rsidR="00E548B8" w:rsidRPr="00E548B8">
        <w:rPr>
          <w:b/>
        </w:rPr>
        <w:t>National Housing Strategy for Disabled People 2022-27</w:t>
      </w:r>
      <w:r>
        <w:t xml:space="preserve"> </w:t>
      </w:r>
      <w:r w:rsidR="00E548B8">
        <w:t xml:space="preserve">(NHSDP) </w:t>
      </w:r>
      <w:r>
        <w:t xml:space="preserve">was published at the beginning of 2022. </w:t>
      </w:r>
      <w:r w:rsidRPr="008E79A4">
        <w:t>The NDA participated at all stages of the consultation and drafting as well as sitting on the National Advisory Group on the National Housing Strategy for Disabled Persons; chaired by the Housing Agency.</w:t>
      </w:r>
      <w:r w:rsidR="00E548B8">
        <w:t xml:space="preserve"> The NDA very much welcomes the NHSDP, however, it</w:t>
      </w:r>
      <w:r w:rsidR="00E548B8" w:rsidRPr="00E548B8">
        <w:t xml:space="preserve"> is a high-level document </w:t>
      </w:r>
      <w:r w:rsidR="00850C09">
        <w:t>and many</w:t>
      </w:r>
      <w:r w:rsidR="00E548B8" w:rsidRPr="00E548B8">
        <w:t xml:space="preserve"> of the actions </w:t>
      </w:r>
      <w:r w:rsidR="00850C09">
        <w:t>remain to be set</w:t>
      </w:r>
      <w:r w:rsidR="00E548B8" w:rsidRPr="00E548B8">
        <w:t xml:space="preserve"> out in </w:t>
      </w:r>
      <w:r w:rsidR="00850C09">
        <w:t xml:space="preserve">further detail in </w:t>
      </w:r>
      <w:r w:rsidR="00E548B8" w:rsidRPr="00E548B8">
        <w:t>the Implementation Plan</w:t>
      </w:r>
      <w:r w:rsidR="00E548B8">
        <w:t>. It is unfortunate that the NHSDP is over 12 months in existence and the Implementation Plan has yet to be published</w:t>
      </w:r>
      <w:r w:rsidR="00E548B8" w:rsidRPr="00E548B8">
        <w:t xml:space="preserve">. </w:t>
      </w:r>
      <w:r w:rsidR="00E548B8">
        <w:t xml:space="preserve">It is important that Implementation Plan is published as soon as possible. The lack of an Implementation Plan has knock-on effects to other policies such as Time to Move </w:t>
      </w:r>
      <w:proofErr w:type="gramStart"/>
      <w:r w:rsidR="00E548B8">
        <w:t>On</w:t>
      </w:r>
      <w:proofErr w:type="gramEnd"/>
      <w:r w:rsidR="00850C09">
        <w:t xml:space="preserve"> from Congregated Settings</w:t>
      </w:r>
      <w:r w:rsidR="00E548B8">
        <w:t>.</w:t>
      </w:r>
      <w:r w:rsidR="00955B41">
        <w:t xml:space="preserve"> </w:t>
      </w:r>
    </w:p>
    <w:p w14:paraId="51879E7D" w14:textId="268542C7" w:rsidR="00BE4994" w:rsidRPr="00BE4994" w:rsidRDefault="00BE4994" w:rsidP="007336EA">
      <w:pPr>
        <w:pStyle w:val="Heading2"/>
      </w:pPr>
      <w:bookmarkStart w:id="24" w:name="_Toc142909783"/>
      <w:r w:rsidRPr="00BE4994">
        <w:t>Universal Design Homes Guidance</w:t>
      </w:r>
      <w:bookmarkEnd w:id="22"/>
      <w:bookmarkEnd w:id="24"/>
    </w:p>
    <w:p w14:paraId="591AF9D3" w14:textId="77777777" w:rsidR="004D6010" w:rsidRDefault="004D6010" w:rsidP="00BE4994">
      <w:r w:rsidRPr="004D6010">
        <w:t>Based on NDA advice the NHSDP does contain more content on Universal Design than in its original draft form, however, the NDA would have welcomed more references to Universal Design (UD) throughout.</w:t>
      </w:r>
      <w:r>
        <w:t xml:space="preserve"> </w:t>
      </w:r>
    </w:p>
    <w:p w14:paraId="5AD7F6D4" w14:textId="46557FF7" w:rsidR="00BE4994" w:rsidRPr="00BE4994" w:rsidRDefault="00BE4994" w:rsidP="00BE4994">
      <w:pPr>
        <w:rPr>
          <w:b/>
        </w:rPr>
      </w:pPr>
      <w:r w:rsidRPr="00BE4994">
        <w:t xml:space="preserve">In 2015, the </w:t>
      </w:r>
      <w:r w:rsidR="00385EC6">
        <w:t>NDA’s Centre for Excellence in Universal Design (</w:t>
      </w:r>
      <w:r w:rsidRPr="00BE4994">
        <w:t>CEUD</w:t>
      </w:r>
      <w:r w:rsidR="00385EC6">
        <w:t>)</w:t>
      </w:r>
      <w:r w:rsidRPr="00BE4994">
        <w:t xml:space="preserve"> published guidance on how to implement </w:t>
      </w:r>
      <w:r w:rsidR="004D6010">
        <w:t>UD</w:t>
      </w:r>
      <w:r w:rsidR="00C52C77">
        <w:t xml:space="preserve"> </w:t>
      </w:r>
      <w:r w:rsidRPr="00BE4994">
        <w:t xml:space="preserve">in housing: </w:t>
      </w:r>
      <w:r w:rsidRPr="00BE4994">
        <w:rPr>
          <w:b/>
        </w:rPr>
        <w:t>Universal Design Guidelines for Homes in Ireland</w:t>
      </w:r>
      <w:r w:rsidRPr="00BE4994">
        <w:rPr>
          <w:rFonts w:ascii="Gill Sans" w:hAnsi="Gill Sans"/>
          <w:b/>
          <w:vertAlign w:val="superscript"/>
        </w:rPr>
        <w:footnoteReference w:id="4"/>
      </w:r>
      <w:r w:rsidRPr="00BE4994">
        <w:t>. The guidance is provided in a two-tiered system:</w:t>
      </w:r>
    </w:p>
    <w:p w14:paraId="2A24FF8E" w14:textId="77777777" w:rsidR="00BE4994" w:rsidRPr="00BE4994" w:rsidRDefault="00BE4994" w:rsidP="00BE4994">
      <w:pPr>
        <w:numPr>
          <w:ilvl w:val="0"/>
          <w:numId w:val="7"/>
        </w:numPr>
        <w:tabs>
          <w:tab w:val="clear" w:pos="360"/>
        </w:tabs>
        <w:spacing w:after="120"/>
      </w:pPr>
      <w:r w:rsidRPr="00BE4994">
        <w:t xml:space="preserve">UD Home, optimising flexibility, </w:t>
      </w:r>
      <w:proofErr w:type="gramStart"/>
      <w:r w:rsidRPr="00BE4994">
        <w:t>adaptability</w:t>
      </w:r>
      <w:proofErr w:type="gramEnd"/>
      <w:r w:rsidRPr="00BE4994">
        <w:t xml:space="preserve"> and usability for everyone</w:t>
      </w:r>
    </w:p>
    <w:p w14:paraId="686CAA93" w14:textId="77777777" w:rsidR="00BE4994" w:rsidRPr="00BE4994" w:rsidRDefault="00BE4994" w:rsidP="00BE4994">
      <w:pPr>
        <w:numPr>
          <w:ilvl w:val="0"/>
          <w:numId w:val="7"/>
        </w:numPr>
        <w:tabs>
          <w:tab w:val="clear" w:pos="360"/>
        </w:tabs>
        <w:spacing w:after="120"/>
      </w:pPr>
      <w:r w:rsidRPr="00BE4994">
        <w:lastRenderedPageBreak/>
        <w:t>UD Home+, providing for greater accommodation of people’s changing needs over time, including wheelchair liveable homes.</w:t>
      </w:r>
    </w:p>
    <w:p w14:paraId="2BD8A7E3" w14:textId="06EC2CF9" w:rsidR="00BE4994" w:rsidRPr="00BE4994" w:rsidRDefault="00BE4994" w:rsidP="00BE4994">
      <w:pPr>
        <w:spacing w:after="120"/>
      </w:pPr>
      <w:r w:rsidRPr="00BE4994">
        <w:t>UD Home++ guidance and design tips are also provided to raise awareness and assist in person-centred design.</w:t>
      </w:r>
      <w:r w:rsidR="00FC0193">
        <w:t xml:space="preserve"> These homes would be designed with a particular person’s needs in mind.</w:t>
      </w:r>
    </w:p>
    <w:p w14:paraId="31AD8B2E" w14:textId="77777777" w:rsidR="00BE4994" w:rsidRPr="00BE4994" w:rsidRDefault="00BE4994" w:rsidP="007336EA">
      <w:pPr>
        <w:pStyle w:val="Heading2"/>
      </w:pPr>
      <w:bookmarkStart w:id="25" w:name="_Toc106356787"/>
      <w:bookmarkStart w:id="26" w:name="_Toc142909784"/>
      <w:r w:rsidRPr="00BE4994">
        <w:t>Need for Part M for Dwellings to be reviewed</w:t>
      </w:r>
      <w:bookmarkEnd w:id="25"/>
      <w:bookmarkEnd w:id="26"/>
    </w:p>
    <w:p w14:paraId="69C123C6" w14:textId="77777777" w:rsidR="00BE4994" w:rsidRPr="00BE4994" w:rsidRDefault="00BE4994" w:rsidP="00BE4994">
      <w:r w:rsidRPr="00BE4994">
        <w:t xml:space="preserve">Part M of the building regulations sets out the minimum requirements for housing design, which is that new dwellings are visitable by disabled people. As most housing is built to the minimum requirements, this means that there is a lack of accessible housing, that disabled people can </w:t>
      </w:r>
      <w:r w:rsidRPr="00BE4994">
        <w:rPr>
          <w:b/>
        </w:rPr>
        <w:t>live</w:t>
      </w:r>
      <w:r w:rsidRPr="00BE4994">
        <w:t xml:space="preserve"> in, in Ireland. </w:t>
      </w:r>
    </w:p>
    <w:p w14:paraId="31864862" w14:textId="52CDC956" w:rsidR="00BE4994" w:rsidRPr="00BE4994" w:rsidRDefault="00BE4994" w:rsidP="00BE4994">
      <w:r w:rsidRPr="00BE4994">
        <w:t xml:space="preserve">Part M was last </w:t>
      </w:r>
      <w:r w:rsidR="00263966">
        <w:t>fully reviewed</w:t>
      </w:r>
      <w:r w:rsidR="00263966" w:rsidRPr="00BE4994">
        <w:t xml:space="preserve"> </w:t>
      </w:r>
      <w:r w:rsidRPr="00BE4994">
        <w:t>in 2010</w:t>
      </w:r>
      <w:r w:rsidR="00263966">
        <w:rPr>
          <w:rStyle w:val="FootnoteReference"/>
        </w:rPr>
        <w:footnoteReference w:id="5"/>
      </w:r>
      <w:r w:rsidRPr="00BE4994">
        <w:t xml:space="preserve">. The NDA has advised that Part M should be reviewed, with priority given to a review of Part M for Dwellings, to ensure that new homes are required to be liveable by all people, including disabled people and older people (to enable ageing in place). </w:t>
      </w:r>
    </w:p>
    <w:p w14:paraId="0793AF32" w14:textId="77777777" w:rsidR="00BE4994" w:rsidRPr="00BE4994" w:rsidRDefault="00BE4994" w:rsidP="008854C0">
      <w:pPr>
        <w:pStyle w:val="Heading2"/>
      </w:pPr>
      <w:bookmarkStart w:id="27" w:name="_Toc106356788"/>
      <w:bookmarkStart w:id="28" w:name="_Toc142909785"/>
      <w:r w:rsidRPr="00BE4994">
        <w:t>Cost Benefit Analysis of Universal Design Homes</w:t>
      </w:r>
      <w:bookmarkEnd w:id="27"/>
      <w:bookmarkEnd w:id="28"/>
    </w:p>
    <w:p w14:paraId="47B4D19A" w14:textId="7E2A3C3C" w:rsidR="00BE4994" w:rsidRPr="00BE4994" w:rsidRDefault="00BE4994" w:rsidP="00BE4994">
      <w:r w:rsidRPr="00BE4994">
        <w:t xml:space="preserve">The NDA is conducting a cost benefit analysis of </w:t>
      </w:r>
      <w:r w:rsidR="00BB7240">
        <w:t>UD</w:t>
      </w:r>
      <w:r w:rsidRPr="00BE4994">
        <w:t xml:space="preserve"> Homes, under action</w:t>
      </w:r>
      <w:r w:rsidR="00FC78A6">
        <w:t>s</w:t>
      </w:r>
      <w:r w:rsidRPr="00BE4994">
        <w:t xml:space="preserve"> in the</w:t>
      </w:r>
      <w:r w:rsidR="008959BF">
        <w:t xml:space="preserve"> </w:t>
      </w:r>
      <w:r w:rsidR="008959BF" w:rsidRPr="008959BF">
        <w:rPr>
          <w:b/>
        </w:rPr>
        <w:t>National Disability Inclusion Strategy 2017-2022</w:t>
      </w:r>
      <w:r w:rsidR="008959BF">
        <w:rPr>
          <w:rStyle w:val="FootnoteReference"/>
          <w:b/>
        </w:rPr>
        <w:footnoteReference w:id="6"/>
      </w:r>
      <w:r w:rsidR="008959BF">
        <w:t xml:space="preserve"> and the </w:t>
      </w:r>
      <w:r w:rsidRPr="00BE4994">
        <w:t xml:space="preserve">2019 policy statement from the Department of Housing and the Department of Health: </w:t>
      </w:r>
      <w:r w:rsidRPr="00BE4994">
        <w:rPr>
          <w:b/>
        </w:rPr>
        <w:t>Housing Options for our Ageing Population: Policy Statement</w:t>
      </w:r>
      <w:r w:rsidR="0023581D">
        <w:rPr>
          <w:b/>
        </w:rPr>
        <w:t>.</w:t>
      </w:r>
      <w:r w:rsidRPr="00BE4994">
        <w:rPr>
          <w:rFonts w:ascii="Gill Sans" w:hAnsi="Gill Sans"/>
          <w:vertAlign w:val="superscript"/>
        </w:rPr>
        <w:footnoteReference w:id="7"/>
      </w:r>
      <w:r w:rsidRPr="00BE4994">
        <w:t xml:space="preserve"> </w:t>
      </w:r>
      <w:r w:rsidR="0023581D">
        <w:t>This</w:t>
      </w:r>
      <w:r w:rsidR="0023581D" w:rsidRPr="00BE4994">
        <w:t xml:space="preserve"> </w:t>
      </w:r>
      <w:r w:rsidRPr="00BE4994">
        <w:t xml:space="preserve">sets out the aim that within five years, 30% of new builds in Ireland should incorporate </w:t>
      </w:r>
      <w:r w:rsidR="00BB7240">
        <w:t>UD</w:t>
      </w:r>
      <w:r w:rsidRPr="00BE4994">
        <w:t xml:space="preserve"> principles to accommodate Ireland’s ageing population. To inform the cost benefit analysis, an assessment of the up-front cost of </w:t>
      </w:r>
      <w:r w:rsidR="00BB7240">
        <w:t>UD</w:t>
      </w:r>
      <w:r w:rsidRPr="00BE4994">
        <w:t xml:space="preserve"> Homes is being developed. </w:t>
      </w:r>
    </w:p>
    <w:p w14:paraId="7ED9E2E0" w14:textId="303AA4BE" w:rsidR="00BE4994" w:rsidRPr="00BE4994" w:rsidRDefault="00BE4994" w:rsidP="00BE4994">
      <w:r w:rsidRPr="00BE4994">
        <w:t xml:space="preserve">A key element of </w:t>
      </w:r>
      <w:r w:rsidR="00BB7240">
        <w:t>UD</w:t>
      </w:r>
      <w:r w:rsidR="000A34A2">
        <w:t xml:space="preserve"> </w:t>
      </w:r>
      <w:r w:rsidRPr="00BE4994">
        <w:t xml:space="preserve">Homes is that they </w:t>
      </w:r>
      <w:r w:rsidRPr="00BE4994">
        <w:rPr>
          <w:b/>
        </w:rPr>
        <w:t>provide enough space</w:t>
      </w:r>
      <w:r w:rsidRPr="00BE4994">
        <w:t xml:space="preserve"> for people using mobility devices such as walking frames, crutches, and wheelchairs to move about throughout their home. </w:t>
      </w:r>
      <w:r w:rsidR="00A62A81">
        <w:t xml:space="preserve">Most homes provide the minimum floor space requirements under </w:t>
      </w:r>
      <w:r w:rsidR="00FC0193">
        <w:t>P</w:t>
      </w:r>
      <w:r w:rsidR="00A62A81">
        <w:t xml:space="preserve">art M. </w:t>
      </w:r>
      <w:r w:rsidRPr="00BE4994">
        <w:t xml:space="preserve">While the cost assessment </w:t>
      </w:r>
      <w:r w:rsidR="00745E2D">
        <w:t>will be available later in 2023</w:t>
      </w:r>
      <w:r w:rsidRPr="00BE4994">
        <w:t xml:space="preserve">, a preliminary finding is that the target floor areas of social and affordable houses are too small to provide for UD Home or UD Home+ houses. </w:t>
      </w:r>
      <w:r w:rsidR="00FC0193">
        <w:t>It</w:t>
      </w:r>
      <w:r w:rsidRPr="00BE4994">
        <w:t xml:space="preserve"> appears that </w:t>
      </w:r>
      <w:r w:rsidR="00745E2D">
        <w:t xml:space="preserve">while </w:t>
      </w:r>
      <w:r w:rsidRPr="00BE4994">
        <w:t xml:space="preserve">the UD Home level can be achieved within the </w:t>
      </w:r>
      <w:r w:rsidR="00F05A0F">
        <w:t xml:space="preserve">existing </w:t>
      </w:r>
      <w:r w:rsidRPr="00BE4994">
        <w:t xml:space="preserve">requirement for a </w:t>
      </w:r>
      <w:r w:rsidR="00F05A0F">
        <w:t xml:space="preserve">certain </w:t>
      </w:r>
      <w:r w:rsidRPr="00BE4994">
        <w:t xml:space="preserve">percentage of apartments to exceed the minimum floor area by 10%, UD Home+ (wheelchair accessible) apartments cannot be achieved with this </w:t>
      </w:r>
      <w:r w:rsidRPr="00BE4994">
        <w:lastRenderedPageBreak/>
        <w:t xml:space="preserve">minimum floor area. </w:t>
      </w:r>
      <w:r w:rsidR="00745E2D">
        <w:t>We also advise that any proportion of an overall development built to UD level should incorporate a mix of unit types and sizes, to reflect the range of individual and family needs that might apply.</w:t>
      </w:r>
    </w:p>
    <w:p w14:paraId="07E194BA" w14:textId="4651B5A0" w:rsidR="00BE4994" w:rsidRDefault="00BE4994" w:rsidP="00BE4994">
      <w:r w:rsidRPr="00BE4994">
        <w:t>In the private market, there is evidence that the floor area of houses is comparable with that required for UD Home level</w:t>
      </w:r>
      <w:r w:rsidR="00A62A81">
        <w:t xml:space="preserve">. </w:t>
      </w:r>
    </w:p>
    <w:p w14:paraId="74136607" w14:textId="77777777" w:rsidR="00BE4994" w:rsidRPr="00BE4994" w:rsidRDefault="00BE4994" w:rsidP="008854C0">
      <w:pPr>
        <w:pStyle w:val="Heading2"/>
      </w:pPr>
      <w:bookmarkStart w:id="29" w:name="_Toc106356789"/>
      <w:bookmarkStart w:id="30" w:name="_Toc142909786"/>
      <w:r w:rsidRPr="00BE4994">
        <w:t>NDA advice on targets for Universal Design in Housing</w:t>
      </w:r>
      <w:bookmarkEnd w:id="29"/>
      <w:bookmarkEnd w:id="30"/>
    </w:p>
    <w:p w14:paraId="273E1F2B" w14:textId="6EB090E7" w:rsidR="00BE4994" w:rsidRPr="00BE4994" w:rsidRDefault="00BE4994" w:rsidP="00BE4994">
      <w:r w:rsidRPr="00BE4994">
        <w:t xml:space="preserve">The NDA has previously advised the Department of Housing, Local Government and Heritage that in the 30% target set out in the </w:t>
      </w:r>
      <w:r w:rsidRPr="00BE4994">
        <w:rPr>
          <w:b/>
        </w:rPr>
        <w:t>Housing Options for our Ageing Population: Policy Statement</w:t>
      </w:r>
      <w:r w:rsidRPr="00BE4994">
        <w:t>, there should be 20% homes built to UD Home level and 10% built to UD Home+ (wheelchair liveable) level.</w:t>
      </w:r>
      <w:r w:rsidR="00A62A81">
        <w:t xml:space="preserve"> NDA advises that there is a review of</w:t>
      </w:r>
      <w:r w:rsidRPr="00BE4994">
        <w:t xml:space="preserve"> Part M for dwellings</w:t>
      </w:r>
      <w:r w:rsidR="00A62A81">
        <w:t xml:space="preserve"> which includes these targets</w:t>
      </w:r>
      <w:r w:rsidR="00745E2D">
        <w:t>.</w:t>
      </w:r>
    </w:p>
    <w:p w14:paraId="153E7B95" w14:textId="5C5FDE42" w:rsidR="00BE4994" w:rsidRPr="00BE4994" w:rsidRDefault="00BE4994" w:rsidP="008854C0">
      <w:pPr>
        <w:pStyle w:val="Heading2"/>
      </w:pPr>
      <w:bookmarkStart w:id="31" w:name="_Toc106356790"/>
      <w:bookmarkStart w:id="32" w:name="_Toc142909787"/>
      <w:r w:rsidRPr="00BE4994">
        <w:t>Incentives to design and build UD Homes</w:t>
      </w:r>
      <w:bookmarkEnd w:id="31"/>
      <w:bookmarkEnd w:id="32"/>
    </w:p>
    <w:p w14:paraId="1917B722" w14:textId="398EF2A5" w:rsidR="00BE4994" w:rsidRPr="00BE4994" w:rsidRDefault="00BE4994" w:rsidP="00BE4994">
      <w:pPr>
        <w:spacing w:after="120"/>
      </w:pPr>
      <w:r w:rsidRPr="00BE4994">
        <w:t xml:space="preserve">The NDA has advised the Department of Housing, Local Government and Heritage to consider the introduction of incentives for the provision of </w:t>
      </w:r>
      <w:r w:rsidR="006B0791">
        <w:t xml:space="preserve">UD </w:t>
      </w:r>
      <w:r w:rsidRPr="00BE4994">
        <w:t>Homes. These include:</w:t>
      </w:r>
    </w:p>
    <w:p w14:paraId="3DD94913" w14:textId="278536D4" w:rsidR="00BE4994" w:rsidRPr="00BE4994" w:rsidRDefault="006B0791" w:rsidP="00BE4994">
      <w:pPr>
        <w:numPr>
          <w:ilvl w:val="0"/>
          <w:numId w:val="1"/>
        </w:numPr>
        <w:spacing w:before="120" w:after="120"/>
      </w:pPr>
      <w:r>
        <w:t>UD</w:t>
      </w:r>
      <w:r w:rsidR="00BE4994" w:rsidRPr="00BE4994">
        <w:t xml:space="preserve"> mortgages for new homes where more favourable terms could be offered when </w:t>
      </w:r>
      <w:r>
        <w:t>UD</w:t>
      </w:r>
      <w:r w:rsidR="00BE4994" w:rsidRPr="00BE4994">
        <w:t xml:space="preserve"> features are included in new homes</w:t>
      </w:r>
    </w:p>
    <w:p w14:paraId="53D540CF" w14:textId="4FCBF4E6" w:rsidR="00BE4994" w:rsidRPr="00BE4994" w:rsidRDefault="00BE4994" w:rsidP="00BE4994">
      <w:pPr>
        <w:numPr>
          <w:ilvl w:val="0"/>
          <w:numId w:val="1"/>
        </w:numPr>
        <w:spacing w:before="120" w:after="120"/>
      </w:pPr>
      <w:r w:rsidRPr="00BE4994">
        <w:t xml:space="preserve">a time-limited VAT reduction </w:t>
      </w:r>
      <w:proofErr w:type="gramStart"/>
      <w:r w:rsidRPr="00BE4994">
        <w:t>in order to</w:t>
      </w:r>
      <w:proofErr w:type="gramEnd"/>
      <w:r w:rsidRPr="00BE4994">
        <w:t xml:space="preserve"> encourage builders to build </w:t>
      </w:r>
      <w:r w:rsidR="006B0791">
        <w:t>UD</w:t>
      </w:r>
      <w:r w:rsidRPr="00BE4994">
        <w:t xml:space="preserve"> Homes</w:t>
      </w:r>
    </w:p>
    <w:p w14:paraId="3724160C" w14:textId="37E73030" w:rsidR="00BE4994" w:rsidRPr="00BE4994" w:rsidRDefault="00BE4994" w:rsidP="00BE4994">
      <w:pPr>
        <w:numPr>
          <w:ilvl w:val="0"/>
          <w:numId w:val="1"/>
        </w:numPr>
        <w:spacing w:before="120" w:after="120"/>
      </w:pPr>
      <w:r w:rsidRPr="00BE4994">
        <w:t xml:space="preserve">extending the existing practice of waivers from local authority development contributions to developments – or part of developments – that are planned, </w:t>
      </w:r>
      <w:proofErr w:type="gramStart"/>
      <w:r w:rsidRPr="00BE4994">
        <w:t>designed</w:t>
      </w:r>
      <w:proofErr w:type="gramEnd"/>
      <w:r w:rsidRPr="00BE4994">
        <w:t xml:space="preserve"> and built following a </w:t>
      </w:r>
      <w:r w:rsidR="006B0791">
        <w:t>UD</w:t>
      </w:r>
      <w:r w:rsidRPr="00BE4994">
        <w:t xml:space="preserve"> approach</w:t>
      </w:r>
    </w:p>
    <w:p w14:paraId="7E6EA3D2" w14:textId="77777777" w:rsidR="00BE4994" w:rsidRPr="00BE4994" w:rsidRDefault="00BE4994" w:rsidP="008854C0">
      <w:pPr>
        <w:pStyle w:val="Heading2"/>
      </w:pPr>
      <w:bookmarkStart w:id="33" w:name="_Toc106356791"/>
      <w:bookmarkStart w:id="34" w:name="_Toc142909788"/>
      <w:r w:rsidRPr="00BE4994">
        <w:t>Universal Design Housing Targets in Development Plans</w:t>
      </w:r>
      <w:bookmarkEnd w:id="33"/>
      <w:bookmarkEnd w:id="34"/>
    </w:p>
    <w:p w14:paraId="758FAAD8" w14:textId="1E9B8457" w:rsidR="00BE4994" w:rsidRPr="00BE4994" w:rsidRDefault="00BE4994" w:rsidP="00BE4994">
      <w:pPr>
        <w:rPr>
          <w:rFonts w:ascii="Gill Sans" w:hAnsi="Gill Sans"/>
        </w:rPr>
      </w:pPr>
      <w:r w:rsidRPr="00BE4994">
        <w:rPr>
          <w:rFonts w:ascii="Gill Sans" w:hAnsi="Gill Sans"/>
        </w:rPr>
        <w:t xml:space="preserve">The NDA welcomes that some local authorities are setting targets for a percentage of housing units in new housing developments incorporate </w:t>
      </w:r>
      <w:r w:rsidR="006B0791">
        <w:rPr>
          <w:rFonts w:ascii="Gill Sans" w:hAnsi="Gill Sans"/>
        </w:rPr>
        <w:t>UD</w:t>
      </w:r>
      <w:r w:rsidRPr="00BE4994">
        <w:rPr>
          <w:rFonts w:ascii="Gill Sans" w:hAnsi="Gill Sans"/>
        </w:rPr>
        <w:t xml:space="preserve"> principles. For example:</w:t>
      </w:r>
    </w:p>
    <w:p w14:paraId="239A0E8A" w14:textId="77777777" w:rsidR="00BE4994" w:rsidRPr="00BE4994" w:rsidRDefault="00BE4994" w:rsidP="006B0791">
      <w:pPr>
        <w:pStyle w:val="ListBullet"/>
        <w:numPr>
          <w:ilvl w:val="0"/>
          <w:numId w:val="44"/>
        </w:numPr>
      </w:pPr>
      <w:r w:rsidRPr="00BE4994">
        <w:t xml:space="preserve">The Wexford County Development Plan 2021-2028 requires that a </w:t>
      </w:r>
      <w:proofErr w:type="gramStart"/>
      <w:r w:rsidRPr="00BE4994">
        <w:t>minimum  of</w:t>
      </w:r>
      <w:proofErr w:type="gramEnd"/>
      <w:r w:rsidRPr="00BE4994">
        <w:t xml:space="preserve"> 20% of dwellings in residential developments of five dwellings or more are Lifetime Homes, suitable to accommodate or are adaptable to provide accommodation for people with disabilities and older people.</w:t>
      </w:r>
    </w:p>
    <w:p w14:paraId="3D3CC5F2" w14:textId="635A8D52" w:rsidR="00BE4994" w:rsidRPr="007239CB" w:rsidRDefault="00BE4994" w:rsidP="00BE4994">
      <w:pPr>
        <w:pStyle w:val="ListBullet"/>
        <w:numPr>
          <w:ilvl w:val="0"/>
          <w:numId w:val="44"/>
        </w:numPr>
      </w:pPr>
      <w:r w:rsidRPr="00BE4994">
        <w:t xml:space="preserve">The Meath County Development Plan 2021-2027 requires that all new residential developments on zoned lands </w:t>
      </w:r>
      <w:proofErr w:type="gramStart"/>
      <w:r w:rsidRPr="00BE4994">
        <w:t>in excess of</w:t>
      </w:r>
      <w:proofErr w:type="gramEnd"/>
      <w:r w:rsidRPr="00BE4994">
        <w:t xml:space="preserve"> 20 residential units provide for a minimum of 5% universally designed units</w:t>
      </w:r>
      <w:r w:rsidR="00745E2D">
        <w:t>.</w:t>
      </w:r>
    </w:p>
    <w:p w14:paraId="5F82A4DC" w14:textId="75B5BB2A" w:rsidR="00BE4994" w:rsidRPr="00BE4994" w:rsidRDefault="00BE4994" w:rsidP="008854C0">
      <w:pPr>
        <w:pStyle w:val="Heading1"/>
      </w:pPr>
      <w:bookmarkStart w:id="35" w:name="_Toc106356792"/>
      <w:bookmarkStart w:id="36" w:name="_Toc142909789"/>
      <w:r w:rsidRPr="00BE4994">
        <w:lastRenderedPageBreak/>
        <w:t>Recent developments in Universal Design in the Built Environment</w:t>
      </w:r>
      <w:bookmarkEnd w:id="35"/>
      <w:bookmarkEnd w:id="36"/>
    </w:p>
    <w:p w14:paraId="31FB84DB" w14:textId="77777777" w:rsidR="00BE4994" w:rsidRPr="00BE4994" w:rsidRDefault="00BE4994" w:rsidP="008854C0">
      <w:pPr>
        <w:pStyle w:val="Heading2"/>
      </w:pPr>
      <w:bookmarkStart w:id="37" w:name="_Toc106356793"/>
      <w:bookmarkStart w:id="38" w:name="_Toc142909790"/>
      <w:r w:rsidRPr="00BE4994">
        <w:t>New Standard for Accessibility and usability of the Built Environment</w:t>
      </w:r>
      <w:bookmarkEnd w:id="37"/>
      <w:bookmarkEnd w:id="38"/>
    </w:p>
    <w:p w14:paraId="44B5053D" w14:textId="77777777" w:rsidR="00086889" w:rsidRDefault="00BE4994" w:rsidP="00BE4994">
      <w:r w:rsidRPr="00BE4994">
        <w:t xml:space="preserve">The new standard </w:t>
      </w:r>
      <w:r w:rsidRPr="00BE4994">
        <w:rPr>
          <w:b/>
        </w:rPr>
        <w:t>I.S. EN 17210:2021 - Accessibility and usability of the built environment - Functional requirements</w:t>
      </w:r>
      <w:r w:rsidRPr="00BE4994">
        <w:t xml:space="preserve"> can enable a transition from minimum legal obligations to good practice, by supporting the delivery of buildings and places with social, </w:t>
      </w:r>
      <w:proofErr w:type="gramStart"/>
      <w:r w:rsidRPr="00BE4994">
        <w:t>economic</w:t>
      </w:r>
      <w:proofErr w:type="gramEnd"/>
      <w:r w:rsidRPr="00BE4994">
        <w:t xml:space="preserve"> and sustainable value. I.S. EN 17210:2021 is the Irish adoption of the new European standard setting out functional requirements for the accessibility and usability of the built environment. The standard follows </w:t>
      </w:r>
      <w:r w:rsidR="006B0791">
        <w:t>UD</w:t>
      </w:r>
      <w:r w:rsidRPr="00BE4994">
        <w:t xml:space="preserve"> principles to facilitate equitable and safe use for a wide range of users, including </w:t>
      </w:r>
      <w:r w:rsidR="006B0791">
        <w:t>disabled</w:t>
      </w:r>
      <w:r w:rsidRPr="00BE4994">
        <w:t xml:space="preserve"> and older people. The functional accessibility and usability requirements and recommendations described in this standard are relevant to the design, construction, refurbishment, adaptation, and maintenance of built environments including outdoor pedestrian and urban areas. </w:t>
      </w:r>
    </w:p>
    <w:p w14:paraId="1924A5D8" w14:textId="66CF6851" w:rsidR="00BE4994" w:rsidRPr="00BE4994" w:rsidRDefault="00385EC6" w:rsidP="00BE4994">
      <w:r>
        <w:t xml:space="preserve">The NDA advises that the </w:t>
      </w:r>
      <w:r w:rsidR="00786F15">
        <w:t>D</w:t>
      </w:r>
      <w:r>
        <w:t xml:space="preserve">epartment consider and incorporate this standard into any standards and guidance it produces. </w:t>
      </w:r>
      <w:r w:rsidR="0058662D">
        <w:t xml:space="preserve">It can form the basis for the development of a </w:t>
      </w:r>
      <w:r w:rsidR="00414CA8">
        <w:t xml:space="preserve">new </w:t>
      </w:r>
      <w:r w:rsidR="008A6959">
        <w:t>standard for dwellings</w:t>
      </w:r>
      <w:r w:rsidR="0058662D">
        <w:t>.</w:t>
      </w:r>
      <w:r w:rsidR="008A6959">
        <w:t xml:space="preserve"> </w:t>
      </w:r>
      <w:r w:rsidR="008A6959" w:rsidRPr="008A6959">
        <w:t>The NDA will be supporting the N</w:t>
      </w:r>
      <w:r w:rsidR="008A6959">
        <w:t xml:space="preserve">ational </w:t>
      </w:r>
      <w:r w:rsidR="008A6959" w:rsidRPr="008A6959">
        <w:t>S</w:t>
      </w:r>
      <w:r w:rsidR="008A6959">
        <w:t xml:space="preserve">tandards </w:t>
      </w:r>
      <w:r w:rsidR="008A6959" w:rsidRPr="008A6959">
        <w:t>A</w:t>
      </w:r>
      <w:r w:rsidR="008A6959">
        <w:t xml:space="preserve">uthority of </w:t>
      </w:r>
      <w:r w:rsidR="008A6959" w:rsidRPr="008A6959">
        <w:t>I</w:t>
      </w:r>
      <w:r w:rsidR="008A6959">
        <w:t>reland,</w:t>
      </w:r>
      <w:r w:rsidR="008A6959" w:rsidRPr="008A6959">
        <w:t xml:space="preserve"> in 2023</w:t>
      </w:r>
      <w:r w:rsidR="00414CA8">
        <w:t>,</w:t>
      </w:r>
      <w:r w:rsidR="008A6959" w:rsidRPr="008A6959">
        <w:t xml:space="preserve"> on the development of a new Irish Standard on </w:t>
      </w:r>
      <w:r w:rsidR="008A6959">
        <w:t>UD</w:t>
      </w:r>
      <w:r w:rsidR="008A6959" w:rsidRPr="008A6959">
        <w:t xml:space="preserve"> Dwellings. This new standard will specify requirements and recommendations for the design of accessible, usable, flexible, and adaptable </w:t>
      </w:r>
      <w:r w:rsidR="008A6959">
        <w:t>UD</w:t>
      </w:r>
      <w:r w:rsidR="008A6959" w:rsidRPr="008A6959">
        <w:t xml:space="preserve"> Dwellings, ranging from apartments to individual houses.</w:t>
      </w:r>
    </w:p>
    <w:p w14:paraId="2DFB129B" w14:textId="77777777" w:rsidR="00BE4994" w:rsidRPr="00BE4994" w:rsidRDefault="00BE4994" w:rsidP="008854C0">
      <w:pPr>
        <w:pStyle w:val="Heading2"/>
        <w:rPr>
          <w:rFonts w:eastAsia="SimSun"/>
          <w:lang w:eastAsia="en-IE"/>
        </w:rPr>
      </w:pPr>
      <w:bookmarkStart w:id="39" w:name="_Toc106356794"/>
      <w:bookmarkStart w:id="40" w:name="_Toc142909791"/>
      <w:r w:rsidRPr="00BE4994">
        <w:rPr>
          <w:rFonts w:eastAsia="SimSun"/>
          <w:lang w:eastAsia="en-IE"/>
        </w:rPr>
        <w:t>Places for People, the national policy on architecture</w:t>
      </w:r>
      <w:bookmarkEnd w:id="39"/>
      <w:bookmarkEnd w:id="40"/>
    </w:p>
    <w:p w14:paraId="1405948F" w14:textId="57C2942D" w:rsidR="00BE4994" w:rsidRPr="00BE4994" w:rsidRDefault="00BE4994" w:rsidP="00BE4994">
      <w:pPr>
        <w:spacing w:after="120"/>
        <w:rPr>
          <w:rFonts w:ascii="Gill Sans" w:eastAsia="SimSun" w:hAnsi="Gill Sans"/>
          <w:lang w:eastAsia="en-IE"/>
        </w:rPr>
      </w:pPr>
      <w:r w:rsidRPr="00BE4994">
        <w:rPr>
          <w:rFonts w:ascii="Gill Sans" w:eastAsia="SimSun" w:hAnsi="Gill Sans"/>
          <w:lang w:eastAsia="en-IE"/>
        </w:rPr>
        <w:t xml:space="preserve">The new national policy on architecture, </w:t>
      </w:r>
      <w:r w:rsidRPr="00BE4994">
        <w:rPr>
          <w:rFonts w:ascii="Gill Sans" w:eastAsia="SimSun" w:hAnsi="Gill Sans"/>
          <w:b/>
          <w:lang w:eastAsia="en-IE"/>
        </w:rPr>
        <w:t>Places for People</w:t>
      </w:r>
      <w:r w:rsidRPr="00BE4994">
        <w:rPr>
          <w:rFonts w:ascii="Gill Sans" w:eastAsia="SimSun" w:hAnsi="Gill Sans"/>
          <w:lang w:eastAsia="en-IE"/>
        </w:rPr>
        <w:t xml:space="preserve">, does not explicitly refer to </w:t>
      </w:r>
      <w:r w:rsidR="006B0791">
        <w:rPr>
          <w:rFonts w:ascii="Gill Sans" w:eastAsia="SimSun" w:hAnsi="Gill Sans"/>
          <w:lang w:eastAsia="en-IE"/>
        </w:rPr>
        <w:t>UD</w:t>
      </w:r>
      <w:r w:rsidRPr="00BE4994">
        <w:rPr>
          <w:rFonts w:ascii="Gill Sans" w:eastAsia="SimSun" w:hAnsi="Gill Sans"/>
          <w:lang w:eastAsia="en-IE"/>
        </w:rPr>
        <w:t xml:space="preserve"> in the built environment. However, Objective 2, Quality is </w:t>
      </w:r>
    </w:p>
    <w:p w14:paraId="3520FA08" w14:textId="77777777" w:rsidR="00BE4994" w:rsidRPr="00BE4994" w:rsidRDefault="00BE4994" w:rsidP="00BE4994">
      <w:pPr>
        <w:ind w:left="720" w:right="720"/>
        <w:rPr>
          <w:rFonts w:ascii="Gill Sans" w:eastAsia="SimSun" w:hAnsi="Gill Sans"/>
          <w:lang w:eastAsia="en-IE"/>
        </w:rPr>
      </w:pPr>
      <w:r w:rsidRPr="00BE4994">
        <w:rPr>
          <w:rFonts w:ascii="Gill Sans" w:eastAsia="SimSun" w:hAnsi="Gill Sans"/>
          <w:lang w:eastAsia="en-IE"/>
        </w:rPr>
        <w:t>‘</w:t>
      </w:r>
      <w:proofErr w:type="gramStart"/>
      <w:r w:rsidRPr="00BE4994">
        <w:rPr>
          <w:rFonts w:ascii="Gill Sans" w:eastAsia="SimSun" w:hAnsi="Gill Sans"/>
          <w:lang w:eastAsia="en-IE"/>
        </w:rPr>
        <w:t>to</w:t>
      </w:r>
      <w:proofErr w:type="gramEnd"/>
      <w:r w:rsidRPr="00BE4994">
        <w:rPr>
          <w:rFonts w:ascii="Gill Sans" w:eastAsia="SimSun" w:hAnsi="Gill Sans"/>
          <w:lang w:eastAsia="en-IE"/>
        </w:rPr>
        <w:t xml:space="preserve"> deliver quality architecture and places, planned and </w:t>
      </w:r>
      <w:r w:rsidRPr="00BE4994">
        <w:rPr>
          <w:rFonts w:ascii="Gill Sans" w:eastAsia="SimSun" w:hAnsi="Gill Sans"/>
          <w:b/>
          <w:lang w:eastAsia="en-IE"/>
        </w:rPr>
        <w:t>designed with wide engagement and accessible to all</w:t>
      </w:r>
      <w:r w:rsidRPr="00BE4994">
        <w:rPr>
          <w:rFonts w:ascii="Gill Sans" w:eastAsia="SimSun" w:hAnsi="Gill Sans"/>
          <w:lang w:eastAsia="en-IE"/>
        </w:rPr>
        <w:t xml:space="preserve">, in rural areas and villages, towns, cities and suburbia as an essential element of social sustainability.’ </w:t>
      </w:r>
    </w:p>
    <w:p w14:paraId="4D24D4B4" w14:textId="30C2CB4E" w:rsidR="00BE4994" w:rsidRPr="00BE4994" w:rsidRDefault="00BE4994" w:rsidP="00BE4994">
      <w:pPr>
        <w:spacing w:after="120"/>
        <w:rPr>
          <w:rFonts w:ascii="Gill Sans" w:eastAsia="SimSun" w:hAnsi="Gill Sans"/>
          <w:lang w:eastAsia="en-IE"/>
        </w:rPr>
      </w:pPr>
      <w:r w:rsidRPr="006B0791">
        <w:rPr>
          <w:rFonts w:ascii="Gill Sans" w:hAnsi="Gill Sans"/>
          <w:b/>
        </w:rPr>
        <w:t>Places for People</w:t>
      </w:r>
      <w:r w:rsidRPr="00BE4994">
        <w:rPr>
          <w:rFonts w:ascii="Gill Sans" w:hAnsi="Gill Sans"/>
        </w:rPr>
        <w:t xml:space="preserve"> also distinguishes between minimum requirements and quality, stating that ‘a quality agenda is distinguished from conformance with regulatory requirements, as the latter set a pass/fail threshold’. The NDA will advise that </w:t>
      </w:r>
      <w:r w:rsidR="006B0791">
        <w:rPr>
          <w:rFonts w:ascii="Gill Sans" w:hAnsi="Gill Sans"/>
        </w:rPr>
        <w:t>UD</w:t>
      </w:r>
      <w:r w:rsidRPr="00BE4994">
        <w:rPr>
          <w:rFonts w:ascii="Gill Sans" w:hAnsi="Gill Sans"/>
        </w:rPr>
        <w:t xml:space="preserve"> is explicitly included in the proposed new national design quality criteria, to be developed under the </w:t>
      </w:r>
      <w:r w:rsidRPr="006B0791">
        <w:rPr>
          <w:rFonts w:ascii="Gill Sans" w:hAnsi="Gill Sans"/>
          <w:b/>
        </w:rPr>
        <w:t>Places for People</w:t>
      </w:r>
      <w:r w:rsidRPr="00BE4994">
        <w:rPr>
          <w:rFonts w:ascii="Gill Sans" w:hAnsi="Gill Sans"/>
        </w:rPr>
        <w:t xml:space="preserve"> policy</w:t>
      </w:r>
      <w:r w:rsidRPr="00BE4994">
        <w:rPr>
          <w:rFonts w:ascii="Gill Sans" w:eastAsia="SimSun" w:hAnsi="Gill Sans"/>
          <w:lang w:eastAsia="en-IE"/>
        </w:rPr>
        <w:t xml:space="preserve">. </w:t>
      </w:r>
    </w:p>
    <w:p w14:paraId="1900E864" w14:textId="77777777" w:rsidR="00BE4994" w:rsidRPr="00BE4994" w:rsidRDefault="00BE4994" w:rsidP="008854C0">
      <w:pPr>
        <w:pStyle w:val="Heading2"/>
      </w:pPr>
      <w:bookmarkStart w:id="41" w:name="_Toc106356795"/>
      <w:bookmarkStart w:id="42" w:name="_Toc142909792"/>
      <w:r w:rsidRPr="00BE4994">
        <w:t>Shared Space and the public realm</w:t>
      </w:r>
      <w:bookmarkEnd w:id="41"/>
      <w:bookmarkEnd w:id="42"/>
    </w:p>
    <w:p w14:paraId="52E0067D" w14:textId="7A57D75A" w:rsidR="00BE4994" w:rsidRPr="00BE4994" w:rsidRDefault="00BE4994" w:rsidP="00BE4994">
      <w:pPr>
        <w:rPr>
          <w:rFonts w:ascii="Gill Sans" w:hAnsi="Gill Sans"/>
        </w:rPr>
      </w:pPr>
      <w:r w:rsidRPr="00BE4994">
        <w:rPr>
          <w:rFonts w:ascii="Gill Sans" w:hAnsi="Gill Sans"/>
        </w:rPr>
        <w:t xml:space="preserve">The NDA conducted research on Shared Space in 2012, which highlights concerns about specific design features and the need for a </w:t>
      </w:r>
      <w:r w:rsidR="006B0791">
        <w:rPr>
          <w:rFonts w:ascii="Gill Sans" w:hAnsi="Gill Sans"/>
        </w:rPr>
        <w:t>UD</w:t>
      </w:r>
      <w:r w:rsidRPr="00BE4994">
        <w:rPr>
          <w:rFonts w:ascii="Gill Sans" w:hAnsi="Gill Sans"/>
        </w:rPr>
        <w:t xml:space="preserve"> approach to be </w:t>
      </w:r>
      <w:r w:rsidRPr="00BE4994">
        <w:rPr>
          <w:rFonts w:ascii="Gill Sans" w:hAnsi="Gill Sans"/>
        </w:rPr>
        <w:lastRenderedPageBreak/>
        <w:t>adopted in relation to shared space. A Shared Space is defined as a street or place designed to improve pedestrian movement and comfort by reducing the dominance of motor vehicles and enabling all users to share the space. This concept is often accompanied by the idea of a shared surface too, where there is no kerb or level difference to segregate pedestrians and vehicles.</w:t>
      </w:r>
    </w:p>
    <w:p w14:paraId="7765D228" w14:textId="08116F59" w:rsidR="00BE4994" w:rsidRPr="00BE4994" w:rsidRDefault="00BE4994" w:rsidP="00BE4994">
      <w:pPr>
        <w:rPr>
          <w:rFonts w:ascii="Gill Sans" w:hAnsi="Gill Sans"/>
        </w:rPr>
      </w:pPr>
      <w:r w:rsidRPr="00BE4994">
        <w:rPr>
          <w:rFonts w:ascii="Gill Sans" w:hAnsi="Gill Sans"/>
        </w:rPr>
        <w:t xml:space="preserve">In the recent past we have incorporated our research findings into a submission we made on Dublin City Council’s plans to turn College Green into a Civic Plaza. We welcomed the </w:t>
      </w:r>
      <w:r w:rsidR="006B0791">
        <w:rPr>
          <w:rFonts w:ascii="Gill Sans" w:hAnsi="Gill Sans"/>
        </w:rPr>
        <w:t>UD</w:t>
      </w:r>
      <w:r w:rsidRPr="00BE4994">
        <w:rPr>
          <w:rFonts w:ascii="Gill Sans" w:hAnsi="Gill Sans"/>
        </w:rPr>
        <w:t xml:space="preserve"> approach being taken by Dublin City Council at the time, however, there were areas for improvement recommended by the NDA around accessible information for the public regarding the design and use of College Green, tactile surfaces, kerbs, etc. </w:t>
      </w:r>
    </w:p>
    <w:p w14:paraId="4922CBC6" w14:textId="77777777" w:rsidR="002D5C66" w:rsidRDefault="00BE4994" w:rsidP="000C7112">
      <w:pPr>
        <w:rPr>
          <w:rFonts w:ascii="Gill Sans" w:hAnsi="Gill Sans"/>
        </w:rPr>
      </w:pPr>
      <w:r w:rsidRPr="00BE4994">
        <w:rPr>
          <w:rFonts w:ascii="Gill Sans" w:hAnsi="Gill Sans"/>
        </w:rPr>
        <w:t xml:space="preserve">The very real issue of shared space has emerged as certain parts of the economy have tried to make a comeback from the series of COVID-19 lockdowns. To aid this recovery, certain streets in urban areas were pedestrianised. Other measures included allowing bars and restaurants to place furniture on roads and pavements to allow for outdoor service. While these initiatives </w:t>
      </w:r>
      <w:r w:rsidR="006B0791">
        <w:rPr>
          <w:rFonts w:ascii="Gill Sans" w:hAnsi="Gill Sans"/>
        </w:rPr>
        <w:t>were</w:t>
      </w:r>
      <w:r w:rsidRPr="00BE4994">
        <w:rPr>
          <w:rFonts w:ascii="Gill Sans" w:hAnsi="Gill Sans"/>
        </w:rPr>
        <w:t xml:space="preserve"> </w:t>
      </w:r>
      <w:proofErr w:type="gramStart"/>
      <w:r w:rsidRPr="00BE4994">
        <w:rPr>
          <w:rFonts w:ascii="Gill Sans" w:hAnsi="Gill Sans"/>
        </w:rPr>
        <w:t>well-intentioned</w:t>
      </w:r>
      <w:proofErr w:type="gramEnd"/>
      <w:r w:rsidRPr="00BE4994">
        <w:rPr>
          <w:rFonts w:ascii="Gill Sans" w:hAnsi="Gill Sans"/>
        </w:rPr>
        <w:t xml:space="preserve"> they created barriers for </w:t>
      </w:r>
      <w:r w:rsidR="006B0791">
        <w:rPr>
          <w:rFonts w:ascii="Gill Sans" w:hAnsi="Gill Sans"/>
        </w:rPr>
        <w:t>disabled people</w:t>
      </w:r>
      <w:r w:rsidRPr="00BE4994">
        <w:rPr>
          <w:rFonts w:ascii="Gill Sans" w:hAnsi="Gill Sans"/>
        </w:rPr>
        <w:t xml:space="preserve">, older people and parents with prams/buggies, that didn’t exist before. In some </w:t>
      </w:r>
      <w:proofErr w:type="gramStart"/>
      <w:r w:rsidRPr="00BE4994">
        <w:rPr>
          <w:rFonts w:ascii="Gill Sans" w:hAnsi="Gill Sans"/>
        </w:rPr>
        <w:t>cases</w:t>
      </w:r>
      <w:proofErr w:type="gramEnd"/>
      <w:r w:rsidRPr="00BE4994">
        <w:rPr>
          <w:rFonts w:ascii="Gill Sans" w:hAnsi="Gill Sans"/>
        </w:rPr>
        <w:t xml:space="preserve"> the initiatives were progressed without due consultation and engagement. </w:t>
      </w:r>
    </w:p>
    <w:p w14:paraId="5E2B9118" w14:textId="11D4693D" w:rsidR="000C7112" w:rsidRPr="007239CB" w:rsidRDefault="00BE4994" w:rsidP="000C7112">
      <w:pPr>
        <w:rPr>
          <w:rFonts w:ascii="Gill Sans" w:hAnsi="Gill Sans"/>
        </w:rPr>
      </w:pPr>
      <w:r w:rsidRPr="00BE4994">
        <w:rPr>
          <w:rFonts w:ascii="Gill Sans" w:hAnsi="Gill Sans"/>
        </w:rPr>
        <w:t xml:space="preserve">A </w:t>
      </w:r>
      <w:r w:rsidR="006B0791">
        <w:rPr>
          <w:rFonts w:ascii="Gill Sans" w:hAnsi="Gill Sans"/>
        </w:rPr>
        <w:t>UD</w:t>
      </w:r>
      <w:r w:rsidRPr="00BE4994">
        <w:rPr>
          <w:rFonts w:ascii="Gill Sans" w:hAnsi="Gill Sans"/>
        </w:rPr>
        <w:t xml:space="preserve"> approach to planning and consultation is advised </w:t>
      </w:r>
      <w:proofErr w:type="gramStart"/>
      <w:r w:rsidRPr="00BE4994">
        <w:rPr>
          <w:rFonts w:ascii="Gill Sans" w:hAnsi="Gill Sans"/>
        </w:rPr>
        <w:t>in order to</w:t>
      </w:r>
      <w:proofErr w:type="gramEnd"/>
      <w:r w:rsidRPr="00BE4994">
        <w:rPr>
          <w:rFonts w:ascii="Gill Sans" w:hAnsi="Gill Sans"/>
        </w:rPr>
        <w:t xml:space="preserve"> ensure such initiatives can be progressed to meet the needs of all users. </w:t>
      </w:r>
      <w:bookmarkStart w:id="43" w:name="_Toc106356796"/>
      <w:r w:rsidR="002D5C66">
        <w:rPr>
          <w:rFonts w:ascii="Gill Sans" w:hAnsi="Gill Sans"/>
        </w:rPr>
        <w:t xml:space="preserve">There should be consultation and planning that reflects the needs of all users. </w:t>
      </w:r>
    </w:p>
    <w:p w14:paraId="27694F9A" w14:textId="1D4E414B" w:rsidR="00BE4994" w:rsidRPr="00BE4994" w:rsidRDefault="00BE4994" w:rsidP="008854C0">
      <w:pPr>
        <w:pStyle w:val="Heading2"/>
      </w:pPr>
      <w:bookmarkStart w:id="44" w:name="_Toc142909793"/>
      <w:r w:rsidRPr="00BE4994">
        <w:t>Universal Design Walkability Audit Tool for Roads and Streets in Ireland</w:t>
      </w:r>
      <w:bookmarkEnd w:id="43"/>
      <w:bookmarkEnd w:id="44"/>
    </w:p>
    <w:p w14:paraId="3BAAE977" w14:textId="77777777" w:rsidR="003172F9" w:rsidRDefault="00BE4994" w:rsidP="007239CB">
      <w:pPr>
        <w:spacing w:before="120"/>
        <w:rPr>
          <w:rFonts w:ascii="Gill Sans" w:hAnsi="Gill Sans"/>
        </w:rPr>
      </w:pPr>
      <w:r w:rsidRPr="00BE4994">
        <w:rPr>
          <w:rFonts w:ascii="Gill Sans" w:hAnsi="Gill Sans"/>
        </w:rPr>
        <w:t xml:space="preserve">Our CEUD worked with the National Transport Authority (NTA) on the development of a </w:t>
      </w:r>
      <w:r w:rsidRPr="000C7112">
        <w:rPr>
          <w:rFonts w:ascii="Gill Sans" w:hAnsi="Gill Sans"/>
          <w:b/>
        </w:rPr>
        <w:t>Universal Design Walkability Audit Tool for Roads and Streets in Ireland</w:t>
      </w:r>
      <w:r w:rsidRPr="00BE4994">
        <w:rPr>
          <w:rFonts w:ascii="Gill Sans" w:hAnsi="Gill Sans"/>
        </w:rPr>
        <w:t xml:space="preserve">. This work included conducting a pilot with a draft of the audit tool in 2019, in </w:t>
      </w:r>
      <w:proofErr w:type="spellStart"/>
      <w:r w:rsidRPr="00BE4994">
        <w:rPr>
          <w:rFonts w:ascii="Gill Sans" w:hAnsi="Gill Sans"/>
        </w:rPr>
        <w:t>Kilrush</w:t>
      </w:r>
      <w:proofErr w:type="spellEnd"/>
      <w:r w:rsidRPr="00BE4994">
        <w:rPr>
          <w:rFonts w:ascii="Gill Sans" w:hAnsi="Gill Sans"/>
        </w:rPr>
        <w:t xml:space="preserve">, County Clare. The pilot involved participants with a diverse range of ages and abilities and was organised by the CEUD working in partnership with Age Friendly Ireland. The draft audit tool was informed by extensive consultation in six audits across Ireland with a wide range of users including persons of all ages, sizes, </w:t>
      </w:r>
      <w:proofErr w:type="gramStart"/>
      <w:r w:rsidRPr="00BE4994">
        <w:rPr>
          <w:rFonts w:ascii="Gill Sans" w:hAnsi="Gill Sans"/>
        </w:rPr>
        <w:t>abilities</w:t>
      </w:r>
      <w:proofErr w:type="gramEnd"/>
      <w:r w:rsidRPr="00BE4994">
        <w:rPr>
          <w:rFonts w:ascii="Gill Sans" w:hAnsi="Gill Sans"/>
        </w:rPr>
        <w:t xml:space="preserve"> and disabilities such as persons with low vision and reduced mobility. The Universal Design Walkability audit tool was published by the NTA in 2021. The audit tool is referenced in the </w:t>
      </w:r>
      <w:r w:rsidR="000C7112">
        <w:rPr>
          <w:rFonts w:ascii="Gill Sans" w:hAnsi="Gill Sans"/>
        </w:rPr>
        <w:t xml:space="preserve">Department of Rural and Community Development’s </w:t>
      </w:r>
      <w:r w:rsidRPr="00BE4994">
        <w:rPr>
          <w:rFonts w:ascii="Gill Sans" w:hAnsi="Gill Sans"/>
        </w:rPr>
        <w:t xml:space="preserve">recently published </w:t>
      </w:r>
      <w:r w:rsidRPr="00BE4994">
        <w:rPr>
          <w:rFonts w:ascii="Gill Sans" w:hAnsi="Gill Sans"/>
          <w:b/>
        </w:rPr>
        <w:t>Town Centre First</w:t>
      </w:r>
      <w:r w:rsidR="000C7112">
        <w:rPr>
          <w:rStyle w:val="FootnoteReference"/>
          <w:b/>
        </w:rPr>
        <w:footnoteReference w:id="8"/>
      </w:r>
      <w:r w:rsidRPr="00BE4994">
        <w:rPr>
          <w:rFonts w:ascii="Gill Sans" w:hAnsi="Gill Sans"/>
        </w:rPr>
        <w:t xml:space="preserve"> policy</w:t>
      </w:r>
      <w:r w:rsidR="004800EA">
        <w:rPr>
          <w:rFonts w:ascii="Gill Sans" w:hAnsi="Gill Sans"/>
        </w:rPr>
        <w:t>. The</w:t>
      </w:r>
      <w:r w:rsidR="003172F9">
        <w:rPr>
          <w:rFonts w:ascii="Gill Sans" w:hAnsi="Gill Sans"/>
        </w:rPr>
        <w:t xml:space="preserve"> </w:t>
      </w:r>
      <w:r w:rsidRPr="00BE4994">
        <w:rPr>
          <w:rFonts w:ascii="Gill Sans" w:hAnsi="Gill Sans"/>
        </w:rPr>
        <w:t>audits</w:t>
      </w:r>
      <w:r w:rsidR="004800EA">
        <w:rPr>
          <w:rFonts w:ascii="Gill Sans" w:hAnsi="Gill Sans"/>
        </w:rPr>
        <w:t xml:space="preserve"> are</w:t>
      </w:r>
      <w:r w:rsidRPr="00BE4994">
        <w:rPr>
          <w:rFonts w:ascii="Gill Sans" w:hAnsi="Gill Sans"/>
        </w:rPr>
        <w:t xml:space="preserve"> intended to be carried out by a wide range of people of </w:t>
      </w:r>
      <w:r w:rsidRPr="00BE4994">
        <w:rPr>
          <w:rFonts w:ascii="Gill Sans" w:hAnsi="Gill Sans"/>
        </w:rPr>
        <w:lastRenderedPageBreak/>
        <w:t xml:space="preserve">various ages and abilities, for example parents with buggies, children, wheelchair users, older </w:t>
      </w:r>
      <w:proofErr w:type="gramStart"/>
      <w:r w:rsidRPr="00BE4994">
        <w:rPr>
          <w:rFonts w:ascii="Gill Sans" w:hAnsi="Gill Sans"/>
        </w:rPr>
        <w:t>people</w:t>
      </w:r>
      <w:proofErr w:type="gramEnd"/>
      <w:r w:rsidRPr="00BE4994">
        <w:rPr>
          <w:rFonts w:ascii="Gill Sans" w:hAnsi="Gill Sans"/>
        </w:rPr>
        <w:t xml:space="preserve"> and people with low vision, to identify features of roads and streets that prevent them from accessing services and amenities with ease. </w:t>
      </w:r>
    </w:p>
    <w:p w14:paraId="7ABACA44" w14:textId="2F68EAF8" w:rsidR="00BE4994" w:rsidRPr="008854C0" w:rsidRDefault="004800EA" w:rsidP="008854C0">
      <w:pPr>
        <w:spacing w:before="120"/>
        <w:rPr>
          <w:rFonts w:ascii="Gill Sans" w:hAnsi="Gill Sans"/>
        </w:rPr>
      </w:pPr>
      <w:r>
        <w:rPr>
          <w:rFonts w:ascii="Gill Sans" w:hAnsi="Gill Sans"/>
        </w:rPr>
        <w:t xml:space="preserve">NDA advises that the </w:t>
      </w:r>
      <w:r w:rsidR="006D2402">
        <w:rPr>
          <w:rFonts w:ascii="Gill Sans" w:hAnsi="Gill Sans"/>
        </w:rPr>
        <w:t>D</w:t>
      </w:r>
      <w:r>
        <w:rPr>
          <w:rFonts w:ascii="Gill Sans" w:hAnsi="Gill Sans"/>
        </w:rPr>
        <w:t xml:space="preserve">epartment actively encourage the use of these audits throughout local authorities. </w:t>
      </w:r>
    </w:p>
    <w:p w14:paraId="6AEE7DEC" w14:textId="7C885DDB" w:rsidR="00BE4994" w:rsidRPr="00BE4994" w:rsidRDefault="00BE4994" w:rsidP="008854C0">
      <w:pPr>
        <w:pStyle w:val="Heading2"/>
      </w:pPr>
      <w:bookmarkStart w:id="45" w:name="_Toc106356798"/>
      <w:bookmarkStart w:id="46" w:name="_Toc142909794"/>
      <w:r w:rsidRPr="00BE4994">
        <w:t>Changing Places Toilets</w:t>
      </w:r>
      <w:bookmarkEnd w:id="45"/>
      <w:bookmarkEnd w:id="46"/>
    </w:p>
    <w:p w14:paraId="5A61C43D" w14:textId="3876B676" w:rsidR="00BE4994" w:rsidRPr="00BE4994" w:rsidRDefault="00BE4994" w:rsidP="00BE4994">
      <w:r w:rsidRPr="00BE4994">
        <w:t xml:space="preserve">A ‘changing places toilet’ means a room or facility with a toilet, hoist, basin, adult-sized changing </w:t>
      </w:r>
      <w:proofErr w:type="gramStart"/>
      <w:r w:rsidRPr="00BE4994">
        <w:t>bench</w:t>
      </w:r>
      <w:proofErr w:type="gramEnd"/>
      <w:r w:rsidRPr="00BE4994">
        <w:t xml:space="preserve"> and optional shower, for use by people with a range of abilities who may require assistance. The current lack of Changing Places Toilets </w:t>
      </w:r>
      <w:r w:rsidR="004800EA">
        <w:t xml:space="preserve">in Ireland </w:t>
      </w:r>
      <w:r w:rsidRPr="00BE4994">
        <w:t xml:space="preserve">greatly restricts the everyday lives of some persons with disabilities and their families. Having access to a Changing Places Toilet can greatly improve a person’s quality of life, as it enables them and their family to get out and about for longer and to participate in everyday life in their community. </w:t>
      </w:r>
    </w:p>
    <w:p w14:paraId="33E5A3B6" w14:textId="515AF685" w:rsidR="00BE4994" w:rsidRDefault="00BE4994" w:rsidP="00BE4994">
      <w:r w:rsidRPr="00BE4994">
        <w:t xml:space="preserve">Part M </w:t>
      </w:r>
      <w:r w:rsidR="003172F9">
        <w:t>has been</w:t>
      </w:r>
      <w:r w:rsidRPr="00BE4994">
        <w:t xml:space="preserve"> </w:t>
      </w:r>
      <w:r w:rsidR="00794E3E">
        <w:t>updated</w:t>
      </w:r>
      <w:r w:rsidR="003172F9" w:rsidRPr="00BE4994">
        <w:t xml:space="preserve"> </w:t>
      </w:r>
      <w:r w:rsidRPr="00BE4994">
        <w:t xml:space="preserve">to provide for Changing Places Toilets in certain buildings. The NDA participated in the Working Group set up to advise on the amendments to Part M and chaired the subgroup to advise on the technical requirements for Changing Places Toilets. In addition, the NDA provided advice on the estimated number of potential users of Changing Places Toilets to the Department, informing the regulatory impact analysis. The NDA is also developing design guidance on Changing Places Toilets to supplement the amended regulations and advise on good practice, </w:t>
      </w:r>
      <w:proofErr w:type="gramStart"/>
      <w:r w:rsidRPr="00BE4994">
        <w:t>management</w:t>
      </w:r>
      <w:proofErr w:type="gramEnd"/>
      <w:r w:rsidRPr="00BE4994">
        <w:t xml:space="preserve"> and maintenance. The draft TGD M issued for public consultation refers to this guidance. </w:t>
      </w:r>
    </w:p>
    <w:p w14:paraId="29B0325F" w14:textId="4425A16F" w:rsidR="003674F2" w:rsidRDefault="004D5CF0" w:rsidP="00BE4994">
      <w:r>
        <w:t xml:space="preserve">When the </w:t>
      </w:r>
      <w:r w:rsidR="007336EA">
        <w:t>final, amended</w:t>
      </w:r>
      <w:r>
        <w:t xml:space="preserve"> version of TGD M is issued w</w:t>
      </w:r>
      <w:r w:rsidR="003674F2">
        <w:t xml:space="preserve">e would </w:t>
      </w:r>
      <w:r>
        <w:t xml:space="preserve">advise that </w:t>
      </w:r>
      <w:r w:rsidRPr="003674F2">
        <w:t>dedicat</w:t>
      </w:r>
      <w:r>
        <w:t>e</w:t>
      </w:r>
      <w:r w:rsidRPr="003674F2">
        <w:t>d</w:t>
      </w:r>
      <w:r w:rsidR="003674F2" w:rsidRPr="003674F2">
        <w:t xml:space="preserve"> </w:t>
      </w:r>
      <w:r w:rsidRPr="003674F2">
        <w:t>funding</w:t>
      </w:r>
      <w:r w:rsidR="003674F2" w:rsidRPr="003674F2">
        <w:t xml:space="preserve"> for local authorities </w:t>
      </w:r>
      <w:r w:rsidRPr="003674F2">
        <w:t>to</w:t>
      </w:r>
      <w:r>
        <w:t xml:space="preserve"> support roll-ou</w:t>
      </w:r>
      <w:r w:rsidR="003674F2" w:rsidRPr="003674F2">
        <w:t>t</w:t>
      </w:r>
      <w:r>
        <w:t xml:space="preserve"> </w:t>
      </w:r>
      <w:r w:rsidR="003674F2" w:rsidRPr="003674F2">
        <w:t xml:space="preserve">of </w:t>
      </w:r>
      <w:r w:rsidRPr="004D5CF0">
        <w:t>Changing Places Toilets</w:t>
      </w:r>
      <w:r>
        <w:t>, nationwide, is provided</w:t>
      </w:r>
      <w:r w:rsidR="003674F2" w:rsidRPr="003674F2">
        <w:t>. See the UK funding as an example</w:t>
      </w:r>
      <w:r w:rsidR="007336EA">
        <w:rPr>
          <w:rStyle w:val="FootnoteReference"/>
        </w:rPr>
        <w:footnoteReference w:id="9"/>
      </w:r>
      <w:r w:rsidR="003674F2" w:rsidRPr="003674F2">
        <w:t>.</w:t>
      </w:r>
    </w:p>
    <w:p w14:paraId="673DF0AC" w14:textId="5137B249" w:rsidR="005433F3" w:rsidRDefault="005433F3" w:rsidP="008854C0">
      <w:pPr>
        <w:pStyle w:val="Heading2"/>
      </w:pPr>
      <w:bookmarkStart w:id="47" w:name="_Toc142909795"/>
      <w:r>
        <w:t>Heritage sites</w:t>
      </w:r>
      <w:bookmarkEnd w:id="47"/>
    </w:p>
    <w:p w14:paraId="60BF7B07" w14:textId="03DBB122" w:rsidR="005433F3" w:rsidRDefault="0081311B" w:rsidP="005433F3">
      <w:pPr>
        <w:rPr>
          <w:rFonts w:eastAsia="SimSun" w:cs="Calibri"/>
          <w:color w:val="000000"/>
          <w:szCs w:val="26"/>
          <w:lang w:eastAsia="en-IE"/>
        </w:rPr>
      </w:pPr>
      <w:r w:rsidRPr="00AA1804">
        <w:rPr>
          <w:rFonts w:eastAsia="SimSun" w:cs="Calibri"/>
          <w:color w:val="000000"/>
          <w:szCs w:val="26"/>
          <w:lang w:eastAsia="en-IE"/>
        </w:rPr>
        <w:t xml:space="preserve">Section 29 of the </w:t>
      </w:r>
      <w:r w:rsidRPr="0081311B">
        <w:rPr>
          <w:rFonts w:eastAsia="SimSun" w:cs="Calibri"/>
          <w:b/>
          <w:color w:val="000000"/>
          <w:szCs w:val="26"/>
          <w:lang w:eastAsia="en-IE"/>
        </w:rPr>
        <w:t>Disability Act 2005</w:t>
      </w:r>
      <w:r w:rsidRPr="00AA1804">
        <w:rPr>
          <w:rFonts w:eastAsia="SimSun" w:cs="Calibri"/>
          <w:color w:val="000000"/>
          <w:szCs w:val="26"/>
          <w:lang w:eastAsia="en-IE"/>
        </w:rPr>
        <w:t xml:space="preserve"> places a statutory obligation on the head of a public body to ensure that, as far as practicable, the whole or a part of a heritage site in its ownership, </w:t>
      </w:r>
      <w:proofErr w:type="gramStart"/>
      <w:r w:rsidRPr="00AA1804">
        <w:rPr>
          <w:rFonts w:eastAsia="SimSun" w:cs="Calibri"/>
          <w:color w:val="000000"/>
          <w:szCs w:val="26"/>
          <w:lang w:eastAsia="en-IE"/>
        </w:rPr>
        <w:t>management</w:t>
      </w:r>
      <w:proofErr w:type="gramEnd"/>
      <w:r w:rsidRPr="00AA1804">
        <w:rPr>
          <w:rFonts w:eastAsia="SimSun" w:cs="Calibri"/>
          <w:color w:val="000000"/>
          <w:szCs w:val="26"/>
          <w:lang w:eastAsia="en-IE"/>
        </w:rPr>
        <w:t xml:space="preserve"> or control and to which the public has access, is accessible to people with disabilities and can be visited by them with ease and dignity. This obligation does not apply if it has a significant adverse effect on the conservation status of a species or habitat or the integrity of a heritage site or if it would compromise the characteristics of the heritage site. No adaptations or modifications of any heritage site can be taken that are contrary to </w:t>
      </w:r>
      <w:r w:rsidRPr="00AA1804">
        <w:rPr>
          <w:rFonts w:eastAsia="SimSun" w:cs="Calibri"/>
          <w:color w:val="000000"/>
          <w:szCs w:val="26"/>
          <w:lang w:eastAsia="en-IE"/>
        </w:rPr>
        <w:lastRenderedPageBreak/>
        <w:t>law.</w:t>
      </w:r>
      <w:r>
        <w:rPr>
          <w:rFonts w:eastAsia="SimSun" w:cs="Calibri"/>
          <w:color w:val="000000"/>
          <w:szCs w:val="26"/>
          <w:lang w:eastAsia="en-IE"/>
        </w:rPr>
        <w:t xml:space="preserve"> </w:t>
      </w:r>
      <w:r w:rsidRPr="006D2402">
        <w:rPr>
          <w:rFonts w:eastAsia="SimSun" w:cs="Calibri"/>
          <w:b/>
          <w:color w:val="000000"/>
          <w:szCs w:val="26"/>
          <w:lang w:eastAsia="en-IE"/>
        </w:rPr>
        <w:t xml:space="preserve">The </w:t>
      </w:r>
      <w:r w:rsidRPr="006D2402">
        <w:rPr>
          <w:rFonts w:eastAsia="SimSun" w:cs="Calibri"/>
          <w:b/>
          <w:szCs w:val="26"/>
          <w:lang w:eastAsia="en-IE"/>
        </w:rPr>
        <w:t>Code of Practice on Accessible Heritage Sites</w:t>
      </w:r>
      <w:r>
        <w:rPr>
          <w:rStyle w:val="FootnoteReference"/>
          <w:rFonts w:eastAsia="SimSun" w:cs="Calibri" w:hint="eastAsia"/>
          <w:color w:val="0000FF"/>
          <w:szCs w:val="26"/>
          <w:u w:val="single"/>
          <w:lang w:eastAsia="en-IE"/>
        </w:rPr>
        <w:footnoteReference w:id="10"/>
      </w:r>
      <w:r w:rsidRPr="006D68A9">
        <w:rPr>
          <w:rFonts w:eastAsia="SimSun" w:cs="Calibri"/>
          <w:color w:val="000000"/>
          <w:szCs w:val="26"/>
          <w:lang w:eastAsia="en-IE"/>
        </w:rPr>
        <w:t xml:space="preserve"> is designed to guide public bodies in meeting their statutory obligation under the Act by providing practical advice and examples.</w:t>
      </w:r>
    </w:p>
    <w:p w14:paraId="1E270D4A" w14:textId="101A721F" w:rsidR="0081311B" w:rsidRPr="005433F3" w:rsidRDefault="002D5C66" w:rsidP="005433F3">
      <w:r>
        <w:rPr>
          <w:rFonts w:eastAsia="SimSun" w:cs="Calibri"/>
          <w:color w:val="000000"/>
          <w:szCs w:val="26"/>
          <w:lang w:eastAsia="en-IE"/>
        </w:rPr>
        <w:t>T</w:t>
      </w:r>
      <w:r w:rsidR="006D2402">
        <w:rPr>
          <w:rFonts w:eastAsia="SimSun" w:cs="Calibri"/>
          <w:color w:val="000000"/>
          <w:szCs w:val="26"/>
          <w:lang w:eastAsia="en-IE"/>
        </w:rPr>
        <w:t>he NDA had</w:t>
      </w:r>
      <w:r w:rsidRPr="002D5C66">
        <w:rPr>
          <w:rFonts w:eastAsia="SimSun" w:cs="Calibri"/>
          <w:color w:val="000000"/>
          <w:szCs w:val="26"/>
          <w:lang w:eastAsia="en-IE"/>
        </w:rPr>
        <w:t xml:space="preserve"> </w:t>
      </w:r>
      <w:r w:rsidR="00FB2DA5">
        <w:rPr>
          <w:rFonts w:eastAsia="SimSun" w:cs="Calibri"/>
          <w:color w:val="000000"/>
          <w:szCs w:val="26"/>
          <w:lang w:eastAsia="en-IE"/>
        </w:rPr>
        <w:t>previously planned</w:t>
      </w:r>
      <w:r w:rsidR="00E801C1">
        <w:rPr>
          <w:rFonts w:eastAsia="SimSun" w:cs="Calibri"/>
          <w:color w:val="000000"/>
          <w:szCs w:val="26"/>
          <w:lang w:eastAsia="en-IE"/>
        </w:rPr>
        <w:t xml:space="preserve"> a</w:t>
      </w:r>
      <w:r w:rsidRPr="002D5C66">
        <w:rPr>
          <w:rFonts w:eastAsia="SimSun" w:cs="Calibri"/>
          <w:color w:val="000000"/>
          <w:szCs w:val="26"/>
          <w:lang w:eastAsia="en-IE"/>
        </w:rPr>
        <w:t xml:space="preserve"> review </w:t>
      </w:r>
      <w:r w:rsidR="00E801C1">
        <w:rPr>
          <w:rFonts w:eastAsia="SimSun" w:cs="Calibri"/>
          <w:color w:val="000000"/>
          <w:szCs w:val="26"/>
          <w:lang w:eastAsia="en-IE"/>
        </w:rPr>
        <w:t xml:space="preserve">of this Code of Practice but </w:t>
      </w:r>
      <w:r w:rsidR="006D2402">
        <w:rPr>
          <w:rFonts w:eastAsia="SimSun" w:cs="Calibri"/>
          <w:color w:val="000000"/>
          <w:szCs w:val="26"/>
          <w:lang w:eastAsia="en-IE"/>
        </w:rPr>
        <w:t>was delayed due to COVID</w:t>
      </w:r>
      <w:r w:rsidR="00E801C1">
        <w:rPr>
          <w:rFonts w:eastAsia="SimSun" w:cs="Calibri"/>
          <w:color w:val="000000"/>
          <w:szCs w:val="26"/>
          <w:lang w:eastAsia="en-IE"/>
        </w:rPr>
        <w:t xml:space="preserve">. </w:t>
      </w:r>
      <w:r w:rsidR="00FB2DA5">
        <w:rPr>
          <w:rFonts w:eastAsia="SimSun" w:cs="Calibri"/>
          <w:color w:val="000000"/>
          <w:szCs w:val="26"/>
          <w:lang w:eastAsia="en-IE"/>
        </w:rPr>
        <w:t>Work will resume later in 2023, as i</w:t>
      </w:r>
      <w:r w:rsidR="00E801C1">
        <w:rPr>
          <w:rFonts w:eastAsia="SimSun" w:cs="Calibri"/>
          <w:color w:val="000000"/>
          <w:szCs w:val="26"/>
          <w:lang w:eastAsia="en-IE"/>
        </w:rPr>
        <w:t>t is our aim to have this C</w:t>
      </w:r>
      <w:r w:rsidRPr="002D5C66">
        <w:rPr>
          <w:rFonts w:eastAsia="SimSun" w:cs="Calibri"/>
          <w:color w:val="000000"/>
          <w:szCs w:val="26"/>
          <w:lang w:eastAsia="en-IE"/>
        </w:rPr>
        <w:t>ode developed in a manne</w:t>
      </w:r>
      <w:r w:rsidR="00E801C1">
        <w:rPr>
          <w:rFonts w:eastAsia="SimSun" w:cs="Calibri"/>
          <w:color w:val="000000"/>
          <w:szCs w:val="26"/>
          <w:lang w:eastAsia="en-IE"/>
        </w:rPr>
        <w:t>r that allows it to be consistent</w:t>
      </w:r>
      <w:r w:rsidRPr="002D5C66">
        <w:rPr>
          <w:rFonts w:eastAsia="SimSun" w:cs="Calibri"/>
          <w:color w:val="000000"/>
          <w:szCs w:val="26"/>
          <w:lang w:eastAsia="en-IE"/>
        </w:rPr>
        <w:t xml:space="preserve"> with the </w:t>
      </w:r>
      <w:r w:rsidR="00E801C1" w:rsidRPr="00E801C1">
        <w:rPr>
          <w:rFonts w:eastAsia="SimSun" w:cs="Calibri"/>
          <w:color w:val="000000"/>
          <w:szCs w:val="26"/>
          <w:lang w:eastAsia="en-IE"/>
        </w:rPr>
        <w:t>Code of Practice on Accessible Public Buildings</w:t>
      </w:r>
      <w:r w:rsidRPr="002D5C66">
        <w:rPr>
          <w:rFonts w:eastAsia="SimSun" w:cs="Calibri"/>
          <w:color w:val="000000"/>
          <w:szCs w:val="26"/>
          <w:lang w:eastAsia="en-IE"/>
        </w:rPr>
        <w:t>.</w:t>
      </w:r>
      <w:r>
        <w:rPr>
          <w:rFonts w:eastAsia="SimSun" w:cs="Calibri"/>
          <w:color w:val="000000"/>
          <w:szCs w:val="26"/>
          <w:lang w:eastAsia="en-IE"/>
        </w:rPr>
        <w:t xml:space="preserve"> </w:t>
      </w:r>
      <w:r w:rsidR="0081311B">
        <w:rPr>
          <w:rFonts w:eastAsia="SimSun" w:cs="Calibri"/>
          <w:color w:val="000000"/>
          <w:szCs w:val="26"/>
          <w:lang w:eastAsia="en-IE"/>
        </w:rPr>
        <w:t xml:space="preserve">The NDA would welcome a commitment </w:t>
      </w:r>
      <w:r w:rsidR="006D2402">
        <w:rPr>
          <w:rFonts w:eastAsia="SimSun" w:cs="Calibri"/>
          <w:color w:val="000000"/>
          <w:szCs w:val="26"/>
          <w:lang w:eastAsia="en-IE"/>
        </w:rPr>
        <w:t xml:space="preserve">from the Department </w:t>
      </w:r>
      <w:r w:rsidR="0081311B">
        <w:rPr>
          <w:rFonts w:eastAsia="SimSun" w:cs="Calibri"/>
          <w:color w:val="000000"/>
          <w:szCs w:val="26"/>
          <w:lang w:eastAsia="en-IE"/>
        </w:rPr>
        <w:t>to work in cooperation on a review of this Code of Practice.</w:t>
      </w:r>
    </w:p>
    <w:p w14:paraId="257071B6" w14:textId="7F9C9053" w:rsidR="008144B9" w:rsidRDefault="00E7176B" w:rsidP="008854C0">
      <w:pPr>
        <w:pStyle w:val="Heading1"/>
        <w:rPr>
          <w:rFonts w:eastAsia="Calibri"/>
        </w:rPr>
      </w:pPr>
      <w:bookmarkStart w:id="48" w:name="_Toc142909796"/>
      <w:r>
        <w:rPr>
          <w:rFonts w:eastAsia="Calibri"/>
        </w:rPr>
        <w:t>Accessible voting</w:t>
      </w:r>
      <w:bookmarkEnd w:id="48"/>
    </w:p>
    <w:p w14:paraId="7959780E" w14:textId="55AFFF95" w:rsidR="00BB6348" w:rsidRPr="00561B0B" w:rsidRDefault="00BB6348" w:rsidP="00561B0B">
      <w:pPr>
        <w:rPr>
          <w:rFonts w:ascii="Gill Sans" w:hAnsi="Gill Sans"/>
        </w:rPr>
      </w:pPr>
      <w:r>
        <w:rPr>
          <w:rFonts w:ascii="Gill Sans" w:hAnsi="Gill Sans"/>
        </w:rPr>
        <w:t>The NDA has been a member of the Department’s Working Group on Accessible Voting since it was established in December 2018.</w:t>
      </w:r>
      <w:r w:rsidR="00451F08">
        <w:rPr>
          <w:rFonts w:ascii="Gill Sans" w:hAnsi="Gill Sans"/>
        </w:rPr>
        <w:t xml:space="preserve"> We welcome the establishment of the Electoral Commission and looking forward to working with officials when </w:t>
      </w:r>
      <w:r w:rsidR="00EF3271">
        <w:rPr>
          <w:rFonts w:ascii="Gill Sans" w:hAnsi="Gill Sans"/>
        </w:rPr>
        <w:t xml:space="preserve">the Commission’s powers under </w:t>
      </w:r>
      <w:r w:rsidR="00451F08">
        <w:rPr>
          <w:rFonts w:ascii="Gill Sans" w:hAnsi="Gill Sans"/>
        </w:rPr>
        <w:t xml:space="preserve">the </w:t>
      </w:r>
      <w:r w:rsidR="00451F08" w:rsidRPr="00451F08">
        <w:rPr>
          <w:rFonts w:ascii="Gill Sans" w:hAnsi="Gill Sans"/>
          <w:b/>
        </w:rPr>
        <w:t>Electoral Reform Act 2022</w:t>
      </w:r>
      <w:r w:rsidR="00451F08">
        <w:rPr>
          <w:rFonts w:ascii="Gill Sans" w:hAnsi="Gill Sans"/>
        </w:rPr>
        <w:t xml:space="preserve"> is fully commenced</w:t>
      </w:r>
      <w:r w:rsidR="008D7AA9">
        <w:rPr>
          <w:rFonts w:ascii="Gill Sans" w:hAnsi="Gill Sans"/>
        </w:rPr>
        <w:t xml:space="preserve"> and that the progress made</w:t>
      </w:r>
      <w:r w:rsidR="00A67C06">
        <w:rPr>
          <w:rFonts w:ascii="Gill Sans" w:hAnsi="Gill Sans"/>
        </w:rPr>
        <w:t>, to date,</w:t>
      </w:r>
      <w:r w:rsidR="008D7AA9">
        <w:rPr>
          <w:rFonts w:ascii="Gill Sans" w:hAnsi="Gill Sans"/>
        </w:rPr>
        <w:t xml:space="preserve"> by the Working Group is </w:t>
      </w:r>
      <w:r w:rsidR="00A67C06">
        <w:rPr>
          <w:rFonts w:ascii="Gill Sans" w:hAnsi="Gill Sans"/>
        </w:rPr>
        <w:t>reflected in</w:t>
      </w:r>
      <w:r w:rsidR="008D7AA9">
        <w:rPr>
          <w:rFonts w:ascii="Gill Sans" w:hAnsi="Gill Sans"/>
        </w:rPr>
        <w:t xml:space="preserve"> the activities of the new Commission.</w:t>
      </w:r>
    </w:p>
    <w:p w14:paraId="1044DB2F" w14:textId="02CCE2E9" w:rsidR="00BB6348" w:rsidRDefault="00A67C06" w:rsidP="00BB6348">
      <w:pPr>
        <w:rPr>
          <w:rFonts w:ascii="Gill Sans" w:hAnsi="Gill Sans"/>
        </w:rPr>
      </w:pPr>
      <w:r>
        <w:rPr>
          <w:rFonts w:ascii="Gill Sans" w:hAnsi="Gill Sans"/>
        </w:rPr>
        <w:t>The NDA recommends that the Commission follows a UD approach to its voter information role</w:t>
      </w:r>
      <w:r w:rsidR="00EE223C">
        <w:rPr>
          <w:rFonts w:ascii="Gill Sans" w:hAnsi="Gill Sans"/>
        </w:rPr>
        <w:t xml:space="preserve"> </w:t>
      </w:r>
      <w:proofErr w:type="gramStart"/>
      <w:r w:rsidR="00EE223C">
        <w:rPr>
          <w:rFonts w:ascii="Gill Sans" w:hAnsi="Gill Sans"/>
        </w:rPr>
        <w:t>in order to</w:t>
      </w:r>
      <w:proofErr w:type="gramEnd"/>
      <w:r w:rsidR="00EE223C">
        <w:rPr>
          <w:rFonts w:ascii="Gill Sans" w:hAnsi="Gill Sans"/>
        </w:rPr>
        <w:t xml:space="preserve"> inform the greatest portion of the electorate. We have produced communications material –mentioned elsewhere in this document – that will assist the Commission in this function. </w:t>
      </w:r>
    </w:p>
    <w:p w14:paraId="139B487B" w14:textId="77777777" w:rsidR="00EF3271" w:rsidRPr="00EF3271" w:rsidRDefault="00EF3271" w:rsidP="008854C0">
      <w:pPr>
        <w:pStyle w:val="Heading2"/>
      </w:pPr>
      <w:bookmarkStart w:id="49" w:name="_Toc142909797"/>
      <w:r w:rsidRPr="00EF3271">
        <w:t>Assisted Decision-Making (Capacity) Act 2015</w:t>
      </w:r>
      <w:bookmarkEnd w:id="49"/>
    </w:p>
    <w:p w14:paraId="47385373" w14:textId="3790967A" w:rsidR="00EF3271" w:rsidRPr="00EF3271" w:rsidRDefault="00EF3271" w:rsidP="00EF3271">
      <w:pPr>
        <w:rPr>
          <w:rFonts w:ascii="Gill Sans" w:hAnsi="Gill Sans"/>
        </w:rPr>
      </w:pPr>
      <w:r w:rsidRPr="00EF3271">
        <w:rPr>
          <w:rFonts w:ascii="Gill Sans" w:hAnsi="Gill Sans"/>
        </w:rPr>
        <w:t xml:space="preserve">This Act </w:t>
      </w:r>
      <w:r w:rsidR="000D561F">
        <w:rPr>
          <w:rFonts w:ascii="Gill Sans" w:hAnsi="Gill Sans"/>
        </w:rPr>
        <w:t xml:space="preserve">commences on 26 April 2023 </w:t>
      </w:r>
      <w:r w:rsidR="00F17155">
        <w:rPr>
          <w:rFonts w:ascii="Gill Sans" w:hAnsi="Gill Sans"/>
        </w:rPr>
        <w:t>following</w:t>
      </w:r>
      <w:r w:rsidR="000D561F">
        <w:rPr>
          <w:rFonts w:ascii="Gill Sans" w:hAnsi="Gill Sans"/>
        </w:rPr>
        <w:t xml:space="preserve"> the recent passage of the </w:t>
      </w:r>
      <w:r w:rsidR="000D561F" w:rsidRPr="000D561F">
        <w:rPr>
          <w:rFonts w:ascii="Gill Sans" w:hAnsi="Gill Sans"/>
          <w:b/>
        </w:rPr>
        <w:t>Assisted Decision-Making (Capacity)</w:t>
      </w:r>
      <w:r w:rsidR="000D561F">
        <w:rPr>
          <w:rFonts w:ascii="Gill Sans" w:hAnsi="Gill Sans"/>
          <w:b/>
        </w:rPr>
        <w:t xml:space="preserve"> </w:t>
      </w:r>
      <w:r w:rsidR="000D561F" w:rsidRPr="000D561F">
        <w:rPr>
          <w:rFonts w:ascii="Gill Sans" w:hAnsi="Gill Sans"/>
          <w:b/>
        </w:rPr>
        <w:t>(Amendment) Act 2022</w:t>
      </w:r>
      <w:r w:rsidR="000D561F">
        <w:rPr>
          <w:rFonts w:ascii="Gill Sans" w:hAnsi="Gill Sans"/>
        </w:rPr>
        <w:t xml:space="preserve">. We </w:t>
      </w:r>
      <w:r w:rsidRPr="00EF3271">
        <w:rPr>
          <w:rFonts w:ascii="Gill Sans" w:hAnsi="Gill Sans"/>
        </w:rPr>
        <w:t>note the potential implications for all relevant public bodies</w:t>
      </w:r>
      <w:r w:rsidR="000D561F">
        <w:rPr>
          <w:rFonts w:ascii="Gill Sans" w:hAnsi="Gill Sans"/>
        </w:rPr>
        <w:t xml:space="preserve"> under the remit of the </w:t>
      </w:r>
      <w:r w:rsidR="007529ED">
        <w:rPr>
          <w:rFonts w:ascii="Gill Sans" w:hAnsi="Gill Sans"/>
        </w:rPr>
        <w:t>Department</w:t>
      </w:r>
      <w:r w:rsidRPr="00EF3271">
        <w:rPr>
          <w:rFonts w:ascii="Gill Sans" w:hAnsi="Gill Sans"/>
        </w:rPr>
        <w:t xml:space="preserve"> </w:t>
      </w:r>
      <w:r w:rsidRPr="00EF3271">
        <w:rPr>
          <w:rFonts w:ascii="Gill Sans" w:hAnsi="Gill Sans" w:hint="eastAsia"/>
        </w:rPr>
        <w:t>–</w:t>
      </w:r>
      <w:r w:rsidRPr="00EF3271">
        <w:rPr>
          <w:rFonts w:ascii="Gill Sans" w:hAnsi="Gill Sans"/>
        </w:rPr>
        <w:t xml:space="preserve"> including the Electoral Commission. </w:t>
      </w:r>
    </w:p>
    <w:p w14:paraId="56E64887" w14:textId="2CAA96D5" w:rsidR="00EF3271" w:rsidRPr="00EF3271" w:rsidRDefault="00EF3271" w:rsidP="00EF3271">
      <w:pPr>
        <w:rPr>
          <w:rFonts w:ascii="Gill Sans" w:hAnsi="Gill Sans"/>
        </w:rPr>
      </w:pPr>
      <w:r w:rsidRPr="00EF3271">
        <w:rPr>
          <w:rFonts w:ascii="Gill Sans" w:hAnsi="Gill Sans"/>
        </w:rPr>
        <w:t xml:space="preserve">The Act presumes that a voter presenting at a polling station has capacity to vote, however, the NDA advises that </w:t>
      </w:r>
      <w:r w:rsidR="001771CF">
        <w:rPr>
          <w:rFonts w:ascii="Gill Sans" w:hAnsi="Gill Sans"/>
        </w:rPr>
        <w:t>the Department/Electoral Commission may wish to explore guidance on this for election officials</w:t>
      </w:r>
      <w:r w:rsidRPr="00EF3271">
        <w:rPr>
          <w:rFonts w:ascii="Gill Sans" w:hAnsi="Gill Sans"/>
        </w:rPr>
        <w:t>.</w:t>
      </w:r>
    </w:p>
    <w:p w14:paraId="3459C633" w14:textId="1D693FA5" w:rsidR="00E7176B" w:rsidRDefault="00EF3271" w:rsidP="00EF3271">
      <w:pPr>
        <w:rPr>
          <w:rFonts w:ascii="Gill Sans" w:hAnsi="Gill Sans"/>
        </w:rPr>
      </w:pPr>
      <w:r w:rsidRPr="00EF3271">
        <w:rPr>
          <w:rFonts w:ascii="Gill Sans" w:hAnsi="Gill Sans"/>
        </w:rPr>
        <w:t xml:space="preserve">While there is no specific Code of Practice for voting, the </w:t>
      </w:r>
      <w:r w:rsidR="00B02ED1">
        <w:rPr>
          <w:rFonts w:ascii="Gill Sans" w:hAnsi="Gill Sans"/>
        </w:rPr>
        <w:t xml:space="preserve">Decision Support Service’s </w:t>
      </w:r>
      <w:r w:rsidRPr="00EF3271">
        <w:rPr>
          <w:rFonts w:ascii="Gill Sans" w:hAnsi="Gill Sans"/>
        </w:rPr>
        <w:t xml:space="preserve">Code of Practice on Supporting Decision-Making and Assessing Capacity sets out the guiding principles of the legislation, including the presumption of </w:t>
      </w:r>
      <w:r w:rsidRPr="00EF3271">
        <w:rPr>
          <w:rFonts w:ascii="Gill Sans" w:hAnsi="Gill Sans"/>
        </w:rPr>
        <w:lastRenderedPageBreak/>
        <w:t xml:space="preserve">capacity. Officials will need to be aware of situations where an individual could be registering to vote, or voting, with the support of a decision-making supporter. </w:t>
      </w:r>
    </w:p>
    <w:p w14:paraId="57464361" w14:textId="3F9B1B1C" w:rsidR="0058662D" w:rsidRDefault="0058662D" w:rsidP="00EF3271">
      <w:pPr>
        <w:rPr>
          <w:rFonts w:ascii="Gill Sans" w:hAnsi="Gill Sans"/>
        </w:rPr>
      </w:pPr>
      <w:r>
        <w:rPr>
          <w:rFonts w:ascii="Gill Sans" w:hAnsi="Gill Sans"/>
        </w:rPr>
        <w:t>This Act will have implications for all customer communications and interactions carried out by officials in the Department and the public bodies sunder its remit</w:t>
      </w:r>
    </w:p>
    <w:p w14:paraId="4EE91889" w14:textId="3FECE88A" w:rsidR="00310BF9" w:rsidRPr="00310BF9" w:rsidRDefault="0023395F" w:rsidP="008854C0">
      <w:pPr>
        <w:pStyle w:val="Heading2"/>
      </w:pPr>
      <w:bookmarkStart w:id="50" w:name="_Toc142909798"/>
      <w:r>
        <w:t>Election c</w:t>
      </w:r>
      <w:r w:rsidR="00310BF9" w:rsidRPr="00310BF9">
        <w:t>andidates with disabilities</w:t>
      </w:r>
      <w:bookmarkEnd w:id="50"/>
    </w:p>
    <w:p w14:paraId="5F5F2140" w14:textId="5A70FC53" w:rsidR="00310BF9" w:rsidRPr="00310BF9" w:rsidRDefault="00310BF9" w:rsidP="00310BF9">
      <w:pPr>
        <w:rPr>
          <w:rFonts w:ascii="Gill Sans" w:hAnsi="Gill Sans"/>
        </w:rPr>
      </w:pPr>
      <w:r w:rsidRPr="00310BF9">
        <w:rPr>
          <w:rFonts w:ascii="Gill Sans" w:hAnsi="Gill Sans"/>
        </w:rPr>
        <w:t>There are, currently, no measures to support those persons with disabilities who wish to run as candidates for election. It is important that persons with disabilities are not prevented from standing as candidates because of barriers they may face. It should be possible for a candidate who is deaf or hard of hearing to access the services of an Irish Sign Language interpreter. A person with a physical disability may need help with transport (</w:t>
      </w:r>
      <w:proofErr w:type="gramStart"/>
      <w:r w:rsidRPr="00310BF9">
        <w:rPr>
          <w:rFonts w:ascii="Gill Sans" w:hAnsi="Gill Sans"/>
        </w:rPr>
        <w:t>e.g.</w:t>
      </w:r>
      <w:proofErr w:type="gramEnd"/>
      <w:r w:rsidRPr="00310BF9">
        <w:rPr>
          <w:rFonts w:ascii="Gill Sans" w:hAnsi="Gill Sans"/>
        </w:rPr>
        <w:t xml:space="preserve"> taxi fare) if they don’t have access to public transport or an adapted private vehicle. A personal assistant may be required to help a candidate with various activities associated with an election. A potential candidate may also need some form of assistive technology. A scheme called the </w:t>
      </w:r>
      <w:proofErr w:type="spellStart"/>
      <w:r w:rsidRPr="00310BF9">
        <w:rPr>
          <w:rFonts w:ascii="Gill Sans" w:hAnsi="Gill Sans"/>
        </w:rPr>
        <w:t>EnABle</w:t>
      </w:r>
      <w:proofErr w:type="spellEnd"/>
      <w:r w:rsidRPr="00310BF9">
        <w:rPr>
          <w:rFonts w:ascii="Gill Sans" w:hAnsi="Gill Sans"/>
        </w:rPr>
        <w:t xml:space="preserve"> Fund for Elected Office</w:t>
      </w:r>
      <w:r w:rsidRPr="00310BF9">
        <w:rPr>
          <w:rFonts w:ascii="Gill Sans" w:hAnsi="Gill Sans"/>
          <w:vertAlign w:val="superscript"/>
        </w:rPr>
        <w:footnoteReference w:id="11"/>
      </w:r>
      <w:r w:rsidRPr="00310BF9">
        <w:rPr>
          <w:rFonts w:ascii="Gill Sans" w:hAnsi="Gill Sans"/>
        </w:rPr>
        <w:t xml:space="preserve"> ran in England from 2010-2020. The fund gave support to candidates for the expenses they needed linked to the election process. The Department may wish to examine this scheme when considering how to incorporate supports for candidates with disabilities into the Irish </w:t>
      </w:r>
      <w:r w:rsidR="008D7AA9">
        <w:rPr>
          <w:rFonts w:ascii="Gill Sans" w:hAnsi="Gill Sans"/>
        </w:rPr>
        <w:t xml:space="preserve">electoral </w:t>
      </w:r>
      <w:r w:rsidRPr="00310BF9">
        <w:rPr>
          <w:rFonts w:ascii="Gill Sans" w:hAnsi="Gill Sans"/>
        </w:rPr>
        <w:t>system.</w:t>
      </w:r>
    </w:p>
    <w:p w14:paraId="1C5DE8B4" w14:textId="0C3DAEDF" w:rsidR="00F17155" w:rsidRPr="009814C0" w:rsidRDefault="00310BF9" w:rsidP="00310BF9">
      <w:pPr>
        <w:rPr>
          <w:rFonts w:ascii="Gill Sans" w:hAnsi="Gill Sans"/>
        </w:rPr>
      </w:pPr>
      <w:r w:rsidRPr="00310BF9">
        <w:rPr>
          <w:rFonts w:ascii="Gill Sans" w:hAnsi="Gill Sans"/>
        </w:rPr>
        <w:t xml:space="preserve">The </w:t>
      </w:r>
      <w:r w:rsidR="008D7AA9">
        <w:rPr>
          <w:rFonts w:ascii="Gill Sans" w:hAnsi="Gill Sans"/>
        </w:rPr>
        <w:t>Electoral Commission</w:t>
      </w:r>
      <w:r w:rsidRPr="00310BF9">
        <w:rPr>
          <w:rFonts w:ascii="Gill Sans" w:hAnsi="Gill Sans"/>
        </w:rPr>
        <w:t xml:space="preserve"> should give consideration as to how expenses to address the potential issues listed above could be accommodated in the </w:t>
      </w:r>
      <w:proofErr w:type="gramStart"/>
      <w:r w:rsidRPr="00310BF9">
        <w:rPr>
          <w:rFonts w:ascii="Gill Sans" w:hAnsi="Gill Sans"/>
        </w:rPr>
        <w:t>expenses</w:t>
      </w:r>
      <w:proofErr w:type="gramEnd"/>
      <w:r w:rsidRPr="00310BF9">
        <w:rPr>
          <w:rFonts w:ascii="Gill Sans" w:hAnsi="Gill Sans"/>
        </w:rPr>
        <w:t xml:space="preserve"> regime outlined in the Bill. Candidates with legitimate, vouched expenses related directly to election activities should be able to have these types of expenses covered under the relevant definitions. In addition, they should be able to process these expenses using the processes set out in the legislation. The NDA advises that, in keeping with the policy of mainstreaming, it would not be appropriate to require a separate “fund” that sets candidates with disabilities apart from all other candidates.</w:t>
      </w:r>
    </w:p>
    <w:p w14:paraId="427B2213" w14:textId="77777777" w:rsidR="00134370" w:rsidRPr="009C1F21" w:rsidRDefault="00E72988" w:rsidP="008854C0">
      <w:pPr>
        <w:pStyle w:val="Heading1"/>
        <w:rPr>
          <w:rFonts w:eastAsia="SimSun"/>
          <w:lang w:eastAsia="en-IE"/>
        </w:rPr>
      </w:pPr>
      <w:bookmarkStart w:id="51" w:name="_Toc142909799"/>
      <w:r w:rsidRPr="009C1F21">
        <w:rPr>
          <w:rFonts w:eastAsia="SimSun"/>
          <w:lang w:eastAsia="en-IE"/>
        </w:rPr>
        <w:t>Statutory</w:t>
      </w:r>
      <w:r w:rsidR="00134370" w:rsidRPr="009C1F21">
        <w:rPr>
          <w:rFonts w:eastAsia="SimSun"/>
          <w:lang w:eastAsia="en-IE"/>
        </w:rPr>
        <w:t xml:space="preserve"> Obligations</w:t>
      </w:r>
      <w:bookmarkEnd w:id="51"/>
    </w:p>
    <w:p w14:paraId="08D6FE82" w14:textId="77777777" w:rsidR="00E92B70" w:rsidRPr="009C1F21" w:rsidRDefault="00E92B70" w:rsidP="008854C0">
      <w:pPr>
        <w:pStyle w:val="Heading2"/>
        <w:rPr>
          <w:rFonts w:eastAsia="SimSun"/>
          <w:lang w:eastAsia="en-IE"/>
        </w:rPr>
      </w:pPr>
      <w:bookmarkStart w:id="52" w:name="_Toc142909800"/>
      <w:r w:rsidRPr="009C1F21">
        <w:rPr>
          <w:rFonts w:eastAsia="SimSun"/>
          <w:lang w:eastAsia="en-IE"/>
        </w:rPr>
        <w:t xml:space="preserve">Compliance with Part </w:t>
      </w:r>
      <w:r w:rsidR="00703D2B" w:rsidRPr="009C1F21">
        <w:rPr>
          <w:rFonts w:eastAsia="SimSun"/>
          <w:lang w:eastAsia="en-IE"/>
        </w:rPr>
        <w:t xml:space="preserve">5 </w:t>
      </w:r>
      <w:r w:rsidR="00E37B5E" w:rsidRPr="009C1F21">
        <w:rPr>
          <w:rFonts w:eastAsia="SimSun"/>
          <w:lang w:eastAsia="en-IE"/>
        </w:rPr>
        <w:t>of the Disability Act 2005</w:t>
      </w:r>
      <w:bookmarkEnd w:id="52"/>
    </w:p>
    <w:p w14:paraId="3AEE7F45" w14:textId="2ABB2756" w:rsidR="00F17665" w:rsidRPr="009C1F21" w:rsidRDefault="002D4420" w:rsidP="00F17665">
      <w:pPr>
        <w:autoSpaceDE w:val="0"/>
        <w:autoSpaceDN w:val="0"/>
        <w:adjustRightInd w:val="0"/>
        <w:spacing w:after="0"/>
        <w:rPr>
          <w:rFonts w:eastAsia="SimSun" w:cs="Arial"/>
          <w:szCs w:val="26"/>
          <w:lang w:eastAsia="en-IE"/>
        </w:rPr>
      </w:pPr>
      <w:r w:rsidRPr="009C1F21">
        <w:rPr>
          <w:rFonts w:eastAsia="SimSun" w:cs="Arial"/>
          <w:szCs w:val="26"/>
          <w:lang w:eastAsia="en-IE"/>
        </w:rPr>
        <w:t>Part 5</w:t>
      </w:r>
      <w:r w:rsidR="00E13936" w:rsidRPr="009C1F21">
        <w:rPr>
          <w:rFonts w:eastAsia="SimSun" w:cs="Arial"/>
          <w:szCs w:val="26"/>
          <w:lang w:eastAsia="en-IE"/>
        </w:rPr>
        <w:t xml:space="preserve"> of the Disability Act 2005 details the obligations public bodies </w:t>
      </w:r>
      <w:proofErr w:type="gramStart"/>
      <w:r w:rsidR="00E13936" w:rsidRPr="009C1F21">
        <w:rPr>
          <w:rFonts w:eastAsia="SimSun" w:cs="Arial"/>
          <w:szCs w:val="26"/>
          <w:lang w:eastAsia="en-IE"/>
        </w:rPr>
        <w:t>have to</w:t>
      </w:r>
      <w:proofErr w:type="gramEnd"/>
      <w:r w:rsidR="00E13936" w:rsidRPr="009C1F21">
        <w:rPr>
          <w:rFonts w:eastAsia="SimSun" w:cs="Arial"/>
          <w:szCs w:val="26"/>
          <w:lang w:eastAsia="en-IE"/>
        </w:rPr>
        <w:t xml:space="preserve"> promote and support the employmen</w:t>
      </w:r>
      <w:r w:rsidR="00554D71" w:rsidRPr="009C1F21">
        <w:rPr>
          <w:rFonts w:eastAsia="SimSun" w:cs="Arial"/>
          <w:szCs w:val="26"/>
          <w:lang w:eastAsia="en-IE"/>
        </w:rPr>
        <w:t xml:space="preserve">t of persons with disabilities. </w:t>
      </w:r>
      <w:r w:rsidR="00F17665" w:rsidRPr="009C1F21">
        <w:rPr>
          <w:rFonts w:eastAsia="SimSun" w:cs="Gill Sans MT"/>
          <w:szCs w:val="26"/>
          <w:lang w:eastAsia="en-IE"/>
        </w:rPr>
        <w:t>The NDA is ple</w:t>
      </w:r>
      <w:r w:rsidR="004351C9">
        <w:rPr>
          <w:rFonts w:eastAsia="SimSun" w:cs="Gill Sans MT"/>
          <w:szCs w:val="26"/>
          <w:lang w:eastAsia="en-IE"/>
        </w:rPr>
        <w:t>ased to note the record of the D</w:t>
      </w:r>
      <w:r w:rsidR="00F17665" w:rsidRPr="009C1F21">
        <w:rPr>
          <w:rFonts w:eastAsia="SimSun" w:cs="Gill Sans MT"/>
          <w:szCs w:val="26"/>
          <w:lang w:eastAsia="en-IE"/>
        </w:rPr>
        <w:t xml:space="preserve">epartment in relation to the employment of </w:t>
      </w:r>
      <w:r w:rsidR="00F17665" w:rsidRPr="009C1F21">
        <w:rPr>
          <w:rFonts w:eastAsia="SimSun" w:cs="Gill Sans MT"/>
          <w:szCs w:val="26"/>
          <w:lang w:eastAsia="en-IE"/>
        </w:rPr>
        <w:lastRenderedPageBreak/>
        <w:t xml:space="preserve">persons </w:t>
      </w:r>
      <w:r w:rsidR="00395753" w:rsidRPr="009C1F21">
        <w:rPr>
          <w:rFonts w:eastAsia="SimSun" w:cs="Gill Sans MT"/>
          <w:szCs w:val="26"/>
          <w:lang w:eastAsia="en-IE"/>
        </w:rPr>
        <w:t>with disabilities,</w:t>
      </w:r>
      <w:r w:rsidR="002E1848" w:rsidRPr="009C1F21">
        <w:rPr>
          <w:rFonts w:eastAsia="SimSun" w:cs="Gill Sans MT"/>
          <w:szCs w:val="26"/>
          <w:lang w:eastAsia="en-IE"/>
        </w:rPr>
        <w:t xml:space="preserve"> a</w:t>
      </w:r>
      <w:r w:rsidR="002158B4">
        <w:rPr>
          <w:rFonts w:eastAsia="SimSun" w:cs="Gill Sans MT"/>
          <w:szCs w:val="26"/>
          <w:lang w:eastAsia="en-IE"/>
        </w:rPr>
        <w:t xml:space="preserve">chieving </w:t>
      </w:r>
      <w:r w:rsidR="003452C5">
        <w:rPr>
          <w:rFonts w:eastAsia="SimSun" w:cs="Gill Sans MT"/>
          <w:szCs w:val="26"/>
          <w:lang w:eastAsia="en-IE"/>
        </w:rPr>
        <w:t>7.7</w:t>
      </w:r>
      <w:r w:rsidR="002E1848" w:rsidRPr="009C1F21">
        <w:rPr>
          <w:rFonts w:eastAsia="SimSun" w:cs="Gill Sans MT"/>
          <w:szCs w:val="26"/>
          <w:lang w:eastAsia="en-IE"/>
        </w:rPr>
        <w:t>% in 2021</w:t>
      </w:r>
      <w:r w:rsidR="00DC392C">
        <w:rPr>
          <w:rStyle w:val="FootnoteReference"/>
          <w:rFonts w:eastAsia="SimSun" w:cs="Gill Sans MT"/>
          <w:szCs w:val="26"/>
          <w:lang w:eastAsia="en-IE"/>
        </w:rPr>
        <w:footnoteReference w:id="12"/>
      </w:r>
      <w:r w:rsidR="002E1848" w:rsidRPr="009C1F21">
        <w:rPr>
          <w:rFonts w:eastAsia="SimSun" w:cs="Gill Sans MT"/>
          <w:szCs w:val="26"/>
          <w:lang w:eastAsia="en-IE"/>
        </w:rPr>
        <w:t>. In addition</w:t>
      </w:r>
      <w:r w:rsidR="00BB435F">
        <w:rPr>
          <w:rFonts w:eastAsia="SimSun" w:cs="Gill Sans MT"/>
          <w:szCs w:val="26"/>
          <w:lang w:eastAsia="en-IE"/>
        </w:rPr>
        <w:t>,</w:t>
      </w:r>
      <w:r w:rsidR="002E1848" w:rsidRPr="009C1F21">
        <w:rPr>
          <w:rFonts w:eastAsia="SimSun" w:cs="Gill Sans MT"/>
          <w:szCs w:val="26"/>
          <w:lang w:eastAsia="en-IE"/>
        </w:rPr>
        <w:t xml:space="preserve"> </w:t>
      </w:r>
      <w:r w:rsidR="003452C5">
        <w:rPr>
          <w:rFonts w:eastAsia="SimSun" w:cs="Gill Sans MT"/>
          <w:szCs w:val="26"/>
          <w:lang w:eastAsia="en-IE"/>
        </w:rPr>
        <w:t>across the 46 public bodies under the Department’s remit there was average compliance rate of 4.5%</w:t>
      </w:r>
      <w:r w:rsidR="005B3918">
        <w:rPr>
          <w:rFonts w:eastAsia="SimSun" w:cs="Gill Sans MT"/>
          <w:szCs w:val="26"/>
          <w:lang w:eastAsia="en-IE"/>
        </w:rPr>
        <w:t xml:space="preserve">. </w:t>
      </w:r>
      <w:r w:rsidR="007D50B6">
        <w:rPr>
          <w:rFonts w:eastAsia="SimSun" w:cs="Gill Sans MT"/>
          <w:szCs w:val="26"/>
          <w:lang w:eastAsia="en-IE"/>
        </w:rPr>
        <w:t xml:space="preserve">Only five public bodies failed to meet the target; four of those public bodies had less than 20 employees. </w:t>
      </w:r>
      <w:r w:rsidR="002E1848" w:rsidRPr="009C1F21">
        <w:rPr>
          <w:rFonts w:eastAsia="SimSun" w:cs="Gill Sans MT"/>
          <w:szCs w:val="26"/>
          <w:lang w:eastAsia="en-IE"/>
        </w:rPr>
        <w:t>It</w:t>
      </w:r>
      <w:r w:rsidR="00F17665" w:rsidRPr="009C1F21">
        <w:rPr>
          <w:rFonts w:eastAsia="SimSun" w:cs="Gill Sans MT"/>
          <w:szCs w:val="26"/>
          <w:lang w:eastAsia="en-IE"/>
        </w:rPr>
        <w:t xml:space="preserve"> </w:t>
      </w:r>
      <w:r w:rsidR="00395753" w:rsidRPr="009C1F21">
        <w:rPr>
          <w:rFonts w:eastAsia="SimSun" w:cs="Gill Sans MT"/>
          <w:szCs w:val="26"/>
          <w:lang w:eastAsia="en-IE"/>
        </w:rPr>
        <w:t xml:space="preserve">is </w:t>
      </w:r>
      <w:r w:rsidR="00F17665" w:rsidRPr="009C1F21">
        <w:rPr>
          <w:rFonts w:eastAsia="SimSun" w:cs="Gill Sans MT"/>
          <w:szCs w:val="26"/>
          <w:lang w:eastAsia="en-IE"/>
        </w:rPr>
        <w:t>important to continue maintaining compliance with Part 5 of the Disability A</w:t>
      </w:r>
      <w:r w:rsidR="006144CC" w:rsidRPr="009C1F21">
        <w:rPr>
          <w:rFonts w:eastAsia="SimSun" w:cs="Gill Sans MT"/>
          <w:szCs w:val="26"/>
          <w:lang w:eastAsia="en-IE"/>
        </w:rPr>
        <w:t xml:space="preserve">ct as a key focus of </w:t>
      </w:r>
      <w:r w:rsidR="00703D2B" w:rsidRPr="009C1F21">
        <w:rPr>
          <w:rFonts w:eastAsia="SimSun" w:cs="Gill Sans MT"/>
          <w:szCs w:val="26"/>
          <w:lang w:eastAsia="en-IE"/>
        </w:rPr>
        <w:t xml:space="preserve">the </w:t>
      </w:r>
      <w:r w:rsidR="003452C5">
        <w:rPr>
          <w:rFonts w:eastAsia="SimSun" w:cs="Gill Sans MT"/>
          <w:szCs w:val="26"/>
          <w:lang w:eastAsia="en-IE"/>
        </w:rPr>
        <w:t>D</w:t>
      </w:r>
      <w:r w:rsidR="00F17665" w:rsidRPr="009C1F21">
        <w:rPr>
          <w:rFonts w:eastAsia="SimSun" w:cs="Gill Sans MT"/>
          <w:szCs w:val="26"/>
          <w:lang w:eastAsia="en-IE"/>
        </w:rPr>
        <w:t xml:space="preserve">epartment's HR </w:t>
      </w:r>
      <w:proofErr w:type="gramStart"/>
      <w:r w:rsidR="00F17665" w:rsidRPr="009C1F21">
        <w:rPr>
          <w:rFonts w:eastAsia="SimSun" w:cs="Gill Sans MT"/>
          <w:szCs w:val="26"/>
          <w:lang w:eastAsia="en-IE"/>
        </w:rPr>
        <w:t>strategy</w:t>
      </w:r>
      <w:r w:rsidR="00AD79DB" w:rsidRPr="009C1F21">
        <w:rPr>
          <w:rFonts w:eastAsia="SimSun" w:cs="Gill Sans MT"/>
          <w:szCs w:val="26"/>
          <w:lang w:eastAsia="en-IE"/>
        </w:rPr>
        <w:t>, and</w:t>
      </w:r>
      <w:proofErr w:type="gramEnd"/>
      <w:r w:rsidR="00AD79DB" w:rsidRPr="009C1F21">
        <w:rPr>
          <w:rFonts w:eastAsia="SimSun" w:cs="Gill Sans MT"/>
          <w:szCs w:val="26"/>
          <w:lang w:eastAsia="en-IE"/>
        </w:rPr>
        <w:t xml:space="preserve"> articulati</w:t>
      </w:r>
      <w:r w:rsidR="003A4C08" w:rsidRPr="009C1F21">
        <w:rPr>
          <w:rFonts w:eastAsia="SimSun" w:cs="Gill Sans MT"/>
          <w:szCs w:val="26"/>
          <w:lang w:eastAsia="en-IE"/>
        </w:rPr>
        <w:t>ng a commitment to same in the d</w:t>
      </w:r>
      <w:r w:rsidR="00AD79DB" w:rsidRPr="009C1F21">
        <w:rPr>
          <w:rFonts w:eastAsia="SimSun" w:cs="Gill Sans MT"/>
          <w:szCs w:val="26"/>
          <w:lang w:eastAsia="en-IE"/>
        </w:rPr>
        <w:t xml:space="preserve">epartment’s overall </w:t>
      </w:r>
      <w:r w:rsidR="00663E12" w:rsidRPr="009C1F21">
        <w:rPr>
          <w:rFonts w:eastAsia="SimSun" w:cs="Gill Sans MT"/>
          <w:szCs w:val="26"/>
          <w:lang w:eastAsia="en-IE"/>
        </w:rPr>
        <w:t>Statement</w:t>
      </w:r>
      <w:r w:rsidR="00AD79DB" w:rsidRPr="009C1F21">
        <w:rPr>
          <w:rFonts w:eastAsia="SimSun" w:cs="Gill Sans MT"/>
          <w:szCs w:val="26"/>
          <w:lang w:eastAsia="en-IE"/>
        </w:rPr>
        <w:t xml:space="preserve"> of Str</w:t>
      </w:r>
      <w:r w:rsidR="00F22161" w:rsidRPr="009C1F21">
        <w:rPr>
          <w:rFonts w:eastAsia="SimSun" w:cs="Gill Sans MT"/>
          <w:szCs w:val="26"/>
          <w:lang w:eastAsia="en-IE"/>
        </w:rPr>
        <w:t>ategy can also demonstrate the d</w:t>
      </w:r>
      <w:r w:rsidR="00AD79DB" w:rsidRPr="009C1F21">
        <w:rPr>
          <w:rFonts w:eastAsia="SimSun" w:cs="Gill Sans MT"/>
          <w:szCs w:val="26"/>
          <w:lang w:eastAsia="en-IE"/>
        </w:rPr>
        <w:t>epartment’s standing as an employer invested in equality, diversity and inclusion (EDI)</w:t>
      </w:r>
      <w:r w:rsidR="00F17665" w:rsidRPr="009C1F21">
        <w:rPr>
          <w:rFonts w:eastAsia="SimSun" w:cs="Gill Sans MT"/>
          <w:szCs w:val="26"/>
          <w:lang w:eastAsia="en-IE"/>
        </w:rPr>
        <w:t>.</w:t>
      </w:r>
      <w:r w:rsidR="006E1F8E" w:rsidRPr="009C1F21">
        <w:rPr>
          <w:rStyle w:val="FootnoteReference"/>
          <w:rFonts w:eastAsia="SimSun" w:cs="Gill Sans MT"/>
          <w:szCs w:val="26"/>
          <w:lang w:eastAsia="en-IE"/>
        </w:rPr>
        <w:footnoteReference w:id="13"/>
      </w:r>
      <w:r w:rsidR="00F17665" w:rsidRPr="009C1F21">
        <w:rPr>
          <w:rFonts w:eastAsia="SimSun" w:cs="Gill Sans MT"/>
          <w:szCs w:val="26"/>
          <w:lang w:eastAsia="en-IE"/>
        </w:rPr>
        <w:t xml:space="preserve"> </w:t>
      </w:r>
      <w:r w:rsidR="005B3918">
        <w:rPr>
          <w:rFonts w:eastAsia="SimSun" w:cs="Gill Sans MT"/>
          <w:szCs w:val="26"/>
          <w:lang w:eastAsia="en-IE"/>
        </w:rPr>
        <w:t xml:space="preserve">The </w:t>
      </w:r>
      <w:r w:rsidR="005B3918" w:rsidRPr="005B3918">
        <w:rPr>
          <w:rFonts w:eastAsia="SimSun" w:cs="Gill Sans MT"/>
          <w:b/>
          <w:szCs w:val="26"/>
          <w:lang w:eastAsia="en-IE"/>
        </w:rPr>
        <w:t>Assisted Decision-</w:t>
      </w:r>
      <w:r w:rsidR="002E1848" w:rsidRPr="005B3918">
        <w:rPr>
          <w:rFonts w:eastAsia="SimSun" w:cs="Gill Sans MT"/>
          <w:b/>
          <w:szCs w:val="26"/>
          <w:lang w:eastAsia="en-IE"/>
        </w:rPr>
        <w:t>Making (Capacity) (Amendment) Act 2022</w:t>
      </w:r>
      <w:r w:rsidR="002E1848" w:rsidRPr="009C1F21">
        <w:rPr>
          <w:rFonts w:eastAsia="SimSun" w:cs="Gill Sans MT"/>
          <w:szCs w:val="26"/>
          <w:lang w:eastAsia="en-IE"/>
        </w:rPr>
        <w:t xml:space="preserve"> increase</w:t>
      </w:r>
      <w:r w:rsidR="00BB435F">
        <w:rPr>
          <w:rFonts w:eastAsia="SimSun" w:cs="Gill Sans MT"/>
          <w:szCs w:val="26"/>
          <w:lang w:eastAsia="en-IE"/>
        </w:rPr>
        <w:t>s</w:t>
      </w:r>
      <w:r w:rsidR="002E1848" w:rsidRPr="009C1F21">
        <w:rPr>
          <w:rFonts w:eastAsia="SimSun" w:cs="Gill Sans MT"/>
          <w:szCs w:val="26"/>
          <w:lang w:eastAsia="en-IE"/>
        </w:rPr>
        <w:t xml:space="preserve"> the minimum target from 3% to 6% by 2025. </w:t>
      </w:r>
    </w:p>
    <w:p w14:paraId="6A953CD3" w14:textId="77777777" w:rsidR="00BB00D5" w:rsidRPr="009C1F21" w:rsidRDefault="00BB00D5" w:rsidP="00BB00D5">
      <w:pPr>
        <w:spacing w:after="0"/>
        <w:rPr>
          <w:sz w:val="28"/>
          <w:szCs w:val="16"/>
        </w:rPr>
      </w:pPr>
    </w:p>
    <w:p w14:paraId="7A4B64C8" w14:textId="77777777" w:rsidR="008D6376" w:rsidRPr="009C1F21" w:rsidRDefault="008D6376" w:rsidP="008854C0">
      <w:pPr>
        <w:pStyle w:val="Heading2"/>
        <w:rPr>
          <w:rFonts w:eastAsia="SimSun"/>
          <w:lang w:eastAsia="en-IE"/>
        </w:rPr>
      </w:pPr>
      <w:bookmarkStart w:id="53" w:name="_Toc142909801"/>
      <w:r w:rsidRPr="009C1F21">
        <w:rPr>
          <w:rFonts w:eastAsia="SimSun"/>
          <w:lang w:eastAsia="en-IE"/>
        </w:rPr>
        <w:t xml:space="preserve">EU Web </w:t>
      </w:r>
      <w:r w:rsidR="00271295" w:rsidRPr="009C1F21">
        <w:rPr>
          <w:rFonts w:eastAsia="SimSun"/>
          <w:lang w:eastAsia="en-IE"/>
        </w:rPr>
        <w:t>Accessibility</w:t>
      </w:r>
      <w:r w:rsidRPr="009C1F21">
        <w:rPr>
          <w:rFonts w:eastAsia="SimSun"/>
          <w:lang w:eastAsia="en-IE"/>
        </w:rPr>
        <w:t xml:space="preserve"> Obligations</w:t>
      </w:r>
      <w:bookmarkEnd w:id="53"/>
      <w:r w:rsidRPr="009C1F21">
        <w:rPr>
          <w:rFonts w:eastAsia="SimSun"/>
          <w:lang w:eastAsia="en-IE"/>
        </w:rPr>
        <w:t xml:space="preserve"> </w:t>
      </w:r>
    </w:p>
    <w:p w14:paraId="5BABC6F6" w14:textId="12704774" w:rsidR="004A2B86" w:rsidRDefault="006C4719" w:rsidP="006C4719">
      <w:pPr>
        <w:pStyle w:val="NormalWeb"/>
        <w:spacing w:before="0" w:beforeAutospacing="0" w:after="0" w:afterAutospacing="0"/>
        <w:rPr>
          <w:rFonts w:ascii="Gill Sans MT" w:eastAsia="SimSun" w:hAnsi="Gill Sans MT" w:cs="Gill Sans MT"/>
          <w:sz w:val="26"/>
          <w:szCs w:val="26"/>
        </w:rPr>
      </w:pPr>
      <w:r w:rsidRPr="009C1F21">
        <w:rPr>
          <w:rFonts w:ascii="Gill Sans MT" w:eastAsia="SimSun" w:hAnsi="Gill Sans MT" w:cs="Gill Sans MT"/>
          <w:sz w:val="26"/>
          <w:szCs w:val="26"/>
        </w:rPr>
        <w:t>The</w:t>
      </w:r>
      <w:r w:rsidR="00F759C7" w:rsidRPr="009C1F21">
        <w:rPr>
          <w:rFonts w:ascii="Gill Sans MT" w:eastAsia="SimSun" w:hAnsi="Gill Sans MT" w:cs="Gill Sans MT"/>
          <w:sz w:val="26"/>
          <w:szCs w:val="26"/>
        </w:rPr>
        <w:t xml:space="preserve"> </w:t>
      </w:r>
      <w:r w:rsidR="00F759C7" w:rsidRPr="00FA0716">
        <w:rPr>
          <w:rFonts w:ascii="Gill Sans MT" w:eastAsia="SimSun" w:hAnsi="Gill Sans MT" w:cs="Gill Sans MT"/>
          <w:sz w:val="26"/>
          <w:szCs w:val="26"/>
        </w:rPr>
        <w:t>EU Web Accessibility Directive</w:t>
      </w:r>
      <w:r w:rsidR="00FA0716">
        <w:rPr>
          <w:rStyle w:val="FootnoteReference"/>
          <w:rFonts w:eastAsia="SimSun" w:cs="Gill Sans MT"/>
          <w:szCs w:val="26"/>
          <w:u w:val="single"/>
        </w:rPr>
        <w:footnoteReference w:id="14"/>
      </w:r>
      <w:r w:rsidRPr="009C1F21">
        <w:rPr>
          <w:rFonts w:ascii="Gill Sans MT" w:eastAsia="SimSun" w:hAnsi="Gill Sans MT" w:cs="Gill Sans MT"/>
          <w:sz w:val="26"/>
          <w:szCs w:val="26"/>
        </w:rPr>
        <w:t xml:space="preserve">, which came into force in September 2020, requires Member States to ensure that websites and mobile applications of public sector bodies are fully accessible to persons with disabilities and comply with the harmonised standard EN 310 549 (v3.2.1). The Directive further requires public bodies to maintain an </w:t>
      </w:r>
      <w:r w:rsidRPr="00FA0716">
        <w:rPr>
          <w:rFonts w:ascii="Gill Sans MT" w:eastAsia="SimSun" w:hAnsi="Gill Sans MT" w:cs="Gill Sans MT"/>
          <w:sz w:val="26"/>
          <w:szCs w:val="26"/>
        </w:rPr>
        <w:t>Accessibility Statement</w:t>
      </w:r>
      <w:r w:rsidR="00FA0716">
        <w:rPr>
          <w:rStyle w:val="FootnoteReference"/>
          <w:rFonts w:eastAsia="SimSun" w:cs="Gill Sans MT"/>
          <w:szCs w:val="26"/>
        </w:rPr>
        <w:footnoteReference w:id="15"/>
      </w:r>
      <w:r w:rsidRPr="009C1F21">
        <w:rPr>
          <w:rFonts w:ascii="Gill Sans MT" w:eastAsia="SimSun" w:hAnsi="Gill Sans MT" w:cs="Gill Sans MT"/>
          <w:sz w:val="26"/>
          <w:szCs w:val="26"/>
        </w:rPr>
        <w:t xml:space="preserve"> in a prominent</w:t>
      </w:r>
      <w:r w:rsidR="007D50B6">
        <w:rPr>
          <w:rFonts w:ascii="Gill Sans MT" w:eastAsia="SimSun" w:hAnsi="Gill Sans MT" w:cs="Gill Sans MT"/>
          <w:sz w:val="26"/>
          <w:szCs w:val="26"/>
        </w:rPr>
        <w:t xml:space="preserve"> location on all its websites. </w:t>
      </w:r>
      <w:r w:rsidRPr="009C1F21">
        <w:rPr>
          <w:rFonts w:ascii="Gill Sans MT" w:eastAsia="SimSun" w:hAnsi="Gill Sans MT" w:cs="Gill Sans MT"/>
          <w:sz w:val="26"/>
          <w:szCs w:val="26"/>
        </w:rPr>
        <w:t xml:space="preserve">This must include a clear feedback mechanism for users to ask </w:t>
      </w:r>
      <w:r w:rsidR="00F4304C" w:rsidRPr="009C1F21">
        <w:rPr>
          <w:rFonts w:ascii="Gill Sans MT" w:eastAsia="SimSun" w:hAnsi="Gill Sans MT" w:cs="Gill Sans MT"/>
          <w:sz w:val="26"/>
          <w:szCs w:val="26"/>
        </w:rPr>
        <w:t xml:space="preserve">for </w:t>
      </w:r>
      <w:r w:rsidRPr="009C1F21">
        <w:rPr>
          <w:rFonts w:ascii="Gill Sans MT" w:eastAsia="SimSun" w:hAnsi="Gill Sans MT" w:cs="Gill Sans MT"/>
          <w:sz w:val="26"/>
          <w:szCs w:val="26"/>
        </w:rPr>
        <w:t xml:space="preserve">assistance with inaccessible content and features as well as the statutory complaints mechanism through which a person can make a formal complaint about the website’s accessibility in-line with the </w:t>
      </w:r>
      <w:r w:rsidRPr="001F2D27">
        <w:rPr>
          <w:rFonts w:ascii="Gill Sans MT" w:eastAsia="SimSun" w:hAnsi="Gill Sans MT" w:cs="Gill Sans MT"/>
          <w:b/>
          <w:sz w:val="26"/>
          <w:szCs w:val="26"/>
        </w:rPr>
        <w:t>Disability Act 2005</w:t>
      </w:r>
      <w:r w:rsidRPr="009C1F21">
        <w:rPr>
          <w:rFonts w:ascii="Gill Sans MT" w:eastAsia="SimSun" w:hAnsi="Gill Sans MT" w:cs="Gill Sans MT"/>
          <w:sz w:val="26"/>
          <w:szCs w:val="26"/>
        </w:rPr>
        <w:t xml:space="preserve"> or the </w:t>
      </w:r>
      <w:r w:rsidRPr="001F2D27">
        <w:rPr>
          <w:rFonts w:ascii="Gill Sans MT" w:eastAsia="SimSun" w:hAnsi="Gill Sans MT" w:cs="Gill Sans MT"/>
          <w:b/>
          <w:sz w:val="26"/>
          <w:szCs w:val="26"/>
        </w:rPr>
        <w:t>Equal Status Act 20</w:t>
      </w:r>
      <w:r w:rsidR="00A54BD7" w:rsidRPr="001F2D27">
        <w:rPr>
          <w:rFonts w:ascii="Gill Sans MT" w:eastAsia="SimSun" w:hAnsi="Gill Sans MT" w:cs="Gill Sans MT"/>
          <w:b/>
          <w:sz w:val="26"/>
          <w:szCs w:val="26"/>
        </w:rPr>
        <w:t>00-2015</w:t>
      </w:r>
      <w:r w:rsidR="00A54BD7" w:rsidRPr="009C1F21">
        <w:rPr>
          <w:rFonts w:ascii="Gill Sans MT" w:eastAsia="SimSun" w:hAnsi="Gill Sans MT" w:cs="Gill Sans MT"/>
          <w:sz w:val="26"/>
          <w:szCs w:val="26"/>
        </w:rPr>
        <w:t xml:space="preserve">, whichever so applies. </w:t>
      </w:r>
      <w:r w:rsidRPr="009C1F21">
        <w:rPr>
          <w:rFonts w:ascii="Gill Sans MT" w:eastAsia="SimSun" w:hAnsi="Gill Sans MT" w:cs="Gill Sans MT"/>
          <w:sz w:val="26"/>
          <w:szCs w:val="26"/>
        </w:rPr>
        <w:t xml:space="preserve">The </w:t>
      </w:r>
      <w:r w:rsidR="001F2D27">
        <w:rPr>
          <w:rFonts w:ascii="Gill Sans MT" w:eastAsia="SimSun" w:hAnsi="Gill Sans MT" w:cs="Gill Sans MT"/>
          <w:sz w:val="26"/>
          <w:szCs w:val="26"/>
        </w:rPr>
        <w:t>NDA</w:t>
      </w:r>
      <w:r w:rsidRPr="009C1F21">
        <w:rPr>
          <w:rFonts w:ascii="Gill Sans MT" w:eastAsia="SimSun" w:hAnsi="Gill Sans MT" w:cs="Gill Sans MT"/>
          <w:sz w:val="26"/>
          <w:szCs w:val="26"/>
        </w:rPr>
        <w:t xml:space="preserve"> is named in</w:t>
      </w:r>
      <w:r w:rsidR="00C862AE" w:rsidRPr="009C1F21">
        <w:rPr>
          <w:rFonts w:ascii="Gill Sans MT" w:eastAsia="SimSun" w:hAnsi="Gill Sans MT" w:cs="Gill Sans MT"/>
          <w:sz w:val="26"/>
          <w:szCs w:val="26"/>
        </w:rPr>
        <w:t xml:space="preserve"> </w:t>
      </w:r>
      <w:r w:rsidRPr="009C1F21">
        <w:rPr>
          <w:rFonts w:ascii="Gill Sans MT" w:eastAsia="SimSun" w:hAnsi="Gill Sans MT" w:cs="Gill Sans MT"/>
          <w:sz w:val="26"/>
          <w:szCs w:val="26"/>
        </w:rPr>
        <w:t>Irish Regulations</w:t>
      </w:r>
      <w:r w:rsidR="00C862AE" w:rsidRPr="009C1F21">
        <w:rPr>
          <w:rFonts w:ascii="Gill Sans MT" w:eastAsia="SimSun" w:hAnsi="Gill Sans MT" w:cs="Gill Sans MT"/>
          <w:sz w:val="26"/>
          <w:szCs w:val="26"/>
        </w:rPr>
        <w:t xml:space="preserve"> </w:t>
      </w:r>
      <w:r w:rsidRPr="009C1F21">
        <w:rPr>
          <w:rFonts w:ascii="Gill Sans MT" w:eastAsia="SimSun" w:hAnsi="Gill Sans MT" w:cs="Gill Sans MT"/>
          <w:sz w:val="26"/>
          <w:szCs w:val="26"/>
        </w:rPr>
        <w:t xml:space="preserve">as the National Monitoring Body for the purposes of monitoring compliance with and reporting on the EU Web Accessibility Directive. </w:t>
      </w:r>
      <w:r w:rsidR="00FE1E73" w:rsidRPr="009C1F21">
        <w:rPr>
          <w:rFonts w:ascii="Gill Sans MT" w:eastAsia="SimSun" w:hAnsi="Gill Sans MT" w:cs="Gill Sans MT"/>
          <w:sz w:val="26"/>
          <w:szCs w:val="26"/>
        </w:rPr>
        <w:t xml:space="preserve">The </w:t>
      </w:r>
      <w:r w:rsidR="001F2D27">
        <w:rPr>
          <w:rFonts w:ascii="Gill Sans MT" w:eastAsia="SimSun" w:hAnsi="Gill Sans MT" w:cs="Gill Sans MT"/>
          <w:sz w:val="26"/>
          <w:szCs w:val="26"/>
        </w:rPr>
        <w:t xml:space="preserve">NDA </w:t>
      </w:r>
      <w:r w:rsidRPr="009C1F21">
        <w:rPr>
          <w:rFonts w:ascii="Gill Sans MT" w:eastAsia="SimSun" w:hAnsi="Gill Sans MT" w:cs="Gill Sans MT"/>
          <w:sz w:val="26"/>
          <w:szCs w:val="26"/>
        </w:rPr>
        <w:t xml:space="preserve">submitted </w:t>
      </w:r>
      <w:hyperlink r:id="rId9" w:history="1">
        <w:r w:rsidRPr="00002FBF">
          <w:rPr>
            <w:rStyle w:val="Hyperlink"/>
            <w:rFonts w:ascii="Gill Sans MT" w:eastAsia="SimSun" w:hAnsi="Gill Sans MT" w:cs="Gill Sans MT"/>
            <w:color w:val="auto"/>
            <w:sz w:val="26"/>
            <w:szCs w:val="26"/>
            <w:u w:val="none"/>
          </w:rPr>
          <w:t>two monitoring reports</w:t>
        </w:r>
      </w:hyperlink>
      <w:r w:rsidRPr="009C1F21">
        <w:rPr>
          <w:rFonts w:ascii="Gill Sans MT" w:eastAsia="SimSun" w:hAnsi="Gill Sans MT" w:cs="Gill Sans MT"/>
          <w:sz w:val="26"/>
          <w:szCs w:val="26"/>
        </w:rPr>
        <w:t xml:space="preserve"> to the European Commission in December</w:t>
      </w:r>
      <w:r w:rsidR="001F2D27">
        <w:rPr>
          <w:rFonts w:ascii="Gill Sans MT" w:eastAsia="SimSun" w:hAnsi="Gill Sans MT" w:cs="Gill Sans MT"/>
          <w:sz w:val="26"/>
          <w:szCs w:val="26"/>
        </w:rPr>
        <w:t xml:space="preserve"> 202</w:t>
      </w:r>
      <w:r w:rsidR="005E383C" w:rsidRPr="009C1F21">
        <w:rPr>
          <w:rFonts w:ascii="Gill Sans MT" w:eastAsia="SimSun" w:hAnsi="Gill Sans MT" w:cs="Gill Sans MT"/>
          <w:sz w:val="26"/>
          <w:szCs w:val="26"/>
        </w:rPr>
        <w:t>1 and 2022</w:t>
      </w:r>
      <w:r w:rsidR="001F2D27">
        <w:rPr>
          <w:rFonts w:ascii="Gill Sans MT" w:eastAsia="SimSun" w:hAnsi="Gill Sans MT" w:cs="Gill Sans MT"/>
          <w:sz w:val="26"/>
          <w:szCs w:val="26"/>
        </w:rPr>
        <w:t>,</w:t>
      </w:r>
      <w:r w:rsidR="005E383C" w:rsidRPr="009C1F21">
        <w:rPr>
          <w:rFonts w:ascii="Gill Sans MT" w:eastAsia="SimSun" w:hAnsi="Gill Sans MT" w:cs="Gill Sans MT"/>
          <w:sz w:val="26"/>
          <w:szCs w:val="26"/>
        </w:rPr>
        <w:t xml:space="preserve"> in this regard, and </w:t>
      </w:r>
      <w:r w:rsidRPr="009C1F21">
        <w:rPr>
          <w:rFonts w:ascii="Gill Sans MT" w:eastAsia="SimSun" w:hAnsi="Gill Sans MT" w:cs="Gill Sans MT"/>
          <w:sz w:val="26"/>
          <w:szCs w:val="26"/>
        </w:rPr>
        <w:t>issued</w:t>
      </w:r>
      <w:r w:rsidR="007646EB" w:rsidRPr="009C1F21">
        <w:rPr>
          <w:rFonts w:ascii="Gill Sans MT" w:eastAsia="SimSun" w:hAnsi="Gill Sans MT" w:cs="Gill Sans MT"/>
          <w:sz w:val="26"/>
          <w:szCs w:val="26"/>
        </w:rPr>
        <w:t xml:space="preserve"> a Notice of Monitoring to the d</w:t>
      </w:r>
      <w:r w:rsidRPr="009C1F21">
        <w:rPr>
          <w:rFonts w:ascii="Gill Sans MT" w:eastAsia="SimSun" w:hAnsi="Gill Sans MT" w:cs="Gill Sans MT"/>
          <w:sz w:val="26"/>
          <w:szCs w:val="26"/>
        </w:rPr>
        <w:t xml:space="preserve">epartments in </w:t>
      </w:r>
      <w:r w:rsidR="0085266A">
        <w:rPr>
          <w:rFonts w:ascii="Gill Sans MT" w:eastAsia="SimSun" w:hAnsi="Gill Sans MT" w:cs="Gill Sans MT"/>
          <w:sz w:val="26"/>
          <w:szCs w:val="26"/>
        </w:rPr>
        <w:t>December</w:t>
      </w:r>
      <w:r w:rsidRPr="009C1F21">
        <w:rPr>
          <w:rFonts w:ascii="Gill Sans MT" w:eastAsia="SimSun" w:hAnsi="Gill Sans MT" w:cs="Gill Sans MT"/>
          <w:sz w:val="26"/>
          <w:szCs w:val="26"/>
        </w:rPr>
        <w:t xml:space="preserve"> 2022.</w:t>
      </w:r>
      <w:r w:rsidR="005D5A7F" w:rsidRPr="009C1F21">
        <w:rPr>
          <w:rStyle w:val="FootnoteReference"/>
          <w:rFonts w:ascii="Gill Sans MT" w:eastAsia="SimSun" w:hAnsi="Gill Sans MT" w:cs="Gill Sans MT"/>
          <w:sz w:val="26"/>
          <w:szCs w:val="26"/>
        </w:rPr>
        <w:footnoteReference w:id="16"/>
      </w:r>
      <w:r w:rsidR="007E06CA">
        <w:rPr>
          <w:rFonts w:ascii="Gill Sans MT" w:eastAsia="SimSun" w:hAnsi="Gill Sans MT" w:cs="Gill Sans MT"/>
          <w:sz w:val="26"/>
          <w:szCs w:val="26"/>
        </w:rPr>
        <w:t xml:space="preserve">The Department has received </w:t>
      </w:r>
      <w:r w:rsidR="0085266A" w:rsidRPr="0085266A">
        <w:rPr>
          <w:rFonts w:ascii="Gill Sans MT" w:eastAsia="SimSun" w:hAnsi="Gill Sans MT" w:cs="Gill Sans MT"/>
          <w:sz w:val="26"/>
          <w:szCs w:val="26"/>
        </w:rPr>
        <w:t xml:space="preserve">a Notification of Monitoring for a Simplified Review </w:t>
      </w:r>
      <w:r w:rsidR="007E06CA">
        <w:rPr>
          <w:rFonts w:ascii="Gill Sans MT" w:eastAsia="SimSun" w:hAnsi="Gill Sans MT" w:cs="Gill Sans MT"/>
          <w:sz w:val="26"/>
          <w:szCs w:val="26"/>
        </w:rPr>
        <w:t xml:space="preserve">and </w:t>
      </w:r>
      <w:r w:rsidR="00442FEF">
        <w:rPr>
          <w:rFonts w:ascii="Gill Sans MT" w:eastAsia="SimSun" w:hAnsi="Gill Sans MT" w:cs="Gill Sans MT"/>
          <w:sz w:val="26"/>
          <w:szCs w:val="26"/>
        </w:rPr>
        <w:t>has commenced the</w:t>
      </w:r>
      <w:r w:rsidR="0085266A" w:rsidRPr="0085266A">
        <w:rPr>
          <w:rFonts w:ascii="Gill Sans MT" w:eastAsia="SimSun" w:hAnsi="Gill Sans MT" w:cs="Gill Sans MT"/>
          <w:sz w:val="26"/>
          <w:szCs w:val="26"/>
        </w:rPr>
        <w:t xml:space="preserve"> registration </w:t>
      </w:r>
      <w:r w:rsidR="00442FEF">
        <w:rPr>
          <w:rFonts w:ascii="Gill Sans MT" w:eastAsia="SimSun" w:hAnsi="Gill Sans MT" w:cs="Gill Sans MT"/>
          <w:sz w:val="26"/>
          <w:szCs w:val="26"/>
        </w:rPr>
        <w:t>process</w:t>
      </w:r>
      <w:r w:rsidR="0085266A" w:rsidRPr="0085266A">
        <w:rPr>
          <w:rFonts w:ascii="Gill Sans MT" w:eastAsia="SimSun" w:hAnsi="Gill Sans MT" w:cs="Gill Sans MT"/>
          <w:sz w:val="26"/>
          <w:szCs w:val="26"/>
        </w:rPr>
        <w:t>.</w:t>
      </w:r>
    </w:p>
    <w:p w14:paraId="3392832F" w14:textId="77777777" w:rsidR="0085266A" w:rsidRPr="009C1F21" w:rsidRDefault="0085266A" w:rsidP="006C4719">
      <w:pPr>
        <w:pStyle w:val="NormalWeb"/>
        <w:spacing w:before="0" w:beforeAutospacing="0" w:after="0" w:afterAutospacing="0"/>
        <w:rPr>
          <w:rFonts w:ascii="Gill Sans MT" w:eastAsia="SimSun" w:hAnsi="Gill Sans MT" w:cs="Gill Sans MT"/>
          <w:sz w:val="26"/>
          <w:szCs w:val="26"/>
        </w:rPr>
      </w:pPr>
    </w:p>
    <w:p w14:paraId="153C3DE8" w14:textId="32D710FE" w:rsidR="003B17C3" w:rsidRDefault="008D7AA9" w:rsidP="003B17C3">
      <w:pPr>
        <w:rPr>
          <w:rFonts w:eastAsia="SimSun"/>
        </w:rPr>
      </w:pPr>
      <w:r>
        <w:rPr>
          <w:rFonts w:eastAsia="SimSun"/>
        </w:rPr>
        <w:t>The NDA</w:t>
      </w:r>
      <w:r w:rsidR="004A2B86" w:rsidRPr="004A2B86">
        <w:rPr>
          <w:rFonts w:eastAsia="SimSun"/>
        </w:rPr>
        <w:t xml:space="preserve"> </w:t>
      </w:r>
      <w:r w:rsidR="005D691A">
        <w:rPr>
          <w:rFonts w:eastAsia="SimSun"/>
        </w:rPr>
        <w:t xml:space="preserve">has </w:t>
      </w:r>
      <w:r w:rsidR="004A2B86" w:rsidRPr="004A2B86">
        <w:rPr>
          <w:rFonts w:eastAsia="SimSun"/>
        </w:rPr>
        <w:t>conducted Sim</w:t>
      </w:r>
      <w:r w:rsidR="003B17C3">
        <w:rPr>
          <w:rFonts w:eastAsia="SimSun"/>
        </w:rPr>
        <w:t xml:space="preserve">plified (automated) Reviews on 34 public bodies under the remit of the Department with accessibility scores ranging from 0% to </w:t>
      </w:r>
      <w:r w:rsidR="00765559">
        <w:rPr>
          <w:rFonts w:eastAsia="SimSun"/>
        </w:rPr>
        <w:t>96.1%.</w:t>
      </w:r>
    </w:p>
    <w:p w14:paraId="3E6C2157" w14:textId="53D19D9D" w:rsidR="00002FBF" w:rsidRDefault="004A2B86" w:rsidP="004A2B86">
      <w:pPr>
        <w:rPr>
          <w:rFonts w:eastAsia="SimSun"/>
        </w:rPr>
      </w:pPr>
      <w:r>
        <w:rPr>
          <w:rFonts w:eastAsia="SimSun"/>
        </w:rPr>
        <w:lastRenderedPageBreak/>
        <w:t xml:space="preserve">We </w:t>
      </w:r>
      <w:r w:rsidR="005D691A">
        <w:rPr>
          <w:rFonts w:eastAsia="SimSun"/>
        </w:rPr>
        <w:t xml:space="preserve">look forward to engaging directly with </w:t>
      </w:r>
      <w:r w:rsidRPr="004A2B86">
        <w:rPr>
          <w:rFonts w:eastAsia="SimSun"/>
        </w:rPr>
        <w:t xml:space="preserve">Department </w:t>
      </w:r>
      <w:r w:rsidR="005D691A">
        <w:rPr>
          <w:rFonts w:eastAsia="SimSun"/>
        </w:rPr>
        <w:t>o</w:t>
      </w:r>
      <w:r w:rsidR="007239CB">
        <w:rPr>
          <w:rFonts w:eastAsia="SimSun"/>
        </w:rPr>
        <w:t>n its R</w:t>
      </w:r>
      <w:r w:rsidR="005D691A">
        <w:rPr>
          <w:rFonts w:eastAsia="SimSun"/>
        </w:rPr>
        <w:t>eview</w:t>
      </w:r>
      <w:r>
        <w:rPr>
          <w:rFonts w:eastAsia="SimSun"/>
        </w:rPr>
        <w:t>. We also recommend</w:t>
      </w:r>
      <w:r w:rsidRPr="004A2B86">
        <w:rPr>
          <w:rFonts w:eastAsia="SimSun"/>
        </w:rPr>
        <w:t xml:space="preserve"> that the </w:t>
      </w:r>
      <w:r w:rsidR="005D691A">
        <w:rPr>
          <w:rFonts w:eastAsia="SimSun"/>
        </w:rPr>
        <w:t>public bodies already audited</w:t>
      </w:r>
      <w:r w:rsidRPr="004A2B86">
        <w:rPr>
          <w:rFonts w:eastAsia="SimSun"/>
        </w:rPr>
        <w:t xml:space="preserve"> address the issues identified in the</w:t>
      </w:r>
      <w:r w:rsidR="007239CB">
        <w:rPr>
          <w:rFonts w:eastAsia="SimSun"/>
        </w:rPr>
        <w:t>ir</w:t>
      </w:r>
      <w:r w:rsidRPr="004A2B86">
        <w:rPr>
          <w:rFonts w:eastAsia="SimSun"/>
        </w:rPr>
        <w:t xml:space="preserve"> Simplified </w:t>
      </w:r>
      <w:r w:rsidR="00002FBF" w:rsidRPr="004A2B86">
        <w:rPr>
          <w:rFonts w:eastAsia="SimSun"/>
        </w:rPr>
        <w:t>Review</w:t>
      </w:r>
      <w:r w:rsidR="007239CB">
        <w:rPr>
          <w:rFonts w:eastAsia="SimSun"/>
        </w:rPr>
        <w:t>s</w:t>
      </w:r>
      <w:r w:rsidR="00002FBF" w:rsidRPr="004A2B86">
        <w:rPr>
          <w:rFonts w:eastAsia="SimSun"/>
        </w:rPr>
        <w:t>.</w:t>
      </w:r>
      <w:r w:rsidR="00002FBF">
        <w:rPr>
          <w:rFonts w:eastAsia="SimSun"/>
        </w:rPr>
        <w:t xml:space="preserve"> </w:t>
      </w:r>
    </w:p>
    <w:p w14:paraId="415AB91F" w14:textId="41ACA6CB" w:rsidR="00A10ADB" w:rsidRDefault="00002FBF" w:rsidP="004A2B86">
      <w:pPr>
        <w:rPr>
          <w:rFonts w:eastAsia="SimSun"/>
        </w:rPr>
      </w:pPr>
      <w:r w:rsidRPr="009C1F21">
        <w:rPr>
          <w:rFonts w:eastAsia="SimSun"/>
        </w:rPr>
        <w:t>The</w:t>
      </w:r>
      <w:r w:rsidR="00963CF5" w:rsidRPr="009C1F21">
        <w:rPr>
          <w:rFonts w:eastAsia="SimSun"/>
        </w:rPr>
        <w:t xml:space="preserve"> </w:t>
      </w:r>
      <w:r w:rsidR="009C7596" w:rsidRPr="009C1F21">
        <w:rPr>
          <w:rFonts w:eastAsia="SimSun"/>
        </w:rPr>
        <w:t xml:space="preserve">NDA </w:t>
      </w:r>
      <w:r>
        <w:rPr>
          <w:rFonts w:eastAsia="SimSun"/>
        </w:rPr>
        <w:t>advises</w:t>
      </w:r>
      <w:r w:rsidR="009C7596" w:rsidRPr="009C1F21">
        <w:rPr>
          <w:rFonts w:eastAsia="SimSun"/>
        </w:rPr>
        <w:t xml:space="preserve"> </w:t>
      </w:r>
      <w:r>
        <w:rPr>
          <w:rFonts w:eastAsia="SimSun"/>
        </w:rPr>
        <w:t xml:space="preserve">that </w:t>
      </w:r>
      <w:r w:rsidR="009C7596" w:rsidRPr="009C1F21">
        <w:rPr>
          <w:rFonts w:eastAsia="SimSun"/>
        </w:rPr>
        <w:t xml:space="preserve">the </w:t>
      </w:r>
      <w:r w:rsidR="00290617" w:rsidRPr="009C1F21">
        <w:rPr>
          <w:rFonts w:eastAsia="SimSun"/>
        </w:rPr>
        <w:t xml:space="preserve">Department </w:t>
      </w:r>
      <w:r>
        <w:rPr>
          <w:rFonts w:eastAsia="SimSun"/>
        </w:rPr>
        <w:t>follows through on</w:t>
      </w:r>
      <w:r w:rsidRPr="009C1F21">
        <w:rPr>
          <w:rFonts w:eastAsia="SimSun"/>
        </w:rPr>
        <w:t xml:space="preserve"> </w:t>
      </w:r>
      <w:r w:rsidR="00290617" w:rsidRPr="009C1F21">
        <w:rPr>
          <w:rFonts w:eastAsia="SimSun"/>
        </w:rPr>
        <w:t>its statutory obligation to ensure all its websites, and the websites of services the department contracts, comply with the EU Web Accessibility Directive,</w:t>
      </w:r>
      <w:r w:rsidR="006C4719" w:rsidRPr="009C1F21">
        <w:rPr>
          <w:rFonts w:eastAsia="SimSun"/>
        </w:rPr>
        <w:t xml:space="preserve"> in the</w:t>
      </w:r>
      <w:r w:rsidR="00EF1F1C" w:rsidRPr="009C1F21">
        <w:rPr>
          <w:rFonts w:eastAsia="SimSun"/>
        </w:rPr>
        <w:t xml:space="preserve"> </w:t>
      </w:r>
      <w:r w:rsidR="00966C30" w:rsidRPr="009C1F21">
        <w:rPr>
          <w:rFonts w:eastAsia="SimSun"/>
        </w:rPr>
        <w:t>Statement of Strategy</w:t>
      </w:r>
      <w:r w:rsidR="00624667" w:rsidRPr="009C1F21">
        <w:rPr>
          <w:rFonts w:eastAsia="SimSun"/>
        </w:rPr>
        <w:t xml:space="preserve">. </w:t>
      </w:r>
      <w:r w:rsidR="00426D76" w:rsidRPr="009C1F21">
        <w:rPr>
          <w:rFonts w:eastAsia="SimSun"/>
        </w:rPr>
        <w:t xml:space="preserve">The </w:t>
      </w:r>
      <w:r w:rsidR="007239CB">
        <w:rPr>
          <w:rFonts w:eastAsia="SimSun"/>
        </w:rPr>
        <w:t>D</w:t>
      </w:r>
      <w:r w:rsidR="00290617" w:rsidRPr="009C1F21">
        <w:rPr>
          <w:rFonts w:eastAsia="SimSun"/>
        </w:rPr>
        <w:t>epartment</w:t>
      </w:r>
      <w:r w:rsidR="002B3A24" w:rsidRPr="009C1F21">
        <w:rPr>
          <w:rFonts w:eastAsia="SimSun"/>
        </w:rPr>
        <w:t xml:space="preserve"> should continue to be mindful of the EU Web Accessibility Directive in the development of any future online content, particularly the development of online forms that people with disabilities may be required to complete</w:t>
      </w:r>
      <w:r w:rsidR="00793F28" w:rsidRPr="009C1F21">
        <w:rPr>
          <w:rFonts w:eastAsia="SimSun"/>
        </w:rPr>
        <w:t xml:space="preserve">. </w:t>
      </w:r>
      <w:r w:rsidR="00624667" w:rsidRPr="009C1F21">
        <w:rPr>
          <w:rFonts w:eastAsia="SimSun"/>
        </w:rPr>
        <w:t>The</w:t>
      </w:r>
      <w:r w:rsidR="00BF4AC9" w:rsidRPr="009C1F21">
        <w:rPr>
          <w:rFonts w:eastAsia="SimSun"/>
        </w:rPr>
        <w:t xml:space="preserve"> </w:t>
      </w:r>
      <w:r w:rsidR="006C4719" w:rsidRPr="009C1F21">
        <w:rPr>
          <w:rFonts w:eastAsia="SimSun"/>
        </w:rPr>
        <w:t xml:space="preserve">NDA recommends that this obligation </w:t>
      </w:r>
      <w:r w:rsidR="00C862AE" w:rsidRPr="009C1F21">
        <w:rPr>
          <w:rFonts w:eastAsia="SimSun"/>
        </w:rPr>
        <w:t xml:space="preserve">and an action plan to address access issues </w:t>
      </w:r>
      <w:r w:rsidR="006C4719" w:rsidRPr="009C1F21">
        <w:rPr>
          <w:rFonts w:eastAsia="SimSun"/>
        </w:rPr>
        <w:t>is referenced in relevant strategic objectives and that the Statement of Strategy itself is publish</w:t>
      </w:r>
      <w:r w:rsidR="00290617" w:rsidRPr="009C1F21">
        <w:rPr>
          <w:rFonts w:eastAsia="SimSun"/>
        </w:rPr>
        <w:t>ed</w:t>
      </w:r>
      <w:r w:rsidR="006C4719" w:rsidRPr="009C1F21">
        <w:rPr>
          <w:rFonts w:eastAsia="SimSun"/>
        </w:rPr>
        <w:t xml:space="preserve"> in a fully accessible </w:t>
      </w:r>
      <w:r w:rsidR="003019AE">
        <w:rPr>
          <w:rFonts w:eastAsia="SimSun"/>
        </w:rPr>
        <w:t>format</w:t>
      </w:r>
      <w:r w:rsidR="006C4719" w:rsidRPr="009C1F21">
        <w:rPr>
          <w:rFonts w:eastAsia="SimSun"/>
        </w:rPr>
        <w:t>.</w:t>
      </w:r>
    </w:p>
    <w:p w14:paraId="1D4CFB12" w14:textId="057A60E4" w:rsidR="00ED1FB7" w:rsidRPr="00ED1FB7" w:rsidRDefault="00ED1FB7" w:rsidP="008854C0">
      <w:pPr>
        <w:pStyle w:val="Heading2"/>
        <w:rPr>
          <w:rFonts w:eastAsia="SimSun"/>
        </w:rPr>
      </w:pPr>
      <w:bookmarkStart w:id="54" w:name="_Toc142909802"/>
      <w:r w:rsidRPr="00ED1FB7">
        <w:rPr>
          <w:rFonts w:eastAsia="SimSun"/>
        </w:rPr>
        <w:t>European Accessibility Act (EAA)</w:t>
      </w:r>
      <w:bookmarkEnd w:id="54"/>
    </w:p>
    <w:p w14:paraId="2D4898C3" w14:textId="69361F77" w:rsidR="00ED1FB7" w:rsidRPr="00ED1FB7" w:rsidRDefault="00ED1FB7" w:rsidP="00ED1FB7">
      <w:pPr>
        <w:rPr>
          <w:rFonts w:eastAsia="SimSun"/>
        </w:rPr>
      </w:pPr>
      <w:r w:rsidRPr="00ED1FB7">
        <w:rPr>
          <w:rFonts w:eastAsia="SimSun"/>
        </w:rPr>
        <w:t>Directive (EU) 2019/882</w:t>
      </w:r>
      <w:r w:rsidR="008A6959">
        <w:rPr>
          <w:rStyle w:val="FootnoteReference"/>
          <w:rFonts w:eastAsia="SimSun"/>
        </w:rPr>
        <w:footnoteReference w:id="17"/>
      </w:r>
      <w:r w:rsidRPr="00ED1FB7">
        <w:rPr>
          <w:rFonts w:eastAsia="SimSun"/>
        </w:rPr>
        <w:t xml:space="preserve"> of the European Parliament and of the Council</w:t>
      </w:r>
      <w:r>
        <w:rPr>
          <w:rFonts w:eastAsia="SimSun"/>
        </w:rPr>
        <w:t>,</w:t>
      </w:r>
      <w:r w:rsidRPr="00ED1FB7">
        <w:rPr>
          <w:rFonts w:eastAsia="SimSun"/>
        </w:rPr>
        <w:t xml:space="preserve"> of 17 April 2019 on the accessibility requirements for products and s</w:t>
      </w:r>
      <w:r>
        <w:rPr>
          <w:rFonts w:eastAsia="SimSun"/>
        </w:rPr>
        <w:t>ervices requires that, from 28</w:t>
      </w:r>
      <w:r w:rsidRPr="00ED1FB7">
        <w:rPr>
          <w:rFonts w:eastAsia="SimSun"/>
        </w:rPr>
        <w:t xml:space="preserve"> June 2025, a range of specified products and services are designed, and where necessary manufactured, to ensure that they are accessible to persons with disabilities. The directive is known as the European Accessibility Act (EAA). The directive focuses on private companies selling products or services that: </w:t>
      </w:r>
    </w:p>
    <w:p w14:paraId="551945A8" w14:textId="77777777" w:rsidR="00ED1FB7" w:rsidRPr="00ED1FB7" w:rsidRDefault="00ED1FB7" w:rsidP="007336EA">
      <w:pPr>
        <w:pStyle w:val="ListBullet"/>
        <w:rPr>
          <w:rFonts w:eastAsia="SimSun"/>
        </w:rPr>
      </w:pPr>
      <w:r w:rsidRPr="00ED1FB7">
        <w:rPr>
          <w:rFonts w:eastAsia="SimSun"/>
        </w:rPr>
        <w:t>•</w:t>
      </w:r>
      <w:r w:rsidRPr="00ED1FB7">
        <w:rPr>
          <w:rFonts w:eastAsia="SimSun"/>
        </w:rPr>
        <w:tab/>
        <w:t xml:space="preserve">Are seen as highly important for persons with disabilities, and </w:t>
      </w:r>
    </w:p>
    <w:p w14:paraId="45922F8C" w14:textId="77777777" w:rsidR="00ED1FB7" w:rsidRPr="00ED1FB7" w:rsidRDefault="00ED1FB7" w:rsidP="007336EA">
      <w:pPr>
        <w:pStyle w:val="ListBullet"/>
        <w:rPr>
          <w:rFonts w:eastAsia="SimSun"/>
        </w:rPr>
      </w:pPr>
      <w:r w:rsidRPr="00ED1FB7">
        <w:rPr>
          <w:rFonts w:eastAsia="SimSun"/>
        </w:rPr>
        <w:t>•</w:t>
      </w:r>
      <w:r w:rsidRPr="00ED1FB7">
        <w:rPr>
          <w:rFonts w:eastAsia="SimSun"/>
        </w:rPr>
        <w:tab/>
        <w:t xml:space="preserve">Have wide ranging accessibility requirements across the member states. </w:t>
      </w:r>
    </w:p>
    <w:p w14:paraId="1436EED2" w14:textId="6EA42A46" w:rsidR="00ED1FB7" w:rsidRPr="00ED1FB7" w:rsidRDefault="00ED1FB7" w:rsidP="00D84770">
      <w:pPr>
        <w:rPr>
          <w:rFonts w:eastAsia="SimSun"/>
        </w:rPr>
      </w:pPr>
      <w:r w:rsidRPr="00ED1FB7">
        <w:rPr>
          <w:rFonts w:eastAsia="SimSun"/>
        </w:rPr>
        <w:t xml:space="preserve">It obliges providers to ensure the products or services they are marketing are accessible for disabled people – </w:t>
      </w:r>
      <w:proofErr w:type="gramStart"/>
      <w:r w:rsidRPr="00ED1FB7">
        <w:rPr>
          <w:rFonts w:eastAsia="SimSun"/>
        </w:rPr>
        <w:t>i.e.</w:t>
      </w:r>
      <w:proofErr w:type="gramEnd"/>
      <w:r w:rsidRPr="00ED1FB7">
        <w:rPr>
          <w:rFonts w:eastAsia="SimSun"/>
        </w:rPr>
        <w:t xml:space="preserve"> that they can be easily and readily used by disabled users.</w:t>
      </w:r>
    </w:p>
    <w:p w14:paraId="42E98D6A" w14:textId="77777777" w:rsidR="008959BF" w:rsidRDefault="00ED1FB7" w:rsidP="00ED1FB7">
      <w:pPr>
        <w:rPr>
          <w:rFonts w:eastAsia="SimSun"/>
        </w:rPr>
      </w:pPr>
      <w:r w:rsidRPr="00ED1FB7">
        <w:rPr>
          <w:rFonts w:eastAsia="SimSun"/>
        </w:rPr>
        <w:t>There are a series of harmonised standards that are being developed that will underpin the requirements on the provision of accessible products and services an</w:t>
      </w:r>
      <w:r>
        <w:rPr>
          <w:rFonts w:eastAsia="SimSun"/>
        </w:rPr>
        <w:t>d it will be important for the D</w:t>
      </w:r>
      <w:r w:rsidRPr="00ED1FB7">
        <w:rPr>
          <w:rFonts w:eastAsia="SimSun"/>
        </w:rPr>
        <w:t xml:space="preserve">epartment to engage in their development as well as in their implication. The role of market surveillance authorities across the EU, including Ireland, will be vital in the implementation of the EAA. </w:t>
      </w:r>
    </w:p>
    <w:p w14:paraId="17878AE5" w14:textId="4B703589" w:rsidR="00ED1FB7" w:rsidRPr="009C1F21" w:rsidRDefault="00ED1FB7" w:rsidP="00ED1FB7">
      <w:pPr>
        <w:rPr>
          <w:rFonts w:eastAsia="SimSun"/>
        </w:rPr>
      </w:pPr>
      <w:r w:rsidRPr="00ED1FB7">
        <w:rPr>
          <w:rFonts w:eastAsia="SimSun"/>
        </w:rPr>
        <w:t>The ND</w:t>
      </w:r>
      <w:r>
        <w:rPr>
          <w:rFonts w:eastAsia="SimSun"/>
        </w:rPr>
        <w:t xml:space="preserve">A </w:t>
      </w:r>
      <w:r w:rsidR="008959BF">
        <w:rPr>
          <w:rFonts w:eastAsia="SimSun"/>
        </w:rPr>
        <w:t>is</w:t>
      </w:r>
      <w:r>
        <w:rPr>
          <w:rFonts w:eastAsia="SimSun"/>
        </w:rPr>
        <w:t xml:space="preserve"> available to support the D</w:t>
      </w:r>
      <w:r w:rsidRPr="00ED1FB7">
        <w:rPr>
          <w:rFonts w:eastAsia="SimSun"/>
        </w:rPr>
        <w:t xml:space="preserve">epartment in building </w:t>
      </w:r>
      <w:r>
        <w:rPr>
          <w:rFonts w:eastAsia="SimSun"/>
        </w:rPr>
        <w:t xml:space="preserve">its own </w:t>
      </w:r>
      <w:r w:rsidRPr="00ED1FB7">
        <w:rPr>
          <w:rFonts w:eastAsia="SimSun"/>
        </w:rPr>
        <w:t xml:space="preserve">competency and capacity, and </w:t>
      </w:r>
      <w:r>
        <w:rPr>
          <w:rFonts w:eastAsia="SimSun"/>
        </w:rPr>
        <w:t xml:space="preserve">the </w:t>
      </w:r>
      <w:r w:rsidRPr="00ED1FB7">
        <w:rPr>
          <w:rFonts w:eastAsia="SimSun"/>
        </w:rPr>
        <w:t xml:space="preserve">relevant agencies under its remit, to advance and implement this transformative new act. </w:t>
      </w:r>
    </w:p>
    <w:p w14:paraId="507CBD77" w14:textId="77777777" w:rsidR="0027765E" w:rsidRPr="009C1F21" w:rsidRDefault="0027765E" w:rsidP="008854C0">
      <w:pPr>
        <w:pStyle w:val="Heading2"/>
        <w:rPr>
          <w:lang w:eastAsia="en-IE"/>
        </w:rPr>
      </w:pPr>
      <w:bookmarkStart w:id="55" w:name="_Toc142909803"/>
      <w:r w:rsidRPr="009C1F21">
        <w:rPr>
          <w:lang w:eastAsia="en-IE"/>
        </w:rPr>
        <w:lastRenderedPageBreak/>
        <w:t>Compliance with Part 3 of Disability Act 2005</w:t>
      </w:r>
      <w:bookmarkEnd w:id="55"/>
    </w:p>
    <w:p w14:paraId="5C7D6AF3" w14:textId="442116AE" w:rsidR="001C12F9" w:rsidRPr="009C1F21" w:rsidRDefault="00544335" w:rsidP="001C12F9">
      <w:pPr>
        <w:spacing w:after="0"/>
        <w:rPr>
          <w:lang w:eastAsia="en-IE"/>
        </w:rPr>
      </w:pPr>
      <w:r w:rsidRPr="009C1F21">
        <w:rPr>
          <w:lang w:eastAsia="en-IE"/>
        </w:rPr>
        <w:t xml:space="preserve">Part 3 of the Disability Act </w:t>
      </w:r>
      <w:r w:rsidR="00F64C29" w:rsidRPr="009C1F21">
        <w:rPr>
          <w:lang w:eastAsia="en-IE"/>
        </w:rPr>
        <w:t xml:space="preserve">details obligations public bodies </w:t>
      </w:r>
      <w:proofErr w:type="gramStart"/>
      <w:r w:rsidR="00F64C29" w:rsidRPr="009C1F21">
        <w:rPr>
          <w:lang w:eastAsia="en-IE"/>
        </w:rPr>
        <w:t>have to</w:t>
      </w:r>
      <w:proofErr w:type="gramEnd"/>
      <w:r w:rsidR="00F64C29" w:rsidRPr="009C1F21">
        <w:rPr>
          <w:lang w:eastAsia="en-IE"/>
        </w:rPr>
        <w:t xml:space="preserve"> ensure that information </w:t>
      </w:r>
      <w:r w:rsidR="006A7662" w:rsidRPr="009C1F21">
        <w:rPr>
          <w:lang w:eastAsia="en-IE"/>
        </w:rPr>
        <w:t xml:space="preserve">and service are </w:t>
      </w:r>
      <w:r w:rsidR="00D9523F" w:rsidRPr="009C1F21">
        <w:rPr>
          <w:lang w:eastAsia="en-IE"/>
        </w:rPr>
        <w:t xml:space="preserve">accessible to persons with disabilities. </w:t>
      </w:r>
      <w:r w:rsidR="0065606A" w:rsidRPr="009C1F21">
        <w:rPr>
          <w:lang w:eastAsia="en-IE"/>
        </w:rPr>
        <w:t>W</w:t>
      </w:r>
      <w:r w:rsidR="006A7662" w:rsidRPr="009C1F21">
        <w:rPr>
          <w:lang w:eastAsia="en-IE"/>
        </w:rPr>
        <w:t>here practical and appropriate</w:t>
      </w:r>
      <w:r w:rsidR="00A65C73" w:rsidRPr="009C1F21">
        <w:rPr>
          <w:lang w:eastAsia="en-IE"/>
        </w:rPr>
        <w:t>,</w:t>
      </w:r>
      <w:r w:rsidR="006A7662" w:rsidRPr="009C1F21">
        <w:rPr>
          <w:lang w:eastAsia="en-IE"/>
        </w:rPr>
        <w:t xml:space="preserve"> </w:t>
      </w:r>
      <w:r w:rsidR="00A84E60" w:rsidRPr="009C1F21">
        <w:rPr>
          <w:lang w:eastAsia="en-IE"/>
        </w:rPr>
        <w:t xml:space="preserve">public bodies should ensure that </w:t>
      </w:r>
      <w:r w:rsidR="004E7278" w:rsidRPr="009C1F21">
        <w:rPr>
          <w:lang w:eastAsia="en-IE"/>
        </w:rPr>
        <w:t>services provided to</w:t>
      </w:r>
      <w:r w:rsidR="006A7662" w:rsidRPr="009C1F21">
        <w:rPr>
          <w:lang w:eastAsia="en-IE"/>
        </w:rPr>
        <w:t xml:space="preserve"> </w:t>
      </w:r>
      <w:r w:rsidR="00060CC4" w:rsidRPr="009C1F21">
        <w:rPr>
          <w:lang w:eastAsia="en-IE"/>
        </w:rPr>
        <w:t xml:space="preserve">disabled persons and persons without disabilities are </w:t>
      </w:r>
      <w:r w:rsidR="00A84E60" w:rsidRPr="009C1F21">
        <w:rPr>
          <w:lang w:eastAsia="en-IE"/>
        </w:rPr>
        <w:t>integrated</w:t>
      </w:r>
      <w:r w:rsidR="006A7662" w:rsidRPr="009C1F21">
        <w:rPr>
          <w:lang w:eastAsia="en-IE"/>
        </w:rPr>
        <w:t xml:space="preserve">. </w:t>
      </w:r>
      <w:r w:rsidR="001C12F9" w:rsidRPr="009C1F21">
        <w:rPr>
          <w:lang w:eastAsia="en-IE"/>
        </w:rPr>
        <w:t xml:space="preserve">The Centre for Excellence in Universal Design at the NDA developed a </w:t>
      </w:r>
      <w:r w:rsidR="00086889" w:rsidRPr="00086889">
        <w:rPr>
          <w:b/>
          <w:lang w:eastAsia="en-IE"/>
        </w:rPr>
        <w:t>Customer Communications Toolkit for Services to the Public - A Universal Design Approach</w:t>
      </w:r>
      <w:r w:rsidR="001C12F9" w:rsidRPr="009C1F21">
        <w:rPr>
          <w:lang w:eastAsia="en-IE"/>
        </w:rPr>
        <w:t xml:space="preserve">, which provides guidance for public servants on how to communicate with the public using the simplest and clearest language possible and to ensure that all services are </w:t>
      </w:r>
      <w:proofErr w:type="gramStart"/>
      <w:r w:rsidR="001C12F9" w:rsidRPr="009C1F21">
        <w:rPr>
          <w:lang w:eastAsia="en-IE"/>
        </w:rPr>
        <w:t>accessible, and</w:t>
      </w:r>
      <w:proofErr w:type="gramEnd"/>
      <w:r w:rsidR="001C12F9" w:rsidRPr="009C1F21">
        <w:rPr>
          <w:lang w:eastAsia="en-IE"/>
        </w:rPr>
        <w:t xml:space="preserve"> meet the diverse needs of all customers.</w:t>
      </w:r>
      <w:r w:rsidR="00561B0B">
        <w:rPr>
          <w:lang w:eastAsia="en-IE"/>
        </w:rPr>
        <w:t xml:space="preserve"> </w:t>
      </w:r>
      <w:r w:rsidR="00F60E4C">
        <w:rPr>
          <w:lang w:eastAsia="en-IE"/>
        </w:rPr>
        <w:t xml:space="preserve">An updated version of the Toolkit </w:t>
      </w:r>
      <w:r w:rsidR="00561B0B">
        <w:rPr>
          <w:lang w:eastAsia="en-IE"/>
        </w:rPr>
        <w:t>has just b</w:t>
      </w:r>
      <w:r w:rsidR="00C9022B">
        <w:rPr>
          <w:lang w:eastAsia="en-IE"/>
        </w:rPr>
        <w:t>e</w:t>
      </w:r>
      <w:r w:rsidR="00561B0B">
        <w:rPr>
          <w:lang w:eastAsia="en-IE"/>
        </w:rPr>
        <w:t>en published</w:t>
      </w:r>
      <w:r w:rsidR="00086889">
        <w:rPr>
          <w:lang w:eastAsia="en-IE"/>
        </w:rPr>
        <w:t xml:space="preserve"> in partnership with the Department of Public Expenditure, NDP Delivery and Reform</w:t>
      </w:r>
      <w:r w:rsidR="00561B0B">
        <w:rPr>
          <w:rStyle w:val="FootnoteReference"/>
          <w:lang w:eastAsia="en-IE"/>
        </w:rPr>
        <w:footnoteReference w:id="18"/>
      </w:r>
      <w:r w:rsidR="00F60E4C">
        <w:rPr>
          <w:lang w:eastAsia="en-IE"/>
        </w:rPr>
        <w:t>.</w:t>
      </w:r>
    </w:p>
    <w:p w14:paraId="527CDB9F" w14:textId="77777777" w:rsidR="00C5107B" w:rsidRPr="009C1F21" w:rsidRDefault="00C5107B" w:rsidP="008A5D26">
      <w:pPr>
        <w:spacing w:after="0"/>
        <w:rPr>
          <w:lang w:eastAsia="en-IE"/>
        </w:rPr>
      </w:pPr>
    </w:p>
    <w:p w14:paraId="1B023975" w14:textId="13A063DF" w:rsidR="007912AE" w:rsidRDefault="00FC3C7E" w:rsidP="00EE21BA">
      <w:pPr>
        <w:spacing w:after="0"/>
        <w:rPr>
          <w:szCs w:val="26"/>
          <w:lang w:eastAsia="en-IE"/>
        </w:rPr>
      </w:pPr>
      <w:r>
        <w:rPr>
          <w:szCs w:val="26"/>
          <w:lang w:eastAsia="en-IE"/>
        </w:rPr>
        <w:t>The Department</w:t>
      </w:r>
      <w:r w:rsidR="00C5107B" w:rsidRPr="009C1F21">
        <w:rPr>
          <w:szCs w:val="26"/>
          <w:lang w:eastAsia="en-IE"/>
        </w:rPr>
        <w:t xml:space="preserve"> recently </w:t>
      </w:r>
      <w:r>
        <w:rPr>
          <w:szCs w:val="26"/>
          <w:lang w:eastAsia="en-IE"/>
        </w:rPr>
        <w:t>responded to</w:t>
      </w:r>
      <w:r w:rsidR="00C5107B" w:rsidRPr="009C1F21">
        <w:rPr>
          <w:szCs w:val="26"/>
          <w:lang w:eastAsia="en-IE"/>
        </w:rPr>
        <w:t xml:space="preserve"> the fi</w:t>
      </w:r>
      <w:r w:rsidR="000C7B2A">
        <w:rPr>
          <w:szCs w:val="26"/>
          <w:lang w:eastAsia="en-IE"/>
        </w:rPr>
        <w:t>ndings of the</w:t>
      </w:r>
      <w:r w:rsidR="00C5107B" w:rsidRPr="009C1F21">
        <w:rPr>
          <w:szCs w:val="26"/>
          <w:lang w:eastAsia="en-IE"/>
        </w:rPr>
        <w:t xml:space="preserve"> </w:t>
      </w:r>
      <w:r w:rsidR="00D524D2">
        <w:rPr>
          <w:szCs w:val="26"/>
          <w:lang w:eastAsia="en-IE"/>
        </w:rPr>
        <w:t xml:space="preserve">Part 3 Monitoring </w:t>
      </w:r>
      <w:r w:rsidR="002E5AE0">
        <w:rPr>
          <w:szCs w:val="26"/>
          <w:lang w:eastAsia="en-IE"/>
        </w:rPr>
        <w:t>Report</w:t>
      </w:r>
      <w:r w:rsidR="00C5107B" w:rsidRPr="009C1F21">
        <w:rPr>
          <w:szCs w:val="26"/>
          <w:lang w:eastAsia="en-IE"/>
        </w:rPr>
        <w:t xml:space="preserve">, which contains </w:t>
      </w:r>
      <w:r w:rsidR="00E0653E" w:rsidRPr="009C1F21">
        <w:rPr>
          <w:szCs w:val="26"/>
          <w:lang w:eastAsia="en-IE"/>
        </w:rPr>
        <w:t>the</w:t>
      </w:r>
      <w:r w:rsidR="00C5107B" w:rsidRPr="009C1F21">
        <w:rPr>
          <w:szCs w:val="26"/>
          <w:lang w:eastAsia="en-IE"/>
        </w:rPr>
        <w:t xml:space="preserve"> results of a </w:t>
      </w:r>
      <w:proofErr w:type="gramStart"/>
      <w:r w:rsidR="00C5107B" w:rsidRPr="009C1F21">
        <w:rPr>
          <w:szCs w:val="26"/>
          <w:lang w:eastAsia="en-IE"/>
        </w:rPr>
        <w:t>desk based</w:t>
      </w:r>
      <w:proofErr w:type="gramEnd"/>
      <w:r w:rsidR="00C5107B" w:rsidRPr="009C1F21">
        <w:rPr>
          <w:szCs w:val="26"/>
          <w:lang w:eastAsia="en-IE"/>
        </w:rPr>
        <w:t xml:space="preserve"> exercise, assessing the websites of public bodies as defined by Part 3 of the </w:t>
      </w:r>
      <w:r w:rsidR="00C5107B" w:rsidRPr="00EE21BA">
        <w:rPr>
          <w:b/>
          <w:szCs w:val="26"/>
          <w:lang w:eastAsia="en-IE"/>
        </w:rPr>
        <w:t>Disability Act</w:t>
      </w:r>
      <w:r w:rsidR="00EE21BA" w:rsidRPr="00EE21BA">
        <w:rPr>
          <w:b/>
          <w:szCs w:val="26"/>
          <w:lang w:eastAsia="en-IE"/>
        </w:rPr>
        <w:t xml:space="preserve"> 2005</w:t>
      </w:r>
      <w:r w:rsidR="001D32F8" w:rsidRPr="009C1F21">
        <w:rPr>
          <w:szCs w:val="26"/>
          <w:lang w:eastAsia="en-IE"/>
        </w:rPr>
        <w:t xml:space="preserve">. </w:t>
      </w:r>
    </w:p>
    <w:p w14:paraId="23CACFBE" w14:textId="78857330" w:rsidR="00FC3C7E" w:rsidRPr="009C1F21" w:rsidRDefault="00FC3C7E" w:rsidP="00EE21BA">
      <w:pPr>
        <w:spacing w:after="0"/>
        <w:rPr>
          <w:szCs w:val="26"/>
          <w:lang w:eastAsia="en-IE"/>
        </w:rPr>
      </w:pPr>
      <w:r w:rsidRPr="00FC3C7E">
        <w:rPr>
          <w:szCs w:val="26"/>
          <w:lang w:eastAsia="en-IE"/>
        </w:rPr>
        <w:t>Out of 55 public bodies under the aegis of the Department, there were 22 public bodies (40%) that met all criteria of the standard indicator regarding Section 26(2) - Access Officers. This is above the average (33.9%) of public bodies overall. The NDA looks forward to continued work on the recommendations detailed in the report, to ensure best practice is followed, and in assisting public bodies who do not meet this indicator, to address gaps.</w:t>
      </w:r>
    </w:p>
    <w:p w14:paraId="3F62F70D" w14:textId="0E8F5F0A" w:rsidR="007912AE" w:rsidRDefault="007912AE" w:rsidP="002334CE">
      <w:pPr>
        <w:spacing w:after="0"/>
        <w:rPr>
          <w:lang w:eastAsia="en-IE"/>
        </w:rPr>
      </w:pPr>
    </w:p>
    <w:p w14:paraId="3A6D8778" w14:textId="77777777" w:rsidR="00ED1FB7" w:rsidRDefault="00ED1FB7" w:rsidP="008854C0">
      <w:pPr>
        <w:pStyle w:val="Heading2"/>
        <w:rPr>
          <w:lang w:eastAsia="en-IE"/>
        </w:rPr>
      </w:pPr>
      <w:bookmarkStart w:id="56" w:name="_Toc142909804"/>
      <w:r>
        <w:rPr>
          <w:lang w:eastAsia="en-IE"/>
        </w:rPr>
        <w:t>Procurement Requirements</w:t>
      </w:r>
      <w:bookmarkEnd w:id="56"/>
      <w:r>
        <w:rPr>
          <w:lang w:eastAsia="en-IE"/>
        </w:rPr>
        <w:t xml:space="preserve"> </w:t>
      </w:r>
    </w:p>
    <w:p w14:paraId="16F2CB28" w14:textId="04DE9548" w:rsidR="00ED1FB7" w:rsidRDefault="00ED1FB7" w:rsidP="00ED1FB7">
      <w:pPr>
        <w:spacing w:after="0"/>
        <w:rPr>
          <w:lang w:eastAsia="en-IE"/>
        </w:rPr>
      </w:pPr>
      <w:r>
        <w:rPr>
          <w:lang w:eastAsia="en-IE"/>
        </w:rPr>
        <w:t xml:space="preserve">Central to delivering universally designed services is procurement. If accessibility and UD are key requirements at the procurement stage, this will remain a central component of design and delivery throughout. </w:t>
      </w:r>
    </w:p>
    <w:p w14:paraId="6A119BEF" w14:textId="77777777" w:rsidR="00ED1FB7" w:rsidRDefault="00ED1FB7" w:rsidP="00ED1FB7">
      <w:pPr>
        <w:spacing w:after="0"/>
        <w:rPr>
          <w:lang w:eastAsia="en-IE"/>
        </w:rPr>
      </w:pPr>
    </w:p>
    <w:p w14:paraId="7B6878B9" w14:textId="67B5BE52" w:rsidR="00ED1FB7" w:rsidRDefault="00ED1FB7" w:rsidP="00ED1FB7">
      <w:pPr>
        <w:spacing w:after="0"/>
        <w:rPr>
          <w:lang w:eastAsia="en-IE"/>
        </w:rPr>
      </w:pPr>
      <w:r>
        <w:rPr>
          <w:lang w:eastAsia="en-IE"/>
        </w:rPr>
        <w:t xml:space="preserve">The NDA would like to remind the Department of accessibility in procurement requirements under S.I. No. 284/2016 - </w:t>
      </w:r>
      <w:r w:rsidRPr="008959BF">
        <w:rPr>
          <w:b/>
          <w:lang w:eastAsia="en-IE"/>
        </w:rPr>
        <w:t>European Union (Award of Public Authority Contracts) Regulations 2016</w:t>
      </w:r>
      <w:r w:rsidR="00083E58">
        <w:rPr>
          <w:rStyle w:val="FootnoteReference"/>
          <w:b/>
          <w:lang w:eastAsia="en-IE"/>
        </w:rPr>
        <w:footnoteReference w:id="19"/>
      </w:r>
      <w:r>
        <w:rPr>
          <w:lang w:eastAsia="en-IE"/>
        </w:rPr>
        <w:t xml:space="preserve"> in the case of the public service </w:t>
      </w:r>
      <w:proofErr w:type="gramStart"/>
      <w:r>
        <w:rPr>
          <w:lang w:eastAsia="en-IE"/>
        </w:rPr>
        <w:t>and also</w:t>
      </w:r>
      <w:proofErr w:type="gramEnd"/>
      <w:r>
        <w:rPr>
          <w:lang w:eastAsia="en-IE"/>
        </w:rPr>
        <w:t xml:space="preserve"> in all public works contracts. In addition, </w:t>
      </w:r>
      <w:r w:rsidRPr="008959BF">
        <w:rPr>
          <w:b/>
          <w:lang w:eastAsia="en-IE"/>
        </w:rPr>
        <w:t>EU Directive 2019/882</w:t>
      </w:r>
      <w:r w:rsidR="00083E58">
        <w:rPr>
          <w:rStyle w:val="FootnoteReference"/>
          <w:b/>
          <w:lang w:eastAsia="en-IE"/>
        </w:rPr>
        <w:footnoteReference w:id="20"/>
      </w:r>
      <w:r>
        <w:rPr>
          <w:lang w:eastAsia="en-IE"/>
        </w:rPr>
        <w:t xml:space="preserve"> on the accessibility requirements for procurement of products and services needs to be considered and this is of particular importance to information and </w:t>
      </w:r>
      <w:r>
        <w:rPr>
          <w:lang w:eastAsia="en-IE"/>
        </w:rPr>
        <w:lastRenderedPageBreak/>
        <w:t xml:space="preserve">communications technology. Accessibility of services provided to public bodies is also a requirement under Section 27 of the </w:t>
      </w:r>
      <w:r w:rsidRPr="008959BF">
        <w:rPr>
          <w:b/>
          <w:lang w:eastAsia="en-IE"/>
        </w:rPr>
        <w:t>Disability Act 2005</w:t>
      </w:r>
      <w:r>
        <w:rPr>
          <w:lang w:eastAsia="en-IE"/>
        </w:rPr>
        <w:t xml:space="preserve">. </w:t>
      </w:r>
    </w:p>
    <w:p w14:paraId="53F23B8D" w14:textId="77777777" w:rsidR="00ED1FB7" w:rsidRDefault="00ED1FB7" w:rsidP="00ED1FB7">
      <w:pPr>
        <w:spacing w:after="0"/>
        <w:rPr>
          <w:lang w:eastAsia="en-IE"/>
        </w:rPr>
      </w:pPr>
    </w:p>
    <w:p w14:paraId="71EC3E13" w14:textId="371E0F78" w:rsidR="00ED1FB7" w:rsidRDefault="00ED1FB7" w:rsidP="00ED1FB7">
      <w:pPr>
        <w:spacing w:after="0"/>
        <w:rPr>
          <w:lang w:eastAsia="en-IE"/>
        </w:rPr>
      </w:pPr>
      <w:r>
        <w:rPr>
          <w:lang w:eastAsia="en-IE"/>
        </w:rPr>
        <w:t xml:space="preserve">The NDA recommends that the Department incorporates procurement requirements into all processes to ensure these obligations are consistently met. The Department should ensure that these requirements are recognised and consistently applied throughout bodies under its remit. Accessibility requirements for </w:t>
      </w:r>
      <w:r w:rsidR="00526529">
        <w:rPr>
          <w:lang w:eastAsia="en-IE"/>
        </w:rPr>
        <w:t xml:space="preserve">housing </w:t>
      </w:r>
      <w:r>
        <w:rPr>
          <w:lang w:eastAsia="en-IE"/>
        </w:rPr>
        <w:t xml:space="preserve">projects are particularly important when procuring services as their exclusion can create repercussions throughout design and implementation processes and can ultimately lead to inaccessible </w:t>
      </w:r>
      <w:r w:rsidR="00526529">
        <w:rPr>
          <w:lang w:eastAsia="en-IE"/>
        </w:rPr>
        <w:t>homes</w:t>
      </w:r>
      <w:r>
        <w:rPr>
          <w:lang w:eastAsia="en-IE"/>
        </w:rPr>
        <w:t xml:space="preserve">. </w:t>
      </w:r>
    </w:p>
    <w:p w14:paraId="7D6CF344" w14:textId="77777777" w:rsidR="00ED1FB7" w:rsidRDefault="00ED1FB7" w:rsidP="00ED1FB7">
      <w:pPr>
        <w:spacing w:after="0"/>
        <w:rPr>
          <w:lang w:eastAsia="en-IE"/>
        </w:rPr>
      </w:pPr>
    </w:p>
    <w:p w14:paraId="0F165C43" w14:textId="77777777" w:rsidR="00ED1FB7" w:rsidRDefault="00ED1FB7" w:rsidP="008959BF">
      <w:pPr>
        <w:pStyle w:val="BlockQuote"/>
        <w:rPr>
          <w:lang w:eastAsia="en-IE"/>
        </w:rPr>
      </w:pPr>
      <w:r>
        <w:rPr>
          <w:lang w:eastAsia="en-IE"/>
        </w:rPr>
        <w:t>“Public bodies are required to specify accessibility as a mandatory requirement when procuring communications products and services. They can do this by including accessibility criteria as part of the technical specifications or in the award criteria, or both. Where accessibility standards exist, public bodies are expected to use these as the basis of the accessibility criteria.”</w:t>
      </w:r>
    </w:p>
    <w:p w14:paraId="52AC7461" w14:textId="57DA372A" w:rsidR="00582974" w:rsidRPr="009C1F21" w:rsidRDefault="00582974" w:rsidP="008854C0">
      <w:pPr>
        <w:pStyle w:val="Heading2"/>
        <w:rPr>
          <w:lang w:eastAsia="en-IE"/>
        </w:rPr>
      </w:pPr>
      <w:bookmarkStart w:id="57" w:name="_Toc142909805"/>
      <w:r w:rsidRPr="009C1F21">
        <w:rPr>
          <w:lang w:eastAsia="en-IE"/>
        </w:rPr>
        <w:t>Requirement for Accessible Public Buildings under Section 25</w:t>
      </w:r>
      <w:bookmarkEnd w:id="57"/>
      <w:r w:rsidRPr="009C1F21">
        <w:rPr>
          <w:lang w:eastAsia="en-IE"/>
        </w:rPr>
        <w:t xml:space="preserve"> </w:t>
      </w:r>
    </w:p>
    <w:p w14:paraId="3CF99218" w14:textId="253004DF" w:rsidR="00B479AA" w:rsidRPr="009C1F21" w:rsidRDefault="00A10ADB" w:rsidP="0068407C">
      <w:pPr>
        <w:spacing w:after="0"/>
        <w:rPr>
          <w:rFonts w:eastAsiaTheme="minorHAnsi"/>
          <w:sz w:val="28"/>
          <w:szCs w:val="28"/>
        </w:rPr>
      </w:pPr>
      <w:r w:rsidRPr="009C1F21">
        <w:rPr>
          <w:rFonts w:eastAsia="SimSun" w:cs="Gill Sans MT"/>
          <w:szCs w:val="26"/>
          <w:lang w:eastAsia="en-IE"/>
        </w:rPr>
        <w:t xml:space="preserve">Section 25 of the </w:t>
      </w:r>
      <w:r w:rsidRPr="00F60E4C">
        <w:rPr>
          <w:rFonts w:eastAsia="SimSun" w:cs="Gill Sans MT"/>
          <w:b/>
          <w:szCs w:val="26"/>
          <w:lang w:eastAsia="en-IE"/>
        </w:rPr>
        <w:t xml:space="preserve">Disability Act </w:t>
      </w:r>
      <w:r w:rsidR="00F60E4C" w:rsidRPr="00F60E4C">
        <w:rPr>
          <w:rFonts w:eastAsia="SimSun" w:cs="Gill Sans MT"/>
          <w:b/>
          <w:szCs w:val="26"/>
          <w:lang w:eastAsia="en-IE"/>
        </w:rPr>
        <w:t>2005</w:t>
      </w:r>
      <w:r w:rsidR="00F60E4C">
        <w:rPr>
          <w:rFonts w:eastAsia="SimSun" w:cs="Gill Sans MT"/>
          <w:szCs w:val="26"/>
          <w:lang w:eastAsia="en-IE"/>
        </w:rPr>
        <w:t xml:space="preserve"> </w:t>
      </w:r>
      <w:r w:rsidRPr="009C1F21">
        <w:rPr>
          <w:rFonts w:eastAsia="SimSun" w:cs="Gill Sans MT"/>
          <w:szCs w:val="26"/>
          <w:lang w:eastAsia="en-IE"/>
        </w:rPr>
        <w:t>requires all departments and public bodies to ensure that the parts of their buildings wh</w:t>
      </w:r>
      <w:r w:rsidR="00582974" w:rsidRPr="009C1F21">
        <w:rPr>
          <w:rFonts w:eastAsia="SimSun" w:cs="Gill Sans MT"/>
          <w:szCs w:val="26"/>
          <w:lang w:eastAsia="en-IE"/>
        </w:rPr>
        <w:t>ich are ac</w:t>
      </w:r>
      <w:r w:rsidR="006C6E9A" w:rsidRPr="009C1F21">
        <w:rPr>
          <w:rFonts w:eastAsia="SimSun" w:cs="Gill Sans MT"/>
          <w:szCs w:val="26"/>
          <w:lang w:eastAsia="en-IE"/>
        </w:rPr>
        <w:t>cesse</w:t>
      </w:r>
      <w:r w:rsidR="001125F9" w:rsidRPr="009C1F21">
        <w:rPr>
          <w:rFonts w:eastAsia="SimSun" w:cs="Gill Sans MT"/>
          <w:szCs w:val="26"/>
          <w:lang w:eastAsia="en-IE"/>
        </w:rPr>
        <w:t xml:space="preserve">d by the public, </w:t>
      </w:r>
      <w:r w:rsidR="003D0C37" w:rsidRPr="009C1F21">
        <w:rPr>
          <w:rFonts w:eastAsia="SimSun" w:cs="Gill Sans MT"/>
          <w:szCs w:val="26"/>
          <w:lang w:eastAsia="en-IE"/>
        </w:rPr>
        <w:t>apart from heritage sites,</w:t>
      </w:r>
      <w:r w:rsidRPr="009C1F21">
        <w:rPr>
          <w:rFonts w:eastAsia="SimSun" w:cs="Gill Sans MT"/>
          <w:szCs w:val="26"/>
          <w:lang w:eastAsia="en-IE"/>
        </w:rPr>
        <w:t xml:space="preserve"> are brought into compliance with Part M of the building regulations, which deals with </w:t>
      </w:r>
      <w:r w:rsidR="004E46FD" w:rsidRPr="009C1F21">
        <w:rPr>
          <w:rFonts w:eastAsia="SimSun" w:cs="Gill Sans MT"/>
          <w:szCs w:val="26"/>
          <w:lang w:eastAsia="en-IE"/>
        </w:rPr>
        <w:t>access</w:t>
      </w:r>
      <w:r w:rsidR="00582974" w:rsidRPr="009C1F21">
        <w:rPr>
          <w:rFonts w:eastAsia="SimSun" w:cs="Gill Sans MT"/>
          <w:szCs w:val="26"/>
          <w:lang w:eastAsia="en-IE"/>
        </w:rPr>
        <w:t xml:space="preserve"> and use</w:t>
      </w:r>
      <w:r w:rsidRPr="009C1F21">
        <w:rPr>
          <w:rFonts w:eastAsia="SimSun" w:cs="Gill Sans MT"/>
          <w:szCs w:val="26"/>
          <w:lang w:eastAsia="en-IE"/>
        </w:rPr>
        <w:t xml:space="preserve">. </w:t>
      </w:r>
      <w:r w:rsidR="00B479AA" w:rsidRPr="009C1F21">
        <w:rPr>
          <w:rFonts w:eastAsia="SimSun" w:cs="Gill Sans MT"/>
          <w:szCs w:val="26"/>
          <w:lang w:eastAsia="en-IE"/>
        </w:rPr>
        <w:t xml:space="preserve">The requirement is to upgrade older public buildings so that they comply with Part M, within a ten-year </w:t>
      </w:r>
      <w:proofErr w:type="gramStart"/>
      <w:r w:rsidR="00B479AA" w:rsidRPr="009C1F21">
        <w:rPr>
          <w:rFonts w:eastAsia="SimSun" w:cs="Gill Sans MT"/>
          <w:szCs w:val="26"/>
          <w:lang w:eastAsia="en-IE"/>
        </w:rPr>
        <w:t>time-frame</w:t>
      </w:r>
      <w:proofErr w:type="gramEnd"/>
      <w:r w:rsidR="00B479AA" w:rsidRPr="009C1F21">
        <w:rPr>
          <w:rFonts w:eastAsia="SimSun" w:cs="Gill Sans MT"/>
          <w:szCs w:val="26"/>
          <w:lang w:eastAsia="en-IE"/>
        </w:rPr>
        <w:t xml:space="preserve"> of any amendment to part M. Part M 2</w:t>
      </w:r>
      <w:r w:rsidR="004A3945" w:rsidRPr="009C1F21">
        <w:rPr>
          <w:rFonts w:eastAsia="SimSun" w:cs="Gill Sans MT"/>
          <w:szCs w:val="26"/>
          <w:lang w:eastAsia="en-IE"/>
        </w:rPr>
        <w:t>010 commenced on 1 January 2012 and</w:t>
      </w:r>
      <w:r w:rsidR="00B479AA" w:rsidRPr="009C1F21">
        <w:rPr>
          <w:rFonts w:eastAsia="SimSun" w:cs="Gill Sans MT"/>
          <w:szCs w:val="26"/>
          <w:lang w:eastAsia="en-IE"/>
        </w:rPr>
        <w:t xml:space="preserve"> was </w:t>
      </w:r>
      <w:r w:rsidR="00C47269" w:rsidRPr="009C1F21">
        <w:rPr>
          <w:rFonts w:eastAsia="SimSun" w:cs="Gill Sans MT"/>
          <w:szCs w:val="26"/>
          <w:lang w:eastAsia="en-IE"/>
        </w:rPr>
        <w:t xml:space="preserve">subsequently </w:t>
      </w:r>
      <w:r w:rsidR="00B479AA" w:rsidRPr="009C1F21">
        <w:rPr>
          <w:rFonts w:eastAsia="SimSun" w:cs="Gill Sans MT"/>
          <w:szCs w:val="26"/>
          <w:lang w:eastAsia="en-IE"/>
        </w:rPr>
        <w:t>reviewed and replaced again with Part M 2022, which commenced on 1 January 2023. Under Section 25 therefore, public bodies are required to bring their public buildings into compliance with Part M 2010 by 1st January 2022 and P</w:t>
      </w:r>
      <w:r w:rsidR="00C47269" w:rsidRPr="009C1F21">
        <w:rPr>
          <w:rFonts w:eastAsia="SimSun" w:cs="Gill Sans MT"/>
          <w:szCs w:val="26"/>
          <w:lang w:eastAsia="en-IE"/>
        </w:rPr>
        <w:t>art M 2022 by 1st January 2033</w:t>
      </w:r>
      <w:r w:rsidR="00B479AA" w:rsidRPr="009C1F21">
        <w:rPr>
          <w:rFonts w:eastAsia="SimSun" w:cs="Gill Sans MT"/>
          <w:szCs w:val="26"/>
          <w:lang w:eastAsia="en-IE"/>
        </w:rPr>
        <w:t>. The new requirements under Part M 2</w:t>
      </w:r>
      <w:r w:rsidR="0095589F" w:rsidRPr="009C1F21">
        <w:rPr>
          <w:rFonts w:eastAsia="SimSun" w:cs="Gill Sans MT"/>
          <w:szCs w:val="26"/>
          <w:lang w:eastAsia="en-IE"/>
        </w:rPr>
        <w:t>022 relate to the provision of c</w:t>
      </w:r>
      <w:r w:rsidR="00291822" w:rsidRPr="009C1F21">
        <w:rPr>
          <w:rFonts w:eastAsia="SimSun" w:cs="Gill Sans MT"/>
          <w:szCs w:val="26"/>
          <w:lang w:eastAsia="en-IE"/>
        </w:rPr>
        <w:t>hanging p</w:t>
      </w:r>
      <w:r w:rsidR="00B479AA" w:rsidRPr="009C1F21">
        <w:rPr>
          <w:rFonts w:eastAsia="SimSun" w:cs="Gill Sans MT"/>
          <w:szCs w:val="26"/>
          <w:lang w:eastAsia="en-IE"/>
        </w:rPr>
        <w:t>laces toilets.</w:t>
      </w:r>
    </w:p>
    <w:p w14:paraId="4D6668ED" w14:textId="77777777" w:rsidR="00582974" w:rsidRPr="009C1F21" w:rsidRDefault="00582974" w:rsidP="00A10ADB">
      <w:pPr>
        <w:autoSpaceDE w:val="0"/>
        <w:autoSpaceDN w:val="0"/>
        <w:adjustRightInd w:val="0"/>
        <w:spacing w:after="0"/>
        <w:rPr>
          <w:rFonts w:eastAsia="SimSun" w:cs="Gill Sans MT"/>
          <w:szCs w:val="26"/>
          <w:lang w:eastAsia="en-IE"/>
        </w:rPr>
      </w:pPr>
    </w:p>
    <w:p w14:paraId="076F470D" w14:textId="06209B48" w:rsidR="00D90F25" w:rsidRPr="008854C0" w:rsidRDefault="00A10ADB" w:rsidP="00A10ADB">
      <w:pPr>
        <w:autoSpaceDE w:val="0"/>
        <w:autoSpaceDN w:val="0"/>
        <w:adjustRightInd w:val="0"/>
        <w:spacing w:after="0"/>
        <w:rPr>
          <w:rFonts w:eastAsia="SimSun" w:cs="Gill Sans MT"/>
          <w:szCs w:val="26"/>
          <w:lang w:eastAsia="en-IE"/>
        </w:rPr>
      </w:pPr>
      <w:r w:rsidRPr="009C1F21">
        <w:rPr>
          <w:rFonts w:eastAsia="SimSun" w:cs="Gill Sans MT"/>
          <w:szCs w:val="26"/>
          <w:lang w:eastAsia="en-IE"/>
        </w:rPr>
        <w:t xml:space="preserve">The NDA </w:t>
      </w:r>
      <w:r w:rsidR="00A56579" w:rsidRPr="009C1F21">
        <w:rPr>
          <w:rFonts w:eastAsia="SimSun" w:cs="Gill Sans MT"/>
          <w:szCs w:val="26"/>
          <w:lang w:eastAsia="en-IE"/>
        </w:rPr>
        <w:t>advise</w:t>
      </w:r>
      <w:r w:rsidR="00F60E4C">
        <w:rPr>
          <w:rFonts w:eastAsia="SimSun" w:cs="Gill Sans MT"/>
          <w:szCs w:val="26"/>
          <w:lang w:eastAsia="en-IE"/>
        </w:rPr>
        <w:t>s</w:t>
      </w:r>
      <w:r w:rsidR="00A676E7">
        <w:rPr>
          <w:rFonts w:eastAsia="SimSun" w:cs="Gill Sans MT"/>
          <w:szCs w:val="26"/>
          <w:lang w:eastAsia="en-IE"/>
        </w:rPr>
        <w:t xml:space="preserve"> that each d</w:t>
      </w:r>
      <w:r w:rsidRPr="009C1F21">
        <w:rPr>
          <w:rFonts w:eastAsia="SimSun" w:cs="Gill Sans MT"/>
          <w:szCs w:val="26"/>
          <w:lang w:eastAsia="en-IE"/>
        </w:rPr>
        <w:t xml:space="preserve">epartment and </w:t>
      </w:r>
      <w:r w:rsidR="00A676E7">
        <w:rPr>
          <w:rFonts w:eastAsia="SimSun" w:cs="Gill Sans MT"/>
          <w:szCs w:val="26"/>
          <w:lang w:eastAsia="en-IE"/>
        </w:rPr>
        <w:t>public body</w:t>
      </w:r>
      <w:r w:rsidRPr="009C1F21">
        <w:rPr>
          <w:rFonts w:eastAsia="SimSun" w:cs="Gill Sans MT"/>
          <w:szCs w:val="26"/>
          <w:lang w:eastAsia="en-IE"/>
        </w:rPr>
        <w:t xml:space="preserve"> should develop an action plan including access audits, planned improvements works, timeframes for implementation and earmarked funding, to work towards achieving compliance with these legal obligations. This may involve engaging with other authorities as appropriate, including</w:t>
      </w:r>
      <w:r w:rsidR="00F60E4C">
        <w:rPr>
          <w:rFonts w:eastAsia="SimSun" w:cs="Gill Sans MT"/>
          <w:szCs w:val="26"/>
          <w:lang w:eastAsia="en-IE"/>
        </w:rPr>
        <w:t>,</w:t>
      </w:r>
      <w:r w:rsidRPr="009C1F21">
        <w:rPr>
          <w:rFonts w:eastAsia="SimSun" w:cs="Gill Sans MT"/>
          <w:szCs w:val="26"/>
          <w:lang w:eastAsia="en-IE"/>
        </w:rPr>
        <w:t xml:space="preserve"> for example, the OPW. We also advise that compliance with Section 25 should be factored into performance framework agreements with agencies as a governance matter to comply with legal du</w:t>
      </w:r>
      <w:r w:rsidR="00BC3890" w:rsidRPr="009C1F21">
        <w:rPr>
          <w:rFonts w:eastAsia="SimSun" w:cs="Gill Sans MT"/>
          <w:szCs w:val="26"/>
          <w:lang w:eastAsia="en-IE"/>
        </w:rPr>
        <w:t xml:space="preserve">ties. </w:t>
      </w:r>
      <w:r w:rsidR="00BA676B" w:rsidRPr="009C1F21">
        <w:rPr>
          <w:rFonts w:eastAsia="SimSun" w:cs="Gill Sans MT"/>
          <w:szCs w:val="26"/>
          <w:lang w:eastAsia="en-IE"/>
        </w:rPr>
        <w:t>The NDA recommend</w:t>
      </w:r>
      <w:r w:rsidR="00E36793" w:rsidRPr="009C1F21">
        <w:rPr>
          <w:rFonts w:eastAsia="SimSun" w:cs="Gill Sans MT"/>
          <w:szCs w:val="26"/>
          <w:lang w:eastAsia="en-IE"/>
        </w:rPr>
        <w:t>s</w:t>
      </w:r>
      <w:r w:rsidR="00BA676B" w:rsidRPr="009C1F21">
        <w:rPr>
          <w:rFonts w:eastAsia="SimSun" w:cs="Gill Sans MT"/>
          <w:szCs w:val="26"/>
          <w:lang w:eastAsia="en-IE"/>
        </w:rPr>
        <w:t xml:space="preserve"> that </w:t>
      </w:r>
      <w:r w:rsidR="001E0590" w:rsidRPr="009C1F21">
        <w:rPr>
          <w:rFonts w:eastAsia="SimSun" w:cs="Gill Sans MT"/>
          <w:szCs w:val="26"/>
          <w:lang w:eastAsia="en-IE"/>
        </w:rPr>
        <w:t>the department</w:t>
      </w:r>
      <w:r w:rsidR="00BA676B" w:rsidRPr="009C1F21">
        <w:rPr>
          <w:rFonts w:eastAsia="SimSun" w:cs="Gill Sans MT"/>
          <w:szCs w:val="26"/>
          <w:lang w:eastAsia="en-IE"/>
        </w:rPr>
        <w:t xml:space="preserve"> </w:t>
      </w:r>
      <w:r w:rsidR="00B64418" w:rsidRPr="009C1F21">
        <w:rPr>
          <w:rFonts w:eastAsia="SimSun" w:cs="Gill Sans MT"/>
          <w:szCs w:val="26"/>
          <w:lang w:eastAsia="en-IE"/>
        </w:rPr>
        <w:t xml:space="preserve">develops a plan to implement Section 25 recommendations in buildings within its remit, including </w:t>
      </w:r>
      <w:r w:rsidR="00A00834">
        <w:rPr>
          <w:rFonts w:eastAsia="SimSun" w:cs="Gill Sans MT"/>
          <w:szCs w:val="26"/>
          <w:lang w:eastAsia="en-IE"/>
        </w:rPr>
        <w:t xml:space="preserve">any </w:t>
      </w:r>
      <w:r w:rsidR="00B64418" w:rsidRPr="009C1F21">
        <w:rPr>
          <w:rFonts w:eastAsia="SimSun" w:cs="Gill Sans MT"/>
          <w:szCs w:val="26"/>
          <w:lang w:eastAsia="en-IE"/>
        </w:rPr>
        <w:t>public bu</w:t>
      </w:r>
      <w:r w:rsidR="00A00834">
        <w:rPr>
          <w:rFonts w:eastAsia="SimSun" w:cs="Gill Sans MT"/>
          <w:szCs w:val="26"/>
          <w:lang w:eastAsia="en-IE"/>
        </w:rPr>
        <w:t xml:space="preserve">ildings, </w:t>
      </w:r>
      <w:r w:rsidR="00B64418" w:rsidRPr="009C1F21">
        <w:rPr>
          <w:rFonts w:eastAsia="SimSun" w:cs="Gill Sans MT"/>
          <w:szCs w:val="26"/>
          <w:lang w:eastAsia="en-IE"/>
        </w:rPr>
        <w:t xml:space="preserve">and that this commitment is </w:t>
      </w:r>
      <w:r w:rsidR="00D56DEB" w:rsidRPr="009C1F21">
        <w:rPr>
          <w:rFonts w:eastAsia="SimSun" w:cs="Gill Sans MT"/>
          <w:szCs w:val="26"/>
          <w:lang w:eastAsia="en-IE"/>
        </w:rPr>
        <w:t xml:space="preserve">clearly </w:t>
      </w:r>
      <w:r w:rsidR="00B64418" w:rsidRPr="009C1F21">
        <w:rPr>
          <w:rFonts w:eastAsia="SimSun" w:cs="Gill Sans MT"/>
          <w:szCs w:val="26"/>
          <w:lang w:eastAsia="en-IE"/>
        </w:rPr>
        <w:t xml:space="preserve">articulated in the Statement of Strategy. </w:t>
      </w:r>
    </w:p>
    <w:p w14:paraId="3E6A255A" w14:textId="10D57A55" w:rsidR="00D90F25" w:rsidRPr="004800EA" w:rsidRDefault="00D90F25" w:rsidP="00D90F25">
      <w:pPr>
        <w:rPr>
          <w:rFonts w:ascii="Gill Sans" w:hAnsi="Gill Sans"/>
        </w:rPr>
      </w:pPr>
      <w:r w:rsidRPr="00BE4994">
        <w:rPr>
          <w:rFonts w:ascii="Gill Sans" w:hAnsi="Gill Sans"/>
        </w:rPr>
        <w:lastRenderedPageBreak/>
        <w:t xml:space="preserve">Under Action 105 of the </w:t>
      </w:r>
      <w:r w:rsidRPr="00BE4994">
        <w:rPr>
          <w:rFonts w:ascii="Gill Sans" w:hAnsi="Gill Sans"/>
          <w:b/>
        </w:rPr>
        <w:t>National Disability Inclusion Strategy 2017-2022</w:t>
      </w:r>
      <w:r w:rsidRPr="00BE4994">
        <w:rPr>
          <w:rFonts w:ascii="Gill Sans" w:hAnsi="Gill Sans"/>
        </w:rPr>
        <w:t xml:space="preserve"> (NDIS) the NDA was tasked with developing a </w:t>
      </w:r>
      <w:r w:rsidR="003674F2">
        <w:rPr>
          <w:rFonts w:ascii="Gill Sans" w:hAnsi="Gill Sans"/>
        </w:rPr>
        <w:t>C</w:t>
      </w:r>
      <w:r w:rsidRPr="00BE4994">
        <w:rPr>
          <w:rFonts w:ascii="Gill Sans" w:hAnsi="Gill Sans"/>
        </w:rPr>
        <w:t xml:space="preserve">ode of </w:t>
      </w:r>
      <w:r w:rsidR="003674F2">
        <w:rPr>
          <w:rFonts w:ascii="Gill Sans" w:hAnsi="Gill Sans"/>
        </w:rPr>
        <w:t>P</w:t>
      </w:r>
      <w:r w:rsidRPr="00BE4994">
        <w:rPr>
          <w:rFonts w:ascii="Gill Sans" w:hAnsi="Gill Sans"/>
        </w:rPr>
        <w:t xml:space="preserve">ractice for accessible public areas of public sector buildings </w:t>
      </w:r>
      <w:r>
        <w:rPr>
          <w:rFonts w:ascii="Gill Sans" w:hAnsi="Gill Sans"/>
        </w:rPr>
        <w:t xml:space="preserve">We were </w:t>
      </w:r>
      <w:r w:rsidRPr="00BE4994">
        <w:rPr>
          <w:rFonts w:ascii="Gill Sans" w:hAnsi="Gill Sans"/>
        </w:rPr>
        <w:t xml:space="preserve">also formally requested by the Minister for Children, Equality, Disability, Integration and Youth to draft </w:t>
      </w:r>
      <w:r>
        <w:rPr>
          <w:rFonts w:ascii="Gill Sans" w:hAnsi="Gill Sans"/>
        </w:rPr>
        <w:t>this code.</w:t>
      </w:r>
      <w:r w:rsidRPr="00BE4994">
        <w:rPr>
          <w:rFonts w:ascii="Gill Sans" w:hAnsi="Gill Sans"/>
        </w:rPr>
        <w:t xml:space="preserve"> This </w:t>
      </w:r>
      <w:r w:rsidR="003674F2">
        <w:rPr>
          <w:rFonts w:ascii="Gill Sans" w:hAnsi="Gill Sans"/>
        </w:rPr>
        <w:t>C</w:t>
      </w:r>
      <w:r w:rsidRPr="00BE4994">
        <w:rPr>
          <w:rFonts w:ascii="Gill Sans" w:hAnsi="Gill Sans"/>
        </w:rPr>
        <w:t xml:space="preserve">ode will cover Section 25 – Access to Public Buildings - of the </w:t>
      </w:r>
      <w:r w:rsidRPr="00BE4994">
        <w:rPr>
          <w:rFonts w:ascii="Gill Sans" w:hAnsi="Gill Sans"/>
          <w:b/>
        </w:rPr>
        <w:t>Disability Act 2005</w:t>
      </w:r>
      <w:r>
        <w:rPr>
          <w:rFonts w:ascii="Gill Sans" w:hAnsi="Gill Sans"/>
          <w:b/>
        </w:rPr>
        <w:t xml:space="preserve"> </w:t>
      </w:r>
      <w:r w:rsidRPr="003172F9">
        <w:rPr>
          <w:rFonts w:ascii="Gill Sans" w:hAnsi="Gill Sans"/>
        </w:rPr>
        <w:t xml:space="preserve">and will be a statutory </w:t>
      </w:r>
      <w:r>
        <w:rPr>
          <w:rFonts w:ascii="Gill Sans" w:hAnsi="Gill Sans"/>
        </w:rPr>
        <w:t>code</w:t>
      </w:r>
      <w:r w:rsidRPr="004800EA">
        <w:rPr>
          <w:rFonts w:ascii="Gill Sans" w:hAnsi="Gill Sans"/>
        </w:rPr>
        <w:t xml:space="preserve">. </w:t>
      </w:r>
    </w:p>
    <w:p w14:paraId="39D5BFB1" w14:textId="1555EFD3" w:rsidR="00D90F25" w:rsidRDefault="00D90F25" w:rsidP="007336EA">
      <w:pPr>
        <w:rPr>
          <w:sz w:val="28"/>
          <w:szCs w:val="28"/>
          <w:lang w:eastAsia="en-IE"/>
        </w:rPr>
      </w:pPr>
      <w:r w:rsidRPr="00BE4994">
        <w:rPr>
          <w:rFonts w:ascii="Gill Sans" w:hAnsi="Gill Sans"/>
        </w:rPr>
        <w:t xml:space="preserve">The Code will be informed by Article 9: Accessibility, of the UNCRPD and by a joint review </w:t>
      </w:r>
      <w:r w:rsidR="003674F2">
        <w:rPr>
          <w:rFonts w:ascii="Gill Sans" w:hAnsi="Gill Sans"/>
        </w:rPr>
        <w:t>from</w:t>
      </w:r>
      <w:r w:rsidRPr="00BE4994">
        <w:rPr>
          <w:rFonts w:ascii="Gill Sans" w:hAnsi="Gill Sans"/>
        </w:rPr>
        <w:t xml:space="preserve"> the NDA and the OPW of the operational effectiveness of Section 25 of the Disability Act 2005, which was also carried out under the NDIS.</w:t>
      </w:r>
      <w:r>
        <w:rPr>
          <w:rFonts w:ascii="Gill Sans" w:hAnsi="Gill Sans"/>
        </w:rPr>
        <w:t xml:space="preserve"> </w:t>
      </w:r>
      <w:r w:rsidRPr="00F60E4C">
        <w:rPr>
          <w:rFonts w:eastAsia="SimSun" w:cs="Gill Sans MT"/>
          <w:b/>
          <w:szCs w:val="26"/>
          <w:lang w:eastAsia="en-IE"/>
        </w:rPr>
        <w:t>An Operational Review of the Effectiveness of Section 25 of the Disability Act 2005</w:t>
      </w:r>
      <w:r>
        <w:rPr>
          <w:rStyle w:val="FootnoteReference"/>
          <w:rFonts w:eastAsia="SimSun" w:cs="Gill Sans MT"/>
          <w:b/>
          <w:szCs w:val="26"/>
          <w:lang w:eastAsia="en-IE"/>
        </w:rPr>
        <w:footnoteReference w:id="21"/>
      </w:r>
      <w:r w:rsidRPr="009C1F21">
        <w:rPr>
          <w:rFonts w:eastAsia="SimSun" w:cs="Gill Sans MT"/>
          <w:szCs w:val="26"/>
          <w:lang w:eastAsia="en-IE"/>
        </w:rPr>
        <w:t xml:space="preserve"> was published by the NDA in 2019 providing guidance on how public bodies can comply with Section 25</w:t>
      </w:r>
    </w:p>
    <w:p w14:paraId="2EA3FF44" w14:textId="1311FFD7" w:rsidR="00D90F25" w:rsidRPr="009C1F21" w:rsidRDefault="00D90F25" w:rsidP="00A10ADB">
      <w:pPr>
        <w:autoSpaceDE w:val="0"/>
        <w:autoSpaceDN w:val="0"/>
        <w:adjustRightInd w:val="0"/>
        <w:spacing w:after="0"/>
        <w:rPr>
          <w:rFonts w:eastAsia="SimSun" w:cs="Gill Sans MT"/>
          <w:szCs w:val="26"/>
          <w:lang w:eastAsia="en-IE"/>
        </w:rPr>
      </w:pPr>
      <w:r w:rsidRPr="00BE4994">
        <w:rPr>
          <w:rFonts w:ascii="Gill Sans" w:hAnsi="Gill Sans"/>
        </w:rPr>
        <w:t xml:space="preserve">We have convened a Technical Expert Group to assist us with drafting. We have gone out to consultation with a wide range of disability stakeholders and there will be a broader public consultation later this year. </w:t>
      </w:r>
      <w:r w:rsidRPr="009C1F21">
        <w:rPr>
          <w:rFonts w:eastAsia="SimSun" w:cs="Gill Sans MT"/>
          <w:szCs w:val="26"/>
          <w:lang w:eastAsia="en-IE"/>
        </w:rPr>
        <w:t xml:space="preserve">When completed, the NDA will have a role to monitor compliance with same, and to provide advice to </w:t>
      </w:r>
      <w:r>
        <w:rPr>
          <w:rFonts w:eastAsia="SimSun" w:cs="Gill Sans MT"/>
          <w:szCs w:val="26"/>
          <w:lang w:eastAsia="en-IE"/>
        </w:rPr>
        <w:t>D</w:t>
      </w:r>
      <w:r w:rsidRPr="009C1F21">
        <w:rPr>
          <w:rFonts w:eastAsia="SimSun" w:cs="Gill Sans MT"/>
          <w:szCs w:val="26"/>
          <w:lang w:eastAsia="en-IE"/>
        </w:rPr>
        <w:t>epartments on areas requiring further action or focus</w:t>
      </w:r>
      <w:r>
        <w:rPr>
          <w:rFonts w:eastAsia="SimSun" w:cs="Gill Sans MT"/>
          <w:szCs w:val="26"/>
          <w:lang w:eastAsia="en-IE"/>
        </w:rPr>
        <w:t>.</w:t>
      </w:r>
    </w:p>
    <w:p w14:paraId="05E3FDA4" w14:textId="77777777" w:rsidR="00A10ADB" w:rsidRPr="009C1F21" w:rsidRDefault="00A10ADB" w:rsidP="008854C0"/>
    <w:p w14:paraId="168639CC" w14:textId="505C7BBF" w:rsidR="0001762E" w:rsidRPr="009C1F21" w:rsidRDefault="0001762E" w:rsidP="008854C0">
      <w:pPr>
        <w:pStyle w:val="Heading2"/>
        <w:rPr>
          <w:rFonts w:eastAsia="SimSun"/>
          <w:lang w:eastAsia="en-IE"/>
        </w:rPr>
      </w:pPr>
      <w:bookmarkStart w:id="58" w:name="_Toc142909806"/>
      <w:r w:rsidRPr="009C1F21">
        <w:rPr>
          <w:rFonts w:eastAsia="SimSun"/>
          <w:lang w:eastAsia="en-IE"/>
        </w:rPr>
        <w:t>Irish Sign Language Act</w:t>
      </w:r>
      <w:r w:rsidR="008854C0">
        <w:rPr>
          <w:rFonts w:eastAsia="SimSun"/>
          <w:lang w:eastAsia="en-IE"/>
        </w:rPr>
        <w:t xml:space="preserve"> 2017</w:t>
      </w:r>
      <w:bookmarkEnd w:id="58"/>
      <w:r w:rsidRPr="009C1F21">
        <w:rPr>
          <w:rFonts w:eastAsia="SimSun"/>
          <w:lang w:eastAsia="en-IE"/>
        </w:rPr>
        <w:t xml:space="preserve"> </w:t>
      </w:r>
    </w:p>
    <w:p w14:paraId="366409F2" w14:textId="42726DCC" w:rsidR="00327993" w:rsidRPr="009C1F21" w:rsidRDefault="006B48CE" w:rsidP="00AD4A51">
      <w:pPr>
        <w:spacing w:after="0"/>
        <w:rPr>
          <w:szCs w:val="26"/>
        </w:rPr>
      </w:pPr>
      <w:r w:rsidRPr="009C1F21">
        <w:rPr>
          <w:szCs w:val="26"/>
        </w:rPr>
        <w:t xml:space="preserve">The </w:t>
      </w:r>
      <w:r w:rsidRPr="00A357F9">
        <w:rPr>
          <w:b/>
          <w:szCs w:val="26"/>
        </w:rPr>
        <w:t>Irish Sign Language Act 2017</w:t>
      </w:r>
      <w:r w:rsidRPr="009C1F21">
        <w:rPr>
          <w:szCs w:val="26"/>
        </w:rPr>
        <w:t xml:space="preserve">, which recognises the right of </w:t>
      </w:r>
      <w:r w:rsidR="003F2874">
        <w:rPr>
          <w:szCs w:val="26"/>
        </w:rPr>
        <w:t>Irish Sign Language (</w:t>
      </w:r>
      <w:r w:rsidRPr="009C1F21">
        <w:rPr>
          <w:szCs w:val="26"/>
        </w:rPr>
        <w:t>ISL</w:t>
      </w:r>
      <w:r w:rsidR="003F2874">
        <w:rPr>
          <w:szCs w:val="26"/>
        </w:rPr>
        <w:t>)</w:t>
      </w:r>
      <w:r w:rsidRPr="009C1F21">
        <w:rPr>
          <w:szCs w:val="26"/>
        </w:rPr>
        <w:t xml:space="preserve"> users to use ISL as their native language, and to develop and preserve it, was </w:t>
      </w:r>
      <w:r w:rsidR="003F2874">
        <w:rPr>
          <w:szCs w:val="26"/>
        </w:rPr>
        <w:t>formally commenced</w:t>
      </w:r>
      <w:r w:rsidRPr="009C1F21">
        <w:rPr>
          <w:szCs w:val="26"/>
        </w:rPr>
        <w:t xml:space="preserve"> in December 2020. This Act places a statutory duty on all public bodies to do all that is reasonable to provide ISL users with free ISL interpretation when availing of or seeking to access statutory entitlements and services provided by or under statute. </w:t>
      </w:r>
      <w:r w:rsidR="005C45EB" w:rsidRPr="009C1F21">
        <w:rPr>
          <w:szCs w:val="26"/>
        </w:rPr>
        <w:t xml:space="preserve">The </w:t>
      </w:r>
      <w:r w:rsidR="00327993" w:rsidRPr="009C1F21">
        <w:rPr>
          <w:szCs w:val="26"/>
        </w:rPr>
        <w:t>NDA note</w:t>
      </w:r>
      <w:r w:rsidR="00306E36">
        <w:rPr>
          <w:szCs w:val="26"/>
        </w:rPr>
        <w:t>s</w:t>
      </w:r>
      <w:r w:rsidR="00327993" w:rsidRPr="009C1F21">
        <w:rPr>
          <w:szCs w:val="26"/>
        </w:rPr>
        <w:t xml:space="preserve"> that in the recently published report on the operation of the Act</w:t>
      </w:r>
      <w:r w:rsidR="009E5406" w:rsidRPr="009C1F21">
        <w:rPr>
          <w:szCs w:val="26"/>
        </w:rPr>
        <w:t>,</w:t>
      </w:r>
      <w:r w:rsidR="00327993" w:rsidRPr="009C1F21">
        <w:rPr>
          <w:szCs w:val="26"/>
        </w:rPr>
        <w:t xml:space="preserve"> the </w:t>
      </w:r>
      <w:r w:rsidR="004351C9">
        <w:rPr>
          <w:szCs w:val="26"/>
        </w:rPr>
        <w:t>Department of Housing, Local Government and Heritage</w:t>
      </w:r>
      <w:r w:rsidR="00327993" w:rsidRPr="009C1F21">
        <w:rPr>
          <w:szCs w:val="26"/>
        </w:rPr>
        <w:t xml:space="preserve"> had assessed themselves as compliant with the Act.</w:t>
      </w:r>
      <w:r w:rsidR="008A2296" w:rsidRPr="009C1F21">
        <w:rPr>
          <w:rStyle w:val="FootnoteReference"/>
          <w:rFonts w:ascii="Gill Sans MT" w:hAnsi="Gill Sans MT"/>
          <w:sz w:val="26"/>
          <w:szCs w:val="26"/>
        </w:rPr>
        <w:footnoteReference w:id="22"/>
      </w:r>
      <w:r w:rsidR="00327993" w:rsidRPr="009C1F21">
        <w:rPr>
          <w:szCs w:val="26"/>
        </w:rPr>
        <w:t xml:space="preserve"> Public bodes under the </w:t>
      </w:r>
      <w:r w:rsidR="009B2890" w:rsidRPr="009C1F21">
        <w:rPr>
          <w:szCs w:val="26"/>
        </w:rPr>
        <w:t>aegis</w:t>
      </w:r>
      <w:r w:rsidR="00327993" w:rsidRPr="009C1F21">
        <w:rPr>
          <w:szCs w:val="26"/>
        </w:rPr>
        <w:t xml:space="preserve"> of </w:t>
      </w:r>
      <w:r w:rsidR="009E5406" w:rsidRPr="009C1F21">
        <w:rPr>
          <w:szCs w:val="26"/>
        </w:rPr>
        <w:t>the department</w:t>
      </w:r>
      <w:r w:rsidR="00327993" w:rsidRPr="009C1F21">
        <w:rPr>
          <w:szCs w:val="26"/>
        </w:rPr>
        <w:t xml:space="preserve"> self</w:t>
      </w:r>
      <w:r w:rsidR="00FC6C49" w:rsidRPr="009C1F21">
        <w:rPr>
          <w:szCs w:val="26"/>
        </w:rPr>
        <w:t>-</w:t>
      </w:r>
      <w:r w:rsidR="00327993" w:rsidRPr="009C1F21">
        <w:rPr>
          <w:szCs w:val="26"/>
        </w:rPr>
        <w:t>assessed as either compliant</w:t>
      </w:r>
      <w:r w:rsidR="008F265F">
        <w:rPr>
          <w:szCs w:val="26"/>
        </w:rPr>
        <w:t>, partially compliant,</w:t>
      </w:r>
      <w:r w:rsidR="00327993" w:rsidRPr="009C1F21">
        <w:rPr>
          <w:szCs w:val="26"/>
        </w:rPr>
        <w:t xml:space="preserve"> or </w:t>
      </w:r>
      <w:r w:rsidR="00306E36">
        <w:rPr>
          <w:szCs w:val="26"/>
        </w:rPr>
        <w:t xml:space="preserve">not </w:t>
      </w:r>
      <w:r w:rsidR="00327993" w:rsidRPr="009C1F21">
        <w:rPr>
          <w:szCs w:val="26"/>
        </w:rPr>
        <w:t xml:space="preserve">compliant. </w:t>
      </w:r>
      <w:r w:rsidRPr="009C1F21">
        <w:rPr>
          <w:szCs w:val="26"/>
        </w:rPr>
        <w:t xml:space="preserve"> </w:t>
      </w:r>
    </w:p>
    <w:p w14:paraId="36DE63A7" w14:textId="77777777" w:rsidR="00AD4A51" w:rsidRPr="009C1F21" w:rsidRDefault="00AD4A51" w:rsidP="00AD4A51">
      <w:pPr>
        <w:spacing w:after="0"/>
        <w:rPr>
          <w:szCs w:val="26"/>
        </w:rPr>
      </w:pPr>
    </w:p>
    <w:p w14:paraId="0CA1D63D" w14:textId="30526620" w:rsidR="003F2874" w:rsidRPr="009C1F21" w:rsidRDefault="00A676E7" w:rsidP="003F2874">
      <w:pPr>
        <w:spacing w:after="0"/>
        <w:rPr>
          <w:szCs w:val="26"/>
        </w:rPr>
      </w:pPr>
      <w:r>
        <w:rPr>
          <w:szCs w:val="26"/>
        </w:rPr>
        <w:t>Of the 42 responses received, 12 public bodies (including the Department) self-assessed as compliant while 17 self-assessed as partially compliant.</w:t>
      </w:r>
      <w:r w:rsidR="007377C6">
        <w:rPr>
          <w:szCs w:val="26"/>
        </w:rPr>
        <w:t xml:space="preserve"> </w:t>
      </w:r>
      <w:r w:rsidR="006B48CE" w:rsidRPr="009C1F21">
        <w:rPr>
          <w:szCs w:val="26"/>
        </w:rPr>
        <w:t xml:space="preserve">The NDA </w:t>
      </w:r>
      <w:r w:rsidR="00E170AD">
        <w:rPr>
          <w:szCs w:val="26"/>
        </w:rPr>
        <w:t>encourages the D</w:t>
      </w:r>
      <w:r w:rsidR="003F2874">
        <w:rPr>
          <w:szCs w:val="26"/>
        </w:rPr>
        <w:t xml:space="preserve">epartment to look at how it can </w:t>
      </w:r>
      <w:r w:rsidR="00E170AD">
        <w:rPr>
          <w:szCs w:val="26"/>
        </w:rPr>
        <w:t xml:space="preserve">encourage greater awareness </w:t>
      </w:r>
      <w:r w:rsidR="00E170AD">
        <w:rPr>
          <w:szCs w:val="26"/>
        </w:rPr>
        <w:lastRenderedPageBreak/>
        <w:t xml:space="preserve">among </w:t>
      </w:r>
      <w:proofErr w:type="gramStart"/>
      <w:r w:rsidR="00E170AD">
        <w:rPr>
          <w:szCs w:val="26"/>
        </w:rPr>
        <w:t>the all</w:t>
      </w:r>
      <w:proofErr w:type="gramEnd"/>
      <w:r w:rsidR="00E170AD">
        <w:rPr>
          <w:szCs w:val="26"/>
        </w:rPr>
        <w:t xml:space="preserve"> public bodies under its remit and </w:t>
      </w:r>
      <w:r w:rsidR="003F2874">
        <w:rPr>
          <w:szCs w:val="26"/>
        </w:rPr>
        <w:t>provide a more inclusive service for those of its customers who use ISL.</w:t>
      </w:r>
    </w:p>
    <w:p w14:paraId="05C8ADB2" w14:textId="77777777" w:rsidR="006B48CE" w:rsidRPr="009C1F21" w:rsidRDefault="00327993" w:rsidP="008854C0">
      <w:pPr>
        <w:pStyle w:val="Heading1"/>
      </w:pPr>
      <w:bookmarkStart w:id="59" w:name="_Toc142909807"/>
      <w:r w:rsidRPr="009C1F21">
        <w:t>Conclusion</w:t>
      </w:r>
      <w:bookmarkEnd w:id="59"/>
    </w:p>
    <w:p w14:paraId="7EBC408E" w14:textId="401E45CD" w:rsidR="00284E78" w:rsidRPr="009C1F21" w:rsidRDefault="005B33FF" w:rsidP="00B66A74">
      <w:pPr>
        <w:pStyle w:val="NormalWeb"/>
        <w:spacing w:before="0" w:beforeAutospacing="0" w:after="0" w:afterAutospacing="0"/>
        <w:rPr>
          <w:rFonts w:ascii="Gill Sans MT" w:hAnsi="Gill Sans MT"/>
          <w:sz w:val="26"/>
          <w:szCs w:val="26"/>
          <w:lang w:eastAsia="en-US"/>
        </w:rPr>
      </w:pPr>
      <w:r w:rsidRPr="009C1F21">
        <w:rPr>
          <w:rFonts w:ascii="Gill Sans MT" w:hAnsi="Gill Sans MT"/>
          <w:sz w:val="26"/>
          <w:szCs w:val="26"/>
          <w:lang w:eastAsia="en-US"/>
        </w:rPr>
        <w:t xml:space="preserve">The </w:t>
      </w:r>
      <w:r w:rsidR="00327993" w:rsidRPr="009C1F21">
        <w:rPr>
          <w:rFonts w:ascii="Gill Sans MT" w:hAnsi="Gill Sans MT"/>
          <w:sz w:val="26"/>
          <w:szCs w:val="26"/>
          <w:lang w:eastAsia="en-US"/>
        </w:rPr>
        <w:t xml:space="preserve">NDA </w:t>
      </w:r>
      <w:r w:rsidR="00FC6C49" w:rsidRPr="009C1F21">
        <w:rPr>
          <w:rFonts w:ascii="Gill Sans MT" w:hAnsi="Gill Sans MT"/>
          <w:sz w:val="26"/>
          <w:szCs w:val="26"/>
          <w:lang w:eastAsia="en-US"/>
        </w:rPr>
        <w:t xml:space="preserve">would be </w:t>
      </w:r>
      <w:r w:rsidR="00327993" w:rsidRPr="009C1F21">
        <w:rPr>
          <w:rFonts w:ascii="Gill Sans MT" w:hAnsi="Gill Sans MT"/>
          <w:sz w:val="26"/>
          <w:szCs w:val="26"/>
          <w:lang w:eastAsia="en-US"/>
        </w:rPr>
        <w:t xml:space="preserve">happy to engage with officials from </w:t>
      </w:r>
      <w:r w:rsidR="00FC6C49" w:rsidRPr="009C1F21">
        <w:rPr>
          <w:rFonts w:ascii="Gill Sans MT" w:hAnsi="Gill Sans MT"/>
          <w:sz w:val="26"/>
          <w:szCs w:val="26"/>
          <w:lang w:eastAsia="en-US"/>
        </w:rPr>
        <w:t xml:space="preserve">the </w:t>
      </w:r>
      <w:r w:rsidR="004351C9">
        <w:rPr>
          <w:rFonts w:ascii="Gill Sans MT" w:hAnsi="Gill Sans MT"/>
          <w:sz w:val="26"/>
          <w:szCs w:val="26"/>
          <w:lang w:eastAsia="en-US"/>
        </w:rPr>
        <w:t>Department of Housing, Local Government and Heritage</w:t>
      </w:r>
      <w:r w:rsidR="00FC6C49" w:rsidRPr="009C1F21">
        <w:rPr>
          <w:rFonts w:ascii="Gill Sans MT" w:hAnsi="Gill Sans MT"/>
          <w:sz w:val="26"/>
          <w:szCs w:val="26"/>
          <w:lang w:eastAsia="en-US"/>
        </w:rPr>
        <w:t xml:space="preserve"> </w:t>
      </w:r>
      <w:r w:rsidR="00327993" w:rsidRPr="009C1F21">
        <w:rPr>
          <w:rFonts w:ascii="Gill Sans MT" w:hAnsi="Gill Sans MT"/>
          <w:sz w:val="26"/>
          <w:szCs w:val="26"/>
          <w:lang w:eastAsia="en-US"/>
        </w:rPr>
        <w:t>on any of the points raised in this submission</w:t>
      </w:r>
      <w:r w:rsidR="00E46576">
        <w:rPr>
          <w:rFonts w:ascii="Gill Sans MT" w:hAnsi="Gill Sans MT"/>
          <w:sz w:val="26"/>
          <w:szCs w:val="26"/>
          <w:lang w:eastAsia="en-US"/>
        </w:rPr>
        <w:t>, which are summarised below for convenience</w:t>
      </w:r>
      <w:r w:rsidR="00327993" w:rsidRPr="009C1F21">
        <w:rPr>
          <w:rFonts w:ascii="Gill Sans MT" w:hAnsi="Gill Sans MT"/>
          <w:sz w:val="26"/>
          <w:szCs w:val="26"/>
          <w:lang w:eastAsia="en-US"/>
        </w:rPr>
        <w:t xml:space="preserve">. We also look forward to making submissions on </w:t>
      </w:r>
      <w:r w:rsidR="00322D97">
        <w:rPr>
          <w:rFonts w:ascii="Gill Sans MT" w:hAnsi="Gill Sans MT"/>
          <w:sz w:val="26"/>
          <w:szCs w:val="26"/>
          <w:lang w:eastAsia="en-US"/>
        </w:rPr>
        <w:t>any</w:t>
      </w:r>
      <w:r w:rsidR="00327993" w:rsidRPr="009C1F21">
        <w:rPr>
          <w:rFonts w:ascii="Gill Sans MT" w:hAnsi="Gill Sans MT"/>
          <w:sz w:val="26"/>
          <w:szCs w:val="26"/>
          <w:lang w:eastAsia="en-US"/>
        </w:rPr>
        <w:t xml:space="preserve"> forthcoming consultations on </w:t>
      </w:r>
      <w:r w:rsidR="00322D97">
        <w:rPr>
          <w:rFonts w:ascii="Gill Sans MT" w:hAnsi="Gill Sans MT"/>
          <w:sz w:val="26"/>
          <w:szCs w:val="26"/>
          <w:lang w:eastAsia="en-US"/>
        </w:rPr>
        <w:t>areas under the Department’s remit</w:t>
      </w:r>
      <w:r w:rsidR="00327993" w:rsidRPr="009C1F21">
        <w:rPr>
          <w:rFonts w:ascii="Gill Sans MT" w:hAnsi="Gill Sans MT"/>
          <w:sz w:val="26"/>
          <w:szCs w:val="26"/>
          <w:lang w:eastAsia="en-US"/>
        </w:rPr>
        <w:t xml:space="preserve"> which can have a significant impact on the lives of </w:t>
      </w:r>
      <w:r w:rsidR="00E7176B">
        <w:rPr>
          <w:rFonts w:ascii="Gill Sans MT" w:hAnsi="Gill Sans MT"/>
          <w:sz w:val="26"/>
          <w:szCs w:val="26"/>
          <w:lang w:eastAsia="en-US"/>
        </w:rPr>
        <w:t>disabled people</w:t>
      </w:r>
      <w:r w:rsidR="00327993" w:rsidRPr="009C1F21">
        <w:rPr>
          <w:rFonts w:ascii="Gill Sans MT" w:hAnsi="Gill Sans MT"/>
          <w:sz w:val="26"/>
          <w:szCs w:val="26"/>
          <w:lang w:eastAsia="en-US"/>
        </w:rPr>
        <w:t xml:space="preserve">. </w:t>
      </w:r>
    </w:p>
    <w:p w14:paraId="17057EF3" w14:textId="77777777" w:rsidR="00B66A74" w:rsidRPr="009C1F21" w:rsidRDefault="00B66A74" w:rsidP="00B66A74">
      <w:pPr>
        <w:pStyle w:val="NormalWeb"/>
        <w:spacing w:before="0" w:beforeAutospacing="0" w:after="0" w:afterAutospacing="0"/>
        <w:rPr>
          <w:rFonts w:ascii="Gill Sans MT" w:hAnsi="Gill Sans MT"/>
          <w:sz w:val="26"/>
          <w:szCs w:val="26"/>
          <w:lang w:eastAsia="en-US"/>
        </w:rPr>
      </w:pPr>
    </w:p>
    <w:p w14:paraId="48E3F164" w14:textId="5B67FEE5" w:rsidR="00863A45" w:rsidRPr="009C1F21" w:rsidRDefault="00E46576" w:rsidP="008854C0">
      <w:pPr>
        <w:pStyle w:val="Heading2"/>
        <w:rPr>
          <w:rFonts w:eastAsia="SimSun"/>
          <w:lang w:eastAsia="en-IE"/>
        </w:rPr>
      </w:pPr>
      <w:bookmarkStart w:id="60" w:name="_Toc133326027"/>
      <w:bookmarkStart w:id="61" w:name="_Toc142909808"/>
      <w:r>
        <w:rPr>
          <w:rFonts w:eastAsia="SimSun"/>
          <w:lang w:eastAsia="en-IE"/>
        </w:rPr>
        <w:t xml:space="preserve">Summary of </w:t>
      </w:r>
      <w:r w:rsidR="00281DE2" w:rsidRPr="009C1F21">
        <w:rPr>
          <w:rFonts w:eastAsia="SimSun"/>
          <w:lang w:eastAsia="en-IE"/>
        </w:rPr>
        <w:t xml:space="preserve">Key Recommendations </w:t>
      </w:r>
      <w:r w:rsidR="005E3ED2" w:rsidRPr="009C1F21">
        <w:rPr>
          <w:rFonts w:eastAsia="SimSun"/>
          <w:lang w:eastAsia="en-IE"/>
        </w:rPr>
        <w:t>to the Department</w:t>
      </w:r>
      <w:bookmarkEnd w:id="60"/>
      <w:bookmarkEnd w:id="61"/>
    </w:p>
    <w:p w14:paraId="0D265DCA" w14:textId="689F74A4" w:rsidR="00C12C2B" w:rsidRPr="009C1F21" w:rsidRDefault="00C12C2B" w:rsidP="0095483D">
      <w:pPr>
        <w:rPr>
          <w:rFonts w:eastAsia="SimSun"/>
          <w:lang w:eastAsia="en-IE"/>
        </w:rPr>
      </w:pPr>
      <w:r w:rsidRPr="009C1F21">
        <w:rPr>
          <w:rFonts w:eastAsia="SimSun"/>
          <w:lang w:eastAsia="en-IE"/>
        </w:rPr>
        <w:t>The NDA advise</w:t>
      </w:r>
      <w:r w:rsidR="006A3EED">
        <w:rPr>
          <w:rFonts w:eastAsia="SimSun"/>
          <w:lang w:eastAsia="en-IE"/>
        </w:rPr>
        <w:t>s</w:t>
      </w:r>
      <w:r w:rsidRPr="009C1F21">
        <w:rPr>
          <w:rFonts w:eastAsia="SimSun"/>
          <w:lang w:eastAsia="en-IE"/>
        </w:rPr>
        <w:t xml:space="preserve"> that the </w:t>
      </w:r>
      <w:r w:rsidR="004351C9">
        <w:rPr>
          <w:rFonts w:eastAsia="SimSun"/>
          <w:lang w:eastAsia="en-IE"/>
        </w:rPr>
        <w:t>Department of Housing, Local Government and Heritage</w:t>
      </w:r>
      <w:r w:rsidRPr="009C1F21">
        <w:rPr>
          <w:rFonts w:eastAsia="SimSun"/>
          <w:lang w:eastAsia="en-IE"/>
        </w:rPr>
        <w:t xml:space="preserve"> include the following </w:t>
      </w:r>
      <w:r w:rsidR="009C1F21" w:rsidRPr="009C1F21">
        <w:rPr>
          <w:rFonts w:eastAsia="SimSun"/>
          <w:lang w:eastAsia="en-IE"/>
        </w:rPr>
        <w:t xml:space="preserve">clear commitments </w:t>
      </w:r>
      <w:r w:rsidR="003B31B1" w:rsidRPr="009C1F21">
        <w:rPr>
          <w:rFonts w:eastAsia="SimSun"/>
          <w:lang w:eastAsia="en-IE"/>
        </w:rPr>
        <w:t>in the Statement of S</w:t>
      </w:r>
      <w:r w:rsidR="009C1F21" w:rsidRPr="009C1F21">
        <w:rPr>
          <w:rFonts w:eastAsia="SimSun"/>
          <w:lang w:eastAsia="en-IE"/>
        </w:rPr>
        <w:t>trategy</w:t>
      </w:r>
      <w:r w:rsidR="006A3EED">
        <w:rPr>
          <w:rFonts w:eastAsia="SimSun"/>
          <w:lang w:eastAsia="en-IE"/>
        </w:rPr>
        <w:t xml:space="preserve"> 2023-</w:t>
      </w:r>
      <w:r w:rsidR="00321297">
        <w:rPr>
          <w:rFonts w:eastAsia="SimSun"/>
          <w:lang w:eastAsia="en-IE"/>
        </w:rPr>
        <w:t>2025</w:t>
      </w:r>
      <w:r w:rsidR="007336EA">
        <w:rPr>
          <w:rFonts w:eastAsia="SimSun"/>
          <w:lang w:eastAsia="en-IE"/>
        </w:rPr>
        <w:t>:</w:t>
      </w:r>
    </w:p>
    <w:p w14:paraId="13F5E0EC" w14:textId="048204FF" w:rsidR="004011C1" w:rsidRDefault="005B2216" w:rsidP="004011C1">
      <w:pPr>
        <w:pStyle w:val="ListBullet2"/>
      </w:pPr>
      <w:r>
        <w:t>Continue to i</w:t>
      </w:r>
      <w:r w:rsidR="004571E9">
        <w:t>nvolve DPOs in the consultation structure</w:t>
      </w:r>
      <w:r w:rsidR="00A85118">
        <w:t>s</w:t>
      </w:r>
      <w:r w:rsidR="004571E9">
        <w:t xml:space="preserve"> of the Department</w:t>
      </w:r>
      <w:r w:rsidR="00AE40E4">
        <w:t xml:space="preserve"> on all matters relevant to them</w:t>
      </w:r>
      <w:r w:rsidR="00144B36" w:rsidRPr="00144B36">
        <w:t>.</w:t>
      </w:r>
    </w:p>
    <w:p w14:paraId="2ED0A1A9" w14:textId="5252F655" w:rsidR="007239CB" w:rsidRDefault="00FA0716" w:rsidP="007239CB">
      <w:pPr>
        <w:pStyle w:val="ListBullet2"/>
      </w:pPr>
      <w:r>
        <w:t>Work with the NDA on t</w:t>
      </w:r>
      <w:r w:rsidR="007239CB" w:rsidRPr="007239CB">
        <w:t>he development of an Irish standard for UD Homes - through the National Standards Authority of Ireland - to support delivery by local authorities.</w:t>
      </w:r>
    </w:p>
    <w:p w14:paraId="13DD0130" w14:textId="355880B6" w:rsidR="004011C1" w:rsidRDefault="00FA0716" w:rsidP="007239CB">
      <w:pPr>
        <w:pStyle w:val="ListBullet2"/>
      </w:pPr>
      <w:r>
        <w:t>Revise</w:t>
      </w:r>
      <w:r w:rsidR="004011C1">
        <w:t xml:space="preserve"> </w:t>
      </w:r>
      <w:r>
        <w:t xml:space="preserve">Part M to </w:t>
      </w:r>
      <w:r w:rsidR="004011C1">
        <w:t xml:space="preserve">reflect </w:t>
      </w:r>
      <w:r>
        <w:t xml:space="preserve">the </w:t>
      </w:r>
      <w:r w:rsidR="004011C1">
        <w:t>criteria for UD Homes</w:t>
      </w:r>
    </w:p>
    <w:p w14:paraId="2D37474A" w14:textId="2FF27632" w:rsidR="00144B36" w:rsidRPr="00144B36" w:rsidRDefault="007336EA" w:rsidP="007239CB">
      <w:pPr>
        <w:pStyle w:val="ListBullet2"/>
      </w:pPr>
      <w:r>
        <w:rPr>
          <w:rFonts w:ascii="Gill Sans" w:hAnsi="Gill Sans"/>
        </w:rPr>
        <w:t>Get local authorities to apply a</w:t>
      </w:r>
      <w:r w:rsidR="007239CB">
        <w:rPr>
          <w:rFonts w:ascii="Gill Sans" w:hAnsi="Gill Sans"/>
        </w:rPr>
        <w:t xml:space="preserve"> version of the Walkability </w:t>
      </w:r>
      <w:r w:rsidR="004011C1">
        <w:rPr>
          <w:rFonts w:ascii="Gill Sans" w:hAnsi="Gill Sans"/>
        </w:rPr>
        <w:t>Audit</w:t>
      </w:r>
      <w:r w:rsidR="008854C0">
        <w:rPr>
          <w:rFonts w:ascii="Gill Sans" w:hAnsi="Gill Sans"/>
        </w:rPr>
        <w:t xml:space="preserve"> T</w:t>
      </w:r>
      <w:r w:rsidR="007239CB" w:rsidRPr="00BE4994">
        <w:rPr>
          <w:rFonts w:ascii="Gill Sans" w:hAnsi="Gill Sans"/>
        </w:rPr>
        <w:t>ool</w:t>
      </w:r>
      <w:r w:rsidR="008854C0">
        <w:rPr>
          <w:rFonts w:ascii="Gill Sans" w:hAnsi="Gill Sans"/>
        </w:rPr>
        <w:t>,</w:t>
      </w:r>
      <w:r w:rsidR="007239CB" w:rsidRPr="00BE4994">
        <w:rPr>
          <w:rFonts w:ascii="Gill Sans" w:hAnsi="Gill Sans"/>
        </w:rPr>
        <w:t xml:space="preserve"> or approach</w:t>
      </w:r>
      <w:r w:rsidR="008854C0">
        <w:rPr>
          <w:rFonts w:ascii="Gill Sans" w:hAnsi="Gill Sans"/>
        </w:rPr>
        <w:t>,</w:t>
      </w:r>
      <w:r w:rsidR="007239CB" w:rsidRPr="00BE4994">
        <w:rPr>
          <w:rFonts w:ascii="Gill Sans" w:hAnsi="Gill Sans"/>
        </w:rPr>
        <w:t xml:space="preserve"> in the built environment</w:t>
      </w:r>
      <w:r w:rsidR="008854C0">
        <w:rPr>
          <w:rFonts w:ascii="Gill Sans" w:hAnsi="Gill Sans"/>
        </w:rPr>
        <w:t xml:space="preserve"> </w:t>
      </w:r>
      <w:proofErr w:type="gramStart"/>
      <w:r w:rsidR="007239CB" w:rsidRPr="00BE4994">
        <w:rPr>
          <w:rFonts w:ascii="Gill Sans" w:hAnsi="Gill Sans"/>
        </w:rPr>
        <w:t>in order to</w:t>
      </w:r>
      <w:proofErr w:type="gramEnd"/>
      <w:r w:rsidR="007239CB" w:rsidRPr="00BE4994">
        <w:rPr>
          <w:rFonts w:ascii="Gill Sans" w:hAnsi="Gill Sans"/>
        </w:rPr>
        <w:t xml:space="preserve"> guide on achieving barrier-free roads and streets for all.</w:t>
      </w:r>
    </w:p>
    <w:p w14:paraId="23859016" w14:textId="09ACC922" w:rsidR="001F51F4" w:rsidRPr="001F51F4" w:rsidRDefault="00AE40E4" w:rsidP="00A85118">
      <w:pPr>
        <w:pStyle w:val="ListBullet2"/>
      </w:pPr>
      <w:r w:rsidRPr="00BE4994">
        <w:rPr>
          <w:rFonts w:ascii="Gill Sans" w:hAnsi="Gill Sans"/>
        </w:rPr>
        <w:t xml:space="preserve">Following finalisation of the </w:t>
      </w:r>
      <w:r w:rsidR="007336EA">
        <w:rPr>
          <w:rFonts w:ascii="Gill Sans" w:hAnsi="Gill Sans"/>
        </w:rPr>
        <w:t>amended</w:t>
      </w:r>
      <w:r w:rsidR="007336EA" w:rsidRPr="00BE4994">
        <w:rPr>
          <w:rFonts w:ascii="Gill Sans" w:hAnsi="Gill Sans"/>
        </w:rPr>
        <w:t xml:space="preserve"> </w:t>
      </w:r>
      <w:r w:rsidRPr="00BE4994">
        <w:rPr>
          <w:rFonts w:ascii="Gill Sans" w:hAnsi="Gill Sans"/>
        </w:rPr>
        <w:t xml:space="preserve">Part M, we advise the Department to promote the design and delivery of Changing Places Toilets </w:t>
      </w:r>
      <w:r w:rsidR="007336EA">
        <w:rPr>
          <w:rFonts w:ascii="Gill Sans" w:hAnsi="Gill Sans"/>
        </w:rPr>
        <w:t>and to provide funding for their roll-out</w:t>
      </w:r>
      <w:r w:rsidRPr="00BE4994">
        <w:rPr>
          <w:rFonts w:ascii="Gill Sans" w:hAnsi="Gill Sans"/>
        </w:rPr>
        <w:t>.</w:t>
      </w:r>
    </w:p>
    <w:p w14:paraId="218B7CF7" w14:textId="6E5F8AF5" w:rsidR="00A85118" w:rsidRPr="00A85118" w:rsidRDefault="00FA0716" w:rsidP="00A85118">
      <w:pPr>
        <w:pStyle w:val="ListBullet2"/>
      </w:pPr>
      <w:r>
        <w:rPr>
          <w:rFonts w:ascii="Gill Sans" w:hAnsi="Gill Sans"/>
        </w:rPr>
        <w:t>Ensure that the</w:t>
      </w:r>
      <w:r w:rsidR="00AE40E4">
        <w:rPr>
          <w:rFonts w:ascii="Gill Sans" w:hAnsi="Gill Sans"/>
        </w:rPr>
        <w:t xml:space="preserve"> Electoral Commission follows UD principles in the conduct of elections and referendums </w:t>
      </w:r>
      <w:proofErr w:type="gramStart"/>
      <w:r w:rsidR="00AE40E4">
        <w:rPr>
          <w:rFonts w:ascii="Gill Sans" w:hAnsi="Gill Sans"/>
        </w:rPr>
        <w:t>as a means to</w:t>
      </w:r>
      <w:proofErr w:type="gramEnd"/>
      <w:r w:rsidR="00AE40E4">
        <w:rPr>
          <w:rFonts w:ascii="Gill Sans" w:hAnsi="Gill Sans"/>
        </w:rPr>
        <w:t xml:space="preserve"> make voting, voting information and candidacy accessible to all regardless of age, size, ability or disability. </w:t>
      </w:r>
    </w:p>
    <w:p w14:paraId="2D995E22" w14:textId="0DF85323" w:rsidR="00AE036D" w:rsidRPr="00A85118" w:rsidRDefault="000D1F5A" w:rsidP="00A85118">
      <w:pPr>
        <w:pStyle w:val="ListBullet2"/>
        <w:rPr>
          <w:rFonts w:ascii="Gill Sans" w:hAnsi="Gill Sans"/>
        </w:rPr>
      </w:pPr>
      <w:r w:rsidRPr="00A85118">
        <w:rPr>
          <w:rFonts w:ascii="Gill Sans" w:hAnsi="Gill Sans"/>
          <w:lang w:val="en-GB" w:eastAsia="en-GB"/>
        </w:rPr>
        <w:t>Maintaining</w:t>
      </w:r>
      <w:r w:rsidR="00AE036D" w:rsidRPr="00A85118">
        <w:rPr>
          <w:rFonts w:ascii="Gill Sans" w:hAnsi="Gill Sans"/>
          <w:lang w:val="en-GB" w:eastAsia="en-GB"/>
        </w:rPr>
        <w:t xml:space="preserve"> compliance with Part 5 of the Disability Act as a key focus of the department's HR strategy. </w:t>
      </w:r>
    </w:p>
    <w:p w14:paraId="11A73AD3" w14:textId="0CFA0428" w:rsidR="00A85118" w:rsidRDefault="00955B41" w:rsidP="00A85118">
      <w:pPr>
        <w:pStyle w:val="ListBullet2"/>
        <w:rPr>
          <w:rFonts w:ascii="Gill Sans" w:hAnsi="Gill Sans"/>
          <w:lang w:val="en-GB" w:eastAsia="en-GB"/>
        </w:rPr>
      </w:pPr>
      <w:r>
        <w:rPr>
          <w:rFonts w:ascii="Gill Sans" w:hAnsi="Gill Sans"/>
          <w:lang w:val="en-GB" w:eastAsia="en-GB"/>
        </w:rPr>
        <w:t>Reference</w:t>
      </w:r>
      <w:r w:rsidR="004F7A5C" w:rsidRPr="00EE3F67">
        <w:rPr>
          <w:rFonts w:ascii="Gill Sans" w:hAnsi="Gill Sans"/>
          <w:lang w:val="en-GB" w:eastAsia="en-GB"/>
        </w:rPr>
        <w:t xml:space="preserve"> the</w:t>
      </w:r>
      <w:r w:rsidR="00E67E44" w:rsidRPr="00EE3F67">
        <w:rPr>
          <w:rFonts w:ascii="Gill Sans" w:hAnsi="Gill Sans"/>
          <w:lang w:val="en-GB" w:eastAsia="en-GB"/>
        </w:rPr>
        <w:t xml:space="preserve"> o</w:t>
      </w:r>
      <w:r w:rsidR="00281DE2" w:rsidRPr="00EE3F67">
        <w:rPr>
          <w:rFonts w:ascii="Gill Sans" w:hAnsi="Gill Sans"/>
          <w:lang w:val="en-GB" w:eastAsia="en-GB"/>
        </w:rPr>
        <w:t>bligation</w:t>
      </w:r>
      <w:r w:rsidR="00AE036D" w:rsidRPr="00EE3F67">
        <w:rPr>
          <w:rFonts w:ascii="Gill Sans" w:hAnsi="Gill Sans"/>
          <w:lang w:val="en-GB" w:eastAsia="en-GB"/>
        </w:rPr>
        <w:t xml:space="preserve">s </w:t>
      </w:r>
      <w:r w:rsidR="00AE40E4">
        <w:rPr>
          <w:rFonts w:ascii="Gill Sans" w:hAnsi="Gill Sans"/>
          <w:lang w:val="en-GB" w:eastAsia="en-GB"/>
        </w:rPr>
        <w:t>of the D</w:t>
      </w:r>
      <w:r w:rsidR="004F7A5C" w:rsidRPr="00EE3F67">
        <w:rPr>
          <w:rFonts w:ascii="Gill Sans" w:hAnsi="Gill Sans"/>
          <w:lang w:val="en-GB" w:eastAsia="en-GB"/>
        </w:rPr>
        <w:t xml:space="preserve">epartment </w:t>
      </w:r>
      <w:r w:rsidR="00AE036D" w:rsidRPr="00EE3F67">
        <w:rPr>
          <w:rFonts w:ascii="Gill Sans" w:hAnsi="Gill Sans"/>
          <w:lang w:val="en-GB" w:eastAsia="en-GB"/>
        </w:rPr>
        <w:t>under the EU Web Accessibility Directive</w:t>
      </w:r>
      <w:r w:rsidR="00281DE2" w:rsidRPr="00EE3F67">
        <w:rPr>
          <w:rFonts w:ascii="Gill Sans" w:hAnsi="Gill Sans"/>
          <w:lang w:val="en-GB" w:eastAsia="en-GB"/>
        </w:rPr>
        <w:t xml:space="preserve"> and </w:t>
      </w:r>
      <w:r>
        <w:rPr>
          <w:rFonts w:ascii="Gill Sans" w:hAnsi="Gill Sans"/>
          <w:lang w:val="en-GB" w:eastAsia="en-GB"/>
        </w:rPr>
        <w:t xml:space="preserve">develop </w:t>
      </w:r>
      <w:r w:rsidR="00281DE2" w:rsidRPr="00EE3F67">
        <w:rPr>
          <w:rFonts w:ascii="Gill Sans" w:hAnsi="Gill Sans"/>
          <w:lang w:val="en-GB" w:eastAsia="en-GB"/>
        </w:rPr>
        <w:t>an action plan to address access issues</w:t>
      </w:r>
    </w:p>
    <w:p w14:paraId="6E7E2601" w14:textId="14181434" w:rsidR="00083E58" w:rsidRDefault="00083E58" w:rsidP="00A85118">
      <w:pPr>
        <w:pStyle w:val="ListBullet2"/>
        <w:rPr>
          <w:rFonts w:ascii="Gill Sans" w:hAnsi="Gill Sans"/>
          <w:lang w:val="en-GB" w:eastAsia="en-GB"/>
        </w:rPr>
      </w:pPr>
      <w:r>
        <w:rPr>
          <w:rFonts w:ascii="Gill Sans" w:hAnsi="Gill Sans"/>
          <w:lang w:val="en-GB" w:eastAsia="en-GB"/>
        </w:rPr>
        <w:t>Prepare the Department for obligations under the European Accessibility Act</w:t>
      </w:r>
    </w:p>
    <w:p w14:paraId="41F19D05" w14:textId="0D415175" w:rsidR="009A3A4B" w:rsidRDefault="00A8294B" w:rsidP="00A85118">
      <w:pPr>
        <w:pStyle w:val="ListBullet2"/>
        <w:rPr>
          <w:rFonts w:ascii="Gill Sans" w:hAnsi="Gill Sans"/>
          <w:lang w:val="en-GB" w:eastAsia="en-GB"/>
        </w:rPr>
      </w:pPr>
      <w:r w:rsidRPr="00A85118">
        <w:rPr>
          <w:rFonts w:ascii="Gill Sans" w:hAnsi="Gill Sans"/>
          <w:lang w:val="en-GB" w:eastAsia="en-GB"/>
        </w:rPr>
        <w:lastRenderedPageBreak/>
        <w:t>Continued</w:t>
      </w:r>
      <w:r w:rsidR="00066BA7" w:rsidRPr="00A85118">
        <w:rPr>
          <w:rFonts w:ascii="Gill Sans" w:hAnsi="Gill Sans"/>
          <w:lang w:val="en-GB" w:eastAsia="en-GB"/>
        </w:rPr>
        <w:t xml:space="preserve"> work on </w:t>
      </w:r>
      <w:r w:rsidR="00F83545" w:rsidRPr="00A85118">
        <w:rPr>
          <w:rFonts w:ascii="Gill Sans" w:hAnsi="Gill Sans"/>
          <w:lang w:val="en-GB" w:eastAsia="en-GB"/>
        </w:rPr>
        <w:t>the implementation</w:t>
      </w:r>
      <w:r w:rsidR="00066BA7" w:rsidRPr="00A85118">
        <w:rPr>
          <w:rFonts w:ascii="Gill Sans" w:hAnsi="Gill Sans"/>
          <w:lang w:val="en-GB" w:eastAsia="en-GB"/>
        </w:rPr>
        <w:t xml:space="preserve"> </w:t>
      </w:r>
      <w:r w:rsidR="001432DC" w:rsidRPr="00A85118">
        <w:rPr>
          <w:rFonts w:ascii="Gill Sans" w:hAnsi="Gill Sans"/>
          <w:lang w:val="en-GB" w:eastAsia="en-GB"/>
        </w:rPr>
        <w:t xml:space="preserve">of </w:t>
      </w:r>
      <w:r w:rsidR="00066BA7" w:rsidRPr="00A85118">
        <w:rPr>
          <w:rFonts w:ascii="Gill Sans" w:hAnsi="Gill Sans"/>
          <w:lang w:val="en-GB" w:eastAsia="en-GB"/>
        </w:rPr>
        <w:t xml:space="preserve">the </w:t>
      </w:r>
      <w:r w:rsidR="00C0666E" w:rsidRPr="00A85118">
        <w:rPr>
          <w:rFonts w:ascii="Gill Sans" w:hAnsi="Gill Sans"/>
          <w:lang w:val="en-GB" w:eastAsia="en-GB"/>
        </w:rPr>
        <w:t>recommendations</w:t>
      </w:r>
      <w:r w:rsidR="00066BA7" w:rsidRPr="00A85118">
        <w:rPr>
          <w:rFonts w:ascii="Gill Sans" w:hAnsi="Gill Sans"/>
          <w:lang w:val="en-GB" w:eastAsia="en-GB"/>
        </w:rPr>
        <w:t xml:space="preserve"> of the Part 3 Monitoring Report</w:t>
      </w:r>
      <w:r w:rsidR="0022129F" w:rsidRPr="00A85118">
        <w:rPr>
          <w:rFonts w:ascii="Gill Sans" w:hAnsi="Gill Sans"/>
          <w:lang w:val="en-GB" w:eastAsia="en-GB"/>
        </w:rPr>
        <w:t>,</w:t>
      </w:r>
      <w:r w:rsidR="00066BA7" w:rsidRPr="00A85118">
        <w:rPr>
          <w:rFonts w:ascii="Gill Sans" w:hAnsi="Gill Sans"/>
          <w:lang w:val="en-GB" w:eastAsia="en-GB"/>
        </w:rPr>
        <w:t xml:space="preserve"> </w:t>
      </w:r>
      <w:r w:rsidR="002D03ED" w:rsidRPr="00A85118">
        <w:rPr>
          <w:rFonts w:ascii="Gill Sans" w:hAnsi="Gill Sans"/>
          <w:lang w:val="en-GB" w:eastAsia="en-GB"/>
        </w:rPr>
        <w:t xml:space="preserve">in </w:t>
      </w:r>
      <w:r w:rsidR="00C0666E" w:rsidRPr="00A85118">
        <w:rPr>
          <w:rFonts w:ascii="Gill Sans" w:hAnsi="Gill Sans"/>
          <w:lang w:val="en-GB" w:eastAsia="en-GB"/>
        </w:rPr>
        <w:t>assisting</w:t>
      </w:r>
      <w:r w:rsidR="002D03ED" w:rsidRPr="00A85118">
        <w:rPr>
          <w:rFonts w:ascii="Gill Sans" w:hAnsi="Gill Sans"/>
          <w:lang w:val="en-GB" w:eastAsia="en-GB"/>
        </w:rPr>
        <w:t xml:space="preserve"> public</w:t>
      </w:r>
      <w:r w:rsidR="00AE40E4">
        <w:rPr>
          <w:rFonts w:ascii="Gill Sans" w:hAnsi="Gill Sans"/>
          <w:lang w:val="en-GB" w:eastAsia="en-GB"/>
        </w:rPr>
        <w:t xml:space="preserve"> bodies under the aegis of the D</w:t>
      </w:r>
      <w:r w:rsidR="002D03ED" w:rsidRPr="00A85118">
        <w:rPr>
          <w:rFonts w:ascii="Gill Sans" w:hAnsi="Gill Sans"/>
          <w:lang w:val="en-GB" w:eastAsia="en-GB"/>
        </w:rPr>
        <w:t xml:space="preserve">epartment who do not meet their requirements. </w:t>
      </w:r>
    </w:p>
    <w:p w14:paraId="1DDEB33F" w14:textId="043791EF" w:rsidR="00083E58" w:rsidRPr="00A85118" w:rsidRDefault="00083E58" w:rsidP="00A85118">
      <w:pPr>
        <w:pStyle w:val="ListBullet2"/>
        <w:rPr>
          <w:rFonts w:ascii="Gill Sans" w:hAnsi="Gill Sans"/>
          <w:lang w:val="en-GB" w:eastAsia="en-GB"/>
        </w:rPr>
      </w:pPr>
      <w:r>
        <w:rPr>
          <w:rFonts w:ascii="Gill Sans" w:hAnsi="Gill Sans"/>
          <w:lang w:val="en-GB" w:eastAsia="en-GB"/>
        </w:rPr>
        <w:t>Ensure that accessible procurement is applied across the Department and public bodies</w:t>
      </w:r>
    </w:p>
    <w:p w14:paraId="55B3FB7F" w14:textId="341F0ED6" w:rsidR="006745A3" w:rsidRPr="00321297" w:rsidRDefault="00ED0568" w:rsidP="00A85118">
      <w:pPr>
        <w:pStyle w:val="ListBullet2"/>
        <w:rPr>
          <w:rFonts w:ascii="Gill Sans" w:hAnsi="Gill Sans"/>
          <w:lang w:val="en-GB" w:eastAsia="en-GB"/>
        </w:rPr>
      </w:pPr>
      <w:r w:rsidRPr="00EE3F67">
        <w:rPr>
          <w:rFonts w:ascii="Gill Sans" w:hAnsi="Gill Sans"/>
          <w:lang w:val="en-GB" w:eastAsia="en-GB"/>
        </w:rPr>
        <w:t>M</w:t>
      </w:r>
      <w:r w:rsidR="00AE036D" w:rsidRPr="00EE3F67">
        <w:rPr>
          <w:rFonts w:ascii="Gill Sans" w:hAnsi="Gill Sans"/>
          <w:lang w:val="en-GB" w:eastAsia="en-GB"/>
        </w:rPr>
        <w:t>aintaining compliance</w:t>
      </w:r>
      <w:r w:rsidR="008D0CF6">
        <w:rPr>
          <w:rFonts w:ascii="Gill Sans" w:hAnsi="Gill Sans"/>
          <w:lang w:val="en-GB" w:eastAsia="en-GB"/>
        </w:rPr>
        <w:t xml:space="preserve"> u</w:t>
      </w:r>
      <w:r w:rsidR="00B616A9" w:rsidRPr="00EE3F67">
        <w:rPr>
          <w:rFonts w:ascii="Gill Sans" w:hAnsi="Gill Sans"/>
          <w:lang w:val="en-GB" w:eastAsia="en-GB"/>
        </w:rPr>
        <w:t xml:space="preserve">nder </w:t>
      </w:r>
      <w:r w:rsidR="00281DE2" w:rsidRPr="00EE3F67">
        <w:rPr>
          <w:rFonts w:ascii="Gill Sans" w:hAnsi="Gill Sans"/>
          <w:lang w:val="en-GB" w:eastAsia="en-GB"/>
        </w:rPr>
        <w:t>Section 25</w:t>
      </w:r>
      <w:r w:rsidR="00645075" w:rsidRPr="00EE3F67">
        <w:rPr>
          <w:rFonts w:ascii="Gill Sans" w:hAnsi="Gill Sans"/>
          <w:lang w:val="en-GB" w:eastAsia="en-GB"/>
        </w:rPr>
        <w:t xml:space="preserve"> of the Disability Act</w:t>
      </w:r>
      <w:r w:rsidR="00281DE2" w:rsidRPr="00EE3F67">
        <w:rPr>
          <w:rFonts w:ascii="Gill Sans" w:hAnsi="Gill Sans"/>
          <w:lang w:val="en-GB" w:eastAsia="en-GB"/>
        </w:rPr>
        <w:t xml:space="preserve">, </w:t>
      </w:r>
      <w:r w:rsidR="000655BE" w:rsidRPr="00EE3F67">
        <w:rPr>
          <w:rFonts w:ascii="Gill Sans" w:hAnsi="Gill Sans"/>
          <w:lang w:val="en-GB" w:eastAsia="en-GB"/>
        </w:rPr>
        <w:t xml:space="preserve">requiring all </w:t>
      </w:r>
      <w:r w:rsidR="00281DE2" w:rsidRPr="00EE3F67">
        <w:rPr>
          <w:rFonts w:ascii="Gill Sans" w:hAnsi="Gill Sans"/>
          <w:lang w:val="en-GB" w:eastAsia="en-GB"/>
        </w:rPr>
        <w:t>public bodies to bring their public buildings into compliance with Part M Part M 2022 by 1st January 2033</w:t>
      </w:r>
      <w:r w:rsidR="00554C46" w:rsidRPr="00EE3F67">
        <w:rPr>
          <w:rFonts w:ascii="Gill Sans" w:hAnsi="Gill Sans"/>
          <w:lang w:val="en-GB" w:eastAsia="en-GB"/>
        </w:rPr>
        <w:t xml:space="preserve">, including the </w:t>
      </w:r>
      <w:r w:rsidR="00281DE2" w:rsidRPr="00EE3F67">
        <w:rPr>
          <w:rFonts w:ascii="Gill Sans" w:hAnsi="Gill Sans"/>
          <w:lang w:val="en-GB" w:eastAsia="en-GB"/>
        </w:rPr>
        <w:t xml:space="preserve">new requirements under Part M 2022 </w:t>
      </w:r>
      <w:r w:rsidR="00306A13" w:rsidRPr="00EE3F67">
        <w:rPr>
          <w:rFonts w:ascii="Gill Sans" w:hAnsi="Gill Sans"/>
          <w:lang w:val="en-GB" w:eastAsia="en-GB"/>
        </w:rPr>
        <w:t>in relation</w:t>
      </w:r>
      <w:r w:rsidR="00281DE2" w:rsidRPr="00EE3F67">
        <w:rPr>
          <w:rFonts w:ascii="Gill Sans" w:hAnsi="Gill Sans"/>
          <w:lang w:val="en-GB" w:eastAsia="en-GB"/>
        </w:rPr>
        <w:t xml:space="preserve"> to the provision of </w:t>
      </w:r>
      <w:r w:rsidR="00083E58">
        <w:rPr>
          <w:rFonts w:ascii="Gill Sans" w:hAnsi="Gill Sans"/>
          <w:lang w:val="en-GB" w:eastAsia="en-GB"/>
        </w:rPr>
        <w:t>C</w:t>
      </w:r>
      <w:r w:rsidR="00281DE2" w:rsidRPr="00EE3F67">
        <w:rPr>
          <w:rFonts w:ascii="Gill Sans" w:hAnsi="Gill Sans"/>
          <w:lang w:val="en-GB" w:eastAsia="en-GB"/>
        </w:rPr>
        <w:t xml:space="preserve">hanging </w:t>
      </w:r>
      <w:r w:rsidR="00083E58">
        <w:rPr>
          <w:rFonts w:ascii="Gill Sans" w:hAnsi="Gill Sans"/>
          <w:lang w:val="en-GB" w:eastAsia="en-GB"/>
        </w:rPr>
        <w:t>P</w:t>
      </w:r>
      <w:r w:rsidR="00281DE2" w:rsidRPr="00EE3F67">
        <w:rPr>
          <w:rFonts w:ascii="Gill Sans" w:hAnsi="Gill Sans"/>
          <w:lang w:val="en-GB" w:eastAsia="en-GB"/>
        </w:rPr>
        <w:t>laces toilets.</w:t>
      </w:r>
    </w:p>
    <w:sectPr w:rsidR="006745A3" w:rsidRPr="00321297">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CD8E" w14:textId="77777777" w:rsidR="007336EA" w:rsidRDefault="007336EA">
      <w:r>
        <w:separator/>
      </w:r>
    </w:p>
  </w:endnote>
  <w:endnote w:type="continuationSeparator" w:id="0">
    <w:p w14:paraId="2008E685" w14:textId="77777777" w:rsidR="007336EA" w:rsidRDefault="0073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D522" w14:textId="680B3BD7" w:rsidR="007336EA" w:rsidRDefault="007336EA">
    <w:pPr>
      <w:pStyle w:val="Footer"/>
    </w:pPr>
    <w:r>
      <w:tab/>
    </w:r>
    <w:r>
      <w:tab/>
    </w:r>
    <w:r>
      <w:fldChar w:fldCharType="begin"/>
    </w:r>
    <w:r>
      <w:instrText xml:space="preserve"> PAGE  \* Arabic  \* MERGEFORMAT </w:instrText>
    </w:r>
    <w:r>
      <w:fldChar w:fldCharType="separate"/>
    </w:r>
    <w:r w:rsidR="008854C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D461" w14:textId="77777777" w:rsidR="007336EA" w:rsidRDefault="007336EA">
      <w:r>
        <w:separator/>
      </w:r>
    </w:p>
  </w:footnote>
  <w:footnote w:type="continuationSeparator" w:id="0">
    <w:p w14:paraId="04D5C0CE" w14:textId="77777777" w:rsidR="007336EA" w:rsidRDefault="007336EA">
      <w:r>
        <w:continuationSeparator/>
      </w:r>
    </w:p>
  </w:footnote>
  <w:footnote w:id="1">
    <w:p w14:paraId="14B04505" w14:textId="5554DDD2" w:rsidR="0049133A" w:rsidRDefault="0049133A">
      <w:pPr>
        <w:pStyle w:val="FootnoteText"/>
      </w:pPr>
      <w:r>
        <w:rPr>
          <w:rStyle w:val="FootnoteReference"/>
        </w:rPr>
        <w:footnoteRef/>
      </w:r>
      <w:r>
        <w:t xml:space="preserve"> </w:t>
      </w:r>
      <w:hyperlink r:id="rId1" w:history="1">
        <w:r w:rsidRPr="004507AE">
          <w:rPr>
            <w:rStyle w:val="Hyperlink"/>
          </w:rPr>
          <w:t>https://www.gov.ie/en/consultation/9bed2-call-for-submissions-statement-of-strategy-2023-2025/</w:t>
        </w:r>
      </w:hyperlink>
    </w:p>
  </w:footnote>
  <w:footnote w:id="2">
    <w:p w14:paraId="09A7835D" w14:textId="77777777" w:rsidR="007336EA" w:rsidRPr="00550195" w:rsidRDefault="007336EA" w:rsidP="0008415D">
      <w:pPr>
        <w:pStyle w:val="FootnoteText"/>
        <w:spacing w:after="0"/>
        <w:rPr>
          <w:sz w:val="20"/>
        </w:rPr>
      </w:pPr>
      <w:r w:rsidRPr="00550195">
        <w:rPr>
          <w:rStyle w:val="FootnoteReference"/>
          <w:rFonts w:ascii="Gill Sans MT" w:hAnsi="Gill Sans MT"/>
          <w:sz w:val="20"/>
        </w:rPr>
        <w:footnoteRef/>
      </w:r>
      <w:r w:rsidRPr="00550195">
        <w:rPr>
          <w:sz w:val="20"/>
        </w:rPr>
        <w:t xml:space="preserve"> </w:t>
      </w:r>
      <w:hyperlink r:id="rId2" w:history="1">
        <w:r w:rsidRPr="00550195">
          <w:rPr>
            <w:rStyle w:val="Hyperlink"/>
            <w:sz w:val="20"/>
            <w:u w:val="none"/>
          </w:rPr>
          <w:t>https://nda.ie/publications/participation-matters-guidelines-on-implementing-the-obligation-to-meaningfully-engage-with-disabled-people-in-public-decision-making</w:t>
        </w:r>
      </w:hyperlink>
    </w:p>
  </w:footnote>
  <w:footnote w:id="3">
    <w:p w14:paraId="7A674D24" w14:textId="77777777" w:rsidR="007336EA" w:rsidRDefault="007336EA" w:rsidP="0008415D">
      <w:pPr>
        <w:pStyle w:val="FootnoteText"/>
        <w:spacing w:after="0"/>
      </w:pPr>
      <w:r w:rsidRPr="0008415D">
        <w:rPr>
          <w:rStyle w:val="FootnoteReference"/>
          <w:rFonts w:ascii="Gill Sans MT" w:hAnsi="Gill Sans MT"/>
          <w:sz w:val="20"/>
        </w:rPr>
        <w:footnoteRef/>
      </w:r>
      <w:r w:rsidRPr="0008415D">
        <w:rPr>
          <w:sz w:val="20"/>
        </w:rPr>
        <w:t xml:space="preserve"> </w:t>
      </w:r>
      <w:hyperlink r:id="rId3" w:history="1">
        <w:r w:rsidRPr="0008415D">
          <w:rPr>
            <w:rStyle w:val="Hyperlink"/>
            <w:sz w:val="20"/>
          </w:rPr>
          <w:t>https://nda.ie/publications/nda-advice-paper-on-disability-language-and-terminology</w:t>
        </w:r>
      </w:hyperlink>
      <w:r>
        <w:t xml:space="preserve"> </w:t>
      </w:r>
    </w:p>
  </w:footnote>
  <w:footnote w:id="4">
    <w:p w14:paraId="0BC65370" w14:textId="77777777" w:rsidR="007336EA" w:rsidRDefault="007336EA" w:rsidP="00BE4994">
      <w:pPr>
        <w:pStyle w:val="FootnoteText"/>
      </w:pPr>
      <w:r>
        <w:rPr>
          <w:rStyle w:val="FootnoteReference"/>
        </w:rPr>
        <w:footnoteRef/>
      </w:r>
      <w:r>
        <w:t xml:space="preserve"> </w:t>
      </w:r>
      <w:hyperlink r:id="rId4" w:history="1">
        <w:r w:rsidRPr="005C2E43">
          <w:rPr>
            <w:rStyle w:val="Hyperlink"/>
          </w:rPr>
          <w:t>https://www.universaldesign.ie/built-environment/housing/</w:t>
        </w:r>
      </w:hyperlink>
      <w:r>
        <w:t xml:space="preserve"> </w:t>
      </w:r>
    </w:p>
  </w:footnote>
  <w:footnote w:id="5">
    <w:p w14:paraId="6F73381A" w14:textId="416B2FFA" w:rsidR="007336EA" w:rsidRDefault="007336EA">
      <w:pPr>
        <w:pStyle w:val="FootnoteText"/>
      </w:pPr>
      <w:r>
        <w:rPr>
          <w:rStyle w:val="FootnoteReference"/>
        </w:rPr>
        <w:footnoteRef/>
      </w:r>
      <w:r>
        <w:t xml:space="preserve"> Amended to include changing places toilets</w:t>
      </w:r>
    </w:p>
  </w:footnote>
  <w:footnote w:id="6">
    <w:p w14:paraId="4D229B02" w14:textId="0304AF2A" w:rsidR="007336EA" w:rsidRDefault="007336EA">
      <w:pPr>
        <w:pStyle w:val="FootnoteText"/>
      </w:pPr>
      <w:r>
        <w:rPr>
          <w:rStyle w:val="FootnoteReference"/>
        </w:rPr>
        <w:footnoteRef/>
      </w:r>
      <w:r>
        <w:t xml:space="preserve"> </w:t>
      </w:r>
      <w:hyperlink r:id="rId5" w:history="1">
        <w:r w:rsidRPr="0063668A">
          <w:rPr>
            <w:rStyle w:val="Hyperlink"/>
          </w:rPr>
          <w:t>https://www.gov.ie/en/publication/8072c0-national-disability-inclusion-strategy-2017-2021/</w:t>
        </w:r>
      </w:hyperlink>
      <w:r>
        <w:t xml:space="preserve"> </w:t>
      </w:r>
    </w:p>
  </w:footnote>
  <w:footnote w:id="7">
    <w:p w14:paraId="527BACC1" w14:textId="77777777" w:rsidR="007336EA" w:rsidRDefault="007336EA" w:rsidP="00BE4994">
      <w:pPr>
        <w:pStyle w:val="FootnoteText"/>
      </w:pPr>
      <w:r>
        <w:rPr>
          <w:rStyle w:val="FootnoteReference"/>
        </w:rPr>
        <w:footnoteRef/>
      </w:r>
      <w:r>
        <w:t xml:space="preserve"> </w:t>
      </w:r>
      <w:hyperlink r:id="rId6" w:history="1">
        <w:r w:rsidRPr="005C2E43">
          <w:rPr>
            <w:rStyle w:val="Hyperlink"/>
          </w:rPr>
          <w:t>https://www.gov.ie/en/publication/ea33c1-housing-options-for-our-ageing-population-policy-statement/</w:t>
        </w:r>
      </w:hyperlink>
      <w:r>
        <w:t xml:space="preserve"> </w:t>
      </w:r>
    </w:p>
  </w:footnote>
  <w:footnote w:id="8">
    <w:p w14:paraId="52004A21" w14:textId="55A1A5B8" w:rsidR="007336EA" w:rsidRDefault="007336EA">
      <w:pPr>
        <w:pStyle w:val="FootnoteText"/>
      </w:pPr>
      <w:r>
        <w:rPr>
          <w:rStyle w:val="FootnoteReference"/>
        </w:rPr>
        <w:footnoteRef/>
      </w:r>
      <w:r>
        <w:t xml:space="preserve"> </w:t>
      </w:r>
      <w:hyperlink r:id="rId7" w:history="1">
        <w:r w:rsidRPr="00E7365A">
          <w:rPr>
            <w:rStyle w:val="Hyperlink"/>
          </w:rPr>
          <w:t>https://www.gov.ie/en/publication/473d3-town-centre-first-policy/</w:t>
        </w:r>
      </w:hyperlink>
      <w:r>
        <w:t xml:space="preserve"> </w:t>
      </w:r>
    </w:p>
  </w:footnote>
  <w:footnote w:id="9">
    <w:p w14:paraId="75973DA9" w14:textId="44E5FDD6" w:rsidR="007336EA" w:rsidRDefault="007336EA">
      <w:pPr>
        <w:pStyle w:val="FootnoteText"/>
      </w:pPr>
      <w:r>
        <w:rPr>
          <w:rStyle w:val="FootnoteReference"/>
        </w:rPr>
        <w:footnoteRef/>
      </w:r>
      <w:r>
        <w:t xml:space="preserve"> </w:t>
      </w:r>
      <w:hyperlink r:id="rId8" w:history="1">
        <w:r w:rsidRPr="00FA56DE">
          <w:rPr>
            <w:rStyle w:val="Hyperlink"/>
          </w:rPr>
          <w:t>https://www.gov.uk/government/publications/changing-places-fund-allocation-of-funding-following-round-1-assessment</w:t>
        </w:r>
      </w:hyperlink>
      <w:r>
        <w:t xml:space="preserve"> </w:t>
      </w:r>
    </w:p>
  </w:footnote>
  <w:footnote w:id="10">
    <w:p w14:paraId="2BED321A" w14:textId="7E079486" w:rsidR="007336EA" w:rsidRDefault="007336EA">
      <w:pPr>
        <w:pStyle w:val="FootnoteText"/>
      </w:pPr>
      <w:r>
        <w:rPr>
          <w:rStyle w:val="FootnoteReference"/>
        </w:rPr>
        <w:footnoteRef/>
      </w:r>
      <w:r>
        <w:t xml:space="preserve"> </w:t>
      </w:r>
      <w:hyperlink r:id="rId9" w:history="1">
        <w:r w:rsidRPr="00D32D9F">
          <w:rPr>
            <w:rStyle w:val="Hyperlink"/>
          </w:rPr>
          <w:t>https://nda.ie/monitoring/monitoring-2-2/access-to-heritage-sites</w:t>
        </w:r>
      </w:hyperlink>
      <w:r>
        <w:t xml:space="preserve"> </w:t>
      </w:r>
    </w:p>
  </w:footnote>
  <w:footnote w:id="11">
    <w:p w14:paraId="04DA0536" w14:textId="77777777" w:rsidR="007336EA" w:rsidRDefault="007336EA" w:rsidP="00310BF9">
      <w:pPr>
        <w:pStyle w:val="FootnoteText"/>
      </w:pPr>
      <w:r>
        <w:rPr>
          <w:rStyle w:val="FootnoteReference"/>
        </w:rPr>
        <w:footnoteRef/>
      </w:r>
      <w:r>
        <w:t xml:space="preserve"> </w:t>
      </w:r>
      <w:hyperlink r:id="rId10" w:history="1">
        <w:r w:rsidRPr="009B3283">
          <w:rPr>
            <w:rStyle w:val="Hyperlink"/>
          </w:rPr>
          <w:t>https://www.disabilityrightsuk.org/enablefund</w:t>
        </w:r>
      </w:hyperlink>
      <w:r>
        <w:t xml:space="preserve"> </w:t>
      </w:r>
    </w:p>
  </w:footnote>
  <w:footnote w:id="12">
    <w:p w14:paraId="6675ACB1" w14:textId="73BB0DDD" w:rsidR="007336EA" w:rsidRDefault="007336EA">
      <w:pPr>
        <w:pStyle w:val="FootnoteText"/>
      </w:pPr>
      <w:r>
        <w:rPr>
          <w:rStyle w:val="FootnoteReference"/>
        </w:rPr>
        <w:footnoteRef/>
      </w:r>
      <w:r>
        <w:t xml:space="preserve"> </w:t>
      </w:r>
      <w:hyperlink r:id="rId11" w:history="1">
        <w:r w:rsidRPr="00FA20C1">
          <w:rPr>
            <w:rStyle w:val="Hyperlink"/>
          </w:rPr>
          <w:t>https://nda.ie/news/report-on-compliance-with-part-5-of-the-disability-act-2005-for-2021</w:t>
        </w:r>
      </w:hyperlink>
      <w:r>
        <w:t xml:space="preserve"> </w:t>
      </w:r>
    </w:p>
  </w:footnote>
  <w:footnote w:id="13">
    <w:p w14:paraId="5F4754A9" w14:textId="77777777" w:rsidR="007336EA" w:rsidRDefault="007336EA" w:rsidP="00914909">
      <w:pPr>
        <w:pStyle w:val="FootnoteText"/>
        <w:spacing w:after="0"/>
      </w:pPr>
      <w:r w:rsidRPr="00914909">
        <w:rPr>
          <w:rStyle w:val="FootnoteReference"/>
          <w:rFonts w:ascii="Gill Sans MT" w:hAnsi="Gill Sans MT"/>
          <w:sz w:val="20"/>
        </w:rPr>
        <w:footnoteRef/>
      </w:r>
      <w:r w:rsidRPr="00914909">
        <w:rPr>
          <w:sz w:val="20"/>
        </w:rPr>
        <w:t xml:space="preserve"> </w:t>
      </w:r>
      <w:hyperlink r:id="rId12" w:history="1">
        <w:r w:rsidRPr="00914909">
          <w:rPr>
            <w:rStyle w:val="Hyperlink"/>
            <w:sz w:val="20"/>
          </w:rPr>
          <w:t>https://nda.ie/publications/nda-annual-reports-on-compliance-with-part-5-of-the-disability-act</w:t>
        </w:r>
      </w:hyperlink>
    </w:p>
  </w:footnote>
  <w:footnote w:id="14">
    <w:p w14:paraId="32FE1319" w14:textId="0BD02A86" w:rsidR="007336EA" w:rsidRDefault="007336EA">
      <w:pPr>
        <w:pStyle w:val="FootnoteText"/>
      </w:pPr>
      <w:r>
        <w:rPr>
          <w:rStyle w:val="FootnoteReference"/>
        </w:rPr>
        <w:footnoteRef/>
      </w:r>
      <w:r>
        <w:t xml:space="preserve"> </w:t>
      </w:r>
      <w:hyperlink r:id="rId13" w:history="1">
        <w:r w:rsidRPr="00D32D9F">
          <w:rPr>
            <w:rStyle w:val="Hyperlink"/>
          </w:rPr>
          <w:t>https://nda.ie/monitoring/eu-web-accessibility-directive/how-nda-monitors-compliance-under-the-directive</w:t>
        </w:r>
      </w:hyperlink>
      <w:r>
        <w:t xml:space="preserve"> </w:t>
      </w:r>
    </w:p>
  </w:footnote>
  <w:footnote w:id="15">
    <w:p w14:paraId="7871DC45" w14:textId="4B43AEB3" w:rsidR="007336EA" w:rsidRDefault="007336EA">
      <w:pPr>
        <w:pStyle w:val="FootnoteText"/>
      </w:pPr>
      <w:r>
        <w:rPr>
          <w:rStyle w:val="FootnoteReference"/>
        </w:rPr>
        <w:footnoteRef/>
      </w:r>
      <w:r>
        <w:t xml:space="preserve"> </w:t>
      </w:r>
      <w:hyperlink r:id="rId14" w:history="1">
        <w:r w:rsidRPr="00D32D9F">
          <w:rPr>
            <w:rStyle w:val="Hyperlink"/>
          </w:rPr>
          <w:t>https://nda.ie/monitoring/eu-web-accessibility-directive/accessibility-statements</w:t>
        </w:r>
      </w:hyperlink>
      <w:r>
        <w:t xml:space="preserve"> </w:t>
      </w:r>
    </w:p>
  </w:footnote>
  <w:footnote w:id="16">
    <w:p w14:paraId="4E87B6DA" w14:textId="77777777" w:rsidR="007336EA" w:rsidRPr="00914909" w:rsidRDefault="007336EA" w:rsidP="00914909">
      <w:pPr>
        <w:pStyle w:val="FootnoteText"/>
        <w:spacing w:after="0"/>
        <w:rPr>
          <w:sz w:val="20"/>
        </w:rPr>
      </w:pPr>
      <w:r w:rsidRPr="00914909">
        <w:rPr>
          <w:rStyle w:val="FootnoteReference"/>
          <w:rFonts w:ascii="Gill Sans MT" w:hAnsi="Gill Sans MT"/>
          <w:sz w:val="20"/>
        </w:rPr>
        <w:footnoteRef/>
      </w:r>
      <w:r w:rsidRPr="00914909">
        <w:rPr>
          <w:sz w:val="20"/>
        </w:rPr>
        <w:t xml:space="preserve"> </w:t>
      </w:r>
      <w:hyperlink r:id="rId15" w:history="1">
        <w:r w:rsidRPr="00914909">
          <w:rPr>
            <w:rStyle w:val="Hyperlink"/>
            <w:sz w:val="20"/>
          </w:rPr>
          <w:t>Monitoring Report EU WAD Ireland 2021: NDA Report - National Disability Authority</w:t>
        </w:r>
      </w:hyperlink>
      <w:r w:rsidRPr="00914909">
        <w:rPr>
          <w:sz w:val="20"/>
        </w:rPr>
        <w:t xml:space="preserve"> </w:t>
      </w:r>
    </w:p>
  </w:footnote>
  <w:footnote w:id="17">
    <w:p w14:paraId="5C6205ED" w14:textId="33E1B518" w:rsidR="007336EA" w:rsidRDefault="007336EA">
      <w:pPr>
        <w:pStyle w:val="FootnoteText"/>
      </w:pPr>
      <w:r>
        <w:rPr>
          <w:rStyle w:val="FootnoteReference"/>
        </w:rPr>
        <w:footnoteRef/>
      </w:r>
      <w:r>
        <w:t xml:space="preserve"> </w:t>
      </w:r>
      <w:hyperlink r:id="rId16" w:history="1">
        <w:r w:rsidRPr="0063668A">
          <w:rPr>
            <w:rStyle w:val="Hyperlink"/>
          </w:rPr>
          <w:t>https://eur-lex.europa.eu/legal-content/EN/TXT/PDF/?uri=CELEX:32019L0882</w:t>
        </w:r>
      </w:hyperlink>
      <w:r>
        <w:t xml:space="preserve"> </w:t>
      </w:r>
    </w:p>
  </w:footnote>
  <w:footnote w:id="18">
    <w:p w14:paraId="54A457E1" w14:textId="234C7488" w:rsidR="007336EA" w:rsidRDefault="007336EA">
      <w:pPr>
        <w:pStyle w:val="FootnoteText"/>
      </w:pPr>
      <w:r>
        <w:rPr>
          <w:rStyle w:val="FootnoteReference"/>
        </w:rPr>
        <w:footnoteRef/>
      </w:r>
      <w:r>
        <w:t xml:space="preserve"> </w:t>
      </w:r>
      <w:hyperlink r:id="rId17" w:history="1">
        <w:r w:rsidRPr="002F3EDC">
          <w:rPr>
            <w:rStyle w:val="Hyperlink"/>
          </w:rPr>
          <w:t>https://universaldesign.ie/products-services/customer-communications-toolkit-for-services-to-the-public-a-universal-design-approach/</w:t>
        </w:r>
      </w:hyperlink>
      <w:r>
        <w:t xml:space="preserve"> </w:t>
      </w:r>
    </w:p>
  </w:footnote>
  <w:footnote w:id="19">
    <w:p w14:paraId="4A0AE87A" w14:textId="06D73153" w:rsidR="007336EA" w:rsidRDefault="007336EA">
      <w:pPr>
        <w:pStyle w:val="FootnoteText"/>
      </w:pPr>
      <w:r>
        <w:rPr>
          <w:rStyle w:val="FootnoteReference"/>
        </w:rPr>
        <w:footnoteRef/>
      </w:r>
      <w:r>
        <w:t xml:space="preserve"> </w:t>
      </w:r>
      <w:hyperlink r:id="rId18" w:history="1">
        <w:r w:rsidRPr="0063668A">
          <w:rPr>
            <w:rStyle w:val="Hyperlink"/>
          </w:rPr>
          <w:t>https://www.irishstatutebook.ie/eli/2016/si/284/made/en/print</w:t>
        </w:r>
      </w:hyperlink>
      <w:r>
        <w:t xml:space="preserve"> </w:t>
      </w:r>
    </w:p>
  </w:footnote>
  <w:footnote w:id="20">
    <w:p w14:paraId="425338C4" w14:textId="3E9A9BAC" w:rsidR="007336EA" w:rsidRDefault="007336EA">
      <w:pPr>
        <w:pStyle w:val="FootnoteText"/>
      </w:pPr>
      <w:r>
        <w:rPr>
          <w:rStyle w:val="FootnoteReference"/>
        </w:rPr>
        <w:footnoteRef/>
      </w:r>
      <w:r>
        <w:t xml:space="preserve"> </w:t>
      </w:r>
      <w:hyperlink r:id="rId19" w:history="1">
        <w:r w:rsidRPr="0063668A">
          <w:rPr>
            <w:rStyle w:val="Hyperlink"/>
          </w:rPr>
          <w:t>https://eur-lex.europa.eu/legal-content/EN/TXT/PDF/?uri=CELEX:32019L0882</w:t>
        </w:r>
      </w:hyperlink>
      <w:r>
        <w:t xml:space="preserve"> </w:t>
      </w:r>
    </w:p>
  </w:footnote>
  <w:footnote w:id="21">
    <w:p w14:paraId="0EBCE9F3" w14:textId="77777777" w:rsidR="007336EA" w:rsidRDefault="007336EA" w:rsidP="00D90F25">
      <w:pPr>
        <w:pStyle w:val="FootnoteText"/>
      </w:pPr>
      <w:r>
        <w:rPr>
          <w:rStyle w:val="FootnoteReference"/>
        </w:rPr>
        <w:footnoteRef/>
      </w:r>
      <w:r>
        <w:t xml:space="preserve"> </w:t>
      </w:r>
      <w:hyperlink r:id="rId20" w:history="1">
        <w:r w:rsidRPr="00E33BE3">
          <w:rPr>
            <w:rStyle w:val="Hyperlink"/>
          </w:rPr>
          <w:t>https://nda.ie/publications/an-operational-review-of-the-effectiveness-of-section-25-of-the-disability-act-2005-nda-report</w:t>
        </w:r>
      </w:hyperlink>
      <w:r>
        <w:t xml:space="preserve"> </w:t>
      </w:r>
    </w:p>
  </w:footnote>
  <w:footnote w:id="22">
    <w:p w14:paraId="629D06C8" w14:textId="77777777" w:rsidR="007336EA" w:rsidRPr="00520FEE" w:rsidRDefault="007336EA" w:rsidP="00A66340">
      <w:pPr>
        <w:pStyle w:val="FootnoteText"/>
        <w:spacing w:after="0"/>
        <w:rPr>
          <w:sz w:val="20"/>
        </w:rPr>
      </w:pPr>
      <w:r w:rsidRPr="00520FEE">
        <w:rPr>
          <w:rStyle w:val="FootnoteReference"/>
          <w:rFonts w:ascii="Gill Sans MT" w:hAnsi="Gill Sans MT"/>
          <w:sz w:val="20"/>
        </w:rPr>
        <w:footnoteRef/>
      </w:r>
      <w:r w:rsidRPr="00520FEE">
        <w:rPr>
          <w:sz w:val="20"/>
        </w:rPr>
        <w:t xml:space="preserve"> See Technical Annex 2 on the Public Body Survey: </w:t>
      </w:r>
      <w:hyperlink r:id="rId21" w:history="1">
        <w:r w:rsidRPr="00520FEE">
          <w:rPr>
            <w:rStyle w:val="Hyperlink"/>
            <w:sz w:val="20"/>
          </w:rPr>
          <w:t>Report on the Operation of the Irish Sign Language Act 2017 (December 2021) - National Disability Authority (nda.ie)</w:t>
        </w:r>
      </w:hyperlink>
      <w:r w:rsidRPr="00520FEE">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lvlText w:val=""/>
      <w:lvlJc w:val="left"/>
      <w:pPr>
        <w:tabs>
          <w:tab w:val="num" w:pos="360"/>
        </w:tabs>
        <w:ind w:left="360" w:hanging="360"/>
      </w:pPr>
      <w:rPr>
        <w:rFonts w:ascii="Symbol" w:hAnsi="Symbol" w:hint="default"/>
        <w:sz w:val="20"/>
        <w:szCs w:val="20"/>
      </w:rPr>
    </w:lvl>
  </w:abstractNum>
  <w:abstractNum w:abstractNumId="10" w15:restartNumberingAfterBreak="0">
    <w:nsid w:val="00C5248A"/>
    <w:multiLevelType w:val="hybridMultilevel"/>
    <w:tmpl w:val="1BD8A848"/>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1" w15:restartNumberingAfterBreak="0">
    <w:nsid w:val="00E501CE"/>
    <w:multiLevelType w:val="hybridMultilevel"/>
    <w:tmpl w:val="EEF255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3B546F0"/>
    <w:multiLevelType w:val="multilevel"/>
    <w:tmpl w:val="631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F5ABB"/>
    <w:multiLevelType w:val="hybridMultilevel"/>
    <w:tmpl w:val="E1FE5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3C3917"/>
    <w:multiLevelType w:val="hybridMultilevel"/>
    <w:tmpl w:val="E766B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B175BB4"/>
    <w:multiLevelType w:val="hybridMultilevel"/>
    <w:tmpl w:val="B178E4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6C7B11"/>
    <w:multiLevelType w:val="hybridMultilevel"/>
    <w:tmpl w:val="703653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0866D6"/>
    <w:multiLevelType w:val="hybridMultilevel"/>
    <w:tmpl w:val="FF12F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730E10"/>
    <w:multiLevelType w:val="hybridMultilevel"/>
    <w:tmpl w:val="4C28E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223782"/>
    <w:multiLevelType w:val="hybridMultilevel"/>
    <w:tmpl w:val="582E6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82A439E"/>
    <w:multiLevelType w:val="hybridMultilevel"/>
    <w:tmpl w:val="8EA61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A526C39"/>
    <w:multiLevelType w:val="hybridMultilevel"/>
    <w:tmpl w:val="27809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3F80A78"/>
    <w:multiLevelType w:val="hybridMultilevel"/>
    <w:tmpl w:val="BF0EFB36"/>
    <w:lvl w:ilvl="0" w:tplc="13FAE528">
      <w:start w:val="30"/>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5212D1A"/>
    <w:multiLevelType w:val="multilevel"/>
    <w:tmpl w:val="FCEC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C7455"/>
    <w:multiLevelType w:val="hybridMultilevel"/>
    <w:tmpl w:val="548C16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0A6F5B"/>
    <w:multiLevelType w:val="hybridMultilevel"/>
    <w:tmpl w:val="A3962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D0636A"/>
    <w:multiLevelType w:val="hybridMultilevel"/>
    <w:tmpl w:val="61D21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F495038"/>
    <w:multiLevelType w:val="hybridMultilevel"/>
    <w:tmpl w:val="E09421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73AF9"/>
    <w:multiLevelType w:val="hybridMultilevel"/>
    <w:tmpl w:val="33BE4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9C28E5"/>
    <w:multiLevelType w:val="hybridMultilevel"/>
    <w:tmpl w:val="1BD41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7CA7761"/>
    <w:multiLevelType w:val="hybridMultilevel"/>
    <w:tmpl w:val="26CA88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7A326B"/>
    <w:multiLevelType w:val="hybridMultilevel"/>
    <w:tmpl w:val="8982B6B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8739B1"/>
    <w:multiLevelType w:val="hybridMultilevel"/>
    <w:tmpl w:val="FA2AD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32047B"/>
    <w:multiLevelType w:val="hybridMultilevel"/>
    <w:tmpl w:val="2E5864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A111EED"/>
    <w:multiLevelType w:val="hybridMultilevel"/>
    <w:tmpl w:val="B882C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7C04A2"/>
    <w:multiLevelType w:val="hybridMultilevel"/>
    <w:tmpl w:val="F732E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13886717">
    <w:abstractNumId w:val="9"/>
  </w:num>
  <w:num w:numId="2" w16cid:durableId="1635410621">
    <w:abstractNumId w:val="9"/>
  </w:num>
  <w:num w:numId="3" w16cid:durableId="459421046">
    <w:abstractNumId w:val="7"/>
  </w:num>
  <w:num w:numId="4" w16cid:durableId="1887252766">
    <w:abstractNumId w:val="7"/>
  </w:num>
  <w:num w:numId="5" w16cid:durableId="335765434">
    <w:abstractNumId w:val="6"/>
  </w:num>
  <w:num w:numId="6" w16cid:durableId="769737880">
    <w:abstractNumId w:val="6"/>
  </w:num>
  <w:num w:numId="7" w16cid:durableId="390884363">
    <w:abstractNumId w:val="8"/>
  </w:num>
  <w:num w:numId="8" w16cid:durableId="1677224104">
    <w:abstractNumId w:val="8"/>
  </w:num>
  <w:num w:numId="9" w16cid:durableId="495347611">
    <w:abstractNumId w:val="3"/>
  </w:num>
  <w:num w:numId="10" w16cid:durableId="1193809347">
    <w:abstractNumId w:val="3"/>
  </w:num>
  <w:num w:numId="11" w16cid:durableId="1778254135">
    <w:abstractNumId w:val="2"/>
  </w:num>
  <w:num w:numId="12" w16cid:durableId="465702765">
    <w:abstractNumId w:val="2"/>
  </w:num>
  <w:num w:numId="13" w16cid:durableId="238828199">
    <w:abstractNumId w:val="5"/>
  </w:num>
  <w:num w:numId="14" w16cid:durableId="828209793">
    <w:abstractNumId w:val="4"/>
  </w:num>
  <w:num w:numId="15" w16cid:durableId="57241684">
    <w:abstractNumId w:val="1"/>
  </w:num>
  <w:num w:numId="16" w16cid:durableId="619607078">
    <w:abstractNumId w:val="0"/>
  </w:num>
  <w:num w:numId="17" w16cid:durableId="822893058">
    <w:abstractNumId w:val="15"/>
  </w:num>
  <w:num w:numId="18" w16cid:durableId="1888223320">
    <w:abstractNumId w:val="33"/>
  </w:num>
  <w:num w:numId="19" w16cid:durableId="1307278216">
    <w:abstractNumId w:val="16"/>
  </w:num>
  <w:num w:numId="20" w16cid:durableId="2050454846">
    <w:abstractNumId w:val="24"/>
  </w:num>
  <w:num w:numId="21" w16cid:durableId="872809334">
    <w:abstractNumId w:val="35"/>
  </w:num>
  <w:num w:numId="22" w16cid:durableId="358089277">
    <w:abstractNumId w:val="20"/>
  </w:num>
  <w:num w:numId="23" w16cid:durableId="1251546861">
    <w:abstractNumId w:val="22"/>
  </w:num>
  <w:num w:numId="24" w16cid:durableId="1127239216">
    <w:abstractNumId w:val="27"/>
  </w:num>
  <w:num w:numId="25" w16cid:durableId="1470896993">
    <w:abstractNumId w:val="21"/>
  </w:num>
  <w:num w:numId="26" w16cid:durableId="1087536319">
    <w:abstractNumId w:val="33"/>
  </w:num>
  <w:num w:numId="27" w16cid:durableId="1680934955">
    <w:abstractNumId w:val="23"/>
  </w:num>
  <w:num w:numId="28" w16cid:durableId="1212960102">
    <w:abstractNumId w:val="17"/>
  </w:num>
  <w:num w:numId="29" w16cid:durableId="378282337">
    <w:abstractNumId w:val="32"/>
  </w:num>
  <w:num w:numId="30" w16cid:durableId="1336494420">
    <w:abstractNumId w:val="28"/>
  </w:num>
  <w:num w:numId="31" w16cid:durableId="2048025567">
    <w:abstractNumId w:val="26"/>
  </w:num>
  <w:num w:numId="32" w16cid:durableId="999962044">
    <w:abstractNumId w:val="12"/>
  </w:num>
  <w:num w:numId="33" w16cid:durableId="1157651164">
    <w:abstractNumId w:val="29"/>
  </w:num>
  <w:num w:numId="34" w16cid:durableId="13190704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4054556">
    <w:abstractNumId w:val="11"/>
  </w:num>
  <w:num w:numId="36" w16cid:durableId="1562055173">
    <w:abstractNumId w:val="30"/>
  </w:num>
  <w:num w:numId="37" w16cid:durableId="642808737">
    <w:abstractNumId w:val="10"/>
  </w:num>
  <w:num w:numId="38" w16cid:durableId="1759979118">
    <w:abstractNumId w:val="34"/>
  </w:num>
  <w:num w:numId="39" w16cid:durableId="1323705811">
    <w:abstractNumId w:val="14"/>
  </w:num>
  <w:num w:numId="40" w16cid:durableId="1958873222">
    <w:abstractNumId w:val="19"/>
  </w:num>
  <w:num w:numId="41" w16cid:durableId="1600329845">
    <w:abstractNumId w:val="25"/>
  </w:num>
  <w:num w:numId="42" w16cid:durableId="1904945121">
    <w:abstractNumId w:val="8"/>
    <w:lvlOverride w:ilvl="0">
      <w:startOverride w:val="1"/>
    </w:lvlOverride>
  </w:num>
  <w:num w:numId="43" w16cid:durableId="366685082">
    <w:abstractNumId w:val="18"/>
  </w:num>
  <w:num w:numId="44" w16cid:durableId="921645927">
    <w:abstractNumId w:val="13"/>
  </w:num>
  <w:num w:numId="45" w16cid:durableId="101988740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09A"/>
    <w:rsid w:val="00002FBF"/>
    <w:rsid w:val="00005D0C"/>
    <w:rsid w:val="00006D27"/>
    <w:rsid w:val="00006FB3"/>
    <w:rsid w:val="00010A08"/>
    <w:rsid w:val="0001171D"/>
    <w:rsid w:val="0001243D"/>
    <w:rsid w:val="0001426A"/>
    <w:rsid w:val="0001446D"/>
    <w:rsid w:val="0001616D"/>
    <w:rsid w:val="0001762E"/>
    <w:rsid w:val="000220CA"/>
    <w:rsid w:val="000228CA"/>
    <w:rsid w:val="00023FCE"/>
    <w:rsid w:val="0002440C"/>
    <w:rsid w:val="00024523"/>
    <w:rsid w:val="00026CE2"/>
    <w:rsid w:val="00027CB9"/>
    <w:rsid w:val="000324AA"/>
    <w:rsid w:val="00033FC1"/>
    <w:rsid w:val="0003508A"/>
    <w:rsid w:val="000352A7"/>
    <w:rsid w:val="00035A0D"/>
    <w:rsid w:val="00037521"/>
    <w:rsid w:val="0003760C"/>
    <w:rsid w:val="00042253"/>
    <w:rsid w:val="00042669"/>
    <w:rsid w:val="000433AD"/>
    <w:rsid w:val="00043EAC"/>
    <w:rsid w:val="00044295"/>
    <w:rsid w:val="0004487C"/>
    <w:rsid w:val="0004523F"/>
    <w:rsid w:val="000460B0"/>
    <w:rsid w:val="00047CD3"/>
    <w:rsid w:val="00052B46"/>
    <w:rsid w:val="000532D4"/>
    <w:rsid w:val="00053DAE"/>
    <w:rsid w:val="000541C0"/>
    <w:rsid w:val="00055870"/>
    <w:rsid w:val="00060CC4"/>
    <w:rsid w:val="00060DEE"/>
    <w:rsid w:val="000616CD"/>
    <w:rsid w:val="0006179C"/>
    <w:rsid w:val="0006230F"/>
    <w:rsid w:val="000627B1"/>
    <w:rsid w:val="0006366A"/>
    <w:rsid w:val="00063708"/>
    <w:rsid w:val="0006463B"/>
    <w:rsid w:val="000646A7"/>
    <w:rsid w:val="00064EE2"/>
    <w:rsid w:val="000655BE"/>
    <w:rsid w:val="00066BA7"/>
    <w:rsid w:val="00067014"/>
    <w:rsid w:val="000714D8"/>
    <w:rsid w:val="00071B17"/>
    <w:rsid w:val="00074A84"/>
    <w:rsid w:val="00075120"/>
    <w:rsid w:val="00075E69"/>
    <w:rsid w:val="00081F59"/>
    <w:rsid w:val="000831F6"/>
    <w:rsid w:val="00083E58"/>
    <w:rsid w:val="0008415D"/>
    <w:rsid w:val="00084885"/>
    <w:rsid w:val="00085194"/>
    <w:rsid w:val="00085FC1"/>
    <w:rsid w:val="00086889"/>
    <w:rsid w:val="000869CD"/>
    <w:rsid w:val="00086C7E"/>
    <w:rsid w:val="00091A0C"/>
    <w:rsid w:val="00092433"/>
    <w:rsid w:val="00093154"/>
    <w:rsid w:val="00094A83"/>
    <w:rsid w:val="00095E0B"/>
    <w:rsid w:val="000A0212"/>
    <w:rsid w:val="000A0B9E"/>
    <w:rsid w:val="000A133E"/>
    <w:rsid w:val="000A2112"/>
    <w:rsid w:val="000A34A2"/>
    <w:rsid w:val="000A3C85"/>
    <w:rsid w:val="000A517E"/>
    <w:rsid w:val="000B0E34"/>
    <w:rsid w:val="000B120A"/>
    <w:rsid w:val="000B25A4"/>
    <w:rsid w:val="000C0549"/>
    <w:rsid w:val="000C11E8"/>
    <w:rsid w:val="000C29E0"/>
    <w:rsid w:val="000C5578"/>
    <w:rsid w:val="000C7112"/>
    <w:rsid w:val="000C7B2A"/>
    <w:rsid w:val="000D1F5A"/>
    <w:rsid w:val="000D3921"/>
    <w:rsid w:val="000D4A98"/>
    <w:rsid w:val="000D561F"/>
    <w:rsid w:val="000D76C6"/>
    <w:rsid w:val="000E13C8"/>
    <w:rsid w:val="000E2042"/>
    <w:rsid w:val="000E251E"/>
    <w:rsid w:val="000E3F15"/>
    <w:rsid w:val="000E68C2"/>
    <w:rsid w:val="000E7511"/>
    <w:rsid w:val="000E7BC0"/>
    <w:rsid w:val="000F03A4"/>
    <w:rsid w:val="000F3E0C"/>
    <w:rsid w:val="000F44B3"/>
    <w:rsid w:val="000F497C"/>
    <w:rsid w:val="000F4A39"/>
    <w:rsid w:val="000F4A77"/>
    <w:rsid w:val="000F4C58"/>
    <w:rsid w:val="000F527F"/>
    <w:rsid w:val="000F5A7D"/>
    <w:rsid w:val="000F5B62"/>
    <w:rsid w:val="000F6A36"/>
    <w:rsid w:val="000F72E3"/>
    <w:rsid w:val="000F764E"/>
    <w:rsid w:val="00101AC4"/>
    <w:rsid w:val="00101E08"/>
    <w:rsid w:val="00105400"/>
    <w:rsid w:val="0011041D"/>
    <w:rsid w:val="00110FF6"/>
    <w:rsid w:val="001111DB"/>
    <w:rsid w:val="001117FB"/>
    <w:rsid w:val="001125F9"/>
    <w:rsid w:val="001130E2"/>
    <w:rsid w:val="00114115"/>
    <w:rsid w:val="00114C58"/>
    <w:rsid w:val="00121CAB"/>
    <w:rsid w:val="00123C48"/>
    <w:rsid w:val="00125FFD"/>
    <w:rsid w:val="001269E0"/>
    <w:rsid w:val="0013102E"/>
    <w:rsid w:val="00131537"/>
    <w:rsid w:val="00134370"/>
    <w:rsid w:val="001364B3"/>
    <w:rsid w:val="00136A06"/>
    <w:rsid w:val="0013743F"/>
    <w:rsid w:val="00137473"/>
    <w:rsid w:val="00140043"/>
    <w:rsid w:val="0014085C"/>
    <w:rsid w:val="001431FE"/>
    <w:rsid w:val="001432DC"/>
    <w:rsid w:val="001445D8"/>
    <w:rsid w:val="00144B36"/>
    <w:rsid w:val="00146D95"/>
    <w:rsid w:val="0015096D"/>
    <w:rsid w:val="00150BA9"/>
    <w:rsid w:val="00150D6F"/>
    <w:rsid w:val="00151294"/>
    <w:rsid w:val="00152900"/>
    <w:rsid w:val="00152AA5"/>
    <w:rsid w:val="00152C81"/>
    <w:rsid w:val="001600E4"/>
    <w:rsid w:val="0016033B"/>
    <w:rsid w:val="00160C5E"/>
    <w:rsid w:val="00161591"/>
    <w:rsid w:val="00163B31"/>
    <w:rsid w:val="00165672"/>
    <w:rsid w:val="00165A1E"/>
    <w:rsid w:val="00165E13"/>
    <w:rsid w:val="00166153"/>
    <w:rsid w:val="001673CB"/>
    <w:rsid w:val="0017308F"/>
    <w:rsid w:val="0017351E"/>
    <w:rsid w:val="00173E8F"/>
    <w:rsid w:val="001769E1"/>
    <w:rsid w:val="001771CF"/>
    <w:rsid w:val="00177247"/>
    <w:rsid w:val="00181FE6"/>
    <w:rsid w:val="00184D55"/>
    <w:rsid w:val="00185B40"/>
    <w:rsid w:val="001870D6"/>
    <w:rsid w:val="00187425"/>
    <w:rsid w:val="00193607"/>
    <w:rsid w:val="00193ABD"/>
    <w:rsid w:val="00194174"/>
    <w:rsid w:val="00197AC9"/>
    <w:rsid w:val="001A0C5F"/>
    <w:rsid w:val="001A0F61"/>
    <w:rsid w:val="001B1096"/>
    <w:rsid w:val="001B2192"/>
    <w:rsid w:val="001B2560"/>
    <w:rsid w:val="001B26F7"/>
    <w:rsid w:val="001B3FC9"/>
    <w:rsid w:val="001B5810"/>
    <w:rsid w:val="001B5FBB"/>
    <w:rsid w:val="001B61CB"/>
    <w:rsid w:val="001B6752"/>
    <w:rsid w:val="001C03FA"/>
    <w:rsid w:val="001C12F9"/>
    <w:rsid w:val="001C16FD"/>
    <w:rsid w:val="001C1986"/>
    <w:rsid w:val="001C1A75"/>
    <w:rsid w:val="001C6570"/>
    <w:rsid w:val="001D08A6"/>
    <w:rsid w:val="001D0E54"/>
    <w:rsid w:val="001D17A3"/>
    <w:rsid w:val="001D32F8"/>
    <w:rsid w:val="001D4205"/>
    <w:rsid w:val="001D4B6E"/>
    <w:rsid w:val="001D6C2C"/>
    <w:rsid w:val="001E04D0"/>
    <w:rsid w:val="001E0590"/>
    <w:rsid w:val="001E1936"/>
    <w:rsid w:val="001E1E36"/>
    <w:rsid w:val="001E2640"/>
    <w:rsid w:val="001E536E"/>
    <w:rsid w:val="001E6557"/>
    <w:rsid w:val="001E6A21"/>
    <w:rsid w:val="001E6F68"/>
    <w:rsid w:val="001F2D27"/>
    <w:rsid w:val="001F51F4"/>
    <w:rsid w:val="001F56F2"/>
    <w:rsid w:val="001F5D87"/>
    <w:rsid w:val="002016CD"/>
    <w:rsid w:val="002025C7"/>
    <w:rsid w:val="002048D1"/>
    <w:rsid w:val="002052F2"/>
    <w:rsid w:val="002108F4"/>
    <w:rsid w:val="00211ACF"/>
    <w:rsid w:val="00211BEB"/>
    <w:rsid w:val="002121A1"/>
    <w:rsid w:val="00212771"/>
    <w:rsid w:val="002134A3"/>
    <w:rsid w:val="002151D8"/>
    <w:rsid w:val="002158B4"/>
    <w:rsid w:val="00215919"/>
    <w:rsid w:val="00216425"/>
    <w:rsid w:val="002166C6"/>
    <w:rsid w:val="0022129F"/>
    <w:rsid w:val="00221761"/>
    <w:rsid w:val="00227C39"/>
    <w:rsid w:val="0023036E"/>
    <w:rsid w:val="00231563"/>
    <w:rsid w:val="00231963"/>
    <w:rsid w:val="00231BDA"/>
    <w:rsid w:val="002328BA"/>
    <w:rsid w:val="002334CE"/>
    <w:rsid w:val="0023395F"/>
    <w:rsid w:val="00234BA3"/>
    <w:rsid w:val="0023581D"/>
    <w:rsid w:val="002368F2"/>
    <w:rsid w:val="00236A02"/>
    <w:rsid w:val="00237E8A"/>
    <w:rsid w:val="00242EA4"/>
    <w:rsid w:val="00252CA7"/>
    <w:rsid w:val="00254BFD"/>
    <w:rsid w:val="00254FFA"/>
    <w:rsid w:val="002552FB"/>
    <w:rsid w:val="002558C8"/>
    <w:rsid w:val="0025595D"/>
    <w:rsid w:val="00256B49"/>
    <w:rsid w:val="002575D6"/>
    <w:rsid w:val="002602C7"/>
    <w:rsid w:val="00263966"/>
    <w:rsid w:val="00264EF5"/>
    <w:rsid w:val="0026622C"/>
    <w:rsid w:val="002667A9"/>
    <w:rsid w:val="002677EE"/>
    <w:rsid w:val="002702C5"/>
    <w:rsid w:val="00271295"/>
    <w:rsid w:val="00275162"/>
    <w:rsid w:val="002755DD"/>
    <w:rsid w:val="00276CCD"/>
    <w:rsid w:val="002770A8"/>
    <w:rsid w:val="0027717A"/>
    <w:rsid w:val="0027765E"/>
    <w:rsid w:val="0027794D"/>
    <w:rsid w:val="00280073"/>
    <w:rsid w:val="00280846"/>
    <w:rsid w:val="00281DE2"/>
    <w:rsid w:val="00284606"/>
    <w:rsid w:val="00284E78"/>
    <w:rsid w:val="00284F5F"/>
    <w:rsid w:val="0028614B"/>
    <w:rsid w:val="00287B8E"/>
    <w:rsid w:val="00290617"/>
    <w:rsid w:val="00290F10"/>
    <w:rsid w:val="00291822"/>
    <w:rsid w:val="00295382"/>
    <w:rsid w:val="00297BD2"/>
    <w:rsid w:val="002A3FE3"/>
    <w:rsid w:val="002A4777"/>
    <w:rsid w:val="002A5038"/>
    <w:rsid w:val="002A6326"/>
    <w:rsid w:val="002B09F1"/>
    <w:rsid w:val="002B36F8"/>
    <w:rsid w:val="002B3A24"/>
    <w:rsid w:val="002B5BF4"/>
    <w:rsid w:val="002B5D3E"/>
    <w:rsid w:val="002B6F03"/>
    <w:rsid w:val="002C06E0"/>
    <w:rsid w:val="002C202C"/>
    <w:rsid w:val="002C3702"/>
    <w:rsid w:val="002C40C3"/>
    <w:rsid w:val="002C4FDD"/>
    <w:rsid w:val="002C6785"/>
    <w:rsid w:val="002D03ED"/>
    <w:rsid w:val="002D05B0"/>
    <w:rsid w:val="002D0E1A"/>
    <w:rsid w:val="002D214A"/>
    <w:rsid w:val="002D4420"/>
    <w:rsid w:val="002D51B4"/>
    <w:rsid w:val="002D5C66"/>
    <w:rsid w:val="002E1821"/>
    <w:rsid w:val="002E1848"/>
    <w:rsid w:val="002E1AB6"/>
    <w:rsid w:val="002E5AE0"/>
    <w:rsid w:val="002E68F4"/>
    <w:rsid w:val="002E6FF8"/>
    <w:rsid w:val="002F006B"/>
    <w:rsid w:val="002F7AA0"/>
    <w:rsid w:val="003019AE"/>
    <w:rsid w:val="00303E0B"/>
    <w:rsid w:val="00305924"/>
    <w:rsid w:val="00306A13"/>
    <w:rsid w:val="00306A50"/>
    <w:rsid w:val="00306E36"/>
    <w:rsid w:val="00307585"/>
    <w:rsid w:val="00310BF9"/>
    <w:rsid w:val="003172F9"/>
    <w:rsid w:val="00321297"/>
    <w:rsid w:val="00322A31"/>
    <w:rsid w:val="00322D97"/>
    <w:rsid w:val="003233BA"/>
    <w:rsid w:val="00323741"/>
    <w:rsid w:val="00324DCB"/>
    <w:rsid w:val="00325A0D"/>
    <w:rsid w:val="00326AA8"/>
    <w:rsid w:val="00326EBD"/>
    <w:rsid w:val="00327993"/>
    <w:rsid w:val="00327FA9"/>
    <w:rsid w:val="0033125D"/>
    <w:rsid w:val="00334954"/>
    <w:rsid w:val="00334D68"/>
    <w:rsid w:val="00342EB2"/>
    <w:rsid w:val="003450FE"/>
    <w:rsid w:val="003452C5"/>
    <w:rsid w:val="0034698C"/>
    <w:rsid w:val="00346D0C"/>
    <w:rsid w:val="00347440"/>
    <w:rsid w:val="0035022A"/>
    <w:rsid w:val="00353941"/>
    <w:rsid w:val="00354563"/>
    <w:rsid w:val="00354DD3"/>
    <w:rsid w:val="0035560B"/>
    <w:rsid w:val="003560E3"/>
    <w:rsid w:val="00360712"/>
    <w:rsid w:val="003639C9"/>
    <w:rsid w:val="00364DDE"/>
    <w:rsid w:val="003674F2"/>
    <w:rsid w:val="003700BD"/>
    <w:rsid w:val="003716CB"/>
    <w:rsid w:val="003750B7"/>
    <w:rsid w:val="00376728"/>
    <w:rsid w:val="00382ABB"/>
    <w:rsid w:val="00385EC6"/>
    <w:rsid w:val="003926AF"/>
    <w:rsid w:val="00392C52"/>
    <w:rsid w:val="0039392F"/>
    <w:rsid w:val="00393CF3"/>
    <w:rsid w:val="003944A4"/>
    <w:rsid w:val="00395753"/>
    <w:rsid w:val="003A05CC"/>
    <w:rsid w:val="003A0AAE"/>
    <w:rsid w:val="003A39BD"/>
    <w:rsid w:val="003A44C8"/>
    <w:rsid w:val="003A4C08"/>
    <w:rsid w:val="003A7436"/>
    <w:rsid w:val="003B04E4"/>
    <w:rsid w:val="003B10EC"/>
    <w:rsid w:val="003B1749"/>
    <w:rsid w:val="003B17C3"/>
    <w:rsid w:val="003B2DEB"/>
    <w:rsid w:val="003B31B1"/>
    <w:rsid w:val="003B4891"/>
    <w:rsid w:val="003B4D63"/>
    <w:rsid w:val="003B57D5"/>
    <w:rsid w:val="003C3670"/>
    <w:rsid w:val="003C5008"/>
    <w:rsid w:val="003C5331"/>
    <w:rsid w:val="003C61E8"/>
    <w:rsid w:val="003C7A5A"/>
    <w:rsid w:val="003D0C37"/>
    <w:rsid w:val="003D635E"/>
    <w:rsid w:val="003D6B4D"/>
    <w:rsid w:val="003D71FB"/>
    <w:rsid w:val="003D726B"/>
    <w:rsid w:val="003D7B65"/>
    <w:rsid w:val="003E6627"/>
    <w:rsid w:val="003F1334"/>
    <w:rsid w:val="003F2874"/>
    <w:rsid w:val="003F330A"/>
    <w:rsid w:val="003F360A"/>
    <w:rsid w:val="003F40BF"/>
    <w:rsid w:val="003F549D"/>
    <w:rsid w:val="003F5766"/>
    <w:rsid w:val="003F5B83"/>
    <w:rsid w:val="003F5F1B"/>
    <w:rsid w:val="004011C1"/>
    <w:rsid w:val="004016B4"/>
    <w:rsid w:val="00401E40"/>
    <w:rsid w:val="00402126"/>
    <w:rsid w:val="0040221F"/>
    <w:rsid w:val="004023DD"/>
    <w:rsid w:val="00402C5C"/>
    <w:rsid w:val="00402FC2"/>
    <w:rsid w:val="00403427"/>
    <w:rsid w:val="00403EA5"/>
    <w:rsid w:val="00404C6C"/>
    <w:rsid w:val="0040522C"/>
    <w:rsid w:val="00407AAF"/>
    <w:rsid w:val="00410D5E"/>
    <w:rsid w:val="0041121C"/>
    <w:rsid w:val="00413A28"/>
    <w:rsid w:val="00413EC1"/>
    <w:rsid w:val="00414CA8"/>
    <w:rsid w:val="0041504B"/>
    <w:rsid w:val="00416087"/>
    <w:rsid w:val="00417AB8"/>
    <w:rsid w:val="00417ECF"/>
    <w:rsid w:val="00421222"/>
    <w:rsid w:val="0042232F"/>
    <w:rsid w:val="004228A9"/>
    <w:rsid w:val="00422F5D"/>
    <w:rsid w:val="00423573"/>
    <w:rsid w:val="0042403F"/>
    <w:rsid w:val="0042424D"/>
    <w:rsid w:val="00425D4A"/>
    <w:rsid w:val="00425E44"/>
    <w:rsid w:val="004262BB"/>
    <w:rsid w:val="004267D9"/>
    <w:rsid w:val="00426900"/>
    <w:rsid w:val="00426D76"/>
    <w:rsid w:val="00432A5D"/>
    <w:rsid w:val="00432C07"/>
    <w:rsid w:val="004351C9"/>
    <w:rsid w:val="00435924"/>
    <w:rsid w:val="00435C21"/>
    <w:rsid w:val="00437014"/>
    <w:rsid w:val="004410EC"/>
    <w:rsid w:val="0044238B"/>
    <w:rsid w:val="00442FEF"/>
    <w:rsid w:val="004471A0"/>
    <w:rsid w:val="00447B6F"/>
    <w:rsid w:val="00447D14"/>
    <w:rsid w:val="00451F08"/>
    <w:rsid w:val="00452FB7"/>
    <w:rsid w:val="00453C0C"/>
    <w:rsid w:val="00455BCD"/>
    <w:rsid w:val="00455C45"/>
    <w:rsid w:val="004571E9"/>
    <w:rsid w:val="00464444"/>
    <w:rsid w:val="00464C4C"/>
    <w:rsid w:val="0046563F"/>
    <w:rsid w:val="004667FC"/>
    <w:rsid w:val="00466B3A"/>
    <w:rsid w:val="00472699"/>
    <w:rsid w:val="0047682C"/>
    <w:rsid w:val="004800EA"/>
    <w:rsid w:val="004816AA"/>
    <w:rsid w:val="00482C65"/>
    <w:rsid w:val="00484455"/>
    <w:rsid w:val="00484E11"/>
    <w:rsid w:val="00485E63"/>
    <w:rsid w:val="00486698"/>
    <w:rsid w:val="00487252"/>
    <w:rsid w:val="0049133A"/>
    <w:rsid w:val="004934C9"/>
    <w:rsid w:val="00495E13"/>
    <w:rsid w:val="004A0303"/>
    <w:rsid w:val="004A0DED"/>
    <w:rsid w:val="004A2592"/>
    <w:rsid w:val="004A2B86"/>
    <w:rsid w:val="004A32A6"/>
    <w:rsid w:val="004A3945"/>
    <w:rsid w:val="004A3EDA"/>
    <w:rsid w:val="004A6250"/>
    <w:rsid w:val="004B12E7"/>
    <w:rsid w:val="004B4B09"/>
    <w:rsid w:val="004B7565"/>
    <w:rsid w:val="004B758F"/>
    <w:rsid w:val="004B7884"/>
    <w:rsid w:val="004B7EDB"/>
    <w:rsid w:val="004C06E2"/>
    <w:rsid w:val="004C1881"/>
    <w:rsid w:val="004C3390"/>
    <w:rsid w:val="004C5836"/>
    <w:rsid w:val="004C7B16"/>
    <w:rsid w:val="004D277A"/>
    <w:rsid w:val="004D2D5E"/>
    <w:rsid w:val="004D45F6"/>
    <w:rsid w:val="004D563E"/>
    <w:rsid w:val="004D5CF0"/>
    <w:rsid w:val="004D6010"/>
    <w:rsid w:val="004E30E4"/>
    <w:rsid w:val="004E46FD"/>
    <w:rsid w:val="004E6FD1"/>
    <w:rsid w:val="004E7278"/>
    <w:rsid w:val="004F0B05"/>
    <w:rsid w:val="004F1301"/>
    <w:rsid w:val="004F4590"/>
    <w:rsid w:val="004F7208"/>
    <w:rsid w:val="004F7A5C"/>
    <w:rsid w:val="00503F27"/>
    <w:rsid w:val="005050A6"/>
    <w:rsid w:val="00506BF7"/>
    <w:rsid w:val="0051203E"/>
    <w:rsid w:val="00512148"/>
    <w:rsid w:val="00513029"/>
    <w:rsid w:val="005130EF"/>
    <w:rsid w:val="0051336F"/>
    <w:rsid w:val="00515CEC"/>
    <w:rsid w:val="0052012D"/>
    <w:rsid w:val="005202D4"/>
    <w:rsid w:val="00520FEE"/>
    <w:rsid w:val="005237FB"/>
    <w:rsid w:val="00526529"/>
    <w:rsid w:val="00526872"/>
    <w:rsid w:val="005272C2"/>
    <w:rsid w:val="00530CD0"/>
    <w:rsid w:val="00531BE2"/>
    <w:rsid w:val="00534444"/>
    <w:rsid w:val="00534E43"/>
    <w:rsid w:val="00535160"/>
    <w:rsid w:val="00537596"/>
    <w:rsid w:val="00540956"/>
    <w:rsid w:val="00541F96"/>
    <w:rsid w:val="005433F3"/>
    <w:rsid w:val="00544335"/>
    <w:rsid w:val="00544763"/>
    <w:rsid w:val="00544E8C"/>
    <w:rsid w:val="0054533C"/>
    <w:rsid w:val="0054637F"/>
    <w:rsid w:val="00547BD9"/>
    <w:rsid w:val="00550195"/>
    <w:rsid w:val="00551D87"/>
    <w:rsid w:val="00553FE1"/>
    <w:rsid w:val="00554078"/>
    <w:rsid w:val="00554C46"/>
    <w:rsid w:val="00554D71"/>
    <w:rsid w:val="005550EC"/>
    <w:rsid w:val="0056066E"/>
    <w:rsid w:val="005616D6"/>
    <w:rsid w:val="00561B0B"/>
    <w:rsid w:val="00561DB3"/>
    <w:rsid w:val="00566EDF"/>
    <w:rsid w:val="00567FA0"/>
    <w:rsid w:val="00571658"/>
    <w:rsid w:val="005726A8"/>
    <w:rsid w:val="0057523F"/>
    <w:rsid w:val="00575689"/>
    <w:rsid w:val="005778B8"/>
    <w:rsid w:val="00581CE2"/>
    <w:rsid w:val="00582974"/>
    <w:rsid w:val="00583B85"/>
    <w:rsid w:val="00585F6D"/>
    <w:rsid w:val="00586299"/>
    <w:rsid w:val="0058662D"/>
    <w:rsid w:val="00591D3D"/>
    <w:rsid w:val="00592508"/>
    <w:rsid w:val="0059265D"/>
    <w:rsid w:val="005951F8"/>
    <w:rsid w:val="00596BD0"/>
    <w:rsid w:val="00597757"/>
    <w:rsid w:val="005A4A53"/>
    <w:rsid w:val="005A741F"/>
    <w:rsid w:val="005B1EE7"/>
    <w:rsid w:val="005B2216"/>
    <w:rsid w:val="005B2F3B"/>
    <w:rsid w:val="005B33FF"/>
    <w:rsid w:val="005B3918"/>
    <w:rsid w:val="005B56A1"/>
    <w:rsid w:val="005B6BB9"/>
    <w:rsid w:val="005C0471"/>
    <w:rsid w:val="005C45EB"/>
    <w:rsid w:val="005C4A43"/>
    <w:rsid w:val="005C4E85"/>
    <w:rsid w:val="005C64C9"/>
    <w:rsid w:val="005C7C57"/>
    <w:rsid w:val="005C7D5C"/>
    <w:rsid w:val="005C7ED4"/>
    <w:rsid w:val="005D3252"/>
    <w:rsid w:val="005D46EE"/>
    <w:rsid w:val="005D5061"/>
    <w:rsid w:val="005D5A7F"/>
    <w:rsid w:val="005D691A"/>
    <w:rsid w:val="005D6D3B"/>
    <w:rsid w:val="005E00FF"/>
    <w:rsid w:val="005E06C3"/>
    <w:rsid w:val="005E091A"/>
    <w:rsid w:val="005E383C"/>
    <w:rsid w:val="005E3ED2"/>
    <w:rsid w:val="005E400E"/>
    <w:rsid w:val="005E4065"/>
    <w:rsid w:val="005F0260"/>
    <w:rsid w:val="00601535"/>
    <w:rsid w:val="00601C74"/>
    <w:rsid w:val="00602D3B"/>
    <w:rsid w:val="00603AE0"/>
    <w:rsid w:val="00603DA9"/>
    <w:rsid w:val="00604A0A"/>
    <w:rsid w:val="00606109"/>
    <w:rsid w:val="0060618F"/>
    <w:rsid w:val="0061017D"/>
    <w:rsid w:val="006109BB"/>
    <w:rsid w:val="00610E01"/>
    <w:rsid w:val="00613926"/>
    <w:rsid w:val="006144CC"/>
    <w:rsid w:val="00615244"/>
    <w:rsid w:val="006168DD"/>
    <w:rsid w:val="00617D22"/>
    <w:rsid w:val="00622C66"/>
    <w:rsid w:val="006243E1"/>
    <w:rsid w:val="00624667"/>
    <w:rsid w:val="006246A1"/>
    <w:rsid w:val="00625C7D"/>
    <w:rsid w:val="00634530"/>
    <w:rsid w:val="006349ED"/>
    <w:rsid w:val="00636540"/>
    <w:rsid w:val="00637530"/>
    <w:rsid w:val="00640E51"/>
    <w:rsid w:val="0064265D"/>
    <w:rsid w:val="0064333C"/>
    <w:rsid w:val="00644039"/>
    <w:rsid w:val="00645075"/>
    <w:rsid w:val="006501C1"/>
    <w:rsid w:val="00650B53"/>
    <w:rsid w:val="00654757"/>
    <w:rsid w:val="00654E07"/>
    <w:rsid w:val="0065606A"/>
    <w:rsid w:val="00656CD8"/>
    <w:rsid w:val="00660EEB"/>
    <w:rsid w:val="00662613"/>
    <w:rsid w:val="00663E12"/>
    <w:rsid w:val="00664C26"/>
    <w:rsid w:val="0067068D"/>
    <w:rsid w:val="006745A3"/>
    <w:rsid w:val="006756BE"/>
    <w:rsid w:val="00680EE0"/>
    <w:rsid w:val="006820D0"/>
    <w:rsid w:val="00682A61"/>
    <w:rsid w:val="0068407C"/>
    <w:rsid w:val="006851EF"/>
    <w:rsid w:val="00690A09"/>
    <w:rsid w:val="00692706"/>
    <w:rsid w:val="00693BF4"/>
    <w:rsid w:val="00695709"/>
    <w:rsid w:val="006A3A30"/>
    <w:rsid w:val="006A3D25"/>
    <w:rsid w:val="006A3D65"/>
    <w:rsid w:val="006A3EED"/>
    <w:rsid w:val="006A5B41"/>
    <w:rsid w:val="006A6720"/>
    <w:rsid w:val="006A7662"/>
    <w:rsid w:val="006A7A83"/>
    <w:rsid w:val="006B0791"/>
    <w:rsid w:val="006B31C4"/>
    <w:rsid w:val="006B48CE"/>
    <w:rsid w:val="006B4D2C"/>
    <w:rsid w:val="006B5EC4"/>
    <w:rsid w:val="006B6962"/>
    <w:rsid w:val="006B6B2D"/>
    <w:rsid w:val="006B747C"/>
    <w:rsid w:val="006B79EC"/>
    <w:rsid w:val="006B7E07"/>
    <w:rsid w:val="006C289B"/>
    <w:rsid w:val="006C4719"/>
    <w:rsid w:val="006C489B"/>
    <w:rsid w:val="006C4A39"/>
    <w:rsid w:val="006C4FE6"/>
    <w:rsid w:val="006C6267"/>
    <w:rsid w:val="006C6E9A"/>
    <w:rsid w:val="006C73BE"/>
    <w:rsid w:val="006C7B4D"/>
    <w:rsid w:val="006D1490"/>
    <w:rsid w:val="006D2402"/>
    <w:rsid w:val="006D38EB"/>
    <w:rsid w:val="006D501F"/>
    <w:rsid w:val="006D5136"/>
    <w:rsid w:val="006D6890"/>
    <w:rsid w:val="006D6E94"/>
    <w:rsid w:val="006E0E99"/>
    <w:rsid w:val="006E1F8E"/>
    <w:rsid w:val="006E21BA"/>
    <w:rsid w:val="006E389A"/>
    <w:rsid w:val="006E4F7A"/>
    <w:rsid w:val="006E5754"/>
    <w:rsid w:val="006E60A6"/>
    <w:rsid w:val="006E7FE0"/>
    <w:rsid w:val="006F18DE"/>
    <w:rsid w:val="006F263D"/>
    <w:rsid w:val="006F290D"/>
    <w:rsid w:val="006F3575"/>
    <w:rsid w:val="006F4D3B"/>
    <w:rsid w:val="006F700D"/>
    <w:rsid w:val="006F7960"/>
    <w:rsid w:val="007035B0"/>
    <w:rsid w:val="00703D2B"/>
    <w:rsid w:val="007040CF"/>
    <w:rsid w:val="00704396"/>
    <w:rsid w:val="007046A5"/>
    <w:rsid w:val="00706B29"/>
    <w:rsid w:val="00707E80"/>
    <w:rsid w:val="00707FAC"/>
    <w:rsid w:val="00707FD9"/>
    <w:rsid w:val="00710AE2"/>
    <w:rsid w:val="00710F02"/>
    <w:rsid w:val="00714758"/>
    <w:rsid w:val="00717ECF"/>
    <w:rsid w:val="0072018B"/>
    <w:rsid w:val="007204BA"/>
    <w:rsid w:val="00720A23"/>
    <w:rsid w:val="00721708"/>
    <w:rsid w:val="007233A8"/>
    <w:rsid w:val="007239CB"/>
    <w:rsid w:val="0072671F"/>
    <w:rsid w:val="007269A8"/>
    <w:rsid w:val="00727EF2"/>
    <w:rsid w:val="007316CE"/>
    <w:rsid w:val="007336EA"/>
    <w:rsid w:val="007350D1"/>
    <w:rsid w:val="007371A7"/>
    <w:rsid w:val="007377C6"/>
    <w:rsid w:val="007377F3"/>
    <w:rsid w:val="0074077B"/>
    <w:rsid w:val="00741924"/>
    <w:rsid w:val="00741F1C"/>
    <w:rsid w:val="00743383"/>
    <w:rsid w:val="00744A27"/>
    <w:rsid w:val="00745E2D"/>
    <w:rsid w:val="00746224"/>
    <w:rsid w:val="00746FDB"/>
    <w:rsid w:val="0074750A"/>
    <w:rsid w:val="007475C6"/>
    <w:rsid w:val="00750076"/>
    <w:rsid w:val="007506C4"/>
    <w:rsid w:val="007507B5"/>
    <w:rsid w:val="007511AA"/>
    <w:rsid w:val="007529ED"/>
    <w:rsid w:val="00754A49"/>
    <w:rsid w:val="007603BA"/>
    <w:rsid w:val="00760999"/>
    <w:rsid w:val="007646EB"/>
    <w:rsid w:val="00765559"/>
    <w:rsid w:val="0077028C"/>
    <w:rsid w:val="00770A94"/>
    <w:rsid w:val="00773A5A"/>
    <w:rsid w:val="00773DA5"/>
    <w:rsid w:val="00774B5B"/>
    <w:rsid w:val="00775F9D"/>
    <w:rsid w:val="00776A5C"/>
    <w:rsid w:val="00777A66"/>
    <w:rsid w:val="00782576"/>
    <w:rsid w:val="00782A01"/>
    <w:rsid w:val="00782D96"/>
    <w:rsid w:val="00783D0B"/>
    <w:rsid w:val="00783F7C"/>
    <w:rsid w:val="00784B4F"/>
    <w:rsid w:val="007859EA"/>
    <w:rsid w:val="00785CB1"/>
    <w:rsid w:val="00786535"/>
    <w:rsid w:val="00786F15"/>
    <w:rsid w:val="00790246"/>
    <w:rsid w:val="007912AE"/>
    <w:rsid w:val="00792064"/>
    <w:rsid w:val="00793F28"/>
    <w:rsid w:val="00794E3E"/>
    <w:rsid w:val="0079545F"/>
    <w:rsid w:val="00795990"/>
    <w:rsid w:val="007976E3"/>
    <w:rsid w:val="00797BD3"/>
    <w:rsid w:val="007A142B"/>
    <w:rsid w:val="007A1FF1"/>
    <w:rsid w:val="007A6886"/>
    <w:rsid w:val="007B5AD5"/>
    <w:rsid w:val="007B614A"/>
    <w:rsid w:val="007B64B1"/>
    <w:rsid w:val="007B75C1"/>
    <w:rsid w:val="007C06B3"/>
    <w:rsid w:val="007C1D90"/>
    <w:rsid w:val="007C334A"/>
    <w:rsid w:val="007C5116"/>
    <w:rsid w:val="007C5CEB"/>
    <w:rsid w:val="007C6358"/>
    <w:rsid w:val="007C71E3"/>
    <w:rsid w:val="007D059F"/>
    <w:rsid w:val="007D0A35"/>
    <w:rsid w:val="007D11B4"/>
    <w:rsid w:val="007D50B6"/>
    <w:rsid w:val="007D5E76"/>
    <w:rsid w:val="007E06CA"/>
    <w:rsid w:val="007E086B"/>
    <w:rsid w:val="007E19F2"/>
    <w:rsid w:val="007E26A2"/>
    <w:rsid w:val="007E2FEA"/>
    <w:rsid w:val="007F0856"/>
    <w:rsid w:val="007F21A5"/>
    <w:rsid w:val="007F51EA"/>
    <w:rsid w:val="007F6AD5"/>
    <w:rsid w:val="007F7570"/>
    <w:rsid w:val="008008AA"/>
    <w:rsid w:val="00800D54"/>
    <w:rsid w:val="008010F7"/>
    <w:rsid w:val="00801394"/>
    <w:rsid w:val="00802665"/>
    <w:rsid w:val="00810FFC"/>
    <w:rsid w:val="00811AB4"/>
    <w:rsid w:val="0081311B"/>
    <w:rsid w:val="008144B9"/>
    <w:rsid w:val="00814E94"/>
    <w:rsid w:val="00816048"/>
    <w:rsid w:val="00816598"/>
    <w:rsid w:val="00817D12"/>
    <w:rsid w:val="00817DAB"/>
    <w:rsid w:val="0082520D"/>
    <w:rsid w:val="00827D25"/>
    <w:rsid w:val="00830845"/>
    <w:rsid w:val="00831B84"/>
    <w:rsid w:val="00831FA1"/>
    <w:rsid w:val="00836F3A"/>
    <w:rsid w:val="008371D6"/>
    <w:rsid w:val="0083731D"/>
    <w:rsid w:val="00840B33"/>
    <w:rsid w:val="00842C44"/>
    <w:rsid w:val="00845440"/>
    <w:rsid w:val="00847D07"/>
    <w:rsid w:val="008505A5"/>
    <w:rsid w:val="00850C09"/>
    <w:rsid w:val="008517AF"/>
    <w:rsid w:val="0085266A"/>
    <w:rsid w:val="00856C07"/>
    <w:rsid w:val="00857A6D"/>
    <w:rsid w:val="00857F7C"/>
    <w:rsid w:val="00861889"/>
    <w:rsid w:val="00862942"/>
    <w:rsid w:val="00863A45"/>
    <w:rsid w:val="008657EE"/>
    <w:rsid w:val="00866459"/>
    <w:rsid w:val="00871927"/>
    <w:rsid w:val="00872A95"/>
    <w:rsid w:val="00872E83"/>
    <w:rsid w:val="0087376F"/>
    <w:rsid w:val="0087390F"/>
    <w:rsid w:val="008854C0"/>
    <w:rsid w:val="00885BD8"/>
    <w:rsid w:val="00887693"/>
    <w:rsid w:val="00893B96"/>
    <w:rsid w:val="00894724"/>
    <w:rsid w:val="008959BF"/>
    <w:rsid w:val="00896F6B"/>
    <w:rsid w:val="008A1430"/>
    <w:rsid w:val="008A14B7"/>
    <w:rsid w:val="008A2296"/>
    <w:rsid w:val="008A5511"/>
    <w:rsid w:val="008A5D1A"/>
    <w:rsid w:val="008A5D26"/>
    <w:rsid w:val="008A6959"/>
    <w:rsid w:val="008B06A4"/>
    <w:rsid w:val="008B0CA9"/>
    <w:rsid w:val="008B2A26"/>
    <w:rsid w:val="008B42FF"/>
    <w:rsid w:val="008B44AC"/>
    <w:rsid w:val="008B7273"/>
    <w:rsid w:val="008B7939"/>
    <w:rsid w:val="008C61E4"/>
    <w:rsid w:val="008C7721"/>
    <w:rsid w:val="008C7A9A"/>
    <w:rsid w:val="008D048F"/>
    <w:rsid w:val="008D0CF6"/>
    <w:rsid w:val="008D32B9"/>
    <w:rsid w:val="008D3A5E"/>
    <w:rsid w:val="008D6376"/>
    <w:rsid w:val="008D728A"/>
    <w:rsid w:val="008D7AA9"/>
    <w:rsid w:val="008E0F84"/>
    <w:rsid w:val="008E147A"/>
    <w:rsid w:val="008E1EEE"/>
    <w:rsid w:val="008E2438"/>
    <w:rsid w:val="008E24A4"/>
    <w:rsid w:val="008E3809"/>
    <w:rsid w:val="008E79A4"/>
    <w:rsid w:val="008E7B4E"/>
    <w:rsid w:val="008F265F"/>
    <w:rsid w:val="008F29EC"/>
    <w:rsid w:val="008F5853"/>
    <w:rsid w:val="008F61F2"/>
    <w:rsid w:val="008F6E58"/>
    <w:rsid w:val="0090077D"/>
    <w:rsid w:val="00902C5B"/>
    <w:rsid w:val="009033EF"/>
    <w:rsid w:val="00903590"/>
    <w:rsid w:val="009036F8"/>
    <w:rsid w:val="00903CDE"/>
    <w:rsid w:val="0091073C"/>
    <w:rsid w:val="00910EC8"/>
    <w:rsid w:val="00911AD8"/>
    <w:rsid w:val="00912399"/>
    <w:rsid w:val="00913638"/>
    <w:rsid w:val="00914909"/>
    <w:rsid w:val="00914F12"/>
    <w:rsid w:val="00917110"/>
    <w:rsid w:val="00922EEB"/>
    <w:rsid w:val="00923DC7"/>
    <w:rsid w:val="009272AC"/>
    <w:rsid w:val="00930242"/>
    <w:rsid w:val="0093313C"/>
    <w:rsid w:val="00934B05"/>
    <w:rsid w:val="00937C34"/>
    <w:rsid w:val="009436D6"/>
    <w:rsid w:val="00944EE1"/>
    <w:rsid w:val="0094595E"/>
    <w:rsid w:val="00950AD7"/>
    <w:rsid w:val="00952510"/>
    <w:rsid w:val="00952658"/>
    <w:rsid w:val="0095483D"/>
    <w:rsid w:val="0095589F"/>
    <w:rsid w:val="00955B41"/>
    <w:rsid w:val="00955D2A"/>
    <w:rsid w:val="0095743E"/>
    <w:rsid w:val="0096055C"/>
    <w:rsid w:val="00963625"/>
    <w:rsid w:val="00963CF5"/>
    <w:rsid w:val="00966C30"/>
    <w:rsid w:val="00967EBD"/>
    <w:rsid w:val="009706FE"/>
    <w:rsid w:val="009719FD"/>
    <w:rsid w:val="00971C80"/>
    <w:rsid w:val="0097201B"/>
    <w:rsid w:val="0097214C"/>
    <w:rsid w:val="00973B50"/>
    <w:rsid w:val="009754F6"/>
    <w:rsid w:val="00976C58"/>
    <w:rsid w:val="009802DC"/>
    <w:rsid w:val="009814C0"/>
    <w:rsid w:val="009820E3"/>
    <w:rsid w:val="00982D84"/>
    <w:rsid w:val="009842F8"/>
    <w:rsid w:val="00984AB9"/>
    <w:rsid w:val="009862C1"/>
    <w:rsid w:val="009863CC"/>
    <w:rsid w:val="00986EE8"/>
    <w:rsid w:val="00990E88"/>
    <w:rsid w:val="009914A9"/>
    <w:rsid w:val="00994483"/>
    <w:rsid w:val="0099472B"/>
    <w:rsid w:val="009963D9"/>
    <w:rsid w:val="00996F76"/>
    <w:rsid w:val="009A12BE"/>
    <w:rsid w:val="009A2F55"/>
    <w:rsid w:val="009A3A4B"/>
    <w:rsid w:val="009A3A81"/>
    <w:rsid w:val="009A661D"/>
    <w:rsid w:val="009A6C78"/>
    <w:rsid w:val="009B17C5"/>
    <w:rsid w:val="009B2890"/>
    <w:rsid w:val="009B371E"/>
    <w:rsid w:val="009B38D8"/>
    <w:rsid w:val="009B4106"/>
    <w:rsid w:val="009B52DC"/>
    <w:rsid w:val="009B5AB2"/>
    <w:rsid w:val="009B5C1D"/>
    <w:rsid w:val="009B772D"/>
    <w:rsid w:val="009C18E0"/>
    <w:rsid w:val="009C1F21"/>
    <w:rsid w:val="009C389B"/>
    <w:rsid w:val="009C3BD7"/>
    <w:rsid w:val="009C4D62"/>
    <w:rsid w:val="009C6032"/>
    <w:rsid w:val="009C7596"/>
    <w:rsid w:val="009D4098"/>
    <w:rsid w:val="009D6415"/>
    <w:rsid w:val="009E2559"/>
    <w:rsid w:val="009E3A46"/>
    <w:rsid w:val="009E5406"/>
    <w:rsid w:val="009F22B2"/>
    <w:rsid w:val="009F26C9"/>
    <w:rsid w:val="009F2F0B"/>
    <w:rsid w:val="009F6A72"/>
    <w:rsid w:val="00A00834"/>
    <w:rsid w:val="00A02CCE"/>
    <w:rsid w:val="00A04593"/>
    <w:rsid w:val="00A04D1C"/>
    <w:rsid w:val="00A05233"/>
    <w:rsid w:val="00A05270"/>
    <w:rsid w:val="00A06A84"/>
    <w:rsid w:val="00A075AF"/>
    <w:rsid w:val="00A10A75"/>
    <w:rsid w:val="00A10ADB"/>
    <w:rsid w:val="00A1195A"/>
    <w:rsid w:val="00A125E8"/>
    <w:rsid w:val="00A16EC3"/>
    <w:rsid w:val="00A2125D"/>
    <w:rsid w:val="00A2520E"/>
    <w:rsid w:val="00A26651"/>
    <w:rsid w:val="00A268FD"/>
    <w:rsid w:val="00A30C40"/>
    <w:rsid w:val="00A30C7F"/>
    <w:rsid w:val="00A33226"/>
    <w:rsid w:val="00A33CAA"/>
    <w:rsid w:val="00A357F9"/>
    <w:rsid w:val="00A36286"/>
    <w:rsid w:val="00A40944"/>
    <w:rsid w:val="00A41941"/>
    <w:rsid w:val="00A41E98"/>
    <w:rsid w:val="00A41F14"/>
    <w:rsid w:val="00A42E1D"/>
    <w:rsid w:val="00A51158"/>
    <w:rsid w:val="00A54BD7"/>
    <w:rsid w:val="00A54C20"/>
    <w:rsid w:val="00A54CA2"/>
    <w:rsid w:val="00A55EDA"/>
    <w:rsid w:val="00A56579"/>
    <w:rsid w:val="00A56666"/>
    <w:rsid w:val="00A572C8"/>
    <w:rsid w:val="00A62953"/>
    <w:rsid w:val="00A62A81"/>
    <w:rsid w:val="00A64A2E"/>
    <w:rsid w:val="00A64B90"/>
    <w:rsid w:val="00A65C73"/>
    <w:rsid w:val="00A66340"/>
    <w:rsid w:val="00A665B8"/>
    <w:rsid w:val="00A676E7"/>
    <w:rsid w:val="00A67C06"/>
    <w:rsid w:val="00A67E0A"/>
    <w:rsid w:val="00A67F47"/>
    <w:rsid w:val="00A70AFA"/>
    <w:rsid w:val="00A72B1D"/>
    <w:rsid w:val="00A73204"/>
    <w:rsid w:val="00A73687"/>
    <w:rsid w:val="00A75E6A"/>
    <w:rsid w:val="00A775AC"/>
    <w:rsid w:val="00A80100"/>
    <w:rsid w:val="00A8250E"/>
    <w:rsid w:val="00A8294B"/>
    <w:rsid w:val="00A84034"/>
    <w:rsid w:val="00A8447C"/>
    <w:rsid w:val="00A84E60"/>
    <w:rsid w:val="00A85118"/>
    <w:rsid w:val="00A85159"/>
    <w:rsid w:val="00A87591"/>
    <w:rsid w:val="00A87721"/>
    <w:rsid w:val="00A91986"/>
    <w:rsid w:val="00A92A08"/>
    <w:rsid w:val="00A93069"/>
    <w:rsid w:val="00A94A28"/>
    <w:rsid w:val="00A94CBE"/>
    <w:rsid w:val="00A95C0E"/>
    <w:rsid w:val="00A96F78"/>
    <w:rsid w:val="00A97D23"/>
    <w:rsid w:val="00AA1D59"/>
    <w:rsid w:val="00AA307E"/>
    <w:rsid w:val="00AA339A"/>
    <w:rsid w:val="00AA5C6A"/>
    <w:rsid w:val="00AA6CCE"/>
    <w:rsid w:val="00AA740C"/>
    <w:rsid w:val="00AB0C67"/>
    <w:rsid w:val="00AB0CC0"/>
    <w:rsid w:val="00AB484D"/>
    <w:rsid w:val="00AB5546"/>
    <w:rsid w:val="00AB681C"/>
    <w:rsid w:val="00AB72B4"/>
    <w:rsid w:val="00AB7303"/>
    <w:rsid w:val="00AC19B9"/>
    <w:rsid w:val="00AC231B"/>
    <w:rsid w:val="00AC3455"/>
    <w:rsid w:val="00AC3922"/>
    <w:rsid w:val="00AD4A51"/>
    <w:rsid w:val="00AD6380"/>
    <w:rsid w:val="00AD79DB"/>
    <w:rsid w:val="00AD7ADC"/>
    <w:rsid w:val="00AE036D"/>
    <w:rsid w:val="00AE0F9C"/>
    <w:rsid w:val="00AE2F88"/>
    <w:rsid w:val="00AE40E4"/>
    <w:rsid w:val="00AE43F2"/>
    <w:rsid w:val="00AE4C13"/>
    <w:rsid w:val="00AE7F0B"/>
    <w:rsid w:val="00AF0003"/>
    <w:rsid w:val="00AF1735"/>
    <w:rsid w:val="00AF685E"/>
    <w:rsid w:val="00B002DB"/>
    <w:rsid w:val="00B00BC5"/>
    <w:rsid w:val="00B00F97"/>
    <w:rsid w:val="00B01F07"/>
    <w:rsid w:val="00B02ED1"/>
    <w:rsid w:val="00B04BAE"/>
    <w:rsid w:val="00B063E2"/>
    <w:rsid w:val="00B12620"/>
    <w:rsid w:val="00B12854"/>
    <w:rsid w:val="00B1298D"/>
    <w:rsid w:val="00B12F09"/>
    <w:rsid w:val="00B13431"/>
    <w:rsid w:val="00B13A9E"/>
    <w:rsid w:val="00B14008"/>
    <w:rsid w:val="00B14618"/>
    <w:rsid w:val="00B2056C"/>
    <w:rsid w:val="00B21262"/>
    <w:rsid w:val="00B23E81"/>
    <w:rsid w:val="00B26CEA"/>
    <w:rsid w:val="00B30288"/>
    <w:rsid w:val="00B32EA0"/>
    <w:rsid w:val="00B34E14"/>
    <w:rsid w:val="00B40997"/>
    <w:rsid w:val="00B412D2"/>
    <w:rsid w:val="00B42C10"/>
    <w:rsid w:val="00B42D6A"/>
    <w:rsid w:val="00B45EA8"/>
    <w:rsid w:val="00B45FDC"/>
    <w:rsid w:val="00B468DA"/>
    <w:rsid w:val="00B4695D"/>
    <w:rsid w:val="00B47636"/>
    <w:rsid w:val="00B479AA"/>
    <w:rsid w:val="00B47D23"/>
    <w:rsid w:val="00B50E39"/>
    <w:rsid w:val="00B52A51"/>
    <w:rsid w:val="00B5323E"/>
    <w:rsid w:val="00B53A01"/>
    <w:rsid w:val="00B53A5A"/>
    <w:rsid w:val="00B5756B"/>
    <w:rsid w:val="00B60687"/>
    <w:rsid w:val="00B60BF3"/>
    <w:rsid w:val="00B616A9"/>
    <w:rsid w:val="00B616D2"/>
    <w:rsid w:val="00B6200F"/>
    <w:rsid w:val="00B63B43"/>
    <w:rsid w:val="00B64364"/>
    <w:rsid w:val="00B64418"/>
    <w:rsid w:val="00B65FDC"/>
    <w:rsid w:val="00B66A74"/>
    <w:rsid w:val="00B67125"/>
    <w:rsid w:val="00B675AE"/>
    <w:rsid w:val="00B74204"/>
    <w:rsid w:val="00B74BD3"/>
    <w:rsid w:val="00B76547"/>
    <w:rsid w:val="00B76B65"/>
    <w:rsid w:val="00B770A8"/>
    <w:rsid w:val="00B8048C"/>
    <w:rsid w:val="00B817B0"/>
    <w:rsid w:val="00B83D7A"/>
    <w:rsid w:val="00B84850"/>
    <w:rsid w:val="00B85D18"/>
    <w:rsid w:val="00B85EF6"/>
    <w:rsid w:val="00B8616C"/>
    <w:rsid w:val="00B8690F"/>
    <w:rsid w:val="00B86D43"/>
    <w:rsid w:val="00B86EDB"/>
    <w:rsid w:val="00B91FB4"/>
    <w:rsid w:val="00B92385"/>
    <w:rsid w:val="00B93918"/>
    <w:rsid w:val="00B94A64"/>
    <w:rsid w:val="00B97F75"/>
    <w:rsid w:val="00BA2579"/>
    <w:rsid w:val="00BA2AAF"/>
    <w:rsid w:val="00BA4149"/>
    <w:rsid w:val="00BA4638"/>
    <w:rsid w:val="00BA469E"/>
    <w:rsid w:val="00BA550D"/>
    <w:rsid w:val="00BA58C1"/>
    <w:rsid w:val="00BA676B"/>
    <w:rsid w:val="00BB00D5"/>
    <w:rsid w:val="00BB1B1D"/>
    <w:rsid w:val="00BB258E"/>
    <w:rsid w:val="00BB3BD1"/>
    <w:rsid w:val="00BB405D"/>
    <w:rsid w:val="00BB41CD"/>
    <w:rsid w:val="00BB435F"/>
    <w:rsid w:val="00BB6348"/>
    <w:rsid w:val="00BB7240"/>
    <w:rsid w:val="00BC05D1"/>
    <w:rsid w:val="00BC3890"/>
    <w:rsid w:val="00BC4FDB"/>
    <w:rsid w:val="00BC5355"/>
    <w:rsid w:val="00BC5674"/>
    <w:rsid w:val="00BC6AF9"/>
    <w:rsid w:val="00BC74C2"/>
    <w:rsid w:val="00BD007C"/>
    <w:rsid w:val="00BD0365"/>
    <w:rsid w:val="00BD30DF"/>
    <w:rsid w:val="00BD5011"/>
    <w:rsid w:val="00BD58E9"/>
    <w:rsid w:val="00BD7403"/>
    <w:rsid w:val="00BE270D"/>
    <w:rsid w:val="00BE3DCC"/>
    <w:rsid w:val="00BE42CF"/>
    <w:rsid w:val="00BE4994"/>
    <w:rsid w:val="00BE4C3E"/>
    <w:rsid w:val="00BE5FA8"/>
    <w:rsid w:val="00BE60B0"/>
    <w:rsid w:val="00BE7B3F"/>
    <w:rsid w:val="00BF05F5"/>
    <w:rsid w:val="00BF0E0B"/>
    <w:rsid w:val="00BF142E"/>
    <w:rsid w:val="00BF2D26"/>
    <w:rsid w:val="00BF2EA8"/>
    <w:rsid w:val="00BF3C30"/>
    <w:rsid w:val="00BF4AC9"/>
    <w:rsid w:val="00BF7EF6"/>
    <w:rsid w:val="00C01AB0"/>
    <w:rsid w:val="00C03613"/>
    <w:rsid w:val="00C03FC5"/>
    <w:rsid w:val="00C04A17"/>
    <w:rsid w:val="00C05398"/>
    <w:rsid w:val="00C06020"/>
    <w:rsid w:val="00C0666E"/>
    <w:rsid w:val="00C117CB"/>
    <w:rsid w:val="00C12C2B"/>
    <w:rsid w:val="00C13242"/>
    <w:rsid w:val="00C13388"/>
    <w:rsid w:val="00C1521D"/>
    <w:rsid w:val="00C154AE"/>
    <w:rsid w:val="00C1553A"/>
    <w:rsid w:val="00C2240D"/>
    <w:rsid w:val="00C2518B"/>
    <w:rsid w:val="00C2601A"/>
    <w:rsid w:val="00C261A9"/>
    <w:rsid w:val="00C27CE6"/>
    <w:rsid w:val="00C37698"/>
    <w:rsid w:val="00C409D3"/>
    <w:rsid w:val="00C40C3E"/>
    <w:rsid w:val="00C4322B"/>
    <w:rsid w:val="00C4684C"/>
    <w:rsid w:val="00C46DB9"/>
    <w:rsid w:val="00C47269"/>
    <w:rsid w:val="00C506F6"/>
    <w:rsid w:val="00C5107B"/>
    <w:rsid w:val="00C523A1"/>
    <w:rsid w:val="00C52C77"/>
    <w:rsid w:val="00C5388F"/>
    <w:rsid w:val="00C552EA"/>
    <w:rsid w:val="00C56852"/>
    <w:rsid w:val="00C57B45"/>
    <w:rsid w:val="00C608B0"/>
    <w:rsid w:val="00C67E5B"/>
    <w:rsid w:val="00C71031"/>
    <w:rsid w:val="00C72409"/>
    <w:rsid w:val="00C7298E"/>
    <w:rsid w:val="00C75F6B"/>
    <w:rsid w:val="00C83F41"/>
    <w:rsid w:val="00C862AE"/>
    <w:rsid w:val="00C867C9"/>
    <w:rsid w:val="00C9022B"/>
    <w:rsid w:val="00C9222C"/>
    <w:rsid w:val="00C930CD"/>
    <w:rsid w:val="00C957A0"/>
    <w:rsid w:val="00C95B97"/>
    <w:rsid w:val="00C9685F"/>
    <w:rsid w:val="00CA1AE7"/>
    <w:rsid w:val="00CA2DB6"/>
    <w:rsid w:val="00CB08F8"/>
    <w:rsid w:val="00CB17DE"/>
    <w:rsid w:val="00CB1E77"/>
    <w:rsid w:val="00CB39D9"/>
    <w:rsid w:val="00CC055E"/>
    <w:rsid w:val="00CC33B2"/>
    <w:rsid w:val="00CC5953"/>
    <w:rsid w:val="00CC66C8"/>
    <w:rsid w:val="00CC71C0"/>
    <w:rsid w:val="00CD1785"/>
    <w:rsid w:val="00CD1E54"/>
    <w:rsid w:val="00CD5CD9"/>
    <w:rsid w:val="00CD78E8"/>
    <w:rsid w:val="00CE47EB"/>
    <w:rsid w:val="00CE535C"/>
    <w:rsid w:val="00CE5B34"/>
    <w:rsid w:val="00CE700F"/>
    <w:rsid w:val="00CF1A54"/>
    <w:rsid w:val="00CF3214"/>
    <w:rsid w:val="00CF430D"/>
    <w:rsid w:val="00CF4DEF"/>
    <w:rsid w:val="00D003D9"/>
    <w:rsid w:val="00D009DF"/>
    <w:rsid w:val="00D01899"/>
    <w:rsid w:val="00D0273E"/>
    <w:rsid w:val="00D0394E"/>
    <w:rsid w:val="00D04508"/>
    <w:rsid w:val="00D04908"/>
    <w:rsid w:val="00D058C3"/>
    <w:rsid w:val="00D066A0"/>
    <w:rsid w:val="00D06F6B"/>
    <w:rsid w:val="00D13399"/>
    <w:rsid w:val="00D13DEB"/>
    <w:rsid w:val="00D2342A"/>
    <w:rsid w:val="00D24FBD"/>
    <w:rsid w:val="00D264B6"/>
    <w:rsid w:val="00D27043"/>
    <w:rsid w:val="00D30A29"/>
    <w:rsid w:val="00D319A4"/>
    <w:rsid w:val="00D3210A"/>
    <w:rsid w:val="00D3317D"/>
    <w:rsid w:val="00D36F82"/>
    <w:rsid w:val="00D40810"/>
    <w:rsid w:val="00D46085"/>
    <w:rsid w:val="00D524D2"/>
    <w:rsid w:val="00D5289A"/>
    <w:rsid w:val="00D56DEB"/>
    <w:rsid w:val="00D61734"/>
    <w:rsid w:val="00D61A82"/>
    <w:rsid w:val="00D648AD"/>
    <w:rsid w:val="00D6538D"/>
    <w:rsid w:val="00D70522"/>
    <w:rsid w:val="00D7155B"/>
    <w:rsid w:val="00D71E70"/>
    <w:rsid w:val="00D74A36"/>
    <w:rsid w:val="00D74C3A"/>
    <w:rsid w:val="00D77089"/>
    <w:rsid w:val="00D80560"/>
    <w:rsid w:val="00D80B18"/>
    <w:rsid w:val="00D814E5"/>
    <w:rsid w:val="00D8166E"/>
    <w:rsid w:val="00D81E9F"/>
    <w:rsid w:val="00D83306"/>
    <w:rsid w:val="00D83854"/>
    <w:rsid w:val="00D84770"/>
    <w:rsid w:val="00D85BAA"/>
    <w:rsid w:val="00D90F25"/>
    <w:rsid w:val="00D91198"/>
    <w:rsid w:val="00D91603"/>
    <w:rsid w:val="00D91956"/>
    <w:rsid w:val="00D94215"/>
    <w:rsid w:val="00D9523F"/>
    <w:rsid w:val="00D95864"/>
    <w:rsid w:val="00D97F5D"/>
    <w:rsid w:val="00DA1AC3"/>
    <w:rsid w:val="00DA298B"/>
    <w:rsid w:val="00DA3558"/>
    <w:rsid w:val="00DA4271"/>
    <w:rsid w:val="00DA5D81"/>
    <w:rsid w:val="00DA6D3C"/>
    <w:rsid w:val="00DB1059"/>
    <w:rsid w:val="00DB11B6"/>
    <w:rsid w:val="00DB1A60"/>
    <w:rsid w:val="00DB2046"/>
    <w:rsid w:val="00DB344D"/>
    <w:rsid w:val="00DC02F0"/>
    <w:rsid w:val="00DC392C"/>
    <w:rsid w:val="00DC5E42"/>
    <w:rsid w:val="00DD10F8"/>
    <w:rsid w:val="00DD3016"/>
    <w:rsid w:val="00DE2C4A"/>
    <w:rsid w:val="00DE386A"/>
    <w:rsid w:val="00DE38A4"/>
    <w:rsid w:val="00DF00F3"/>
    <w:rsid w:val="00DF0DD5"/>
    <w:rsid w:val="00DF32A7"/>
    <w:rsid w:val="00DF6747"/>
    <w:rsid w:val="00E008B4"/>
    <w:rsid w:val="00E01E22"/>
    <w:rsid w:val="00E03C90"/>
    <w:rsid w:val="00E04BC8"/>
    <w:rsid w:val="00E060D2"/>
    <w:rsid w:val="00E0653E"/>
    <w:rsid w:val="00E0676A"/>
    <w:rsid w:val="00E06FDB"/>
    <w:rsid w:val="00E10AC8"/>
    <w:rsid w:val="00E10C2E"/>
    <w:rsid w:val="00E122E4"/>
    <w:rsid w:val="00E130A3"/>
    <w:rsid w:val="00E1359B"/>
    <w:rsid w:val="00E13936"/>
    <w:rsid w:val="00E13D2F"/>
    <w:rsid w:val="00E1621B"/>
    <w:rsid w:val="00E1685E"/>
    <w:rsid w:val="00E170AD"/>
    <w:rsid w:val="00E1730B"/>
    <w:rsid w:val="00E17C6D"/>
    <w:rsid w:val="00E21434"/>
    <w:rsid w:val="00E21686"/>
    <w:rsid w:val="00E233AE"/>
    <w:rsid w:val="00E269A2"/>
    <w:rsid w:val="00E3034F"/>
    <w:rsid w:val="00E30A7B"/>
    <w:rsid w:val="00E3375C"/>
    <w:rsid w:val="00E3439F"/>
    <w:rsid w:val="00E36793"/>
    <w:rsid w:val="00E378B3"/>
    <w:rsid w:val="00E37B5E"/>
    <w:rsid w:val="00E37BC9"/>
    <w:rsid w:val="00E407D9"/>
    <w:rsid w:val="00E4183A"/>
    <w:rsid w:val="00E44FD4"/>
    <w:rsid w:val="00E46576"/>
    <w:rsid w:val="00E506D9"/>
    <w:rsid w:val="00E50E38"/>
    <w:rsid w:val="00E54876"/>
    <w:rsid w:val="00E548B8"/>
    <w:rsid w:val="00E54C5A"/>
    <w:rsid w:val="00E5541F"/>
    <w:rsid w:val="00E55801"/>
    <w:rsid w:val="00E57614"/>
    <w:rsid w:val="00E576CF"/>
    <w:rsid w:val="00E628B0"/>
    <w:rsid w:val="00E6308D"/>
    <w:rsid w:val="00E6467A"/>
    <w:rsid w:val="00E6609A"/>
    <w:rsid w:val="00E67E44"/>
    <w:rsid w:val="00E7176B"/>
    <w:rsid w:val="00E72988"/>
    <w:rsid w:val="00E73998"/>
    <w:rsid w:val="00E746AC"/>
    <w:rsid w:val="00E74CAD"/>
    <w:rsid w:val="00E74F08"/>
    <w:rsid w:val="00E801C1"/>
    <w:rsid w:val="00E80749"/>
    <w:rsid w:val="00E81DE3"/>
    <w:rsid w:val="00E82D79"/>
    <w:rsid w:val="00E82FF0"/>
    <w:rsid w:val="00E863F9"/>
    <w:rsid w:val="00E92B70"/>
    <w:rsid w:val="00E93724"/>
    <w:rsid w:val="00E963DB"/>
    <w:rsid w:val="00E96936"/>
    <w:rsid w:val="00E96DE6"/>
    <w:rsid w:val="00EA1046"/>
    <w:rsid w:val="00EA3700"/>
    <w:rsid w:val="00EA50EA"/>
    <w:rsid w:val="00EA580C"/>
    <w:rsid w:val="00EA61D2"/>
    <w:rsid w:val="00EB2497"/>
    <w:rsid w:val="00EB3E73"/>
    <w:rsid w:val="00EB4384"/>
    <w:rsid w:val="00EC0377"/>
    <w:rsid w:val="00EC2ADB"/>
    <w:rsid w:val="00ED0568"/>
    <w:rsid w:val="00ED0B9E"/>
    <w:rsid w:val="00ED0FD5"/>
    <w:rsid w:val="00ED1FB7"/>
    <w:rsid w:val="00ED2629"/>
    <w:rsid w:val="00ED295B"/>
    <w:rsid w:val="00ED65B9"/>
    <w:rsid w:val="00ED6768"/>
    <w:rsid w:val="00ED6E91"/>
    <w:rsid w:val="00ED7F2E"/>
    <w:rsid w:val="00ED7F67"/>
    <w:rsid w:val="00EE21BA"/>
    <w:rsid w:val="00EE223C"/>
    <w:rsid w:val="00EE2F98"/>
    <w:rsid w:val="00EE3F67"/>
    <w:rsid w:val="00EE5852"/>
    <w:rsid w:val="00EE5A02"/>
    <w:rsid w:val="00EE6A43"/>
    <w:rsid w:val="00EE6CA8"/>
    <w:rsid w:val="00EE7E1A"/>
    <w:rsid w:val="00EF11F5"/>
    <w:rsid w:val="00EF1F1C"/>
    <w:rsid w:val="00EF23BE"/>
    <w:rsid w:val="00EF3271"/>
    <w:rsid w:val="00EF5778"/>
    <w:rsid w:val="00EF5DE6"/>
    <w:rsid w:val="00EF662E"/>
    <w:rsid w:val="00F0240B"/>
    <w:rsid w:val="00F03522"/>
    <w:rsid w:val="00F05A0F"/>
    <w:rsid w:val="00F0718B"/>
    <w:rsid w:val="00F118D8"/>
    <w:rsid w:val="00F11D32"/>
    <w:rsid w:val="00F151D6"/>
    <w:rsid w:val="00F17067"/>
    <w:rsid w:val="00F17155"/>
    <w:rsid w:val="00F17665"/>
    <w:rsid w:val="00F20F5D"/>
    <w:rsid w:val="00F22161"/>
    <w:rsid w:val="00F226B1"/>
    <w:rsid w:val="00F22BBF"/>
    <w:rsid w:val="00F249B4"/>
    <w:rsid w:val="00F24DC3"/>
    <w:rsid w:val="00F2746C"/>
    <w:rsid w:val="00F30753"/>
    <w:rsid w:val="00F30EA8"/>
    <w:rsid w:val="00F32111"/>
    <w:rsid w:val="00F32210"/>
    <w:rsid w:val="00F32BCB"/>
    <w:rsid w:val="00F34877"/>
    <w:rsid w:val="00F351D6"/>
    <w:rsid w:val="00F402CA"/>
    <w:rsid w:val="00F42474"/>
    <w:rsid w:val="00F4304C"/>
    <w:rsid w:val="00F433CC"/>
    <w:rsid w:val="00F442DB"/>
    <w:rsid w:val="00F44BFD"/>
    <w:rsid w:val="00F4676C"/>
    <w:rsid w:val="00F5430A"/>
    <w:rsid w:val="00F54D56"/>
    <w:rsid w:val="00F55168"/>
    <w:rsid w:val="00F56D7B"/>
    <w:rsid w:val="00F57DF3"/>
    <w:rsid w:val="00F60C1A"/>
    <w:rsid w:val="00F60E4C"/>
    <w:rsid w:val="00F6320E"/>
    <w:rsid w:val="00F643D8"/>
    <w:rsid w:val="00F64C29"/>
    <w:rsid w:val="00F65171"/>
    <w:rsid w:val="00F658F8"/>
    <w:rsid w:val="00F70BD2"/>
    <w:rsid w:val="00F70D77"/>
    <w:rsid w:val="00F732E9"/>
    <w:rsid w:val="00F73AE1"/>
    <w:rsid w:val="00F750BE"/>
    <w:rsid w:val="00F759C7"/>
    <w:rsid w:val="00F76CBB"/>
    <w:rsid w:val="00F80B8D"/>
    <w:rsid w:val="00F83545"/>
    <w:rsid w:val="00F8431A"/>
    <w:rsid w:val="00F97284"/>
    <w:rsid w:val="00FA030B"/>
    <w:rsid w:val="00FA0716"/>
    <w:rsid w:val="00FA0F95"/>
    <w:rsid w:val="00FA54B2"/>
    <w:rsid w:val="00FA5D16"/>
    <w:rsid w:val="00FA7876"/>
    <w:rsid w:val="00FB012E"/>
    <w:rsid w:val="00FB0B6E"/>
    <w:rsid w:val="00FB2DA5"/>
    <w:rsid w:val="00FB2FE5"/>
    <w:rsid w:val="00FB3718"/>
    <w:rsid w:val="00FB4614"/>
    <w:rsid w:val="00FB47B7"/>
    <w:rsid w:val="00FB5011"/>
    <w:rsid w:val="00FB61B6"/>
    <w:rsid w:val="00FB6E6A"/>
    <w:rsid w:val="00FC0193"/>
    <w:rsid w:val="00FC021C"/>
    <w:rsid w:val="00FC3C7E"/>
    <w:rsid w:val="00FC57D7"/>
    <w:rsid w:val="00FC6C49"/>
    <w:rsid w:val="00FC78A6"/>
    <w:rsid w:val="00FD07F9"/>
    <w:rsid w:val="00FD1990"/>
    <w:rsid w:val="00FD394C"/>
    <w:rsid w:val="00FD7B6A"/>
    <w:rsid w:val="00FE01D1"/>
    <w:rsid w:val="00FE1E73"/>
    <w:rsid w:val="00FE43E9"/>
    <w:rsid w:val="00FE5972"/>
    <w:rsid w:val="00FE6BB1"/>
    <w:rsid w:val="00FF2AF4"/>
    <w:rsid w:val="00FF31B7"/>
    <w:rsid w:val="00FF39C5"/>
    <w:rsid w:val="00FF47F3"/>
    <w:rsid w:val="00FF62CF"/>
    <w:rsid w:val="00FF6B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54E44"/>
  <w15:chartTrackingRefBased/>
  <w15:docId w15:val="{73294A16-3896-4EC2-9ABB-7AE84C2C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uiPriority w:val="9"/>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link w:val="Heading4Char"/>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link w:val="ListBulletChar"/>
    <w:p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 Text Char1"/>
    <w:basedOn w:val="Normal"/>
    <w:link w:val="FootnoteTextChar"/>
    <w:uiPriority w:val="99"/>
    <w:qFormat/>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customStyle="1" w:styleId="Default">
    <w:name w:val="Default"/>
    <w:rsid w:val="00E6609A"/>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484455"/>
    <w:pPr>
      <w:ind w:left="720"/>
      <w:contextualSpacing/>
    </w:pPr>
    <w:rPr>
      <w:rFonts w:ascii="Gill Sans" w:hAnsi="Gill Sans"/>
    </w:rPr>
  </w:style>
  <w:style w:type="paragraph" w:styleId="NormalWeb">
    <w:name w:val="Normal (Web)"/>
    <w:basedOn w:val="Normal"/>
    <w:uiPriority w:val="99"/>
    <w:unhideWhenUsed/>
    <w:rsid w:val="007269A8"/>
    <w:pPr>
      <w:spacing w:before="100" w:beforeAutospacing="1" w:after="100" w:afterAutospacing="1"/>
    </w:pPr>
    <w:rPr>
      <w:rFonts w:ascii="Times New Roman" w:hAnsi="Times New Roman"/>
      <w:sz w:val="24"/>
      <w:lang w:eastAsia="en-IE"/>
    </w:rPr>
  </w:style>
  <w:style w:type="character" w:styleId="CommentReference">
    <w:name w:val="annotation reference"/>
    <w:basedOn w:val="DefaultParagraphFont"/>
    <w:rsid w:val="00F17665"/>
    <w:rPr>
      <w:sz w:val="16"/>
      <w:szCs w:val="16"/>
    </w:rPr>
  </w:style>
  <w:style w:type="paragraph" w:styleId="BalloonText">
    <w:name w:val="Balloon Text"/>
    <w:basedOn w:val="Normal"/>
    <w:link w:val="BalloonTextChar"/>
    <w:rsid w:val="00F17665"/>
    <w:pPr>
      <w:spacing w:after="0"/>
    </w:pPr>
    <w:rPr>
      <w:rFonts w:ascii="Segoe UI" w:hAnsi="Segoe UI" w:cs="Segoe UI"/>
      <w:sz w:val="18"/>
      <w:szCs w:val="18"/>
    </w:rPr>
  </w:style>
  <w:style w:type="character" w:customStyle="1" w:styleId="BalloonTextChar">
    <w:name w:val="Balloon Text Char"/>
    <w:basedOn w:val="DefaultParagraphFont"/>
    <w:link w:val="BalloonText"/>
    <w:rsid w:val="00F17665"/>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rsid w:val="001B6752"/>
    <w:rPr>
      <w:rFonts w:ascii="Gill Sans MT" w:hAnsi="Gill Sans MT"/>
      <w:b/>
      <w:bCs/>
      <w:szCs w:val="20"/>
      <w:lang w:val="en-IE"/>
    </w:rPr>
  </w:style>
  <w:style w:type="character" w:customStyle="1" w:styleId="CommentSubjectChar">
    <w:name w:val="Comment Subject Char"/>
    <w:basedOn w:val="CommentTextChar"/>
    <w:link w:val="CommentSubject"/>
    <w:rsid w:val="001B6752"/>
    <w:rPr>
      <w:rFonts w:ascii="Gill Sans MT" w:eastAsia="Times New Roman" w:hAnsi="Gill Sans MT"/>
      <w:b/>
      <w:bCs/>
      <w:szCs w:val="24"/>
      <w:lang w:eastAsia="en-US"/>
    </w:rPr>
  </w:style>
  <w:style w:type="paragraph" w:styleId="Revision">
    <w:name w:val="Revision"/>
    <w:hidden/>
    <w:uiPriority w:val="99"/>
    <w:semiHidden/>
    <w:rsid w:val="001B61CB"/>
    <w:rPr>
      <w:rFonts w:ascii="Gill Sans MT" w:eastAsia="Times New Roman" w:hAnsi="Gill Sans MT"/>
      <w:sz w:val="26"/>
      <w:szCs w:val="24"/>
      <w:lang w:eastAsia="en-US"/>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Text Char1 Char"/>
    <w:link w:val="FootnoteText"/>
    <w:uiPriority w:val="99"/>
    <w:rsid w:val="0096055C"/>
    <w:rPr>
      <w:rFonts w:ascii="Gill Sans MT" w:eastAsia="Times New Roman" w:hAnsi="Gill Sans MT"/>
      <w:sz w:val="22"/>
      <w:lang w:eastAsia="en-US"/>
    </w:rPr>
  </w:style>
  <w:style w:type="character" w:customStyle="1" w:styleId="ListBulletChar">
    <w:name w:val="List Bullet Char"/>
    <w:link w:val="ListBullet"/>
    <w:rsid w:val="00EE3F67"/>
    <w:rPr>
      <w:rFonts w:ascii="Gill Sans MT" w:eastAsia="Times New Roman" w:hAnsi="Gill Sans MT"/>
      <w:sz w:val="26"/>
      <w:szCs w:val="24"/>
      <w:lang w:eastAsia="en-US"/>
    </w:rPr>
  </w:style>
  <w:style w:type="character" w:customStyle="1" w:styleId="Heading4Char">
    <w:name w:val="Heading 4 Char"/>
    <w:basedOn w:val="DefaultParagraphFont"/>
    <w:link w:val="Heading4"/>
    <w:rsid w:val="006820D0"/>
    <w:rPr>
      <w:rFonts w:ascii="Gill Sans MT" w:eastAsia="Times New Roman" w:hAnsi="Gill Sans MT"/>
      <w:b/>
      <w:bCs/>
      <w:color w:val="333333"/>
      <w:sz w:val="26"/>
      <w:szCs w:val="24"/>
      <w:lang w:eastAsia="en-US"/>
    </w:rPr>
  </w:style>
  <w:style w:type="paragraph" w:styleId="TOCHeading">
    <w:name w:val="TOC Heading"/>
    <w:basedOn w:val="Heading1"/>
    <w:next w:val="Normal"/>
    <w:uiPriority w:val="39"/>
    <w:unhideWhenUsed/>
    <w:qFormat/>
    <w:rsid w:val="00783D0B"/>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character" w:customStyle="1" w:styleId="Heading2Char">
    <w:name w:val="Heading 2 Char"/>
    <w:basedOn w:val="DefaultParagraphFont"/>
    <w:link w:val="Heading2"/>
    <w:uiPriority w:val="9"/>
    <w:rsid w:val="008E1EEE"/>
    <w:rPr>
      <w:rFonts w:ascii="Gill Sans MT" w:eastAsia="Times New Roman" w:hAnsi="Gill Sans MT" w:cs="Arial Bold"/>
      <w:b/>
      <w:bCs/>
      <w:iCs/>
      <w:sz w:val="28"/>
      <w:szCs w:val="28"/>
      <w:lang w:eastAsia="en-US"/>
    </w:rPr>
  </w:style>
  <w:style w:type="character" w:customStyle="1" w:styleId="Heading3Char">
    <w:name w:val="Heading 3 Char"/>
    <w:basedOn w:val="DefaultParagraphFont"/>
    <w:link w:val="Heading3"/>
    <w:rsid w:val="00CA1AE7"/>
    <w:rPr>
      <w:rFonts w:ascii="Gill Sans MT" w:eastAsia="Times New Roman" w:hAnsi="Gill Sans MT" w:cs="Arial Bold"/>
      <w:b/>
      <w:bCs/>
      <w:sz w:val="26"/>
      <w:szCs w:val="24"/>
      <w:lang w:eastAsia="en-US"/>
    </w:rPr>
  </w:style>
  <w:style w:type="table" w:styleId="TableGrid">
    <w:name w:val="Table Grid"/>
    <w:basedOn w:val="TableNormal"/>
    <w:rsid w:val="00BE4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7127">
      <w:bodyDiv w:val="1"/>
      <w:marLeft w:val="0"/>
      <w:marRight w:val="0"/>
      <w:marTop w:val="0"/>
      <w:marBottom w:val="0"/>
      <w:divBdr>
        <w:top w:val="none" w:sz="0" w:space="0" w:color="auto"/>
        <w:left w:val="none" w:sz="0" w:space="0" w:color="auto"/>
        <w:bottom w:val="none" w:sz="0" w:space="0" w:color="auto"/>
        <w:right w:val="none" w:sz="0" w:space="0" w:color="auto"/>
      </w:divBdr>
    </w:div>
    <w:div w:id="379791427">
      <w:bodyDiv w:val="1"/>
      <w:marLeft w:val="0"/>
      <w:marRight w:val="0"/>
      <w:marTop w:val="0"/>
      <w:marBottom w:val="0"/>
      <w:divBdr>
        <w:top w:val="none" w:sz="0" w:space="0" w:color="auto"/>
        <w:left w:val="none" w:sz="0" w:space="0" w:color="auto"/>
        <w:bottom w:val="none" w:sz="0" w:space="0" w:color="auto"/>
        <w:right w:val="none" w:sz="0" w:space="0" w:color="auto"/>
      </w:divBdr>
    </w:div>
    <w:div w:id="415322610">
      <w:bodyDiv w:val="1"/>
      <w:marLeft w:val="0"/>
      <w:marRight w:val="0"/>
      <w:marTop w:val="0"/>
      <w:marBottom w:val="0"/>
      <w:divBdr>
        <w:top w:val="none" w:sz="0" w:space="0" w:color="auto"/>
        <w:left w:val="none" w:sz="0" w:space="0" w:color="auto"/>
        <w:bottom w:val="none" w:sz="0" w:space="0" w:color="auto"/>
        <w:right w:val="none" w:sz="0" w:space="0" w:color="auto"/>
      </w:divBdr>
    </w:div>
    <w:div w:id="475804720">
      <w:bodyDiv w:val="1"/>
      <w:marLeft w:val="0"/>
      <w:marRight w:val="0"/>
      <w:marTop w:val="0"/>
      <w:marBottom w:val="0"/>
      <w:divBdr>
        <w:top w:val="none" w:sz="0" w:space="0" w:color="auto"/>
        <w:left w:val="none" w:sz="0" w:space="0" w:color="auto"/>
        <w:bottom w:val="none" w:sz="0" w:space="0" w:color="auto"/>
        <w:right w:val="none" w:sz="0" w:space="0" w:color="auto"/>
      </w:divBdr>
    </w:div>
    <w:div w:id="836506714">
      <w:bodyDiv w:val="1"/>
      <w:marLeft w:val="0"/>
      <w:marRight w:val="0"/>
      <w:marTop w:val="0"/>
      <w:marBottom w:val="0"/>
      <w:divBdr>
        <w:top w:val="none" w:sz="0" w:space="0" w:color="auto"/>
        <w:left w:val="none" w:sz="0" w:space="0" w:color="auto"/>
        <w:bottom w:val="none" w:sz="0" w:space="0" w:color="auto"/>
        <w:right w:val="none" w:sz="0" w:space="0" w:color="auto"/>
      </w:divBdr>
    </w:div>
    <w:div w:id="887298986">
      <w:bodyDiv w:val="1"/>
      <w:marLeft w:val="0"/>
      <w:marRight w:val="0"/>
      <w:marTop w:val="0"/>
      <w:marBottom w:val="0"/>
      <w:divBdr>
        <w:top w:val="none" w:sz="0" w:space="0" w:color="auto"/>
        <w:left w:val="none" w:sz="0" w:space="0" w:color="auto"/>
        <w:bottom w:val="none" w:sz="0" w:space="0" w:color="auto"/>
        <w:right w:val="none" w:sz="0" w:space="0" w:color="auto"/>
      </w:divBdr>
    </w:div>
    <w:div w:id="907377434">
      <w:bodyDiv w:val="1"/>
      <w:marLeft w:val="0"/>
      <w:marRight w:val="0"/>
      <w:marTop w:val="0"/>
      <w:marBottom w:val="0"/>
      <w:divBdr>
        <w:top w:val="none" w:sz="0" w:space="0" w:color="auto"/>
        <w:left w:val="none" w:sz="0" w:space="0" w:color="auto"/>
        <w:bottom w:val="none" w:sz="0" w:space="0" w:color="auto"/>
        <w:right w:val="none" w:sz="0" w:space="0" w:color="auto"/>
      </w:divBdr>
    </w:div>
    <w:div w:id="936446634">
      <w:bodyDiv w:val="1"/>
      <w:marLeft w:val="0"/>
      <w:marRight w:val="0"/>
      <w:marTop w:val="0"/>
      <w:marBottom w:val="0"/>
      <w:divBdr>
        <w:top w:val="none" w:sz="0" w:space="0" w:color="auto"/>
        <w:left w:val="none" w:sz="0" w:space="0" w:color="auto"/>
        <w:bottom w:val="none" w:sz="0" w:space="0" w:color="auto"/>
        <w:right w:val="none" w:sz="0" w:space="0" w:color="auto"/>
      </w:divBdr>
    </w:div>
    <w:div w:id="1164934217">
      <w:bodyDiv w:val="1"/>
      <w:marLeft w:val="0"/>
      <w:marRight w:val="0"/>
      <w:marTop w:val="0"/>
      <w:marBottom w:val="0"/>
      <w:divBdr>
        <w:top w:val="none" w:sz="0" w:space="0" w:color="auto"/>
        <w:left w:val="none" w:sz="0" w:space="0" w:color="auto"/>
        <w:bottom w:val="none" w:sz="0" w:space="0" w:color="auto"/>
        <w:right w:val="none" w:sz="0" w:space="0" w:color="auto"/>
      </w:divBdr>
    </w:div>
    <w:div w:id="1181553007">
      <w:bodyDiv w:val="1"/>
      <w:marLeft w:val="0"/>
      <w:marRight w:val="0"/>
      <w:marTop w:val="0"/>
      <w:marBottom w:val="0"/>
      <w:divBdr>
        <w:top w:val="none" w:sz="0" w:space="0" w:color="auto"/>
        <w:left w:val="none" w:sz="0" w:space="0" w:color="auto"/>
        <w:bottom w:val="none" w:sz="0" w:space="0" w:color="auto"/>
        <w:right w:val="none" w:sz="0" w:space="0" w:color="auto"/>
      </w:divBdr>
    </w:div>
    <w:div w:id="1396470694">
      <w:bodyDiv w:val="1"/>
      <w:marLeft w:val="0"/>
      <w:marRight w:val="0"/>
      <w:marTop w:val="0"/>
      <w:marBottom w:val="0"/>
      <w:divBdr>
        <w:top w:val="none" w:sz="0" w:space="0" w:color="auto"/>
        <w:left w:val="none" w:sz="0" w:space="0" w:color="auto"/>
        <w:bottom w:val="none" w:sz="0" w:space="0" w:color="auto"/>
        <w:right w:val="none" w:sz="0" w:space="0" w:color="auto"/>
      </w:divBdr>
    </w:div>
    <w:div w:id="1623920715">
      <w:bodyDiv w:val="1"/>
      <w:marLeft w:val="0"/>
      <w:marRight w:val="0"/>
      <w:marTop w:val="0"/>
      <w:marBottom w:val="0"/>
      <w:divBdr>
        <w:top w:val="none" w:sz="0" w:space="0" w:color="auto"/>
        <w:left w:val="none" w:sz="0" w:space="0" w:color="auto"/>
        <w:bottom w:val="none" w:sz="0" w:space="0" w:color="auto"/>
        <w:right w:val="none" w:sz="0" w:space="0" w:color="auto"/>
      </w:divBdr>
    </w:div>
    <w:div w:id="1665815464">
      <w:bodyDiv w:val="1"/>
      <w:marLeft w:val="0"/>
      <w:marRight w:val="0"/>
      <w:marTop w:val="0"/>
      <w:marBottom w:val="0"/>
      <w:divBdr>
        <w:top w:val="none" w:sz="0" w:space="0" w:color="auto"/>
        <w:left w:val="none" w:sz="0" w:space="0" w:color="auto"/>
        <w:bottom w:val="none" w:sz="0" w:space="0" w:color="auto"/>
        <w:right w:val="none" w:sz="0" w:space="0" w:color="auto"/>
      </w:divBdr>
    </w:div>
    <w:div w:id="1694185634">
      <w:bodyDiv w:val="1"/>
      <w:marLeft w:val="0"/>
      <w:marRight w:val="0"/>
      <w:marTop w:val="0"/>
      <w:marBottom w:val="0"/>
      <w:divBdr>
        <w:top w:val="none" w:sz="0" w:space="0" w:color="auto"/>
        <w:left w:val="none" w:sz="0" w:space="0" w:color="auto"/>
        <w:bottom w:val="none" w:sz="0" w:space="0" w:color="auto"/>
        <w:right w:val="none" w:sz="0" w:space="0" w:color="auto"/>
      </w:divBdr>
    </w:div>
    <w:div w:id="1713731623">
      <w:bodyDiv w:val="1"/>
      <w:marLeft w:val="0"/>
      <w:marRight w:val="0"/>
      <w:marTop w:val="0"/>
      <w:marBottom w:val="0"/>
      <w:divBdr>
        <w:top w:val="none" w:sz="0" w:space="0" w:color="auto"/>
        <w:left w:val="none" w:sz="0" w:space="0" w:color="auto"/>
        <w:bottom w:val="none" w:sz="0" w:space="0" w:color="auto"/>
        <w:right w:val="none" w:sz="0" w:space="0" w:color="auto"/>
      </w:divBdr>
    </w:div>
    <w:div w:id="1762943630">
      <w:bodyDiv w:val="1"/>
      <w:marLeft w:val="0"/>
      <w:marRight w:val="0"/>
      <w:marTop w:val="0"/>
      <w:marBottom w:val="0"/>
      <w:divBdr>
        <w:top w:val="none" w:sz="0" w:space="0" w:color="auto"/>
        <w:left w:val="none" w:sz="0" w:space="0" w:color="auto"/>
        <w:bottom w:val="none" w:sz="0" w:space="0" w:color="auto"/>
        <w:right w:val="none" w:sz="0" w:space="0" w:color="auto"/>
      </w:divBdr>
    </w:div>
    <w:div w:id="1837529788">
      <w:bodyDiv w:val="1"/>
      <w:marLeft w:val="0"/>
      <w:marRight w:val="0"/>
      <w:marTop w:val="0"/>
      <w:marBottom w:val="0"/>
      <w:divBdr>
        <w:top w:val="none" w:sz="0" w:space="0" w:color="auto"/>
        <w:left w:val="none" w:sz="0" w:space="0" w:color="auto"/>
        <w:bottom w:val="none" w:sz="0" w:space="0" w:color="auto"/>
        <w:right w:val="none" w:sz="0" w:space="0" w:color="auto"/>
      </w:divBdr>
    </w:div>
    <w:div w:id="1904365648">
      <w:bodyDiv w:val="1"/>
      <w:marLeft w:val="0"/>
      <w:marRight w:val="0"/>
      <w:marTop w:val="0"/>
      <w:marBottom w:val="0"/>
      <w:divBdr>
        <w:top w:val="none" w:sz="0" w:space="0" w:color="auto"/>
        <w:left w:val="none" w:sz="0" w:space="0" w:color="auto"/>
        <w:bottom w:val="none" w:sz="0" w:space="0" w:color="auto"/>
        <w:right w:val="none" w:sz="0" w:space="0" w:color="auto"/>
      </w:divBdr>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546869075">
          <w:marLeft w:val="0"/>
          <w:marRight w:val="0"/>
          <w:marTop w:val="0"/>
          <w:marBottom w:val="0"/>
          <w:divBdr>
            <w:top w:val="none" w:sz="0" w:space="0" w:color="auto"/>
            <w:left w:val="none" w:sz="0" w:space="0" w:color="auto"/>
            <w:bottom w:val="none" w:sz="0" w:space="0" w:color="auto"/>
            <w:right w:val="none" w:sz="0" w:space="0" w:color="auto"/>
          </w:divBdr>
          <w:divsChild>
            <w:div w:id="472261830">
              <w:marLeft w:val="-225"/>
              <w:marRight w:val="-225"/>
              <w:marTop w:val="0"/>
              <w:marBottom w:val="0"/>
              <w:divBdr>
                <w:top w:val="none" w:sz="0" w:space="0" w:color="auto"/>
                <w:left w:val="none" w:sz="0" w:space="0" w:color="auto"/>
                <w:bottom w:val="none" w:sz="0" w:space="0" w:color="auto"/>
                <w:right w:val="none" w:sz="0" w:space="0" w:color="auto"/>
              </w:divBdr>
            </w:div>
          </w:divsChild>
        </w:div>
        <w:div w:id="1630358555">
          <w:marLeft w:val="0"/>
          <w:marRight w:val="0"/>
          <w:marTop w:val="0"/>
          <w:marBottom w:val="0"/>
          <w:divBdr>
            <w:top w:val="none" w:sz="0" w:space="0" w:color="auto"/>
            <w:left w:val="none" w:sz="0" w:space="0" w:color="auto"/>
            <w:bottom w:val="none" w:sz="0" w:space="0" w:color="auto"/>
            <w:right w:val="none" w:sz="0" w:space="0" w:color="auto"/>
          </w:divBdr>
          <w:divsChild>
            <w:div w:id="2044624387">
              <w:marLeft w:val="-225"/>
              <w:marRight w:val="-225"/>
              <w:marTop w:val="0"/>
              <w:marBottom w:val="0"/>
              <w:divBdr>
                <w:top w:val="none" w:sz="0" w:space="0" w:color="auto"/>
                <w:left w:val="none" w:sz="0" w:space="0" w:color="auto"/>
                <w:bottom w:val="none" w:sz="0" w:space="0" w:color="auto"/>
                <w:right w:val="none" w:sz="0" w:space="0" w:color="auto"/>
              </w:divBdr>
            </w:div>
          </w:divsChild>
        </w:div>
        <w:div w:id="1807091165">
          <w:marLeft w:val="0"/>
          <w:marRight w:val="0"/>
          <w:marTop w:val="0"/>
          <w:marBottom w:val="0"/>
          <w:divBdr>
            <w:top w:val="none" w:sz="0" w:space="0" w:color="auto"/>
            <w:left w:val="none" w:sz="0" w:space="0" w:color="auto"/>
            <w:bottom w:val="none" w:sz="0" w:space="0" w:color="auto"/>
            <w:right w:val="none" w:sz="0" w:space="0" w:color="auto"/>
          </w:divBdr>
          <w:divsChild>
            <w:div w:id="14758768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91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da.ie/publications/monitoring-report-eu-wad-ireland-2021-nda-repor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hanging-places-fund-allocation-of-funding-following-round-1-assessment" TargetMode="External"/><Relationship Id="rId13" Type="http://schemas.openxmlformats.org/officeDocument/2006/relationships/hyperlink" Target="https://nda.ie/monitoring/eu-web-accessibility-directive/how-nda-monitors-compliance-under-the-directive" TargetMode="External"/><Relationship Id="rId18" Type="http://schemas.openxmlformats.org/officeDocument/2006/relationships/hyperlink" Target="https://www.irishstatutebook.ie/eli/2016/si/284/made/en/print" TargetMode="External"/><Relationship Id="rId3" Type="http://schemas.openxmlformats.org/officeDocument/2006/relationships/hyperlink" Target="https://nda.ie/publications/nda-advice-paper-on-disability-language-and-terminology" TargetMode="External"/><Relationship Id="rId21" Type="http://schemas.openxmlformats.org/officeDocument/2006/relationships/hyperlink" Target="https://nda.ie/publications/report-on-the-operation-of-the-irish-sign-language-act-2017-december-2021" TargetMode="External"/><Relationship Id="rId7" Type="http://schemas.openxmlformats.org/officeDocument/2006/relationships/hyperlink" Target="https://www.gov.ie/en/publication/473d3-town-centre-first-policy/" TargetMode="External"/><Relationship Id="rId12" Type="http://schemas.openxmlformats.org/officeDocument/2006/relationships/hyperlink" Target="https://nda.ie/publications/nda-annual-reports-on-compliance-with-part-5-of-the-disability-act" TargetMode="External"/><Relationship Id="rId17" Type="http://schemas.openxmlformats.org/officeDocument/2006/relationships/hyperlink" Target="https://universaldesign.ie/products-services/customer-communications-toolkit-for-services-to-the-public-a-universal-design-approach/" TargetMode="External"/><Relationship Id="rId2" Type="http://schemas.openxmlformats.org/officeDocument/2006/relationships/hyperlink" Target="https://nda.ie/publications/participation-matters-guidelines-on-implementing-the-obligation-to-meaningfully-engage-with-disabled-people-in-public-decision-making" TargetMode="External"/><Relationship Id="rId16" Type="http://schemas.openxmlformats.org/officeDocument/2006/relationships/hyperlink" Target="https://eur-lex.europa.eu/legal-content/EN/TXT/PDF/?uri=CELEX:32019L0882" TargetMode="External"/><Relationship Id="rId20" Type="http://schemas.openxmlformats.org/officeDocument/2006/relationships/hyperlink" Target="https://nda.ie/publications/an-operational-review-of-the-effectiveness-of-section-25-of-the-disability-act-2005-nda-report" TargetMode="External"/><Relationship Id="rId1" Type="http://schemas.openxmlformats.org/officeDocument/2006/relationships/hyperlink" Target="https://www.gov.ie/en/consultation/9bed2-call-for-submissions-statement-of-strategy-2023-2025/" TargetMode="External"/><Relationship Id="rId6" Type="http://schemas.openxmlformats.org/officeDocument/2006/relationships/hyperlink" Target="https://www.gov.ie/en/publication/ea33c1-housing-options-for-our-ageing-population-policy-statement/" TargetMode="External"/><Relationship Id="rId11" Type="http://schemas.openxmlformats.org/officeDocument/2006/relationships/hyperlink" Target="https://nda.ie/news/report-on-compliance-with-part-5-of-the-disability-act-2005-for-2021" TargetMode="External"/><Relationship Id="rId5" Type="http://schemas.openxmlformats.org/officeDocument/2006/relationships/hyperlink" Target="https://www.gov.ie/en/publication/8072c0-national-disability-inclusion-strategy-2017-2021/" TargetMode="External"/><Relationship Id="rId15" Type="http://schemas.openxmlformats.org/officeDocument/2006/relationships/hyperlink" Target="https://nda.ie/publications/monitoring-report-eu-wad-ireland-2021-nda-report" TargetMode="External"/><Relationship Id="rId10" Type="http://schemas.openxmlformats.org/officeDocument/2006/relationships/hyperlink" Target="https://www.disabilityrightsuk.org/enablefund" TargetMode="External"/><Relationship Id="rId19" Type="http://schemas.openxmlformats.org/officeDocument/2006/relationships/hyperlink" Target="https://eur-lex.europa.eu/legal-content/EN/TXT/PDF/?uri=CELEX:32019L0882" TargetMode="External"/><Relationship Id="rId4" Type="http://schemas.openxmlformats.org/officeDocument/2006/relationships/hyperlink" Target="https://www.universaldesign.ie/built-environment/housing/" TargetMode="External"/><Relationship Id="rId9" Type="http://schemas.openxmlformats.org/officeDocument/2006/relationships/hyperlink" Target="https://nda.ie/monitoring/monitoring-2-2/access-to-heritage-sites" TargetMode="External"/><Relationship Id="rId14" Type="http://schemas.openxmlformats.org/officeDocument/2006/relationships/hyperlink" Target="https://nda.ie/monitoring/eu-web-accessibility-directive/accessibility-stat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95C6F-CBBA-4043-8F14-10FF58BD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4</TotalTime>
  <Pages>20</Pages>
  <Words>5983</Words>
  <Characters>34376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 Brennan</dc:creator>
  <cp:keywords/>
  <cp:lastModifiedBy>Rosalyn Tamming (NDA)</cp:lastModifiedBy>
  <cp:revision>4</cp:revision>
  <cp:lastPrinted>2023-02-14T12:06:00Z</cp:lastPrinted>
  <dcterms:created xsi:type="dcterms:W3CDTF">2023-08-14T08:55:00Z</dcterms:created>
  <dcterms:modified xsi:type="dcterms:W3CDTF">2023-08-14T11:50:00Z</dcterms:modified>
</cp:coreProperties>
</file>