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6F10" w14:textId="77777777" w:rsidR="000479ED" w:rsidRDefault="000479ED" w:rsidP="000479ED">
      <w:pPr>
        <w:pStyle w:val="Title"/>
      </w:pPr>
      <w:bookmarkStart w:id="0" w:name="_Toc129006993"/>
      <w:bookmarkStart w:id="1" w:name="_Toc129007127"/>
      <w:bookmarkStart w:id="2" w:name="_Toc129007202"/>
    </w:p>
    <w:p w14:paraId="06374102" w14:textId="77777777" w:rsidR="000479ED" w:rsidRDefault="000479ED" w:rsidP="00392354">
      <w:pPr>
        <w:pStyle w:val="Title"/>
        <w:jc w:val="left"/>
      </w:pPr>
    </w:p>
    <w:p w14:paraId="7705C4A3" w14:textId="77777777" w:rsidR="000479ED" w:rsidRDefault="000479ED" w:rsidP="000479ED">
      <w:pPr>
        <w:pStyle w:val="Title"/>
      </w:pPr>
      <w:r w:rsidRPr="009C1F21">
        <w:t>N</w:t>
      </w:r>
      <w:r>
        <w:t xml:space="preserve">ational </w:t>
      </w:r>
      <w:r w:rsidRPr="009C1F21">
        <w:t>D</w:t>
      </w:r>
      <w:r>
        <w:t xml:space="preserve">isability </w:t>
      </w:r>
      <w:r w:rsidRPr="009C1F21">
        <w:t>A</w:t>
      </w:r>
      <w:r>
        <w:t>uthority</w:t>
      </w:r>
    </w:p>
    <w:p w14:paraId="009BD00B" w14:textId="6DC73249" w:rsidR="000479ED" w:rsidRDefault="000479ED" w:rsidP="000479ED">
      <w:pPr>
        <w:pStyle w:val="Title"/>
      </w:pPr>
      <w:r>
        <w:t xml:space="preserve"> s</w:t>
      </w:r>
      <w:r w:rsidRPr="009C1F21">
        <w:t xml:space="preserve">ubmission on </w:t>
      </w:r>
      <w:r>
        <w:t>the</w:t>
      </w:r>
    </w:p>
    <w:p w14:paraId="59A3EA4B" w14:textId="77777777" w:rsidR="000479ED" w:rsidRDefault="000479ED" w:rsidP="000479ED">
      <w:pPr>
        <w:pStyle w:val="Title"/>
      </w:pPr>
      <w:r w:rsidRPr="009C1F21">
        <w:t xml:space="preserve">Statement of Strategy </w:t>
      </w:r>
      <w:r w:rsidRPr="00425E44">
        <w:t>2023-2025</w:t>
      </w:r>
      <w:r w:rsidRPr="009C1F21">
        <w:t xml:space="preserve"> </w:t>
      </w:r>
    </w:p>
    <w:p w14:paraId="1D472727" w14:textId="7E67CBCD" w:rsidR="000479ED" w:rsidRDefault="00461717" w:rsidP="000479ED">
      <w:pPr>
        <w:pStyle w:val="Title"/>
      </w:pPr>
      <w:r>
        <w:t>for</w:t>
      </w:r>
      <w:r w:rsidR="000479ED">
        <w:t xml:space="preserve"> the</w:t>
      </w:r>
    </w:p>
    <w:p w14:paraId="2689EB2A" w14:textId="678F8149" w:rsidR="000479ED" w:rsidRPr="009C1F21" w:rsidRDefault="000479ED" w:rsidP="000479ED">
      <w:pPr>
        <w:pStyle w:val="Title"/>
      </w:pPr>
      <w:r w:rsidRPr="009C1F21">
        <w:t xml:space="preserve">Department of </w:t>
      </w:r>
      <w:r w:rsidRPr="00425E44">
        <w:t>Rural and Community Development</w:t>
      </w:r>
      <w:bookmarkEnd w:id="0"/>
      <w:bookmarkEnd w:id="1"/>
      <w:bookmarkEnd w:id="2"/>
      <w:r w:rsidR="00392354">
        <w:rPr>
          <w:rStyle w:val="FootnoteReference"/>
        </w:rPr>
        <w:footnoteReference w:id="1"/>
      </w:r>
    </w:p>
    <w:p w14:paraId="0AD1572C" w14:textId="77777777" w:rsidR="00461717" w:rsidRDefault="00461717" w:rsidP="00461717">
      <w:pPr>
        <w:jc w:val="right"/>
      </w:pPr>
    </w:p>
    <w:p w14:paraId="140F78A3" w14:textId="395DD258" w:rsidR="000479ED" w:rsidRDefault="000479ED" w:rsidP="00461717">
      <w:pPr>
        <w:jc w:val="right"/>
      </w:pPr>
      <w:r>
        <w:t>March</w:t>
      </w:r>
      <w:r w:rsidRPr="009C1F21">
        <w:t xml:space="preserve"> 2023</w:t>
      </w:r>
    </w:p>
    <w:p w14:paraId="5F5B46EB" w14:textId="17719BBD" w:rsidR="00461717" w:rsidRDefault="00461717" w:rsidP="00461717">
      <w:pPr>
        <w:jc w:val="right"/>
      </w:pPr>
    </w:p>
    <w:p w14:paraId="7C704CE4" w14:textId="18D81332" w:rsidR="00461717" w:rsidRDefault="00461717" w:rsidP="00461717">
      <w:r>
        <w:rPr>
          <w:noProof/>
          <w:lang w:eastAsia="en-IE"/>
        </w:rPr>
        <w:drawing>
          <wp:inline distT="0" distB="0" distL="0" distR="0" wp14:anchorId="14A1A342" wp14:editId="5F5AFB70">
            <wp:extent cx="1950720" cy="1396365"/>
            <wp:effectExtent l="0" t="0" r="0" b="0"/>
            <wp:docPr id="1" name="Picture 1" descr="A close-up of NDA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NDA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396365"/>
                    </a:xfrm>
                    <a:prstGeom prst="rect">
                      <a:avLst/>
                    </a:prstGeom>
                    <a:noFill/>
                  </pic:spPr>
                </pic:pic>
              </a:graphicData>
            </a:graphic>
          </wp:inline>
        </w:drawing>
      </w:r>
    </w:p>
    <w:p w14:paraId="578E479E" w14:textId="7F02B3B0" w:rsidR="00461717" w:rsidRDefault="00461717" w:rsidP="00461717">
      <w:pPr>
        <w:jc w:val="right"/>
      </w:pPr>
    </w:p>
    <w:p w14:paraId="41A20D6E" w14:textId="0FB3CE3C" w:rsidR="00461717" w:rsidRPr="009C1F21" w:rsidRDefault="00461717" w:rsidP="00461717"/>
    <w:p w14:paraId="571C890F" w14:textId="77777777" w:rsidR="001F394C" w:rsidRDefault="001F394C">
      <w:pPr>
        <w:spacing w:after="0"/>
      </w:pPr>
      <w:r>
        <w:br w:type="page"/>
      </w:r>
    </w:p>
    <w:sdt>
      <w:sdtPr>
        <w:rPr>
          <w:b w:val="0"/>
        </w:rPr>
        <w:id w:val="787247343"/>
        <w:docPartObj>
          <w:docPartGallery w:val="Table of Contents"/>
          <w:docPartUnique/>
        </w:docPartObj>
      </w:sdtPr>
      <w:sdtEndPr>
        <w:rPr>
          <w:bCs/>
          <w:noProof/>
        </w:rPr>
      </w:sdtEndPr>
      <w:sdtContent>
        <w:p w14:paraId="33545461" w14:textId="3E79502E" w:rsidR="000479ED" w:rsidRDefault="001F394C">
          <w:pPr>
            <w:pStyle w:val="TOC1"/>
            <w:tabs>
              <w:tab w:val="right" w:leader="dot" w:pos="8630"/>
            </w:tabs>
            <w:rPr>
              <w:rFonts w:asciiTheme="minorHAnsi" w:eastAsiaTheme="minorEastAsia" w:hAnsiTheme="minorHAnsi" w:cstheme="minorBidi"/>
              <w:b w:val="0"/>
              <w:noProof/>
              <w:sz w:val="22"/>
              <w:szCs w:val="22"/>
              <w:lang w:eastAsia="en-IE"/>
            </w:rPr>
          </w:pPr>
          <w:r>
            <w:fldChar w:fldCharType="begin"/>
          </w:r>
          <w:r>
            <w:instrText xml:space="preserve"> TOC \o "1-3" \h \z \u </w:instrText>
          </w:r>
          <w:r>
            <w:fldChar w:fldCharType="separate"/>
          </w:r>
        </w:p>
        <w:p w14:paraId="4535EB59" w14:textId="4EEB4A03"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03" w:history="1">
            <w:r w:rsidR="000479ED" w:rsidRPr="00045E9B">
              <w:rPr>
                <w:rStyle w:val="Hyperlink"/>
                <w:noProof/>
              </w:rPr>
              <w:t>Introduction</w:t>
            </w:r>
            <w:r w:rsidR="000479ED">
              <w:rPr>
                <w:noProof/>
                <w:webHidden/>
              </w:rPr>
              <w:tab/>
            </w:r>
            <w:r w:rsidR="000479ED">
              <w:rPr>
                <w:noProof/>
                <w:webHidden/>
              </w:rPr>
              <w:fldChar w:fldCharType="begin"/>
            </w:r>
            <w:r w:rsidR="000479ED">
              <w:rPr>
                <w:noProof/>
                <w:webHidden/>
              </w:rPr>
              <w:instrText xml:space="preserve"> PAGEREF _Toc129007203 \h </w:instrText>
            </w:r>
            <w:r w:rsidR="000479ED">
              <w:rPr>
                <w:noProof/>
                <w:webHidden/>
              </w:rPr>
            </w:r>
            <w:r w:rsidR="000479ED">
              <w:rPr>
                <w:noProof/>
                <w:webHidden/>
              </w:rPr>
              <w:fldChar w:fldCharType="separate"/>
            </w:r>
            <w:r w:rsidR="000479ED">
              <w:rPr>
                <w:noProof/>
                <w:webHidden/>
              </w:rPr>
              <w:t>3</w:t>
            </w:r>
            <w:r w:rsidR="000479ED">
              <w:rPr>
                <w:noProof/>
                <w:webHidden/>
              </w:rPr>
              <w:fldChar w:fldCharType="end"/>
            </w:r>
          </w:hyperlink>
        </w:p>
        <w:p w14:paraId="40929491" w14:textId="70ED7A6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04" w:history="1">
            <w:r w:rsidR="000479ED" w:rsidRPr="00045E9B">
              <w:rPr>
                <w:rStyle w:val="Hyperlink"/>
                <w:rFonts w:eastAsia="SimSun"/>
                <w:noProof/>
                <w:lang w:eastAsia="en-IE"/>
              </w:rPr>
              <w:t>Policy Commitments</w:t>
            </w:r>
            <w:r w:rsidR="000479ED">
              <w:rPr>
                <w:noProof/>
                <w:webHidden/>
              </w:rPr>
              <w:tab/>
            </w:r>
            <w:r w:rsidR="000479ED">
              <w:rPr>
                <w:noProof/>
                <w:webHidden/>
              </w:rPr>
              <w:fldChar w:fldCharType="begin"/>
            </w:r>
            <w:r w:rsidR="000479ED">
              <w:rPr>
                <w:noProof/>
                <w:webHidden/>
              </w:rPr>
              <w:instrText xml:space="preserve"> PAGEREF _Toc129007204 \h </w:instrText>
            </w:r>
            <w:r w:rsidR="000479ED">
              <w:rPr>
                <w:noProof/>
                <w:webHidden/>
              </w:rPr>
            </w:r>
            <w:r w:rsidR="000479ED">
              <w:rPr>
                <w:noProof/>
                <w:webHidden/>
              </w:rPr>
              <w:fldChar w:fldCharType="separate"/>
            </w:r>
            <w:r w:rsidR="000479ED">
              <w:rPr>
                <w:noProof/>
                <w:webHidden/>
              </w:rPr>
              <w:t>3</w:t>
            </w:r>
            <w:r w:rsidR="000479ED">
              <w:rPr>
                <w:noProof/>
                <w:webHidden/>
              </w:rPr>
              <w:fldChar w:fldCharType="end"/>
            </w:r>
          </w:hyperlink>
        </w:p>
        <w:p w14:paraId="525A5358" w14:textId="6F070CCC"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05" w:history="1">
            <w:r w:rsidR="000479ED" w:rsidRPr="00045E9B">
              <w:rPr>
                <w:rStyle w:val="Hyperlink"/>
                <w:rFonts w:eastAsia="SimSun"/>
                <w:noProof/>
                <w:lang w:eastAsia="en-IE"/>
              </w:rPr>
              <w:t>Participation and Engagement</w:t>
            </w:r>
            <w:r w:rsidR="000479ED">
              <w:rPr>
                <w:noProof/>
                <w:webHidden/>
              </w:rPr>
              <w:tab/>
            </w:r>
            <w:r w:rsidR="000479ED">
              <w:rPr>
                <w:noProof/>
                <w:webHidden/>
              </w:rPr>
              <w:fldChar w:fldCharType="begin"/>
            </w:r>
            <w:r w:rsidR="000479ED">
              <w:rPr>
                <w:noProof/>
                <w:webHidden/>
              </w:rPr>
              <w:instrText xml:space="preserve"> PAGEREF _Toc129007205 \h </w:instrText>
            </w:r>
            <w:r w:rsidR="000479ED">
              <w:rPr>
                <w:noProof/>
                <w:webHidden/>
              </w:rPr>
            </w:r>
            <w:r w:rsidR="000479ED">
              <w:rPr>
                <w:noProof/>
                <w:webHidden/>
              </w:rPr>
              <w:fldChar w:fldCharType="separate"/>
            </w:r>
            <w:r w:rsidR="000479ED">
              <w:rPr>
                <w:noProof/>
                <w:webHidden/>
              </w:rPr>
              <w:t>4</w:t>
            </w:r>
            <w:r w:rsidR="000479ED">
              <w:rPr>
                <w:noProof/>
                <w:webHidden/>
              </w:rPr>
              <w:fldChar w:fldCharType="end"/>
            </w:r>
          </w:hyperlink>
        </w:p>
        <w:p w14:paraId="6E3C3A8C" w14:textId="541CF4B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06" w:history="1">
            <w:r w:rsidR="000479ED" w:rsidRPr="00045E9B">
              <w:rPr>
                <w:rStyle w:val="Hyperlink"/>
                <w:noProof/>
              </w:rPr>
              <w:t>Crosscutting Strategies</w:t>
            </w:r>
            <w:r w:rsidR="000479ED">
              <w:rPr>
                <w:noProof/>
                <w:webHidden/>
              </w:rPr>
              <w:tab/>
            </w:r>
            <w:r w:rsidR="000479ED">
              <w:rPr>
                <w:noProof/>
                <w:webHidden/>
              </w:rPr>
              <w:fldChar w:fldCharType="begin"/>
            </w:r>
            <w:r w:rsidR="000479ED">
              <w:rPr>
                <w:noProof/>
                <w:webHidden/>
              </w:rPr>
              <w:instrText xml:space="preserve"> PAGEREF _Toc129007206 \h </w:instrText>
            </w:r>
            <w:r w:rsidR="000479ED">
              <w:rPr>
                <w:noProof/>
                <w:webHidden/>
              </w:rPr>
            </w:r>
            <w:r w:rsidR="000479ED">
              <w:rPr>
                <w:noProof/>
                <w:webHidden/>
              </w:rPr>
              <w:fldChar w:fldCharType="separate"/>
            </w:r>
            <w:r w:rsidR="000479ED">
              <w:rPr>
                <w:noProof/>
                <w:webHidden/>
              </w:rPr>
              <w:t>4</w:t>
            </w:r>
            <w:r w:rsidR="000479ED">
              <w:rPr>
                <w:noProof/>
                <w:webHidden/>
              </w:rPr>
              <w:fldChar w:fldCharType="end"/>
            </w:r>
          </w:hyperlink>
        </w:p>
        <w:p w14:paraId="179EF610" w14:textId="66AEC4E2"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07" w:history="1">
            <w:r w:rsidR="000479ED" w:rsidRPr="00045E9B">
              <w:rPr>
                <w:rStyle w:val="Hyperlink"/>
                <w:noProof/>
              </w:rPr>
              <w:t>Community Development</w:t>
            </w:r>
            <w:r w:rsidR="000479ED">
              <w:rPr>
                <w:noProof/>
                <w:webHidden/>
              </w:rPr>
              <w:tab/>
            </w:r>
            <w:r w:rsidR="000479ED">
              <w:rPr>
                <w:noProof/>
                <w:webHidden/>
              </w:rPr>
              <w:fldChar w:fldCharType="begin"/>
            </w:r>
            <w:r w:rsidR="000479ED">
              <w:rPr>
                <w:noProof/>
                <w:webHidden/>
              </w:rPr>
              <w:instrText xml:space="preserve"> PAGEREF _Toc129007207 \h </w:instrText>
            </w:r>
            <w:r w:rsidR="000479ED">
              <w:rPr>
                <w:noProof/>
                <w:webHidden/>
              </w:rPr>
            </w:r>
            <w:r w:rsidR="000479ED">
              <w:rPr>
                <w:noProof/>
                <w:webHidden/>
              </w:rPr>
              <w:fldChar w:fldCharType="separate"/>
            </w:r>
            <w:r w:rsidR="000479ED">
              <w:rPr>
                <w:noProof/>
                <w:webHidden/>
              </w:rPr>
              <w:t>5</w:t>
            </w:r>
            <w:r w:rsidR="000479ED">
              <w:rPr>
                <w:noProof/>
                <w:webHidden/>
              </w:rPr>
              <w:fldChar w:fldCharType="end"/>
            </w:r>
          </w:hyperlink>
        </w:p>
        <w:p w14:paraId="48527830" w14:textId="2A64DA3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08" w:history="1">
            <w:r w:rsidR="000479ED" w:rsidRPr="00045E9B">
              <w:rPr>
                <w:rStyle w:val="Hyperlink"/>
                <w:rFonts w:eastAsia="Calibri"/>
                <w:noProof/>
              </w:rPr>
              <w:t>Operation and evaluation of community development schemes</w:t>
            </w:r>
            <w:r w:rsidR="000479ED">
              <w:rPr>
                <w:noProof/>
                <w:webHidden/>
              </w:rPr>
              <w:tab/>
            </w:r>
            <w:r w:rsidR="000479ED">
              <w:rPr>
                <w:noProof/>
                <w:webHidden/>
              </w:rPr>
              <w:fldChar w:fldCharType="begin"/>
            </w:r>
            <w:r w:rsidR="000479ED">
              <w:rPr>
                <w:noProof/>
                <w:webHidden/>
              </w:rPr>
              <w:instrText xml:space="preserve"> PAGEREF _Toc129007208 \h </w:instrText>
            </w:r>
            <w:r w:rsidR="000479ED">
              <w:rPr>
                <w:noProof/>
                <w:webHidden/>
              </w:rPr>
            </w:r>
            <w:r w:rsidR="000479ED">
              <w:rPr>
                <w:noProof/>
                <w:webHidden/>
              </w:rPr>
              <w:fldChar w:fldCharType="separate"/>
            </w:r>
            <w:r w:rsidR="000479ED">
              <w:rPr>
                <w:noProof/>
                <w:webHidden/>
              </w:rPr>
              <w:t>5</w:t>
            </w:r>
            <w:r w:rsidR="000479ED">
              <w:rPr>
                <w:noProof/>
                <w:webHidden/>
              </w:rPr>
              <w:fldChar w:fldCharType="end"/>
            </w:r>
          </w:hyperlink>
        </w:p>
        <w:p w14:paraId="1ED9A201" w14:textId="7B778831"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09" w:history="1">
            <w:r w:rsidR="000479ED" w:rsidRPr="00045E9B">
              <w:rPr>
                <w:rStyle w:val="Hyperlink"/>
                <w:rFonts w:eastAsia="Calibri"/>
                <w:noProof/>
              </w:rPr>
              <w:t>Digital accessibility</w:t>
            </w:r>
            <w:r w:rsidR="000479ED">
              <w:rPr>
                <w:noProof/>
                <w:webHidden/>
              </w:rPr>
              <w:tab/>
            </w:r>
            <w:r w:rsidR="000479ED">
              <w:rPr>
                <w:noProof/>
                <w:webHidden/>
              </w:rPr>
              <w:fldChar w:fldCharType="begin"/>
            </w:r>
            <w:r w:rsidR="000479ED">
              <w:rPr>
                <w:noProof/>
                <w:webHidden/>
              </w:rPr>
              <w:instrText xml:space="preserve"> PAGEREF _Toc129007209 \h </w:instrText>
            </w:r>
            <w:r w:rsidR="000479ED">
              <w:rPr>
                <w:noProof/>
                <w:webHidden/>
              </w:rPr>
            </w:r>
            <w:r w:rsidR="000479ED">
              <w:rPr>
                <w:noProof/>
                <w:webHidden/>
              </w:rPr>
              <w:fldChar w:fldCharType="separate"/>
            </w:r>
            <w:r w:rsidR="000479ED">
              <w:rPr>
                <w:noProof/>
                <w:webHidden/>
              </w:rPr>
              <w:t>6</w:t>
            </w:r>
            <w:r w:rsidR="000479ED">
              <w:rPr>
                <w:noProof/>
                <w:webHidden/>
              </w:rPr>
              <w:fldChar w:fldCharType="end"/>
            </w:r>
          </w:hyperlink>
        </w:p>
        <w:p w14:paraId="1E28CEAA" w14:textId="6ABA1C0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0" w:history="1">
            <w:r w:rsidR="000479ED" w:rsidRPr="00045E9B">
              <w:rPr>
                <w:rStyle w:val="Hyperlink"/>
                <w:noProof/>
              </w:rPr>
              <w:t>Digital poverty and digital literacy</w:t>
            </w:r>
            <w:r w:rsidR="000479ED">
              <w:rPr>
                <w:noProof/>
                <w:webHidden/>
              </w:rPr>
              <w:tab/>
            </w:r>
            <w:r w:rsidR="000479ED">
              <w:rPr>
                <w:noProof/>
                <w:webHidden/>
              </w:rPr>
              <w:fldChar w:fldCharType="begin"/>
            </w:r>
            <w:r w:rsidR="000479ED">
              <w:rPr>
                <w:noProof/>
                <w:webHidden/>
              </w:rPr>
              <w:instrText xml:space="preserve"> PAGEREF _Toc129007210 \h </w:instrText>
            </w:r>
            <w:r w:rsidR="000479ED">
              <w:rPr>
                <w:noProof/>
                <w:webHidden/>
              </w:rPr>
            </w:r>
            <w:r w:rsidR="000479ED">
              <w:rPr>
                <w:noProof/>
                <w:webHidden/>
              </w:rPr>
              <w:fldChar w:fldCharType="separate"/>
            </w:r>
            <w:r w:rsidR="000479ED">
              <w:rPr>
                <w:noProof/>
                <w:webHidden/>
              </w:rPr>
              <w:t>7</w:t>
            </w:r>
            <w:r w:rsidR="000479ED">
              <w:rPr>
                <w:noProof/>
                <w:webHidden/>
              </w:rPr>
              <w:fldChar w:fldCharType="end"/>
            </w:r>
          </w:hyperlink>
        </w:p>
        <w:p w14:paraId="1E8D227B" w14:textId="53D44293"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11" w:history="1">
            <w:r w:rsidR="000479ED" w:rsidRPr="00045E9B">
              <w:rPr>
                <w:rStyle w:val="Hyperlink"/>
                <w:noProof/>
              </w:rPr>
              <w:t>Town and Village Renewal Scheme</w:t>
            </w:r>
            <w:r w:rsidR="000479ED">
              <w:rPr>
                <w:noProof/>
                <w:webHidden/>
              </w:rPr>
              <w:tab/>
            </w:r>
            <w:r w:rsidR="000479ED">
              <w:rPr>
                <w:noProof/>
                <w:webHidden/>
              </w:rPr>
              <w:fldChar w:fldCharType="begin"/>
            </w:r>
            <w:r w:rsidR="000479ED">
              <w:rPr>
                <w:noProof/>
                <w:webHidden/>
              </w:rPr>
              <w:instrText xml:space="preserve"> PAGEREF _Toc129007211 \h </w:instrText>
            </w:r>
            <w:r w:rsidR="000479ED">
              <w:rPr>
                <w:noProof/>
                <w:webHidden/>
              </w:rPr>
            </w:r>
            <w:r w:rsidR="000479ED">
              <w:rPr>
                <w:noProof/>
                <w:webHidden/>
              </w:rPr>
              <w:fldChar w:fldCharType="separate"/>
            </w:r>
            <w:r w:rsidR="000479ED">
              <w:rPr>
                <w:noProof/>
                <w:webHidden/>
              </w:rPr>
              <w:t>7</w:t>
            </w:r>
            <w:r w:rsidR="000479ED">
              <w:rPr>
                <w:noProof/>
                <w:webHidden/>
              </w:rPr>
              <w:fldChar w:fldCharType="end"/>
            </w:r>
          </w:hyperlink>
        </w:p>
        <w:p w14:paraId="2770908B" w14:textId="537A8FD3"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12" w:history="1">
            <w:r w:rsidR="000479ED" w:rsidRPr="00045E9B">
              <w:rPr>
                <w:rStyle w:val="Hyperlink"/>
                <w:rFonts w:eastAsia="Calibri"/>
                <w:noProof/>
              </w:rPr>
              <w:t>Tidy Towns</w:t>
            </w:r>
            <w:r w:rsidR="000479ED">
              <w:rPr>
                <w:noProof/>
                <w:webHidden/>
              </w:rPr>
              <w:tab/>
            </w:r>
            <w:r w:rsidR="000479ED">
              <w:rPr>
                <w:noProof/>
                <w:webHidden/>
              </w:rPr>
              <w:fldChar w:fldCharType="begin"/>
            </w:r>
            <w:r w:rsidR="000479ED">
              <w:rPr>
                <w:noProof/>
                <w:webHidden/>
              </w:rPr>
              <w:instrText xml:space="preserve"> PAGEREF _Toc129007212 \h </w:instrText>
            </w:r>
            <w:r w:rsidR="000479ED">
              <w:rPr>
                <w:noProof/>
                <w:webHidden/>
              </w:rPr>
            </w:r>
            <w:r w:rsidR="000479ED">
              <w:rPr>
                <w:noProof/>
                <w:webHidden/>
              </w:rPr>
              <w:fldChar w:fldCharType="separate"/>
            </w:r>
            <w:r w:rsidR="000479ED">
              <w:rPr>
                <w:noProof/>
                <w:webHidden/>
              </w:rPr>
              <w:t>8</w:t>
            </w:r>
            <w:r w:rsidR="000479ED">
              <w:rPr>
                <w:noProof/>
                <w:webHidden/>
              </w:rPr>
              <w:fldChar w:fldCharType="end"/>
            </w:r>
          </w:hyperlink>
        </w:p>
        <w:p w14:paraId="2465DF64" w14:textId="2621EAF4"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13" w:history="1">
            <w:r w:rsidR="000479ED" w:rsidRPr="00045E9B">
              <w:rPr>
                <w:rStyle w:val="Hyperlink"/>
                <w:rFonts w:eastAsia="SimSun"/>
                <w:noProof/>
                <w:lang w:eastAsia="en-IE"/>
              </w:rPr>
              <w:t>Statutory Obligations</w:t>
            </w:r>
            <w:r w:rsidR="000479ED">
              <w:rPr>
                <w:noProof/>
                <w:webHidden/>
              </w:rPr>
              <w:tab/>
            </w:r>
            <w:r w:rsidR="000479ED">
              <w:rPr>
                <w:noProof/>
                <w:webHidden/>
              </w:rPr>
              <w:fldChar w:fldCharType="begin"/>
            </w:r>
            <w:r w:rsidR="000479ED">
              <w:rPr>
                <w:noProof/>
                <w:webHidden/>
              </w:rPr>
              <w:instrText xml:space="preserve"> PAGEREF _Toc129007213 \h </w:instrText>
            </w:r>
            <w:r w:rsidR="000479ED">
              <w:rPr>
                <w:noProof/>
                <w:webHidden/>
              </w:rPr>
            </w:r>
            <w:r w:rsidR="000479ED">
              <w:rPr>
                <w:noProof/>
                <w:webHidden/>
              </w:rPr>
              <w:fldChar w:fldCharType="separate"/>
            </w:r>
            <w:r w:rsidR="000479ED">
              <w:rPr>
                <w:noProof/>
                <w:webHidden/>
              </w:rPr>
              <w:t>9</w:t>
            </w:r>
            <w:r w:rsidR="000479ED">
              <w:rPr>
                <w:noProof/>
                <w:webHidden/>
              </w:rPr>
              <w:fldChar w:fldCharType="end"/>
            </w:r>
          </w:hyperlink>
        </w:p>
        <w:p w14:paraId="7337D053" w14:textId="669EECA9"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4" w:history="1">
            <w:r w:rsidR="000479ED" w:rsidRPr="00045E9B">
              <w:rPr>
                <w:rStyle w:val="Hyperlink"/>
                <w:rFonts w:eastAsia="SimSun"/>
                <w:noProof/>
                <w:lang w:eastAsia="en-IE"/>
              </w:rPr>
              <w:t>Compliance with Part 5 of the Disability Act 2005</w:t>
            </w:r>
            <w:r w:rsidR="000479ED">
              <w:rPr>
                <w:noProof/>
                <w:webHidden/>
              </w:rPr>
              <w:tab/>
            </w:r>
            <w:r w:rsidR="000479ED">
              <w:rPr>
                <w:noProof/>
                <w:webHidden/>
              </w:rPr>
              <w:fldChar w:fldCharType="begin"/>
            </w:r>
            <w:r w:rsidR="000479ED">
              <w:rPr>
                <w:noProof/>
                <w:webHidden/>
              </w:rPr>
              <w:instrText xml:space="preserve"> PAGEREF _Toc129007214 \h </w:instrText>
            </w:r>
            <w:r w:rsidR="000479ED">
              <w:rPr>
                <w:noProof/>
                <w:webHidden/>
              </w:rPr>
            </w:r>
            <w:r w:rsidR="000479ED">
              <w:rPr>
                <w:noProof/>
                <w:webHidden/>
              </w:rPr>
              <w:fldChar w:fldCharType="separate"/>
            </w:r>
            <w:r w:rsidR="000479ED">
              <w:rPr>
                <w:noProof/>
                <w:webHidden/>
              </w:rPr>
              <w:t>9</w:t>
            </w:r>
            <w:r w:rsidR="000479ED">
              <w:rPr>
                <w:noProof/>
                <w:webHidden/>
              </w:rPr>
              <w:fldChar w:fldCharType="end"/>
            </w:r>
          </w:hyperlink>
        </w:p>
        <w:p w14:paraId="3F3FE78E" w14:textId="60C80F77"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5" w:history="1">
            <w:r w:rsidR="000479ED" w:rsidRPr="00045E9B">
              <w:rPr>
                <w:rStyle w:val="Hyperlink"/>
                <w:rFonts w:eastAsia="SimSun"/>
                <w:noProof/>
                <w:lang w:eastAsia="en-IE"/>
              </w:rPr>
              <w:t>EU Web Accessibility Obligations</w:t>
            </w:r>
            <w:r w:rsidR="000479ED">
              <w:rPr>
                <w:noProof/>
                <w:webHidden/>
              </w:rPr>
              <w:tab/>
            </w:r>
            <w:r w:rsidR="000479ED">
              <w:rPr>
                <w:noProof/>
                <w:webHidden/>
              </w:rPr>
              <w:fldChar w:fldCharType="begin"/>
            </w:r>
            <w:r w:rsidR="000479ED">
              <w:rPr>
                <w:noProof/>
                <w:webHidden/>
              </w:rPr>
              <w:instrText xml:space="preserve"> PAGEREF _Toc129007215 \h </w:instrText>
            </w:r>
            <w:r w:rsidR="000479ED">
              <w:rPr>
                <w:noProof/>
                <w:webHidden/>
              </w:rPr>
            </w:r>
            <w:r w:rsidR="000479ED">
              <w:rPr>
                <w:noProof/>
                <w:webHidden/>
              </w:rPr>
              <w:fldChar w:fldCharType="separate"/>
            </w:r>
            <w:r w:rsidR="000479ED">
              <w:rPr>
                <w:noProof/>
                <w:webHidden/>
              </w:rPr>
              <w:t>9</w:t>
            </w:r>
            <w:r w:rsidR="000479ED">
              <w:rPr>
                <w:noProof/>
                <w:webHidden/>
              </w:rPr>
              <w:fldChar w:fldCharType="end"/>
            </w:r>
          </w:hyperlink>
        </w:p>
        <w:p w14:paraId="11A2FF8A" w14:textId="5B635A19"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6" w:history="1">
            <w:r w:rsidR="000479ED" w:rsidRPr="00045E9B">
              <w:rPr>
                <w:rStyle w:val="Hyperlink"/>
                <w:noProof/>
                <w:lang w:eastAsia="en-IE"/>
              </w:rPr>
              <w:t>Compliance with Part 3 of Disability Act 2005</w:t>
            </w:r>
            <w:r w:rsidR="000479ED">
              <w:rPr>
                <w:noProof/>
                <w:webHidden/>
              </w:rPr>
              <w:tab/>
            </w:r>
            <w:r w:rsidR="000479ED">
              <w:rPr>
                <w:noProof/>
                <w:webHidden/>
              </w:rPr>
              <w:fldChar w:fldCharType="begin"/>
            </w:r>
            <w:r w:rsidR="000479ED">
              <w:rPr>
                <w:noProof/>
                <w:webHidden/>
              </w:rPr>
              <w:instrText xml:space="preserve"> PAGEREF _Toc129007216 \h </w:instrText>
            </w:r>
            <w:r w:rsidR="000479ED">
              <w:rPr>
                <w:noProof/>
                <w:webHidden/>
              </w:rPr>
            </w:r>
            <w:r w:rsidR="000479ED">
              <w:rPr>
                <w:noProof/>
                <w:webHidden/>
              </w:rPr>
              <w:fldChar w:fldCharType="separate"/>
            </w:r>
            <w:r w:rsidR="000479ED">
              <w:rPr>
                <w:noProof/>
                <w:webHidden/>
              </w:rPr>
              <w:t>11</w:t>
            </w:r>
            <w:r w:rsidR="000479ED">
              <w:rPr>
                <w:noProof/>
                <w:webHidden/>
              </w:rPr>
              <w:fldChar w:fldCharType="end"/>
            </w:r>
          </w:hyperlink>
        </w:p>
        <w:p w14:paraId="35321984" w14:textId="2D962892"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7" w:history="1">
            <w:r w:rsidR="000479ED" w:rsidRPr="00045E9B">
              <w:rPr>
                <w:rStyle w:val="Hyperlink"/>
                <w:noProof/>
                <w:lang w:eastAsia="en-IE"/>
              </w:rPr>
              <w:t>Requirement for Accessible Public Buildings under Section 25 of the Disability Act 2005</w:t>
            </w:r>
            <w:r w:rsidR="000479ED">
              <w:rPr>
                <w:noProof/>
                <w:webHidden/>
              </w:rPr>
              <w:tab/>
            </w:r>
            <w:r w:rsidR="000479ED">
              <w:rPr>
                <w:noProof/>
                <w:webHidden/>
              </w:rPr>
              <w:fldChar w:fldCharType="begin"/>
            </w:r>
            <w:r w:rsidR="000479ED">
              <w:rPr>
                <w:noProof/>
                <w:webHidden/>
              </w:rPr>
              <w:instrText xml:space="preserve"> PAGEREF _Toc129007217 \h </w:instrText>
            </w:r>
            <w:r w:rsidR="000479ED">
              <w:rPr>
                <w:noProof/>
                <w:webHidden/>
              </w:rPr>
            </w:r>
            <w:r w:rsidR="000479ED">
              <w:rPr>
                <w:noProof/>
                <w:webHidden/>
              </w:rPr>
              <w:fldChar w:fldCharType="separate"/>
            </w:r>
            <w:r w:rsidR="000479ED">
              <w:rPr>
                <w:noProof/>
                <w:webHidden/>
              </w:rPr>
              <w:t>11</w:t>
            </w:r>
            <w:r w:rsidR="000479ED">
              <w:rPr>
                <w:noProof/>
                <w:webHidden/>
              </w:rPr>
              <w:fldChar w:fldCharType="end"/>
            </w:r>
          </w:hyperlink>
        </w:p>
        <w:p w14:paraId="5E09A243" w14:textId="3B4CBFA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18" w:history="1">
            <w:r w:rsidR="000479ED" w:rsidRPr="00045E9B">
              <w:rPr>
                <w:rStyle w:val="Hyperlink"/>
                <w:rFonts w:eastAsia="SimSun"/>
                <w:noProof/>
                <w:lang w:eastAsia="en-IE"/>
              </w:rPr>
              <w:t>Irish Sign Language Act</w:t>
            </w:r>
            <w:r w:rsidR="000479ED">
              <w:rPr>
                <w:noProof/>
                <w:webHidden/>
              </w:rPr>
              <w:tab/>
            </w:r>
            <w:r w:rsidR="000479ED">
              <w:rPr>
                <w:noProof/>
                <w:webHidden/>
              </w:rPr>
              <w:fldChar w:fldCharType="begin"/>
            </w:r>
            <w:r w:rsidR="000479ED">
              <w:rPr>
                <w:noProof/>
                <w:webHidden/>
              </w:rPr>
              <w:instrText xml:space="preserve"> PAGEREF _Toc129007218 \h </w:instrText>
            </w:r>
            <w:r w:rsidR="000479ED">
              <w:rPr>
                <w:noProof/>
                <w:webHidden/>
              </w:rPr>
            </w:r>
            <w:r w:rsidR="000479ED">
              <w:rPr>
                <w:noProof/>
                <w:webHidden/>
              </w:rPr>
              <w:fldChar w:fldCharType="separate"/>
            </w:r>
            <w:r w:rsidR="000479ED">
              <w:rPr>
                <w:noProof/>
                <w:webHidden/>
              </w:rPr>
              <w:t>12</w:t>
            </w:r>
            <w:r w:rsidR="000479ED">
              <w:rPr>
                <w:noProof/>
                <w:webHidden/>
              </w:rPr>
              <w:fldChar w:fldCharType="end"/>
            </w:r>
          </w:hyperlink>
        </w:p>
        <w:p w14:paraId="32A2BEDB" w14:textId="438E8B4E" w:rsidR="000479ED" w:rsidRDefault="00F613B3">
          <w:pPr>
            <w:pStyle w:val="TOC1"/>
            <w:tabs>
              <w:tab w:val="right" w:leader="dot" w:pos="8630"/>
            </w:tabs>
            <w:rPr>
              <w:rFonts w:asciiTheme="minorHAnsi" w:eastAsiaTheme="minorEastAsia" w:hAnsiTheme="minorHAnsi" w:cstheme="minorBidi"/>
              <w:b w:val="0"/>
              <w:noProof/>
              <w:sz w:val="22"/>
              <w:szCs w:val="22"/>
              <w:lang w:eastAsia="en-IE"/>
            </w:rPr>
          </w:pPr>
          <w:hyperlink w:anchor="_Toc129007219" w:history="1">
            <w:r w:rsidR="000479ED" w:rsidRPr="00045E9B">
              <w:rPr>
                <w:rStyle w:val="Hyperlink"/>
                <w:noProof/>
              </w:rPr>
              <w:t>Conclusion</w:t>
            </w:r>
            <w:r w:rsidR="000479ED">
              <w:rPr>
                <w:noProof/>
                <w:webHidden/>
              </w:rPr>
              <w:tab/>
            </w:r>
            <w:r w:rsidR="000479ED">
              <w:rPr>
                <w:noProof/>
                <w:webHidden/>
              </w:rPr>
              <w:fldChar w:fldCharType="begin"/>
            </w:r>
            <w:r w:rsidR="000479ED">
              <w:rPr>
                <w:noProof/>
                <w:webHidden/>
              </w:rPr>
              <w:instrText xml:space="preserve"> PAGEREF _Toc129007219 \h </w:instrText>
            </w:r>
            <w:r w:rsidR="000479ED">
              <w:rPr>
                <w:noProof/>
                <w:webHidden/>
              </w:rPr>
            </w:r>
            <w:r w:rsidR="000479ED">
              <w:rPr>
                <w:noProof/>
                <w:webHidden/>
              </w:rPr>
              <w:fldChar w:fldCharType="separate"/>
            </w:r>
            <w:r w:rsidR="000479ED">
              <w:rPr>
                <w:noProof/>
                <w:webHidden/>
              </w:rPr>
              <w:t>13</w:t>
            </w:r>
            <w:r w:rsidR="000479ED">
              <w:rPr>
                <w:noProof/>
                <w:webHidden/>
              </w:rPr>
              <w:fldChar w:fldCharType="end"/>
            </w:r>
          </w:hyperlink>
        </w:p>
        <w:p w14:paraId="28809B38" w14:textId="7B30DABA" w:rsidR="000479ED" w:rsidRDefault="00F613B3">
          <w:pPr>
            <w:pStyle w:val="TOC2"/>
            <w:tabs>
              <w:tab w:val="right" w:leader="dot" w:pos="8630"/>
            </w:tabs>
            <w:rPr>
              <w:rFonts w:asciiTheme="minorHAnsi" w:eastAsiaTheme="minorEastAsia" w:hAnsiTheme="minorHAnsi" w:cstheme="minorBidi"/>
              <w:noProof/>
              <w:sz w:val="22"/>
              <w:szCs w:val="22"/>
              <w:lang w:eastAsia="en-IE"/>
            </w:rPr>
          </w:pPr>
          <w:hyperlink w:anchor="_Toc129007220" w:history="1">
            <w:r w:rsidR="000479ED" w:rsidRPr="00045E9B">
              <w:rPr>
                <w:rStyle w:val="Hyperlink"/>
                <w:rFonts w:eastAsia="SimSun"/>
                <w:noProof/>
                <w:lang w:eastAsia="en-IE"/>
              </w:rPr>
              <w:t>Summary of Key Recommendations to the Department</w:t>
            </w:r>
            <w:r w:rsidR="000479ED">
              <w:rPr>
                <w:noProof/>
                <w:webHidden/>
              </w:rPr>
              <w:tab/>
            </w:r>
            <w:r w:rsidR="000479ED">
              <w:rPr>
                <w:noProof/>
                <w:webHidden/>
              </w:rPr>
              <w:fldChar w:fldCharType="begin"/>
            </w:r>
            <w:r w:rsidR="000479ED">
              <w:rPr>
                <w:noProof/>
                <w:webHidden/>
              </w:rPr>
              <w:instrText xml:space="preserve"> PAGEREF _Toc129007220 \h </w:instrText>
            </w:r>
            <w:r w:rsidR="000479ED">
              <w:rPr>
                <w:noProof/>
                <w:webHidden/>
              </w:rPr>
            </w:r>
            <w:r w:rsidR="000479ED">
              <w:rPr>
                <w:noProof/>
                <w:webHidden/>
              </w:rPr>
              <w:fldChar w:fldCharType="separate"/>
            </w:r>
            <w:r w:rsidR="000479ED">
              <w:rPr>
                <w:noProof/>
                <w:webHidden/>
              </w:rPr>
              <w:t>13</w:t>
            </w:r>
            <w:r w:rsidR="000479ED">
              <w:rPr>
                <w:noProof/>
                <w:webHidden/>
              </w:rPr>
              <w:fldChar w:fldCharType="end"/>
            </w:r>
          </w:hyperlink>
        </w:p>
        <w:p w14:paraId="3350B632" w14:textId="2FADA309" w:rsidR="001F394C" w:rsidRDefault="001F394C">
          <w:r>
            <w:rPr>
              <w:b/>
              <w:bCs/>
              <w:noProof/>
            </w:rPr>
            <w:fldChar w:fldCharType="end"/>
          </w:r>
        </w:p>
      </w:sdtContent>
    </w:sdt>
    <w:p w14:paraId="144356C7" w14:textId="4ED832AA" w:rsidR="001F394C" w:rsidRDefault="001F394C">
      <w:pPr>
        <w:spacing w:after="0"/>
        <w:rPr>
          <w:rFonts w:cs="Arial"/>
          <w:b/>
          <w:bCs/>
          <w:kern w:val="28"/>
          <w:sz w:val="36"/>
          <w:szCs w:val="32"/>
        </w:rPr>
      </w:pPr>
      <w:r>
        <w:br w:type="page"/>
      </w:r>
    </w:p>
    <w:p w14:paraId="619876D9" w14:textId="77777777" w:rsidR="009C3BD7" w:rsidRPr="009C1F21" w:rsidRDefault="002D05B0" w:rsidP="009C3BD7">
      <w:pPr>
        <w:pStyle w:val="Heading1"/>
      </w:pPr>
      <w:bookmarkStart w:id="3" w:name="_Toc129007203"/>
      <w:r w:rsidRPr="009C1F21">
        <w:lastRenderedPageBreak/>
        <w:t>Introduction</w:t>
      </w:r>
      <w:bookmarkEnd w:id="3"/>
    </w:p>
    <w:p w14:paraId="31145B8B" w14:textId="2C63B60E" w:rsidR="00E6609A" w:rsidRPr="009C1F21" w:rsidRDefault="00E6609A" w:rsidP="00E6609A">
      <w:pPr>
        <w:pStyle w:val="Default"/>
        <w:rPr>
          <w:color w:val="auto"/>
          <w:sz w:val="26"/>
          <w:szCs w:val="26"/>
        </w:rPr>
      </w:pPr>
      <w:r w:rsidRPr="009C1F21">
        <w:rPr>
          <w:color w:val="auto"/>
          <w:sz w:val="26"/>
          <w:szCs w:val="26"/>
        </w:rPr>
        <w:t>The National Disability Authority (NDA) is the independent statutory body with a duty to provide information and evidence-informed advice to Government and officials in the public sector on disability matters, and to promote Universal Design. Th</w:t>
      </w:r>
      <w:r w:rsidR="00E5541F" w:rsidRPr="009C1F21">
        <w:rPr>
          <w:color w:val="auto"/>
          <w:sz w:val="26"/>
          <w:szCs w:val="26"/>
        </w:rPr>
        <w:t>is</w:t>
      </w:r>
      <w:r w:rsidRPr="009C1F21">
        <w:rPr>
          <w:color w:val="auto"/>
          <w:sz w:val="26"/>
          <w:szCs w:val="26"/>
        </w:rPr>
        <w:t xml:space="preserve"> </w:t>
      </w:r>
      <w:r w:rsidR="00E5541F" w:rsidRPr="009C1F21">
        <w:rPr>
          <w:color w:val="auto"/>
          <w:sz w:val="26"/>
          <w:szCs w:val="26"/>
        </w:rPr>
        <w:t>s</w:t>
      </w:r>
      <w:r w:rsidR="00C7298E" w:rsidRPr="009C1F21">
        <w:rPr>
          <w:color w:val="auto"/>
          <w:sz w:val="26"/>
          <w:szCs w:val="26"/>
        </w:rPr>
        <w:t xml:space="preserve">ubmission </w:t>
      </w:r>
      <w:r w:rsidR="00E5541F" w:rsidRPr="009C1F21">
        <w:rPr>
          <w:color w:val="auto"/>
          <w:sz w:val="26"/>
          <w:szCs w:val="26"/>
        </w:rPr>
        <w:t>on the</w:t>
      </w:r>
      <w:r w:rsidR="00C7298E" w:rsidRPr="009C1F21">
        <w:rPr>
          <w:color w:val="auto"/>
          <w:sz w:val="26"/>
          <w:szCs w:val="26"/>
        </w:rPr>
        <w:t xml:space="preserve"> </w:t>
      </w:r>
      <w:r w:rsidR="00EA1046" w:rsidRPr="009C1F21">
        <w:rPr>
          <w:color w:val="auto"/>
          <w:sz w:val="26"/>
          <w:szCs w:val="26"/>
        </w:rPr>
        <w:t>Statement</w:t>
      </w:r>
      <w:r w:rsidR="00425E44">
        <w:rPr>
          <w:color w:val="auto"/>
          <w:sz w:val="26"/>
          <w:szCs w:val="26"/>
        </w:rPr>
        <w:t xml:space="preserve"> of Strategy 2023-2025</w:t>
      </w:r>
      <w:r w:rsidRPr="009C1F21">
        <w:rPr>
          <w:color w:val="auto"/>
          <w:sz w:val="26"/>
          <w:szCs w:val="26"/>
        </w:rPr>
        <w:t xml:space="preserve"> address</w:t>
      </w:r>
      <w:r w:rsidR="00894724" w:rsidRPr="009C1F21">
        <w:rPr>
          <w:color w:val="auto"/>
          <w:sz w:val="26"/>
          <w:szCs w:val="26"/>
        </w:rPr>
        <w:t>es</w:t>
      </w:r>
      <w:r w:rsidRPr="009C1F21">
        <w:rPr>
          <w:color w:val="auto"/>
          <w:sz w:val="26"/>
          <w:szCs w:val="26"/>
        </w:rPr>
        <w:t xml:space="preserve"> issues related to </w:t>
      </w:r>
      <w:r w:rsidR="00EA1046" w:rsidRPr="009C1F21">
        <w:rPr>
          <w:color w:val="auto"/>
          <w:sz w:val="26"/>
          <w:szCs w:val="26"/>
        </w:rPr>
        <w:t>this</w:t>
      </w:r>
      <w:r w:rsidR="00326AA8" w:rsidRPr="009C1F21">
        <w:rPr>
          <w:color w:val="auto"/>
          <w:sz w:val="26"/>
          <w:szCs w:val="26"/>
        </w:rPr>
        <w:t xml:space="preserve"> d</w:t>
      </w:r>
      <w:r w:rsidRPr="009C1F21">
        <w:rPr>
          <w:color w:val="auto"/>
          <w:sz w:val="26"/>
          <w:szCs w:val="26"/>
        </w:rPr>
        <w:t xml:space="preserve">epartment’s remit which fall within the NDA’s competencies and expertise. </w:t>
      </w:r>
    </w:p>
    <w:p w14:paraId="7508AEDF" w14:textId="77777777" w:rsidR="00E6609A" w:rsidRPr="009C1F21" w:rsidRDefault="00E6609A" w:rsidP="00E6609A">
      <w:pPr>
        <w:pStyle w:val="Default"/>
        <w:rPr>
          <w:color w:val="auto"/>
          <w:sz w:val="26"/>
          <w:szCs w:val="26"/>
        </w:rPr>
      </w:pPr>
    </w:p>
    <w:p w14:paraId="4FF96E11" w14:textId="6CBE44CE" w:rsidR="00425E44" w:rsidRDefault="00B6200F" w:rsidP="007233A8">
      <w:pPr>
        <w:pStyle w:val="Default"/>
        <w:rPr>
          <w:color w:val="auto"/>
          <w:sz w:val="26"/>
          <w:szCs w:val="26"/>
        </w:rPr>
      </w:pPr>
      <w:r w:rsidRPr="009C1F21">
        <w:rPr>
          <w:color w:val="auto"/>
          <w:sz w:val="26"/>
          <w:szCs w:val="26"/>
        </w:rPr>
        <w:t xml:space="preserve">The NDA recommends that the Department of </w:t>
      </w:r>
      <w:r w:rsidR="00425E44">
        <w:rPr>
          <w:color w:val="auto"/>
          <w:sz w:val="26"/>
          <w:szCs w:val="26"/>
        </w:rPr>
        <w:t>Rural and Community Development</w:t>
      </w:r>
      <w:r w:rsidRPr="009C1F21">
        <w:rPr>
          <w:color w:val="auto"/>
          <w:sz w:val="26"/>
          <w:szCs w:val="26"/>
        </w:rPr>
        <w:t xml:space="preserve"> </w:t>
      </w:r>
      <w:r w:rsidR="00F03522" w:rsidRPr="009C1F21">
        <w:rPr>
          <w:color w:val="auto"/>
          <w:sz w:val="26"/>
          <w:szCs w:val="26"/>
        </w:rPr>
        <w:t>include</w:t>
      </w:r>
      <w:r w:rsidR="00425E44">
        <w:rPr>
          <w:color w:val="auto"/>
          <w:sz w:val="26"/>
          <w:szCs w:val="26"/>
        </w:rPr>
        <w:t>s</w:t>
      </w:r>
      <w:r w:rsidR="00A36286" w:rsidRPr="009C1F21">
        <w:rPr>
          <w:color w:val="auto"/>
          <w:sz w:val="26"/>
          <w:szCs w:val="26"/>
        </w:rPr>
        <w:t xml:space="preserve"> clear commitments in this new Statement of Strategy </w:t>
      </w:r>
      <w:proofErr w:type="gramStart"/>
      <w:r w:rsidR="00A36286" w:rsidRPr="009C1F21">
        <w:rPr>
          <w:color w:val="auto"/>
          <w:sz w:val="26"/>
          <w:szCs w:val="26"/>
        </w:rPr>
        <w:t>with regard to</w:t>
      </w:r>
      <w:proofErr w:type="gramEnd"/>
      <w:r w:rsidR="00A36286" w:rsidRPr="009C1F21">
        <w:rPr>
          <w:color w:val="auto"/>
          <w:sz w:val="26"/>
          <w:szCs w:val="26"/>
        </w:rPr>
        <w:t xml:space="preserve"> how services and supports</w:t>
      </w:r>
      <w:r w:rsidR="00277374">
        <w:rPr>
          <w:color w:val="auto"/>
          <w:sz w:val="26"/>
          <w:szCs w:val="26"/>
        </w:rPr>
        <w:t>,</w:t>
      </w:r>
      <w:r w:rsidR="00A36286" w:rsidRPr="009C1F21">
        <w:rPr>
          <w:color w:val="auto"/>
          <w:sz w:val="26"/>
          <w:szCs w:val="26"/>
        </w:rPr>
        <w:t xml:space="preserve"> within its remit</w:t>
      </w:r>
      <w:r w:rsidR="00277374">
        <w:rPr>
          <w:color w:val="auto"/>
          <w:sz w:val="26"/>
          <w:szCs w:val="26"/>
        </w:rPr>
        <w:t>,</w:t>
      </w:r>
      <w:r w:rsidR="00A36286" w:rsidRPr="009C1F21">
        <w:rPr>
          <w:color w:val="auto"/>
          <w:sz w:val="26"/>
          <w:szCs w:val="26"/>
        </w:rPr>
        <w:t xml:space="preserve"> will be provided to members of the public with disabilities. </w:t>
      </w:r>
    </w:p>
    <w:p w14:paraId="2EA8CA45" w14:textId="77777777" w:rsidR="00425E44" w:rsidRDefault="00425E44" w:rsidP="007233A8">
      <w:pPr>
        <w:pStyle w:val="Default"/>
        <w:rPr>
          <w:color w:val="auto"/>
          <w:sz w:val="26"/>
          <w:szCs w:val="26"/>
        </w:rPr>
      </w:pPr>
    </w:p>
    <w:p w14:paraId="692996DF" w14:textId="50A0DB42" w:rsidR="00C46DB9" w:rsidRDefault="00CD1785" w:rsidP="007233A8">
      <w:pPr>
        <w:pStyle w:val="Default"/>
        <w:rPr>
          <w:color w:val="auto"/>
          <w:sz w:val="26"/>
          <w:szCs w:val="26"/>
        </w:rPr>
      </w:pPr>
      <w:r w:rsidRPr="009C1F21">
        <w:rPr>
          <w:color w:val="auto"/>
          <w:sz w:val="26"/>
          <w:szCs w:val="26"/>
        </w:rPr>
        <w:t>A clear statement confirming the</w:t>
      </w:r>
      <w:r w:rsidR="00567FA0" w:rsidRPr="009C1F21">
        <w:rPr>
          <w:color w:val="auto"/>
          <w:sz w:val="26"/>
          <w:szCs w:val="26"/>
        </w:rPr>
        <w:t xml:space="preserve"> Government</w:t>
      </w:r>
      <w:r w:rsidRPr="009C1F21">
        <w:rPr>
          <w:color w:val="auto"/>
          <w:sz w:val="26"/>
          <w:szCs w:val="26"/>
        </w:rPr>
        <w:t>’s</w:t>
      </w:r>
      <w:r w:rsidR="00567FA0" w:rsidRPr="009C1F21">
        <w:rPr>
          <w:color w:val="auto"/>
          <w:sz w:val="26"/>
          <w:szCs w:val="26"/>
        </w:rPr>
        <w:t xml:space="preserve"> policy of ‘mainstreaming’ </w:t>
      </w:r>
      <w:r w:rsidR="00085194" w:rsidRPr="009C1F21">
        <w:rPr>
          <w:color w:val="auto"/>
          <w:sz w:val="26"/>
          <w:szCs w:val="26"/>
        </w:rPr>
        <w:t>and referencing</w:t>
      </w:r>
      <w:r w:rsidRPr="009C1F21">
        <w:rPr>
          <w:color w:val="auto"/>
          <w:sz w:val="26"/>
          <w:szCs w:val="26"/>
        </w:rPr>
        <w:t xml:space="preserve"> how </w:t>
      </w:r>
      <w:r w:rsidR="00644039" w:rsidRPr="009C1F21">
        <w:rPr>
          <w:color w:val="auto"/>
          <w:sz w:val="26"/>
          <w:szCs w:val="26"/>
        </w:rPr>
        <w:t xml:space="preserve">the </w:t>
      </w:r>
      <w:r w:rsidR="00425E44" w:rsidRPr="00425E44">
        <w:rPr>
          <w:color w:val="auto"/>
          <w:sz w:val="26"/>
          <w:szCs w:val="26"/>
        </w:rPr>
        <w:t xml:space="preserve">Department of Rural and Community Development </w:t>
      </w:r>
      <w:r w:rsidRPr="009C1F21">
        <w:rPr>
          <w:color w:val="auto"/>
          <w:sz w:val="26"/>
          <w:szCs w:val="26"/>
        </w:rPr>
        <w:t xml:space="preserve">will </w:t>
      </w:r>
      <w:r w:rsidR="00567FA0" w:rsidRPr="009C1F21">
        <w:rPr>
          <w:color w:val="auto"/>
          <w:sz w:val="26"/>
          <w:szCs w:val="26"/>
        </w:rPr>
        <w:t>recognise and meet the needs of disabled persons when delivering services</w:t>
      </w:r>
      <w:r w:rsidRPr="009C1F21">
        <w:rPr>
          <w:color w:val="auto"/>
          <w:sz w:val="26"/>
          <w:szCs w:val="26"/>
        </w:rPr>
        <w:t xml:space="preserve"> is a useful approach</w:t>
      </w:r>
      <w:r w:rsidR="00567FA0" w:rsidRPr="009C1F21">
        <w:rPr>
          <w:color w:val="auto"/>
          <w:sz w:val="26"/>
          <w:szCs w:val="26"/>
        </w:rPr>
        <w:t xml:space="preserve">. This </w:t>
      </w:r>
      <w:r w:rsidRPr="009C1F21">
        <w:rPr>
          <w:color w:val="auto"/>
          <w:sz w:val="26"/>
          <w:szCs w:val="26"/>
        </w:rPr>
        <w:t>will require</w:t>
      </w:r>
      <w:r w:rsidR="005E091A" w:rsidRPr="009C1F21">
        <w:rPr>
          <w:color w:val="auto"/>
          <w:sz w:val="26"/>
          <w:szCs w:val="26"/>
        </w:rPr>
        <w:t xml:space="preserve"> the d</w:t>
      </w:r>
      <w:r w:rsidR="00567FA0" w:rsidRPr="009C1F21">
        <w:rPr>
          <w:color w:val="auto"/>
          <w:sz w:val="26"/>
          <w:szCs w:val="26"/>
        </w:rPr>
        <w:t xml:space="preserve">epartment to disability-proof the policies and supports it provides, thereby also ensuring that the </w:t>
      </w:r>
      <w:r w:rsidR="00425E44" w:rsidRPr="00425E44">
        <w:rPr>
          <w:color w:val="auto"/>
          <w:sz w:val="26"/>
          <w:szCs w:val="26"/>
        </w:rPr>
        <w:t>Department of Rural and Community Development</w:t>
      </w:r>
      <w:r w:rsidR="00567FA0" w:rsidRPr="009C1F21">
        <w:rPr>
          <w:color w:val="auto"/>
          <w:sz w:val="26"/>
          <w:szCs w:val="26"/>
        </w:rPr>
        <w:t xml:space="preserve"> is playing its part in the delivery of the State’s commitments under the United Nations Convention on the Rights of Persons with Disabilities (UNCRPD).</w:t>
      </w:r>
    </w:p>
    <w:p w14:paraId="48AA2435" w14:textId="217D5A0C" w:rsidR="00D6538D" w:rsidRPr="009C1F21" w:rsidRDefault="00D6538D" w:rsidP="007233A8">
      <w:pPr>
        <w:pStyle w:val="Default"/>
        <w:rPr>
          <w:color w:val="auto"/>
          <w:sz w:val="26"/>
          <w:szCs w:val="26"/>
        </w:rPr>
      </w:pPr>
    </w:p>
    <w:p w14:paraId="423BE8AF" w14:textId="77777777" w:rsidR="00E73998" w:rsidRPr="009C1F21" w:rsidRDefault="00E73998" w:rsidP="00151294">
      <w:pPr>
        <w:pStyle w:val="Heading2"/>
        <w:rPr>
          <w:rFonts w:eastAsia="SimSun"/>
          <w:lang w:eastAsia="en-IE"/>
        </w:rPr>
      </w:pPr>
      <w:bookmarkStart w:id="4" w:name="_Toc129007204"/>
      <w:r w:rsidRPr="009C1F21">
        <w:rPr>
          <w:rFonts w:eastAsia="SimSun"/>
          <w:lang w:eastAsia="en-IE"/>
        </w:rPr>
        <w:t xml:space="preserve">Policy </w:t>
      </w:r>
      <w:r w:rsidR="007976E3" w:rsidRPr="009C1F21">
        <w:rPr>
          <w:rFonts w:eastAsia="SimSun"/>
          <w:lang w:eastAsia="en-IE"/>
        </w:rPr>
        <w:t>Commitments</w:t>
      </w:r>
      <w:bookmarkEnd w:id="4"/>
    </w:p>
    <w:p w14:paraId="0F5A5CD7" w14:textId="64AC3FB2" w:rsidR="0026622C" w:rsidRDefault="003F5766" w:rsidP="007233A8">
      <w:pPr>
        <w:pStyle w:val="Default"/>
        <w:rPr>
          <w:color w:val="auto"/>
          <w:sz w:val="26"/>
          <w:szCs w:val="26"/>
        </w:rPr>
      </w:pPr>
      <w:r>
        <w:rPr>
          <w:color w:val="auto"/>
          <w:sz w:val="26"/>
          <w:szCs w:val="26"/>
        </w:rPr>
        <w:t xml:space="preserve">Ireland ratified the </w:t>
      </w:r>
      <w:r w:rsidR="00277374">
        <w:rPr>
          <w:color w:val="auto"/>
          <w:sz w:val="26"/>
          <w:szCs w:val="26"/>
        </w:rPr>
        <w:t>UNCRPD</w:t>
      </w:r>
      <w:r>
        <w:rPr>
          <w:color w:val="auto"/>
          <w:sz w:val="26"/>
          <w:szCs w:val="26"/>
        </w:rPr>
        <w:t xml:space="preserve"> in 2018. </w:t>
      </w:r>
      <w:r w:rsidR="00AA339A" w:rsidRPr="009C1F21">
        <w:rPr>
          <w:color w:val="auto"/>
          <w:sz w:val="26"/>
          <w:szCs w:val="26"/>
        </w:rPr>
        <w:t xml:space="preserve">A UNCRPD </w:t>
      </w:r>
      <w:r w:rsidR="00A36286" w:rsidRPr="009C1F21">
        <w:rPr>
          <w:color w:val="auto"/>
          <w:sz w:val="26"/>
          <w:szCs w:val="26"/>
        </w:rPr>
        <w:t>I</w:t>
      </w:r>
      <w:r w:rsidR="00AA339A" w:rsidRPr="009C1F21">
        <w:rPr>
          <w:color w:val="auto"/>
          <w:sz w:val="26"/>
          <w:szCs w:val="26"/>
        </w:rPr>
        <w:t>mplementation Strategy is to be developed during 2023</w:t>
      </w:r>
      <w:r w:rsidR="00A36286" w:rsidRPr="009C1F21">
        <w:rPr>
          <w:color w:val="auto"/>
          <w:sz w:val="26"/>
          <w:szCs w:val="26"/>
        </w:rPr>
        <w:t xml:space="preserve">. While the development of the Strategy will be coordinated by the Department of Children, Equality, Disability, Integration and Youth (DCEDIY), there will be obligations and actions for all government departments and across the public sector, </w:t>
      </w:r>
      <w:proofErr w:type="gramStart"/>
      <w:r w:rsidR="00A36286" w:rsidRPr="009C1F21">
        <w:rPr>
          <w:color w:val="auto"/>
          <w:sz w:val="26"/>
          <w:szCs w:val="26"/>
        </w:rPr>
        <w:t>in order to</w:t>
      </w:r>
      <w:proofErr w:type="gramEnd"/>
      <w:r w:rsidR="00A36286" w:rsidRPr="009C1F21">
        <w:rPr>
          <w:color w:val="auto"/>
          <w:sz w:val="26"/>
          <w:szCs w:val="26"/>
        </w:rPr>
        <w:t xml:space="preserve"> ensure the rights of persons with disabiliti</w:t>
      </w:r>
      <w:r w:rsidR="00D01899" w:rsidRPr="009C1F21">
        <w:rPr>
          <w:color w:val="auto"/>
          <w:sz w:val="26"/>
          <w:szCs w:val="26"/>
        </w:rPr>
        <w:t xml:space="preserve">es are recognised and realised. </w:t>
      </w:r>
      <w:r w:rsidR="00AA339A" w:rsidRPr="009C1F21">
        <w:rPr>
          <w:color w:val="auto"/>
          <w:sz w:val="26"/>
          <w:szCs w:val="26"/>
        </w:rPr>
        <w:t xml:space="preserve">Articles of the UNCRPD </w:t>
      </w:r>
      <w:r w:rsidR="00FD394C">
        <w:rPr>
          <w:color w:val="auto"/>
          <w:sz w:val="26"/>
          <w:szCs w:val="26"/>
        </w:rPr>
        <w:t>and that</w:t>
      </w:r>
      <w:r w:rsidR="00AA339A" w:rsidRPr="009C1F21">
        <w:rPr>
          <w:color w:val="auto"/>
          <w:sz w:val="26"/>
          <w:szCs w:val="26"/>
        </w:rPr>
        <w:t xml:space="preserve"> are particularly relevant to the Department of </w:t>
      </w:r>
      <w:r w:rsidR="000E3F15">
        <w:rPr>
          <w:color w:val="auto"/>
          <w:sz w:val="26"/>
          <w:szCs w:val="26"/>
        </w:rPr>
        <w:t>Rural and Community Development</w:t>
      </w:r>
      <w:r w:rsidR="00AA339A" w:rsidRPr="009C1F21">
        <w:rPr>
          <w:color w:val="auto"/>
          <w:sz w:val="26"/>
          <w:szCs w:val="26"/>
        </w:rPr>
        <w:t xml:space="preserve"> </w:t>
      </w:r>
      <w:proofErr w:type="gramStart"/>
      <w:r w:rsidR="00305924" w:rsidRPr="009C1F21">
        <w:rPr>
          <w:color w:val="auto"/>
          <w:sz w:val="26"/>
          <w:szCs w:val="26"/>
        </w:rPr>
        <w:t>include;</w:t>
      </w:r>
      <w:proofErr w:type="gramEnd"/>
    </w:p>
    <w:p w14:paraId="3DE26C5B" w14:textId="77777777" w:rsidR="00967EBD" w:rsidRPr="009C1F21" w:rsidRDefault="00967EBD" w:rsidP="007233A8">
      <w:pPr>
        <w:pStyle w:val="Default"/>
        <w:rPr>
          <w:color w:val="auto"/>
          <w:sz w:val="26"/>
          <w:szCs w:val="26"/>
        </w:rPr>
      </w:pPr>
    </w:p>
    <w:p w14:paraId="754DCDC7" w14:textId="7DAFC703" w:rsidR="000E3F15" w:rsidRDefault="000E3F15" w:rsidP="000E3F15">
      <w:pPr>
        <w:pStyle w:val="ListParagraph"/>
        <w:numPr>
          <w:ilvl w:val="0"/>
          <w:numId w:val="25"/>
        </w:numPr>
        <w:spacing w:after="0"/>
        <w:rPr>
          <w:szCs w:val="26"/>
        </w:rPr>
      </w:pPr>
      <w:r>
        <w:rPr>
          <w:szCs w:val="26"/>
        </w:rPr>
        <w:t>Article 9 Accessibility</w:t>
      </w:r>
      <w:r w:rsidRPr="000E3F15">
        <w:rPr>
          <w:szCs w:val="26"/>
        </w:rPr>
        <w:t xml:space="preserve"> </w:t>
      </w:r>
    </w:p>
    <w:p w14:paraId="208EB369" w14:textId="67C7DFC1" w:rsidR="000E3F15" w:rsidRDefault="000E3F15" w:rsidP="000E3F15">
      <w:pPr>
        <w:pStyle w:val="ListParagraph"/>
        <w:numPr>
          <w:ilvl w:val="0"/>
          <w:numId w:val="25"/>
        </w:numPr>
        <w:spacing w:after="0"/>
        <w:rPr>
          <w:szCs w:val="26"/>
        </w:rPr>
      </w:pPr>
      <w:r>
        <w:rPr>
          <w:szCs w:val="26"/>
        </w:rPr>
        <w:t xml:space="preserve">Article </w:t>
      </w:r>
      <w:r w:rsidRPr="000E3F15">
        <w:rPr>
          <w:szCs w:val="26"/>
        </w:rPr>
        <w:t>19 Living independently and being included in the community</w:t>
      </w:r>
    </w:p>
    <w:p w14:paraId="3EC0E551" w14:textId="7773624A" w:rsidR="000E3F15" w:rsidRDefault="000E3F15" w:rsidP="0026622C">
      <w:pPr>
        <w:pStyle w:val="ListParagraph"/>
        <w:numPr>
          <w:ilvl w:val="0"/>
          <w:numId w:val="25"/>
        </w:numPr>
        <w:spacing w:after="0"/>
        <w:rPr>
          <w:szCs w:val="26"/>
        </w:rPr>
      </w:pPr>
      <w:r>
        <w:rPr>
          <w:szCs w:val="26"/>
        </w:rPr>
        <w:t xml:space="preserve">Article 26 </w:t>
      </w:r>
      <w:proofErr w:type="spellStart"/>
      <w:r>
        <w:rPr>
          <w:szCs w:val="26"/>
        </w:rPr>
        <w:t>Habilitation</w:t>
      </w:r>
      <w:proofErr w:type="spellEnd"/>
      <w:r>
        <w:rPr>
          <w:szCs w:val="26"/>
        </w:rPr>
        <w:t xml:space="preserve"> and rehabilitation</w:t>
      </w:r>
    </w:p>
    <w:p w14:paraId="18A860BA" w14:textId="157F6771" w:rsidR="0026622C" w:rsidRPr="009C1F21" w:rsidRDefault="002667A9" w:rsidP="0026622C">
      <w:pPr>
        <w:pStyle w:val="ListParagraph"/>
        <w:numPr>
          <w:ilvl w:val="0"/>
          <w:numId w:val="25"/>
        </w:numPr>
        <w:spacing w:after="0"/>
        <w:rPr>
          <w:szCs w:val="26"/>
        </w:rPr>
      </w:pPr>
      <w:r w:rsidRPr="009C1F21">
        <w:rPr>
          <w:szCs w:val="26"/>
        </w:rPr>
        <w:t xml:space="preserve">Article 28 Adequate standard </w:t>
      </w:r>
      <w:r w:rsidR="00B86D43" w:rsidRPr="009C1F21">
        <w:rPr>
          <w:szCs w:val="26"/>
        </w:rPr>
        <w:t xml:space="preserve">of living and social </w:t>
      </w:r>
      <w:proofErr w:type="gramStart"/>
      <w:r w:rsidR="00B86D43" w:rsidRPr="009C1F21">
        <w:rPr>
          <w:szCs w:val="26"/>
        </w:rPr>
        <w:t>protection;</w:t>
      </w:r>
      <w:proofErr w:type="gramEnd"/>
      <w:r w:rsidRPr="009C1F21">
        <w:rPr>
          <w:szCs w:val="26"/>
        </w:rPr>
        <w:t xml:space="preserve"> </w:t>
      </w:r>
    </w:p>
    <w:p w14:paraId="4E08015F" w14:textId="77777777" w:rsidR="00DA5D81" w:rsidRDefault="00DA5D81" w:rsidP="002667A9">
      <w:pPr>
        <w:spacing w:after="0"/>
        <w:rPr>
          <w:szCs w:val="26"/>
        </w:rPr>
      </w:pPr>
    </w:p>
    <w:p w14:paraId="14109240" w14:textId="3E1713AE" w:rsidR="00D61734" w:rsidRDefault="00DA5D81" w:rsidP="002667A9">
      <w:pPr>
        <w:spacing w:after="0"/>
        <w:rPr>
          <w:szCs w:val="26"/>
        </w:rPr>
      </w:pPr>
      <w:r>
        <w:rPr>
          <w:szCs w:val="26"/>
        </w:rPr>
        <w:t>T</w:t>
      </w:r>
      <w:r w:rsidRPr="00BF142E">
        <w:rPr>
          <w:szCs w:val="26"/>
        </w:rPr>
        <w:t xml:space="preserve">he NDA would encourage the Department to become actively involved in the development of a UNCRPD </w:t>
      </w:r>
      <w:r>
        <w:rPr>
          <w:szCs w:val="26"/>
        </w:rPr>
        <w:t>I</w:t>
      </w:r>
      <w:r w:rsidRPr="00BF142E">
        <w:rPr>
          <w:szCs w:val="26"/>
        </w:rPr>
        <w:t>mplementatio</w:t>
      </w:r>
      <w:r>
        <w:rPr>
          <w:szCs w:val="26"/>
        </w:rPr>
        <w:t>n Strategy</w:t>
      </w:r>
    </w:p>
    <w:p w14:paraId="165ACA50" w14:textId="77777777" w:rsidR="00DA5D81" w:rsidRPr="009C1F21" w:rsidRDefault="00DA5D81" w:rsidP="002667A9">
      <w:pPr>
        <w:spacing w:after="0"/>
        <w:rPr>
          <w:szCs w:val="26"/>
        </w:rPr>
      </w:pPr>
    </w:p>
    <w:p w14:paraId="5AC7655C" w14:textId="77777777" w:rsidR="00A26651" w:rsidRPr="009C1F21" w:rsidRDefault="00A26651" w:rsidP="00234BA3">
      <w:pPr>
        <w:pStyle w:val="Heading2"/>
        <w:rPr>
          <w:rFonts w:eastAsia="SimSun"/>
          <w:lang w:eastAsia="en-IE"/>
        </w:rPr>
      </w:pPr>
      <w:bookmarkStart w:id="5" w:name="_Toc129007205"/>
      <w:r w:rsidRPr="009C1F21">
        <w:rPr>
          <w:rFonts w:eastAsia="SimSun"/>
          <w:lang w:eastAsia="en-IE"/>
        </w:rPr>
        <w:lastRenderedPageBreak/>
        <w:t>Participation and Engagement</w:t>
      </w:r>
      <w:bookmarkEnd w:id="5"/>
    </w:p>
    <w:p w14:paraId="2E885888" w14:textId="6FA1E212" w:rsidR="00811AB4" w:rsidRPr="009C1F21" w:rsidRDefault="0004523F" w:rsidP="00EE2F98">
      <w:pPr>
        <w:spacing w:after="0"/>
        <w:rPr>
          <w:rFonts w:eastAsia="SimSun" w:cs="Gill Sans MT"/>
          <w:szCs w:val="26"/>
          <w:lang w:eastAsia="en-IE"/>
        </w:rPr>
      </w:pPr>
      <w:r w:rsidRPr="009C1F21">
        <w:rPr>
          <w:rFonts w:eastAsia="SimSun" w:cs="Gill Sans MT"/>
          <w:szCs w:val="26"/>
          <w:lang w:eastAsia="en-IE"/>
        </w:rPr>
        <w:t xml:space="preserve">The </w:t>
      </w:r>
      <w:r w:rsidR="00C03FC5" w:rsidRPr="009C1F21">
        <w:rPr>
          <w:rFonts w:eastAsia="SimSun" w:cs="Gill Sans MT"/>
          <w:szCs w:val="26"/>
          <w:lang w:eastAsia="en-IE"/>
        </w:rPr>
        <w:t>UNCRPD</w:t>
      </w:r>
      <w:r w:rsidR="00A36286" w:rsidRPr="009C1F21">
        <w:rPr>
          <w:rFonts w:eastAsia="SimSun" w:cs="Gill Sans MT"/>
          <w:szCs w:val="26"/>
          <w:lang w:eastAsia="en-IE"/>
        </w:rPr>
        <w:t xml:space="preserve"> also</w:t>
      </w:r>
      <w:r w:rsidR="00C03FC5" w:rsidRPr="009C1F21">
        <w:rPr>
          <w:rFonts w:eastAsia="SimSun" w:cs="Gill Sans MT"/>
          <w:szCs w:val="26"/>
          <w:lang w:eastAsia="en-IE"/>
        </w:rPr>
        <w:t xml:space="preserve"> places an obligation on s</w:t>
      </w:r>
      <w:r w:rsidRPr="009C1F21">
        <w:rPr>
          <w:rFonts w:eastAsia="SimSun" w:cs="Gill Sans MT"/>
          <w:szCs w:val="26"/>
          <w:lang w:eastAsia="en-IE"/>
        </w:rPr>
        <w:t xml:space="preserve">tates to ensure that people with disabilities are included in policy development and decision-making. </w:t>
      </w:r>
      <w:r w:rsidR="009863CC" w:rsidRPr="009C1F21">
        <w:rPr>
          <w:rFonts w:eastAsia="SimSun" w:cs="Gill Sans MT"/>
          <w:szCs w:val="26"/>
          <w:lang w:eastAsia="en-IE"/>
        </w:rPr>
        <w:t xml:space="preserve">The </w:t>
      </w:r>
      <w:r w:rsidR="008E24A4" w:rsidRPr="009C1F21">
        <w:rPr>
          <w:rFonts w:eastAsia="SimSun" w:cs="Gill Sans MT"/>
          <w:szCs w:val="26"/>
          <w:lang w:eastAsia="en-IE"/>
        </w:rPr>
        <w:t xml:space="preserve">NDA </w:t>
      </w:r>
      <w:r w:rsidR="00967EBD">
        <w:rPr>
          <w:rFonts w:eastAsia="SimSun" w:cs="Gill Sans MT"/>
          <w:szCs w:val="26"/>
          <w:lang w:eastAsia="en-IE"/>
        </w:rPr>
        <w:t>encourages the Department</w:t>
      </w:r>
      <w:r w:rsidR="00811AB4" w:rsidRPr="009C1F21">
        <w:rPr>
          <w:rFonts w:eastAsia="SimSun" w:cs="Gill Sans MT"/>
          <w:szCs w:val="26"/>
          <w:lang w:eastAsia="en-IE"/>
        </w:rPr>
        <w:t xml:space="preserve"> </w:t>
      </w:r>
      <w:r w:rsidR="00967EBD">
        <w:rPr>
          <w:rFonts w:eastAsia="SimSun" w:cs="Gill Sans MT"/>
          <w:szCs w:val="26"/>
          <w:lang w:eastAsia="en-IE"/>
        </w:rPr>
        <w:t xml:space="preserve">to </w:t>
      </w:r>
      <w:r w:rsidR="00811AB4" w:rsidRPr="009C1F21">
        <w:rPr>
          <w:rFonts w:eastAsia="SimSun" w:cs="Gill Sans MT"/>
          <w:szCs w:val="26"/>
          <w:lang w:eastAsia="en-IE"/>
        </w:rPr>
        <w:t>consult with stakeholders</w:t>
      </w:r>
      <w:r w:rsidR="00987386">
        <w:rPr>
          <w:rFonts w:eastAsia="SimSun" w:cs="Gill Sans MT"/>
          <w:szCs w:val="26"/>
          <w:lang w:eastAsia="en-IE"/>
        </w:rPr>
        <w:t xml:space="preserve"> on matters within the remit of the Department that would have relevance to disability</w:t>
      </w:r>
      <w:r w:rsidR="00811AB4" w:rsidRPr="009C1F21">
        <w:rPr>
          <w:rFonts w:eastAsia="SimSun" w:cs="Gill Sans MT"/>
          <w:szCs w:val="26"/>
          <w:lang w:eastAsia="en-IE"/>
        </w:rPr>
        <w:t xml:space="preserve">, including </w:t>
      </w:r>
      <w:r w:rsidR="00B34E14" w:rsidRPr="009C1F21">
        <w:rPr>
          <w:rFonts w:eastAsia="SimSun" w:cs="Gill Sans MT"/>
          <w:szCs w:val="26"/>
          <w:lang w:eastAsia="en-IE"/>
        </w:rPr>
        <w:t>Disabled Persons</w:t>
      </w:r>
      <w:r w:rsidR="00D74A36" w:rsidRPr="009C1F21">
        <w:rPr>
          <w:rFonts w:eastAsia="SimSun" w:cs="Gill Sans MT"/>
          <w:szCs w:val="26"/>
          <w:lang w:eastAsia="en-IE"/>
        </w:rPr>
        <w:t>’</w:t>
      </w:r>
      <w:r w:rsidR="00B34E14" w:rsidRPr="009C1F21">
        <w:rPr>
          <w:rFonts w:eastAsia="SimSun" w:cs="Gill Sans MT"/>
          <w:szCs w:val="26"/>
          <w:lang w:eastAsia="en-IE"/>
        </w:rPr>
        <w:t xml:space="preserve"> Organisations (DPOs</w:t>
      </w:r>
      <w:r w:rsidR="00967EBD">
        <w:rPr>
          <w:rFonts w:eastAsia="SimSun" w:cs="Gill Sans MT"/>
          <w:szCs w:val="26"/>
          <w:lang w:eastAsia="en-IE"/>
        </w:rPr>
        <w:t>)</w:t>
      </w:r>
      <w:r w:rsidR="00987386">
        <w:rPr>
          <w:rFonts w:eastAsia="SimSun" w:cs="Gill Sans MT"/>
          <w:szCs w:val="26"/>
          <w:lang w:eastAsia="en-IE"/>
        </w:rPr>
        <w:t>.</w:t>
      </w:r>
      <w:r w:rsidR="00967EBD">
        <w:rPr>
          <w:rFonts w:eastAsia="SimSun" w:cs="Gill Sans MT"/>
          <w:szCs w:val="26"/>
          <w:lang w:eastAsia="en-IE"/>
        </w:rPr>
        <w:t xml:space="preserve"> </w:t>
      </w:r>
      <w:r w:rsidR="00987386">
        <w:rPr>
          <w:rFonts w:eastAsia="SimSun" w:cs="Gill Sans MT"/>
          <w:szCs w:val="26"/>
          <w:lang w:eastAsia="en-IE"/>
        </w:rPr>
        <w:t>We advise</w:t>
      </w:r>
      <w:r w:rsidR="00A36286" w:rsidRPr="009C1F21">
        <w:rPr>
          <w:rFonts w:eastAsia="SimSun" w:cs="Gill Sans MT"/>
          <w:szCs w:val="26"/>
          <w:lang w:eastAsia="en-IE"/>
        </w:rPr>
        <w:t xml:space="preserve"> that meaningful engagement and participation should feature throughout the lifetime of the next Statement of Strat</w:t>
      </w:r>
      <w:r w:rsidR="00A26651" w:rsidRPr="009C1F21">
        <w:rPr>
          <w:rFonts w:eastAsia="SimSun" w:cs="Gill Sans MT"/>
          <w:szCs w:val="26"/>
          <w:lang w:eastAsia="en-IE"/>
        </w:rPr>
        <w:t xml:space="preserve">egy, so that policy interventions planned and delivered </w:t>
      </w:r>
      <w:r w:rsidR="00866459" w:rsidRPr="009C1F21">
        <w:rPr>
          <w:rFonts w:eastAsia="SimSun" w:cs="Gill Sans MT"/>
          <w:szCs w:val="26"/>
          <w:lang w:eastAsia="en-IE"/>
        </w:rPr>
        <w:t>by the d</w:t>
      </w:r>
      <w:r w:rsidR="00A26651" w:rsidRPr="009C1F21">
        <w:rPr>
          <w:rFonts w:eastAsia="SimSun" w:cs="Gill Sans MT"/>
          <w:szCs w:val="26"/>
          <w:lang w:eastAsia="en-IE"/>
        </w:rPr>
        <w:t xml:space="preserve">epartment are disability-proofed from the outset. </w:t>
      </w:r>
      <w:r w:rsidR="00A95C0E" w:rsidRPr="009C1F21">
        <w:rPr>
          <w:rFonts w:eastAsia="SimSun" w:cs="Gill Sans MT"/>
          <w:szCs w:val="26"/>
          <w:lang w:eastAsia="en-IE"/>
        </w:rPr>
        <w:t>T</w:t>
      </w:r>
      <w:r w:rsidR="00A26651" w:rsidRPr="009C1F21">
        <w:rPr>
          <w:rFonts w:eastAsia="SimSun" w:cs="Gill Sans MT"/>
          <w:szCs w:val="26"/>
          <w:lang w:eastAsia="en-IE"/>
        </w:rPr>
        <w:t>he NDA</w:t>
      </w:r>
      <w:r w:rsidR="00B13A9E" w:rsidRPr="009C1F21">
        <w:rPr>
          <w:rFonts w:eastAsia="SimSun" w:cs="Gill Sans MT"/>
          <w:szCs w:val="26"/>
          <w:lang w:eastAsia="en-IE"/>
        </w:rPr>
        <w:t xml:space="preserve"> </w:t>
      </w:r>
      <w:r w:rsidR="003F5766">
        <w:rPr>
          <w:rFonts w:eastAsia="SimSun" w:cs="Gill Sans MT"/>
          <w:szCs w:val="26"/>
          <w:lang w:eastAsia="en-IE"/>
        </w:rPr>
        <w:t xml:space="preserve">has published two documents that may help with this. The </w:t>
      </w:r>
      <w:r w:rsidR="00BF142E">
        <w:rPr>
          <w:rFonts w:eastAsia="SimSun" w:cs="Gill Sans MT"/>
          <w:szCs w:val="26"/>
          <w:lang w:eastAsia="en-IE"/>
        </w:rPr>
        <w:t xml:space="preserve">first </w:t>
      </w:r>
      <w:r w:rsidR="00BF142E" w:rsidRPr="009C1F21">
        <w:rPr>
          <w:rFonts w:eastAsia="SimSun" w:cs="Gill Sans MT"/>
          <w:szCs w:val="26"/>
          <w:lang w:eastAsia="en-IE"/>
        </w:rPr>
        <w:t>‘</w:t>
      </w:r>
      <w:r w:rsidR="00BF142E" w:rsidRPr="00277374">
        <w:rPr>
          <w:rFonts w:eastAsia="SimSun" w:cs="Gill Sans MT"/>
          <w:b/>
          <w:szCs w:val="26"/>
          <w:lang w:eastAsia="en-IE"/>
        </w:rPr>
        <w:t>Participation</w:t>
      </w:r>
      <w:r w:rsidR="00AB681C" w:rsidRPr="00967EBD">
        <w:rPr>
          <w:rFonts w:eastAsia="SimSun" w:cs="Gill Sans MT"/>
          <w:b/>
          <w:szCs w:val="26"/>
          <w:lang w:eastAsia="en-IE"/>
        </w:rPr>
        <w:t xml:space="preserve"> Matters: Guidelines on implementing the obligation to meaningfully engage with disabled people in public decision making’</w:t>
      </w:r>
      <w:r w:rsidR="003F5766">
        <w:rPr>
          <w:rFonts w:eastAsia="SimSun" w:cs="Gill Sans MT"/>
          <w:b/>
          <w:szCs w:val="26"/>
          <w:lang w:eastAsia="en-IE"/>
        </w:rPr>
        <w:t xml:space="preserve"> </w:t>
      </w:r>
      <w:r w:rsidR="003F5766" w:rsidRPr="00277374">
        <w:rPr>
          <w:rFonts w:eastAsia="SimSun" w:cs="Gill Sans MT"/>
          <w:szCs w:val="26"/>
          <w:lang w:eastAsia="en-IE"/>
        </w:rPr>
        <w:t>aims</w:t>
      </w:r>
      <w:r w:rsidR="00A95C0E" w:rsidRPr="009C1F21">
        <w:rPr>
          <w:rFonts w:eastAsia="SimSun" w:cs="Gill Sans MT"/>
          <w:szCs w:val="26"/>
          <w:lang w:eastAsia="en-IE"/>
        </w:rPr>
        <w:t xml:space="preserve"> </w:t>
      </w:r>
      <w:r w:rsidR="00A26651" w:rsidRPr="009C1F21">
        <w:rPr>
          <w:rFonts w:eastAsia="SimSun" w:cs="Gill Sans MT"/>
          <w:szCs w:val="26"/>
          <w:lang w:eastAsia="en-IE"/>
        </w:rPr>
        <w:t xml:space="preserve">to support public bodies in achieving meaningful engagement with disabled people, especially through their representative </w:t>
      </w:r>
      <w:r w:rsidR="00F20F5D" w:rsidRPr="009C1F21">
        <w:rPr>
          <w:rFonts w:eastAsia="SimSun" w:cs="Gill Sans MT"/>
          <w:szCs w:val="26"/>
          <w:lang w:eastAsia="en-IE"/>
        </w:rPr>
        <w:t>DPOs</w:t>
      </w:r>
      <w:r w:rsidR="00591D3D" w:rsidRPr="009C1F21">
        <w:rPr>
          <w:rFonts w:eastAsia="SimSun" w:cs="Gill Sans MT"/>
          <w:szCs w:val="26"/>
          <w:lang w:eastAsia="en-IE"/>
        </w:rPr>
        <w:t>.</w:t>
      </w:r>
      <w:r w:rsidR="00093154" w:rsidRPr="009C1F21">
        <w:rPr>
          <w:rStyle w:val="FootnoteReference"/>
          <w:rFonts w:eastAsia="SimSun" w:cs="Gill Sans MT"/>
          <w:szCs w:val="26"/>
          <w:lang w:eastAsia="en-IE"/>
        </w:rPr>
        <w:footnoteReference w:id="2"/>
      </w:r>
      <w:r w:rsidR="00EE2F98" w:rsidRPr="009C1F21">
        <w:rPr>
          <w:rFonts w:eastAsia="SimSun" w:cs="Gill Sans MT"/>
          <w:szCs w:val="26"/>
          <w:lang w:eastAsia="en-IE"/>
        </w:rPr>
        <w:t xml:space="preserve"> </w:t>
      </w:r>
      <w:r w:rsidR="00811AB4" w:rsidRPr="009C1F21">
        <w:rPr>
          <w:rFonts w:eastAsia="SimSun" w:cs="Gill Sans MT"/>
          <w:szCs w:val="26"/>
          <w:lang w:eastAsia="en-IE"/>
        </w:rPr>
        <w:t xml:space="preserve">The NDA also produced </w:t>
      </w:r>
      <w:r w:rsidR="00FF2AF4" w:rsidRPr="009C1F21">
        <w:rPr>
          <w:rFonts w:eastAsia="SimSun" w:cs="Gill Sans MT"/>
          <w:szCs w:val="26"/>
          <w:lang w:eastAsia="en-IE"/>
        </w:rPr>
        <w:t>an ‘</w:t>
      </w:r>
      <w:r w:rsidR="00FF2AF4" w:rsidRPr="00277374">
        <w:rPr>
          <w:rFonts w:eastAsia="SimSun" w:cs="Gill Sans MT"/>
          <w:b/>
          <w:szCs w:val="26"/>
          <w:lang w:eastAsia="en-IE"/>
        </w:rPr>
        <w:t>Advice Paper</w:t>
      </w:r>
      <w:r w:rsidR="00811AB4" w:rsidRPr="00277374">
        <w:rPr>
          <w:rFonts w:eastAsia="SimSun" w:cs="Gill Sans MT"/>
          <w:b/>
          <w:szCs w:val="26"/>
          <w:lang w:eastAsia="en-IE"/>
        </w:rPr>
        <w:t xml:space="preserve"> on Disability Language and Terminology</w:t>
      </w:r>
      <w:r w:rsidR="00FF2AF4" w:rsidRPr="009C1F21">
        <w:rPr>
          <w:rFonts w:eastAsia="SimSun" w:cs="Gill Sans MT"/>
          <w:szCs w:val="26"/>
          <w:lang w:eastAsia="en-IE"/>
        </w:rPr>
        <w:t>’</w:t>
      </w:r>
      <w:r w:rsidR="00811AB4" w:rsidRPr="009C1F21">
        <w:rPr>
          <w:rFonts w:eastAsia="SimSun" w:cs="Gill Sans MT"/>
          <w:szCs w:val="26"/>
          <w:lang w:eastAsia="en-IE"/>
        </w:rPr>
        <w:t xml:space="preserve"> which is intended as a practical guide for departments and public bodies on the use of language about disability.</w:t>
      </w:r>
      <w:r w:rsidR="00811AB4" w:rsidRPr="009C1F21">
        <w:rPr>
          <w:rStyle w:val="FootnoteReference"/>
          <w:rFonts w:eastAsia="SimSun" w:cs="Gill Sans MT"/>
          <w:szCs w:val="26"/>
          <w:lang w:eastAsia="en-IE"/>
        </w:rPr>
        <w:footnoteReference w:id="3"/>
      </w:r>
      <w:r w:rsidR="00811AB4" w:rsidRPr="009C1F21">
        <w:rPr>
          <w:rFonts w:eastAsia="SimSun" w:cs="Gill Sans MT"/>
          <w:szCs w:val="26"/>
          <w:lang w:eastAsia="en-IE"/>
        </w:rPr>
        <w:t xml:space="preserve"> </w:t>
      </w:r>
    </w:p>
    <w:p w14:paraId="3FB938A4" w14:textId="77777777" w:rsidR="00347440" w:rsidRPr="009C1F21" w:rsidRDefault="00347440" w:rsidP="002667A9">
      <w:pPr>
        <w:spacing w:after="0"/>
        <w:rPr>
          <w:szCs w:val="26"/>
        </w:rPr>
      </w:pPr>
    </w:p>
    <w:p w14:paraId="3FBEC03F" w14:textId="14A59502" w:rsidR="002667A9" w:rsidRPr="009C1F21" w:rsidRDefault="00ED0B9E" w:rsidP="008D728A">
      <w:pPr>
        <w:pStyle w:val="Heading2"/>
      </w:pPr>
      <w:bookmarkStart w:id="6" w:name="_Toc129007206"/>
      <w:r w:rsidRPr="009C1F21">
        <w:t>Crossc</w:t>
      </w:r>
      <w:r w:rsidR="00FF47F3" w:rsidRPr="009C1F21">
        <w:t>utting S</w:t>
      </w:r>
      <w:r w:rsidR="0064333C" w:rsidRPr="009C1F21">
        <w:t>trategies</w:t>
      </w:r>
      <w:bookmarkEnd w:id="6"/>
      <w:r w:rsidR="00550195" w:rsidRPr="009C1F21">
        <w:t xml:space="preserve"> </w:t>
      </w:r>
    </w:p>
    <w:p w14:paraId="13E21478" w14:textId="73CBA8BA" w:rsidR="0004523F" w:rsidRPr="009C1F21" w:rsidRDefault="00D27043" w:rsidP="00FF62CF">
      <w:pPr>
        <w:pStyle w:val="Default"/>
        <w:rPr>
          <w:color w:val="auto"/>
          <w:sz w:val="26"/>
          <w:szCs w:val="26"/>
        </w:rPr>
      </w:pPr>
      <w:r w:rsidRPr="009C1F21">
        <w:rPr>
          <w:color w:val="auto"/>
          <w:sz w:val="26"/>
          <w:szCs w:val="26"/>
        </w:rPr>
        <w:t>Consideration of some of the key issues set out within the UNCRPD Articles identified above will re</w:t>
      </w:r>
      <w:r w:rsidR="00E122E4" w:rsidRPr="009C1F21">
        <w:rPr>
          <w:color w:val="auto"/>
          <w:sz w:val="26"/>
          <w:szCs w:val="26"/>
        </w:rPr>
        <w:t>quire input from more than one d</w:t>
      </w:r>
      <w:r w:rsidRPr="009C1F21">
        <w:rPr>
          <w:color w:val="auto"/>
          <w:sz w:val="26"/>
          <w:szCs w:val="26"/>
        </w:rPr>
        <w:t xml:space="preserve">epartment, and the NDA looks forward to </w:t>
      </w:r>
      <w:r w:rsidR="00967EBD">
        <w:rPr>
          <w:color w:val="auto"/>
          <w:sz w:val="26"/>
          <w:szCs w:val="26"/>
        </w:rPr>
        <w:t xml:space="preserve">continuing </w:t>
      </w:r>
      <w:r w:rsidRPr="009C1F21">
        <w:rPr>
          <w:color w:val="auto"/>
          <w:sz w:val="26"/>
          <w:szCs w:val="26"/>
        </w:rPr>
        <w:t>collaborative working across government in the lifetime of this Statement of Strategy. One route</w:t>
      </w:r>
      <w:r w:rsidR="00802665" w:rsidRPr="009C1F21">
        <w:rPr>
          <w:color w:val="auto"/>
          <w:sz w:val="26"/>
          <w:szCs w:val="26"/>
        </w:rPr>
        <w:t xml:space="preserve"> to underpinning this approach</w:t>
      </w:r>
      <w:r w:rsidRPr="009C1F21">
        <w:rPr>
          <w:color w:val="auto"/>
          <w:sz w:val="26"/>
          <w:szCs w:val="26"/>
        </w:rPr>
        <w:t xml:space="preserve"> is to ensure </w:t>
      </w:r>
      <w:r w:rsidR="00484455" w:rsidRPr="009C1F21">
        <w:rPr>
          <w:color w:val="auto"/>
          <w:sz w:val="26"/>
          <w:szCs w:val="26"/>
        </w:rPr>
        <w:t>that</w:t>
      </w:r>
      <w:r w:rsidR="00C4684C" w:rsidRPr="009C1F21">
        <w:rPr>
          <w:color w:val="auto"/>
          <w:sz w:val="26"/>
          <w:szCs w:val="26"/>
        </w:rPr>
        <w:t xml:space="preserve"> commitments in relation to disability </w:t>
      </w:r>
      <w:r w:rsidR="00984AB9" w:rsidRPr="009C1F21">
        <w:rPr>
          <w:color w:val="auto"/>
          <w:sz w:val="26"/>
          <w:szCs w:val="26"/>
        </w:rPr>
        <w:t xml:space="preserve">are </w:t>
      </w:r>
      <w:r w:rsidR="00C4684C" w:rsidRPr="009C1F21">
        <w:rPr>
          <w:color w:val="auto"/>
          <w:sz w:val="26"/>
          <w:szCs w:val="26"/>
        </w:rPr>
        <w:t>articulated in</w:t>
      </w:r>
      <w:r w:rsidR="00484455" w:rsidRPr="009C1F21">
        <w:rPr>
          <w:color w:val="auto"/>
          <w:sz w:val="26"/>
          <w:szCs w:val="26"/>
        </w:rPr>
        <w:t xml:space="preserve"> this Statement of Strategy and </w:t>
      </w:r>
      <w:r w:rsidR="00A33226" w:rsidRPr="009C1F21">
        <w:rPr>
          <w:color w:val="auto"/>
          <w:sz w:val="26"/>
          <w:szCs w:val="26"/>
        </w:rPr>
        <w:t>that</w:t>
      </w:r>
      <w:r w:rsidR="00484455" w:rsidRPr="009C1F21">
        <w:rPr>
          <w:color w:val="auto"/>
          <w:sz w:val="26"/>
          <w:szCs w:val="26"/>
        </w:rPr>
        <w:t xml:space="preserve"> annualised bu</w:t>
      </w:r>
      <w:r w:rsidR="00FA5D16" w:rsidRPr="009C1F21">
        <w:rPr>
          <w:color w:val="auto"/>
          <w:sz w:val="26"/>
          <w:szCs w:val="26"/>
        </w:rPr>
        <w:t>siness plans of your d</w:t>
      </w:r>
      <w:r w:rsidR="00484455" w:rsidRPr="009C1F21">
        <w:rPr>
          <w:color w:val="auto"/>
          <w:sz w:val="26"/>
          <w:szCs w:val="26"/>
        </w:rPr>
        <w:t>epartment are aligned with other crosscutting strategies</w:t>
      </w:r>
      <w:r w:rsidR="00FF62CF" w:rsidRPr="009C1F21">
        <w:rPr>
          <w:color w:val="auto"/>
          <w:sz w:val="26"/>
          <w:szCs w:val="26"/>
        </w:rPr>
        <w:t xml:space="preserve"> and national policies, such as </w:t>
      </w:r>
      <w:r w:rsidR="00CD1E54">
        <w:rPr>
          <w:color w:val="auto"/>
          <w:sz w:val="26"/>
          <w:szCs w:val="26"/>
        </w:rPr>
        <w:t xml:space="preserve">the </w:t>
      </w:r>
      <w:r w:rsidR="00FF62CF" w:rsidRPr="00CD1E54">
        <w:rPr>
          <w:b/>
          <w:color w:val="auto"/>
          <w:sz w:val="26"/>
          <w:szCs w:val="26"/>
        </w:rPr>
        <w:t>Ro</w:t>
      </w:r>
      <w:r w:rsidR="00CD1E54" w:rsidRPr="00CD1E54">
        <w:rPr>
          <w:b/>
          <w:color w:val="auto"/>
          <w:sz w:val="26"/>
          <w:szCs w:val="26"/>
        </w:rPr>
        <w:t>admap for Social Inclusion 2020–</w:t>
      </w:r>
      <w:r w:rsidR="00FF62CF" w:rsidRPr="00CD1E54">
        <w:rPr>
          <w:b/>
          <w:color w:val="auto"/>
          <w:sz w:val="26"/>
          <w:szCs w:val="26"/>
        </w:rPr>
        <w:t>2025</w:t>
      </w:r>
      <w:r w:rsidR="00FF62CF" w:rsidRPr="009C1F21">
        <w:rPr>
          <w:color w:val="auto"/>
          <w:sz w:val="26"/>
          <w:szCs w:val="26"/>
        </w:rPr>
        <w:t xml:space="preserve">, </w:t>
      </w:r>
      <w:r w:rsidR="00CD1E54" w:rsidRPr="00CD1E54">
        <w:rPr>
          <w:b/>
          <w:color w:val="auto"/>
          <w:sz w:val="26"/>
          <w:szCs w:val="26"/>
        </w:rPr>
        <w:t>Our Rural Future: Rural Development Policy 2021-2025</w:t>
      </w:r>
      <w:r w:rsidR="003F5766">
        <w:rPr>
          <w:b/>
          <w:color w:val="auto"/>
          <w:sz w:val="26"/>
          <w:szCs w:val="26"/>
        </w:rPr>
        <w:t xml:space="preserve"> and the</w:t>
      </w:r>
      <w:r w:rsidR="00CD1E54" w:rsidRPr="00CD1E54">
        <w:rPr>
          <w:color w:val="auto"/>
          <w:sz w:val="26"/>
          <w:szCs w:val="26"/>
        </w:rPr>
        <w:t xml:space="preserve"> </w:t>
      </w:r>
      <w:r w:rsidR="00CD1E54">
        <w:rPr>
          <w:b/>
          <w:color w:val="auto"/>
          <w:sz w:val="26"/>
          <w:szCs w:val="26"/>
        </w:rPr>
        <w:t>National Volunteering Strategy 2021-2025</w:t>
      </w:r>
      <w:r w:rsidR="00277374">
        <w:rPr>
          <w:b/>
          <w:color w:val="auto"/>
          <w:sz w:val="26"/>
          <w:szCs w:val="26"/>
        </w:rPr>
        <w:t>,</w:t>
      </w:r>
      <w:r w:rsidR="00277374" w:rsidRPr="00277374">
        <w:rPr>
          <w:rFonts w:eastAsia="Times New Roman" w:cs="Times New Roman"/>
          <w:b/>
          <w:color w:val="auto"/>
          <w:sz w:val="26"/>
          <w:lang w:eastAsia="en-US"/>
        </w:rPr>
        <w:t xml:space="preserve"> </w:t>
      </w:r>
      <w:r w:rsidR="00277374" w:rsidRPr="00277374">
        <w:rPr>
          <w:b/>
          <w:color w:val="auto"/>
          <w:sz w:val="26"/>
          <w:szCs w:val="26"/>
        </w:rPr>
        <w:t>National Remote Work Strategy</w:t>
      </w:r>
      <w:r w:rsidR="00277374">
        <w:rPr>
          <w:b/>
          <w:color w:val="auto"/>
          <w:sz w:val="26"/>
          <w:szCs w:val="26"/>
        </w:rPr>
        <w:t xml:space="preserve"> 2021</w:t>
      </w:r>
      <w:r w:rsidR="00276CCD" w:rsidRPr="009C1F21">
        <w:rPr>
          <w:color w:val="auto"/>
          <w:sz w:val="26"/>
          <w:szCs w:val="26"/>
        </w:rPr>
        <w:t xml:space="preserve">. </w:t>
      </w:r>
    </w:p>
    <w:p w14:paraId="6338026E" w14:textId="77777777" w:rsidR="000F03A4" w:rsidRPr="009C1F21" w:rsidRDefault="000F03A4" w:rsidP="000F03A4">
      <w:pPr>
        <w:spacing w:after="0"/>
        <w:rPr>
          <w:rFonts w:eastAsia="SimSun" w:cs="Gill Sans MT"/>
          <w:szCs w:val="26"/>
          <w:lang w:eastAsia="en-IE"/>
        </w:rPr>
      </w:pPr>
    </w:p>
    <w:p w14:paraId="76C210B2" w14:textId="7813AC91" w:rsidR="00A80100" w:rsidRPr="009C1F21" w:rsidRDefault="0002440C" w:rsidP="00F32210">
      <w:pPr>
        <w:rPr>
          <w:szCs w:val="26"/>
        </w:rPr>
      </w:pPr>
      <w:r w:rsidRPr="009C1F21">
        <w:rPr>
          <w:szCs w:val="26"/>
        </w:rPr>
        <w:t xml:space="preserve">The </w:t>
      </w:r>
      <w:r w:rsidR="00A80100" w:rsidRPr="009C1F21">
        <w:rPr>
          <w:szCs w:val="26"/>
        </w:rPr>
        <w:t>NDA would like to take this opportunity to highlight the following key a</w:t>
      </w:r>
      <w:r w:rsidR="00277374">
        <w:rPr>
          <w:szCs w:val="26"/>
        </w:rPr>
        <w:t xml:space="preserve">reas of focus relevant to your </w:t>
      </w:r>
      <w:proofErr w:type="gramStart"/>
      <w:r w:rsidR="00277374">
        <w:rPr>
          <w:szCs w:val="26"/>
        </w:rPr>
        <w:t>D</w:t>
      </w:r>
      <w:r w:rsidR="00A80100" w:rsidRPr="009C1F21">
        <w:rPr>
          <w:szCs w:val="26"/>
        </w:rPr>
        <w:t>epartment</w:t>
      </w:r>
      <w:proofErr w:type="gramEnd"/>
      <w:r w:rsidR="00C4684C" w:rsidRPr="009C1F21">
        <w:rPr>
          <w:szCs w:val="26"/>
        </w:rPr>
        <w:t>, which we suggest could be incorporated within this new Statement of Strategy</w:t>
      </w:r>
      <w:r w:rsidR="00A80100" w:rsidRPr="009C1F21">
        <w:rPr>
          <w:szCs w:val="26"/>
        </w:rPr>
        <w:t xml:space="preserve"> and has organised them under the </w:t>
      </w:r>
      <w:r w:rsidR="003944A4">
        <w:rPr>
          <w:szCs w:val="26"/>
        </w:rPr>
        <w:t>headings</w:t>
      </w:r>
      <w:r w:rsidR="003B57D5">
        <w:rPr>
          <w:szCs w:val="26"/>
        </w:rPr>
        <w:t xml:space="preserve"> of Community D</w:t>
      </w:r>
      <w:r w:rsidR="00EA3700">
        <w:rPr>
          <w:szCs w:val="26"/>
        </w:rPr>
        <w:t xml:space="preserve">evelopment, </w:t>
      </w:r>
      <w:r w:rsidR="003B57D5">
        <w:rPr>
          <w:szCs w:val="26"/>
        </w:rPr>
        <w:t>Tidy Towns, D</w:t>
      </w:r>
      <w:r w:rsidR="00EA3700">
        <w:rPr>
          <w:szCs w:val="26"/>
        </w:rPr>
        <w:t xml:space="preserve">igital </w:t>
      </w:r>
      <w:r w:rsidR="003B57D5">
        <w:rPr>
          <w:szCs w:val="26"/>
        </w:rPr>
        <w:t>A</w:t>
      </w:r>
      <w:r w:rsidR="00EA3700">
        <w:rPr>
          <w:szCs w:val="26"/>
        </w:rPr>
        <w:t xml:space="preserve">ccessibility </w:t>
      </w:r>
      <w:r w:rsidR="003B57D5">
        <w:rPr>
          <w:szCs w:val="26"/>
        </w:rPr>
        <w:t>and Statutory O</w:t>
      </w:r>
      <w:r w:rsidR="00990E88">
        <w:rPr>
          <w:szCs w:val="26"/>
        </w:rPr>
        <w:t>bligations. A summary of recommendations is provided at the end</w:t>
      </w:r>
      <w:r w:rsidR="00277374">
        <w:rPr>
          <w:szCs w:val="26"/>
        </w:rPr>
        <w:t xml:space="preserve"> of this submission</w:t>
      </w:r>
      <w:r w:rsidR="00990E88">
        <w:rPr>
          <w:szCs w:val="26"/>
        </w:rPr>
        <w:t xml:space="preserve">. </w:t>
      </w:r>
    </w:p>
    <w:p w14:paraId="2892C566" w14:textId="37C91436" w:rsidR="003944A4" w:rsidRDefault="00D7155B" w:rsidP="003944A4">
      <w:pPr>
        <w:pStyle w:val="Heading1"/>
      </w:pPr>
      <w:bookmarkStart w:id="7" w:name="_Toc129007207"/>
      <w:r>
        <w:lastRenderedPageBreak/>
        <w:t>Community Development</w:t>
      </w:r>
      <w:bookmarkEnd w:id="7"/>
      <w:r>
        <w:t xml:space="preserve"> </w:t>
      </w:r>
    </w:p>
    <w:p w14:paraId="506EE79C" w14:textId="19B609BA" w:rsidR="006820D0" w:rsidRDefault="006820D0" w:rsidP="006820D0">
      <w:pPr>
        <w:rPr>
          <w:rFonts w:eastAsia="Calibri"/>
          <w:szCs w:val="26"/>
        </w:rPr>
      </w:pPr>
      <w:r w:rsidRPr="00701641">
        <w:rPr>
          <w:szCs w:val="26"/>
        </w:rPr>
        <w:t xml:space="preserve">In Ireland, </w:t>
      </w:r>
      <w:r w:rsidRPr="00701641">
        <w:rPr>
          <w:rFonts w:eastAsia="Calibri"/>
          <w:szCs w:val="26"/>
        </w:rPr>
        <w:t>the 2016 Department</w:t>
      </w:r>
      <w:r>
        <w:rPr>
          <w:rFonts w:eastAsia="Calibri"/>
          <w:szCs w:val="26"/>
        </w:rPr>
        <w:t xml:space="preserve"> of Social Protection’s Report </w:t>
      </w:r>
      <w:r w:rsidRPr="006820D0">
        <w:rPr>
          <w:rFonts w:eastAsia="Calibri"/>
          <w:b/>
          <w:szCs w:val="26"/>
        </w:rPr>
        <w:t>Growing an Inclusive Recovery</w:t>
      </w:r>
      <w:r w:rsidRPr="00701641">
        <w:rPr>
          <w:rFonts w:eastAsia="Calibri"/>
          <w:szCs w:val="26"/>
        </w:rPr>
        <w:t xml:space="preserve"> from the </w:t>
      </w:r>
      <w:r>
        <w:rPr>
          <w:rFonts w:eastAsia="Calibri"/>
          <w:szCs w:val="26"/>
        </w:rPr>
        <w:t>Social Inclusion Forum expressed</w:t>
      </w:r>
      <w:r w:rsidRPr="00701641">
        <w:rPr>
          <w:rFonts w:eastAsia="Calibri"/>
          <w:szCs w:val="26"/>
        </w:rPr>
        <w:t xml:space="preserve"> the need to reinvigorate the community sector, following its depletion over many years. The 2019 </w:t>
      </w:r>
      <w:r w:rsidRPr="006820D0">
        <w:rPr>
          <w:rFonts w:eastAsia="Calibri"/>
          <w:b/>
          <w:bCs/>
          <w:szCs w:val="26"/>
        </w:rPr>
        <w:t>Sustainable, Inclusive and Empowered Communities: a five-year strategy to support the community and volunt</w:t>
      </w:r>
      <w:r>
        <w:rPr>
          <w:rFonts w:eastAsia="Calibri"/>
          <w:b/>
          <w:bCs/>
          <w:szCs w:val="26"/>
        </w:rPr>
        <w:t>ary sector in Ireland 2019-2024</w:t>
      </w:r>
      <w:r w:rsidRPr="00701641">
        <w:rPr>
          <w:rFonts w:eastAsia="Calibri"/>
          <w:bCs/>
          <w:szCs w:val="26"/>
        </w:rPr>
        <w:t xml:space="preserve">, </w:t>
      </w:r>
      <w:r w:rsidRPr="00701641">
        <w:rPr>
          <w:rFonts w:eastAsia="Calibri"/>
          <w:szCs w:val="26"/>
        </w:rPr>
        <w:t xml:space="preserve">commits to </w:t>
      </w:r>
      <w:r w:rsidR="00D7155B">
        <w:rPr>
          <w:rFonts w:eastAsia="Calibri"/>
          <w:szCs w:val="26"/>
        </w:rPr>
        <w:t>community development (</w:t>
      </w:r>
      <w:r w:rsidRPr="00701641">
        <w:rPr>
          <w:rFonts w:eastAsia="Calibri"/>
          <w:szCs w:val="26"/>
        </w:rPr>
        <w:t>CD</w:t>
      </w:r>
      <w:r w:rsidR="00D7155B">
        <w:rPr>
          <w:rFonts w:eastAsia="Calibri"/>
          <w:szCs w:val="26"/>
        </w:rPr>
        <w:t>)</w:t>
      </w:r>
      <w:r w:rsidRPr="00701641">
        <w:rPr>
          <w:rFonts w:eastAsia="Calibri"/>
          <w:szCs w:val="26"/>
        </w:rPr>
        <w:t xml:space="preserve"> education and training and to funding CD initiatives.</w:t>
      </w:r>
      <w:r w:rsidRPr="00701641">
        <w:rPr>
          <w:rFonts w:eastAsia="Calibri"/>
          <w:bCs/>
          <w:szCs w:val="26"/>
        </w:rPr>
        <w:t xml:space="preserve"> </w:t>
      </w:r>
      <w:r>
        <w:rPr>
          <w:rFonts w:eastAsia="Calibri"/>
          <w:b/>
          <w:szCs w:val="26"/>
        </w:rPr>
        <w:t>Our Shared Future</w:t>
      </w:r>
      <w:r w:rsidRPr="00701641">
        <w:rPr>
          <w:rFonts w:eastAsia="Calibri"/>
          <w:szCs w:val="26"/>
        </w:rPr>
        <w:t xml:space="preserve">, </w:t>
      </w:r>
      <w:r>
        <w:rPr>
          <w:rFonts w:eastAsia="Calibri"/>
          <w:szCs w:val="26"/>
        </w:rPr>
        <w:t xml:space="preserve">the </w:t>
      </w:r>
      <w:r w:rsidR="003D2CF9">
        <w:rPr>
          <w:rFonts w:eastAsia="Calibri"/>
          <w:szCs w:val="26"/>
        </w:rPr>
        <w:t>2020 Programme for G</w:t>
      </w:r>
      <w:r w:rsidRPr="00701641">
        <w:rPr>
          <w:rFonts w:eastAsia="Calibri"/>
          <w:szCs w:val="26"/>
        </w:rPr>
        <w:t>overnment, contains a commitment to promote CD education and training thro</w:t>
      </w:r>
      <w:r w:rsidR="00F32BCB">
        <w:rPr>
          <w:rFonts w:eastAsia="Calibri"/>
          <w:szCs w:val="26"/>
        </w:rPr>
        <w:t>ugh Community Work Ireland</w:t>
      </w:r>
      <w:r w:rsidRPr="00701641">
        <w:rPr>
          <w:rStyle w:val="FootnoteReference"/>
          <w:rFonts w:ascii="Gill Sans MT" w:eastAsia="Calibri" w:hAnsi="Gill Sans MT"/>
          <w:sz w:val="26"/>
          <w:szCs w:val="26"/>
        </w:rPr>
        <w:t xml:space="preserve"> </w:t>
      </w:r>
      <w:r w:rsidRPr="00701641">
        <w:rPr>
          <w:rStyle w:val="FootnoteReference"/>
          <w:rFonts w:ascii="Gill Sans MT" w:eastAsia="Calibri" w:hAnsi="Gill Sans MT"/>
          <w:sz w:val="26"/>
          <w:szCs w:val="26"/>
        </w:rPr>
        <w:footnoteReference w:id="4"/>
      </w:r>
      <w:r w:rsidRPr="00701641">
        <w:rPr>
          <w:rFonts w:eastAsia="Calibri"/>
          <w:szCs w:val="26"/>
        </w:rPr>
        <w:t>, and to provide support for CD projects on a phased basis. The</w:t>
      </w:r>
      <w:r>
        <w:rPr>
          <w:rFonts w:eastAsia="Calibri"/>
          <w:szCs w:val="26"/>
        </w:rPr>
        <w:t xml:space="preserve"> NDA </w:t>
      </w:r>
      <w:r w:rsidR="003B57D5">
        <w:rPr>
          <w:rFonts w:eastAsia="Calibri"/>
          <w:szCs w:val="26"/>
        </w:rPr>
        <w:t xml:space="preserve">welcomes </w:t>
      </w:r>
      <w:r>
        <w:rPr>
          <w:rFonts w:eastAsia="Calibri"/>
          <w:szCs w:val="26"/>
        </w:rPr>
        <w:t xml:space="preserve">that </w:t>
      </w:r>
      <w:r w:rsidR="00D71E70">
        <w:rPr>
          <w:rFonts w:eastAsia="Calibri"/>
          <w:szCs w:val="26"/>
        </w:rPr>
        <w:t xml:space="preserve">your </w:t>
      </w:r>
      <w:proofErr w:type="gramStart"/>
      <w:r w:rsidR="00D71E70">
        <w:rPr>
          <w:rFonts w:eastAsia="Calibri"/>
          <w:szCs w:val="26"/>
        </w:rPr>
        <w:t>Department</w:t>
      </w:r>
      <w:proofErr w:type="gramEnd"/>
      <w:r w:rsidR="00D71E70">
        <w:rPr>
          <w:rFonts w:eastAsia="Calibri"/>
          <w:szCs w:val="26"/>
        </w:rPr>
        <w:t xml:space="preserve"> </w:t>
      </w:r>
      <w:r w:rsidRPr="00701641">
        <w:rPr>
          <w:rFonts w:eastAsia="Calibri"/>
          <w:szCs w:val="26"/>
        </w:rPr>
        <w:t xml:space="preserve">provided </w:t>
      </w:r>
      <w:r w:rsidR="00987386">
        <w:rPr>
          <w:rFonts w:eastAsia="Calibri"/>
          <w:szCs w:val="26"/>
        </w:rPr>
        <w:t>€1 million</w:t>
      </w:r>
      <w:r w:rsidRPr="00701641">
        <w:rPr>
          <w:rFonts w:eastAsia="Calibri"/>
          <w:szCs w:val="26"/>
        </w:rPr>
        <w:t xml:space="preserve"> in 2021 to trial some CD initiatives. </w:t>
      </w:r>
      <w:r w:rsidR="003B57D5">
        <w:rPr>
          <w:rFonts w:eastAsia="Calibri"/>
          <w:szCs w:val="26"/>
        </w:rPr>
        <w:t xml:space="preserve">In research conducted by the NDA on participatory </w:t>
      </w:r>
      <w:r w:rsidR="00403427">
        <w:rPr>
          <w:rFonts w:eastAsia="Calibri"/>
          <w:szCs w:val="26"/>
        </w:rPr>
        <w:t>and social inclusion the limited funding to address identified gaps in CD approaches and training was identified.</w:t>
      </w:r>
      <w:r w:rsidR="00403427">
        <w:rPr>
          <w:rStyle w:val="FootnoteReference"/>
          <w:rFonts w:eastAsia="Calibri"/>
          <w:szCs w:val="26"/>
        </w:rPr>
        <w:footnoteReference w:id="5"/>
      </w:r>
    </w:p>
    <w:p w14:paraId="621B7028" w14:textId="1A1E29C8" w:rsidR="00B468DA" w:rsidRDefault="006820D0" w:rsidP="006820D0">
      <w:pPr>
        <w:rPr>
          <w:rFonts w:eastAsia="Calibri"/>
          <w:szCs w:val="26"/>
        </w:rPr>
      </w:pPr>
      <w:r w:rsidRPr="00701641">
        <w:rPr>
          <w:rFonts w:eastAsia="Calibri"/>
          <w:szCs w:val="26"/>
        </w:rPr>
        <w:t xml:space="preserve">The HSE </w:t>
      </w:r>
      <w:r w:rsidRPr="006820D0">
        <w:rPr>
          <w:rFonts w:eastAsia="Calibri"/>
          <w:b/>
          <w:szCs w:val="26"/>
        </w:rPr>
        <w:t>Disability Capacity Review</w:t>
      </w:r>
      <w:r w:rsidRPr="00701641">
        <w:rPr>
          <w:rFonts w:eastAsia="Calibri"/>
          <w:szCs w:val="26"/>
        </w:rPr>
        <w:t xml:space="preserve"> to 2032, published in 2021, noted that 3% of the disability budget in 2018 was spent on community services and supports to help disabled people participate in the community and live as independently as possible. The Review recommends that there should be increased funding to these services.</w:t>
      </w:r>
      <w:r w:rsidRPr="00701641">
        <w:rPr>
          <w:rStyle w:val="FootnoteReference"/>
          <w:rFonts w:ascii="Gill Sans MT" w:eastAsia="Calibri" w:hAnsi="Gill Sans MT"/>
          <w:sz w:val="26"/>
          <w:szCs w:val="26"/>
        </w:rPr>
        <w:footnoteReference w:id="6"/>
      </w:r>
      <w:r w:rsidR="00AB0C67">
        <w:rPr>
          <w:rFonts w:eastAsia="Calibri"/>
          <w:szCs w:val="26"/>
        </w:rPr>
        <w:t xml:space="preserve"> The NDA echoes this advic</w:t>
      </w:r>
      <w:r w:rsidR="00F32BCB">
        <w:rPr>
          <w:rFonts w:eastAsia="Calibri"/>
          <w:szCs w:val="26"/>
        </w:rPr>
        <w:t xml:space="preserve">e </w:t>
      </w:r>
      <w:proofErr w:type="gramStart"/>
      <w:r w:rsidR="00F32BCB">
        <w:rPr>
          <w:rFonts w:eastAsia="Calibri"/>
          <w:szCs w:val="26"/>
        </w:rPr>
        <w:t>as a</w:t>
      </w:r>
      <w:r w:rsidR="00AB0C67">
        <w:rPr>
          <w:rFonts w:eastAsia="Calibri"/>
          <w:szCs w:val="26"/>
        </w:rPr>
        <w:t xml:space="preserve"> </w:t>
      </w:r>
      <w:r w:rsidR="00F32BCB">
        <w:rPr>
          <w:rFonts w:eastAsia="Calibri"/>
          <w:szCs w:val="26"/>
        </w:rPr>
        <w:t>means to</w:t>
      </w:r>
      <w:proofErr w:type="gramEnd"/>
      <w:r w:rsidR="00F32BCB">
        <w:rPr>
          <w:rFonts w:eastAsia="Calibri"/>
          <w:szCs w:val="26"/>
        </w:rPr>
        <w:t xml:space="preserve"> </w:t>
      </w:r>
      <w:r w:rsidR="00AB0C67">
        <w:rPr>
          <w:rFonts w:eastAsia="Calibri"/>
          <w:szCs w:val="26"/>
        </w:rPr>
        <w:t>promote capacity in the community sector</w:t>
      </w:r>
      <w:r w:rsidR="003C3D12">
        <w:rPr>
          <w:rFonts w:eastAsia="Calibri"/>
          <w:szCs w:val="26"/>
        </w:rPr>
        <w:t>,</w:t>
      </w:r>
      <w:r w:rsidR="003C3D12" w:rsidRPr="003C3D12">
        <w:t xml:space="preserve"> </w:t>
      </w:r>
      <w:r w:rsidR="003C3D12">
        <w:rPr>
          <w:rFonts w:eastAsia="Calibri"/>
          <w:szCs w:val="26"/>
        </w:rPr>
        <w:t>n</w:t>
      </w:r>
      <w:r w:rsidR="003C3D12" w:rsidRPr="003C3D12">
        <w:rPr>
          <w:rFonts w:eastAsia="Calibri"/>
          <w:szCs w:val="26"/>
        </w:rPr>
        <w:t>oting that it would involve collaboration between</w:t>
      </w:r>
      <w:r w:rsidR="003C3D12">
        <w:rPr>
          <w:rFonts w:eastAsia="Calibri"/>
          <w:szCs w:val="26"/>
        </w:rPr>
        <w:t xml:space="preserve"> DCEDIY, </w:t>
      </w:r>
      <w:r w:rsidR="003D2CF9">
        <w:rPr>
          <w:rFonts w:eastAsia="Calibri"/>
          <w:szCs w:val="26"/>
        </w:rPr>
        <w:t xml:space="preserve">the </w:t>
      </w:r>
      <w:r w:rsidR="003C3D12">
        <w:rPr>
          <w:rFonts w:eastAsia="Calibri"/>
          <w:szCs w:val="26"/>
        </w:rPr>
        <w:t xml:space="preserve">HSE and </w:t>
      </w:r>
      <w:r w:rsidR="003D2CF9">
        <w:rPr>
          <w:rFonts w:eastAsia="Calibri"/>
          <w:szCs w:val="26"/>
        </w:rPr>
        <w:t>your</w:t>
      </w:r>
      <w:r w:rsidR="003C3D12">
        <w:rPr>
          <w:rFonts w:eastAsia="Calibri"/>
          <w:szCs w:val="26"/>
        </w:rPr>
        <w:t xml:space="preserve"> Department. </w:t>
      </w:r>
    </w:p>
    <w:p w14:paraId="2F60EB46" w14:textId="7E421119" w:rsidR="00254FFA" w:rsidRPr="00701641" w:rsidRDefault="008D728A" w:rsidP="00254FFA">
      <w:pPr>
        <w:pStyle w:val="Heading2"/>
        <w:rPr>
          <w:rFonts w:eastAsia="Calibri"/>
        </w:rPr>
      </w:pPr>
      <w:bookmarkStart w:id="8" w:name="_Toc129007208"/>
      <w:r>
        <w:rPr>
          <w:rFonts w:eastAsia="Calibri"/>
        </w:rPr>
        <w:t xml:space="preserve">Operation </w:t>
      </w:r>
      <w:r w:rsidR="00035A0D">
        <w:rPr>
          <w:rFonts w:eastAsia="Calibri"/>
        </w:rPr>
        <w:t>and e</w:t>
      </w:r>
      <w:r w:rsidR="00254FFA">
        <w:rPr>
          <w:rFonts w:eastAsia="Calibri"/>
        </w:rPr>
        <w:t>valuation of community development schemes</w:t>
      </w:r>
      <w:bookmarkEnd w:id="8"/>
    </w:p>
    <w:p w14:paraId="7ACFD510" w14:textId="41A48EFC" w:rsidR="00035A0D" w:rsidRPr="00035A0D" w:rsidRDefault="003D2CF9" w:rsidP="00254FFA">
      <w:pPr>
        <w:rPr>
          <w:szCs w:val="26"/>
        </w:rPr>
      </w:pPr>
      <w:r>
        <w:rPr>
          <w:szCs w:val="26"/>
        </w:rPr>
        <w:t>Local Development Companies (</w:t>
      </w:r>
      <w:r w:rsidR="00035A0D" w:rsidRPr="00701641">
        <w:rPr>
          <w:szCs w:val="26"/>
        </w:rPr>
        <w:t>LDCs</w:t>
      </w:r>
      <w:r>
        <w:rPr>
          <w:szCs w:val="26"/>
        </w:rPr>
        <w:t>)</w:t>
      </w:r>
      <w:r w:rsidR="00035A0D" w:rsidRPr="00701641">
        <w:rPr>
          <w:szCs w:val="26"/>
        </w:rPr>
        <w:t xml:space="preserve"> compete with private sector interests and with each other. In cases where LDCs have not been successful in winning SICAP tenders, this has resulted in job losses within those LDCs. The tendering process, a time-consuming exercise, stretches under-resourced staff of LDCs. A competitive tendering process might appear to guarantee better value for money, </w:t>
      </w:r>
      <w:r w:rsidR="003B57D5">
        <w:rPr>
          <w:szCs w:val="26"/>
        </w:rPr>
        <w:t>and</w:t>
      </w:r>
      <w:r w:rsidR="003B57D5" w:rsidRPr="00701641">
        <w:rPr>
          <w:szCs w:val="26"/>
        </w:rPr>
        <w:t xml:space="preserve"> </w:t>
      </w:r>
      <w:r w:rsidR="00035A0D" w:rsidRPr="00701641">
        <w:rPr>
          <w:szCs w:val="26"/>
        </w:rPr>
        <w:t xml:space="preserve">competitors from outside the local area might deliver the programme at a more competitive price although they lack local knowledge and social networks </w:t>
      </w:r>
      <w:r w:rsidR="00035A0D" w:rsidRPr="00701641">
        <w:rPr>
          <w:szCs w:val="26"/>
        </w:rPr>
        <w:lastRenderedPageBreak/>
        <w:t>upon which CD relies for a successful outcome.</w:t>
      </w:r>
      <w:r w:rsidR="00035A0D" w:rsidRPr="00701641">
        <w:rPr>
          <w:szCs w:val="26"/>
          <w:vertAlign w:val="superscript"/>
        </w:rPr>
        <w:footnoteReference w:id="7"/>
      </w:r>
      <w:r w:rsidR="00035A0D" w:rsidRPr="00701641">
        <w:rPr>
          <w:szCs w:val="26"/>
        </w:rPr>
        <w:t xml:space="preserve"> </w:t>
      </w:r>
      <w:r w:rsidR="003B57D5">
        <w:rPr>
          <w:szCs w:val="26"/>
        </w:rPr>
        <w:t xml:space="preserve">NDA welcomes </w:t>
      </w:r>
      <w:r>
        <w:rPr>
          <w:szCs w:val="26"/>
        </w:rPr>
        <w:t xml:space="preserve">the fact </w:t>
      </w:r>
      <w:r w:rsidR="003B57D5">
        <w:rPr>
          <w:szCs w:val="26"/>
        </w:rPr>
        <w:t xml:space="preserve">that </w:t>
      </w:r>
      <w:r w:rsidR="00035A0D" w:rsidRPr="00701641">
        <w:rPr>
          <w:szCs w:val="26"/>
        </w:rPr>
        <w:t>SICAP II (2018 -2022) has sought to rectify some of the issues identified by the experience of SI</w:t>
      </w:r>
      <w:r w:rsidR="00035A0D">
        <w:rPr>
          <w:szCs w:val="26"/>
        </w:rPr>
        <w:t>CAP I (2015-2017)</w:t>
      </w:r>
      <w:r w:rsidR="003B57D5">
        <w:rPr>
          <w:szCs w:val="26"/>
        </w:rPr>
        <w:t xml:space="preserve"> and hopes that learning will continue to be applied to strengthen CD approaches</w:t>
      </w:r>
      <w:r w:rsidR="00035A0D">
        <w:rPr>
          <w:szCs w:val="26"/>
        </w:rPr>
        <w:t>.</w:t>
      </w:r>
    </w:p>
    <w:p w14:paraId="342EB106" w14:textId="05429D64" w:rsidR="00254FFA" w:rsidRDefault="00254FFA" w:rsidP="00254FFA">
      <w:pPr>
        <w:rPr>
          <w:rFonts w:eastAsia="SimSun"/>
          <w:szCs w:val="26"/>
        </w:rPr>
      </w:pPr>
      <w:r>
        <w:rPr>
          <w:rFonts w:eastAsia="SimSun"/>
          <w:szCs w:val="26"/>
        </w:rPr>
        <w:t>The NDA research</w:t>
      </w:r>
      <w:r w:rsidR="003F360A">
        <w:rPr>
          <w:rFonts w:eastAsia="SimSun"/>
          <w:szCs w:val="26"/>
        </w:rPr>
        <w:t xml:space="preserve"> also</w:t>
      </w:r>
      <w:r>
        <w:rPr>
          <w:rFonts w:eastAsia="SimSun"/>
          <w:szCs w:val="26"/>
        </w:rPr>
        <w:t xml:space="preserve"> </w:t>
      </w:r>
      <w:r w:rsidR="003F360A">
        <w:rPr>
          <w:rFonts w:eastAsia="SimSun"/>
          <w:szCs w:val="26"/>
        </w:rPr>
        <w:t>found</w:t>
      </w:r>
      <w:r>
        <w:rPr>
          <w:rFonts w:eastAsia="SimSun"/>
          <w:szCs w:val="26"/>
        </w:rPr>
        <w:t xml:space="preserve"> that staff who work in LDCs and administer</w:t>
      </w:r>
      <w:r w:rsidRPr="00701641">
        <w:rPr>
          <w:rFonts w:eastAsia="SimSun"/>
          <w:szCs w:val="26"/>
        </w:rPr>
        <w:t xml:space="preserve"> national programmes</w:t>
      </w:r>
      <w:r w:rsidR="003D2CF9">
        <w:rPr>
          <w:rFonts w:eastAsia="SimSun"/>
          <w:szCs w:val="26"/>
        </w:rPr>
        <w:t>,</w:t>
      </w:r>
      <w:r w:rsidRPr="00701641">
        <w:rPr>
          <w:rFonts w:eastAsia="SimSun"/>
          <w:szCs w:val="26"/>
        </w:rPr>
        <w:t xml:space="preserve"> such as SICAP, spoke of the time spent on evaluating CD </w:t>
      </w:r>
      <w:r>
        <w:rPr>
          <w:rFonts w:eastAsia="SimSun"/>
          <w:szCs w:val="26"/>
        </w:rPr>
        <w:t>schemes</w:t>
      </w:r>
      <w:r w:rsidRPr="00701641">
        <w:rPr>
          <w:rFonts w:eastAsia="SimSun"/>
          <w:szCs w:val="26"/>
        </w:rPr>
        <w:t xml:space="preserve">. They felt that the quantitative tools used did not adequately reflect what was being achieved and spoke of the need to find and use appropriate evaluation tools. </w:t>
      </w:r>
      <w:r>
        <w:rPr>
          <w:rFonts w:eastAsia="SimSun"/>
          <w:szCs w:val="26"/>
        </w:rPr>
        <w:t xml:space="preserve">Your </w:t>
      </w:r>
      <w:proofErr w:type="gramStart"/>
      <w:r>
        <w:rPr>
          <w:rFonts w:eastAsia="SimSun"/>
          <w:szCs w:val="26"/>
        </w:rPr>
        <w:t>Department</w:t>
      </w:r>
      <w:proofErr w:type="gramEnd"/>
      <w:r>
        <w:rPr>
          <w:rFonts w:eastAsia="SimSun"/>
          <w:szCs w:val="26"/>
        </w:rPr>
        <w:t xml:space="preserve"> oversaw the </w:t>
      </w:r>
      <w:r w:rsidRPr="00701641">
        <w:rPr>
          <w:rFonts w:eastAsia="SimSun"/>
          <w:szCs w:val="26"/>
        </w:rPr>
        <w:t>design and pilot</w:t>
      </w:r>
      <w:r>
        <w:rPr>
          <w:rFonts w:eastAsia="SimSun"/>
          <w:szCs w:val="26"/>
        </w:rPr>
        <w:t xml:space="preserve"> of</w:t>
      </w:r>
      <w:r w:rsidRPr="00701641">
        <w:rPr>
          <w:rFonts w:eastAsia="SimSun"/>
          <w:szCs w:val="26"/>
        </w:rPr>
        <w:t xml:space="preserve"> a tool that might better capture the benefits flowing from SICAP and other CD </w:t>
      </w:r>
      <w:r>
        <w:rPr>
          <w:rFonts w:eastAsia="SimSun"/>
          <w:szCs w:val="26"/>
        </w:rPr>
        <w:t xml:space="preserve">schemes </w:t>
      </w:r>
      <w:r w:rsidRPr="00701641">
        <w:rPr>
          <w:rFonts w:eastAsia="SimSun"/>
          <w:szCs w:val="26"/>
        </w:rPr>
        <w:t>than current evaluatio</w:t>
      </w:r>
      <w:r>
        <w:rPr>
          <w:rFonts w:eastAsia="SimSun"/>
          <w:szCs w:val="26"/>
        </w:rPr>
        <w:t xml:space="preserve">n tools. </w:t>
      </w:r>
      <w:r w:rsidR="00035A0D">
        <w:rPr>
          <w:rFonts w:eastAsia="SimSun"/>
          <w:szCs w:val="26"/>
        </w:rPr>
        <w:t>We are aware that t</w:t>
      </w:r>
      <w:r>
        <w:rPr>
          <w:rFonts w:eastAsia="SimSun"/>
          <w:szCs w:val="26"/>
        </w:rPr>
        <w:t xml:space="preserve">his new tool, called the </w:t>
      </w:r>
      <w:r w:rsidR="00035A0D">
        <w:rPr>
          <w:rFonts w:eastAsia="SimSun"/>
          <w:szCs w:val="26"/>
        </w:rPr>
        <w:t>My Journey: Distance Travelled Tool (DTT)</w:t>
      </w:r>
      <w:r w:rsidRPr="00701641">
        <w:rPr>
          <w:rFonts w:eastAsia="SimSun"/>
          <w:szCs w:val="26"/>
        </w:rPr>
        <w:t>, was launche</w:t>
      </w:r>
      <w:r w:rsidR="00035A0D">
        <w:rPr>
          <w:rFonts w:eastAsia="SimSun"/>
          <w:szCs w:val="26"/>
        </w:rPr>
        <w:t>d in January 2020. I</w:t>
      </w:r>
      <w:r w:rsidRPr="00701641">
        <w:rPr>
          <w:rFonts w:eastAsia="SimSun"/>
          <w:szCs w:val="26"/>
        </w:rPr>
        <w:t xml:space="preserve">ts full implementation and embedding it within the SICAP programme </w:t>
      </w:r>
      <w:proofErr w:type="gramStart"/>
      <w:r w:rsidRPr="00701641">
        <w:rPr>
          <w:rFonts w:eastAsia="SimSun"/>
          <w:szCs w:val="26"/>
        </w:rPr>
        <w:t>was</w:t>
      </w:r>
      <w:proofErr w:type="gramEnd"/>
      <w:r w:rsidRPr="00701641">
        <w:rPr>
          <w:rFonts w:eastAsia="SimSun"/>
          <w:szCs w:val="26"/>
        </w:rPr>
        <w:t xml:space="preserve"> negatively aff</w:t>
      </w:r>
      <w:r>
        <w:rPr>
          <w:rFonts w:eastAsia="SimSun"/>
          <w:szCs w:val="26"/>
        </w:rPr>
        <w:t>ected by remote working during the pandemic</w:t>
      </w:r>
      <w:r w:rsidRPr="00701641">
        <w:rPr>
          <w:rFonts w:eastAsia="SimSun"/>
          <w:szCs w:val="26"/>
        </w:rPr>
        <w:t xml:space="preserve">. </w:t>
      </w:r>
    </w:p>
    <w:p w14:paraId="7E4A0FCA" w14:textId="5C7FA972" w:rsidR="00254FFA" w:rsidRPr="000228CA" w:rsidRDefault="00254FFA" w:rsidP="00254FFA">
      <w:pPr>
        <w:rPr>
          <w:rFonts w:eastAsia="SimSun"/>
          <w:szCs w:val="26"/>
        </w:rPr>
      </w:pPr>
      <w:r>
        <w:rPr>
          <w:rFonts w:eastAsia="SimSun"/>
          <w:szCs w:val="26"/>
        </w:rPr>
        <w:t>We are aware</w:t>
      </w:r>
      <w:r w:rsidRPr="00701641">
        <w:rPr>
          <w:rStyle w:val="FootnoteReference"/>
          <w:rFonts w:ascii="Gill Sans MT" w:eastAsia="Calibri" w:hAnsi="Gill Sans MT"/>
          <w:sz w:val="26"/>
          <w:szCs w:val="26"/>
        </w:rPr>
        <w:footnoteReference w:id="8"/>
      </w:r>
      <w:r>
        <w:rPr>
          <w:rFonts w:eastAsia="SimSun"/>
          <w:szCs w:val="26"/>
        </w:rPr>
        <w:t xml:space="preserve"> that a pilot and evaluation to</w:t>
      </w:r>
      <w:r w:rsidRPr="00701641">
        <w:rPr>
          <w:rFonts w:eastAsia="SimSun"/>
          <w:szCs w:val="26"/>
        </w:rPr>
        <w:t xml:space="preserve"> </w:t>
      </w:r>
      <w:r w:rsidRPr="00701641">
        <w:rPr>
          <w:rFonts w:eastAsia="Calibri"/>
          <w:szCs w:val="26"/>
        </w:rPr>
        <w:t>develop guidance for applying DTT in a standardised manner</w:t>
      </w:r>
      <w:r w:rsidR="00403427">
        <w:rPr>
          <w:rFonts w:eastAsia="Calibri"/>
          <w:szCs w:val="26"/>
        </w:rPr>
        <w:t xml:space="preserve"> is underway and </w:t>
      </w:r>
      <w:r w:rsidR="003D2CF9">
        <w:rPr>
          <w:rFonts w:eastAsia="Calibri"/>
          <w:szCs w:val="26"/>
        </w:rPr>
        <w:t xml:space="preserve">we </w:t>
      </w:r>
      <w:r w:rsidR="00403427">
        <w:rPr>
          <w:rFonts w:eastAsia="Calibri"/>
          <w:szCs w:val="26"/>
        </w:rPr>
        <w:t>wel</w:t>
      </w:r>
      <w:r w:rsidR="003D2CF9">
        <w:rPr>
          <w:rFonts w:eastAsia="Calibri"/>
          <w:szCs w:val="26"/>
        </w:rPr>
        <w:t>come</w:t>
      </w:r>
      <w:r w:rsidR="00403427">
        <w:rPr>
          <w:rFonts w:eastAsia="Calibri"/>
          <w:szCs w:val="26"/>
        </w:rPr>
        <w:t xml:space="preserve"> the development and application of more novel ways to measure the impacts of CD programmes.</w:t>
      </w:r>
    </w:p>
    <w:p w14:paraId="4E12D552" w14:textId="2BB2460B" w:rsidR="00254FFA" w:rsidRPr="00B468DA" w:rsidRDefault="002151D8" w:rsidP="00D7155B">
      <w:pPr>
        <w:pStyle w:val="Heading1"/>
        <w:rPr>
          <w:rFonts w:eastAsia="Calibri"/>
        </w:rPr>
      </w:pPr>
      <w:bookmarkStart w:id="9" w:name="_Toc129007209"/>
      <w:r>
        <w:rPr>
          <w:rFonts w:eastAsia="Calibri"/>
        </w:rPr>
        <w:t>Digital accessibility</w:t>
      </w:r>
      <w:bookmarkEnd w:id="9"/>
    </w:p>
    <w:p w14:paraId="5BC96EEE" w14:textId="3768FC27" w:rsidR="00800D54" w:rsidRDefault="00800D54" w:rsidP="00A2520E">
      <w:pPr>
        <w:rPr>
          <w:rFonts w:eastAsia="Calibri"/>
          <w:szCs w:val="26"/>
        </w:rPr>
      </w:pPr>
      <w:r>
        <w:rPr>
          <w:rFonts w:eastAsia="Calibri"/>
          <w:szCs w:val="26"/>
        </w:rPr>
        <w:t xml:space="preserve">Your </w:t>
      </w:r>
      <w:proofErr w:type="gramStart"/>
      <w:r>
        <w:rPr>
          <w:rFonts w:eastAsia="Calibri"/>
          <w:szCs w:val="26"/>
        </w:rPr>
        <w:t>Department</w:t>
      </w:r>
      <w:proofErr w:type="gramEnd"/>
      <w:r>
        <w:rPr>
          <w:rFonts w:eastAsia="Calibri"/>
          <w:szCs w:val="26"/>
        </w:rPr>
        <w:t xml:space="preserve"> currently manages </w:t>
      </w:r>
      <w:r w:rsidRPr="00800D54">
        <w:rPr>
          <w:rFonts w:eastAsia="Calibri"/>
          <w:szCs w:val="26"/>
        </w:rPr>
        <w:t xml:space="preserve">the National Hub Network, Broadband Connection Points, WiFi4EU and the Digital Innovation Programme. </w:t>
      </w:r>
      <w:r>
        <w:rPr>
          <w:rFonts w:eastAsia="Calibri"/>
          <w:szCs w:val="26"/>
        </w:rPr>
        <w:t>Thes</w:t>
      </w:r>
      <w:r w:rsidR="00E13D2F">
        <w:rPr>
          <w:rFonts w:eastAsia="Calibri"/>
          <w:szCs w:val="26"/>
        </w:rPr>
        <w:t>e</w:t>
      </w:r>
      <w:r>
        <w:rPr>
          <w:rFonts w:eastAsia="Calibri"/>
          <w:szCs w:val="26"/>
        </w:rPr>
        <w:t xml:space="preserve"> projects</w:t>
      </w:r>
      <w:r w:rsidR="00E13D2F">
        <w:rPr>
          <w:rFonts w:eastAsia="Calibri"/>
          <w:szCs w:val="26"/>
        </w:rPr>
        <w:t xml:space="preserve"> are part of an overall commitment to </w:t>
      </w:r>
      <w:r w:rsidR="00E13D2F" w:rsidRPr="00E13D2F">
        <w:rPr>
          <w:rFonts w:eastAsia="Calibri"/>
          <w:szCs w:val="26"/>
        </w:rPr>
        <w:t>identifying local barriers to the provision of telecoms services and the use of digital technologies.</w:t>
      </w:r>
    </w:p>
    <w:p w14:paraId="09C90214" w14:textId="2C1AA823" w:rsidR="00E13D2F" w:rsidRDefault="00A2520E" w:rsidP="00E13D2F">
      <w:pPr>
        <w:rPr>
          <w:rFonts w:eastAsia="Calibri"/>
          <w:szCs w:val="26"/>
        </w:rPr>
      </w:pPr>
      <w:r w:rsidRPr="00A2520E">
        <w:rPr>
          <w:rFonts w:eastAsia="Calibri"/>
          <w:szCs w:val="26"/>
        </w:rPr>
        <w:t>The COVID-19 pandemic highlighted technology’s potential to promote participation in the workplace, education and in social and political events. The use of online communication made daily life more accessible and opened up the mainstream for many.</w:t>
      </w:r>
      <w:r w:rsidR="005B1EE7">
        <w:rPr>
          <w:rStyle w:val="FootnoteReference"/>
          <w:rFonts w:eastAsia="Calibri"/>
          <w:szCs w:val="26"/>
        </w:rPr>
        <w:footnoteReference w:id="9"/>
      </w:r>
      <w:r w:rsidRPr="00A2520E">
        <w:rPr>
          <w:rFonts w:eastAsia="Calibri"/>
          <w:szCs w:val="26"/>
        </w:rPr>
        <w:t xml:space="preserve"> Th</w:t>
      </w:r>
      <w:r w:rsidR="001F56F2">
        <w:rPr>
          <w:rFonts w:eastAsia="Calibri"/>
          <w:szCs w:val="26"/>
        </w:rPr>
        <w:t xml:space="preserve">is NDA </w:t>
      </w:r>
      <w:r w:rsidRPr="00A2520E">
        <w:rPr>
          <w:rFonts w:eastAsia="Calibri"/>
          <w:szCs w:val="26"/>
        </w:rPr>
        <w:t>research</w:t>
      </w:r>
      <w:r w:rsidR="001F56F2">
        <w:rPr>
          <w:rFonts w:eastAsia="Calibri"/>
          <w:szCs w:val="26"/>
        </w:rPr>
        <w:t xml:space="preserve">, which was carried out to </w:t>
      </w:r>
      <w:r w:rsidR="001F56F2" w:rsidRPr="001F56F2">
        <w:rPr>
          <w:rFonts w:eastAsia="Calibri"/>
          <w:szCs w:val="26"/>
        </w:rPr>
        <w:t xml:space="preserve">capture the innovative and adapted practices put into place across a range of sectors in </w:t>
      </w:r>
      <w:r w:rsidR="001F56F2" w:rsidRPr="001F56F2">
        <w:rPr>
          <w:rFonts w:eastAsia="Calibri"/>
          <w:szCs w:val="26"/>
        </w:rPr>
        <w:lastRenderedPageBreak/>
        <w:t>response to the restrictions necessitated by COVID-19, with particular reference to those practices of relevance to persons with disabilities</w:t>
      </w:r>
      <w:r w:rsidR="001F56F2">
        <w:rPr>
          <w:rFonts w:eastAsia="Calibri"/>
          <w:szCs w:val="26"/>
        </w:rPr>
        <w:t>,</w:t>
      </w:r>
      <w:r w:rsidRPr="00A2520E">
        <w:rPr>
          <w:rFonts w:eastAsia="Calibri"/>
          <w:szCs w:val="26"/>
        </w:rPr>
        <w:t xml:space="preserve"> found examples</w:t>
      </w:r>
      <w:r w:rsidRPr="00A2520E">
        <w:rPr>
          <w:rFonts w:eastAsia="Calibri"/>
          <w:szCs w:val="26"/>
          <w:lang w:val="en-GB"/>
        </w:rPr>
        <w:t xml:space="preserve"> of programmes that supported disabled people to use technology to increase their participation in all aspects of life. The </w:t>
      </w:r>
      <w:r w:rsidRPr="00A2520E">
        <w:rPr>
          <w:rFonts w:eastAsia="Calibri"/>
          <w:szCs w:val="26"/>
        </w:rPr>
        <w:t xml:space="preserve">scope to grow programmes that address the digital divide came to the fore during the pandemic. </w:t>
      </w:r>
    </w:p>
    <w:p w14:paraId="502FFAB4" w14:textId="6C316C6D" w:rsidR="00E13D2F" w:rsidRDefault="00E13D2F" w:rsidP="00E13D2F">
      <w:pPr>
        <w:rPr>
          <w:rFonts w:cs="Arial"/>
          <w:color w:val="000000"/>
          <w:lang w:val="en-GB" w:eastAsia="en-IE"/>
        </w:rPr>
      </w:pPr>
      <w:r w:rsidRPr="00B111BC">
        <w:t xml:space="preserve">This crisis has resulted </w:t>
      </w:r>
      <w:r>
        <w:t>in</w:t>
      </w:r>
      <w:r w:rsidRPr="00B111BC">
        <w:t xml:space="preserve"> an increased use of technology across most sectors. The examples in th</w:t>
      </w:r>
      <w:r w:rsidR="00AD7ADC">
        <w:t>e</w:t>
      </w:r>
      <w:r w:rsidRPr="00B111BC">
        <w:t xml:space="preserve"> study </w:t>
      </w:r>
      <w:r w:rsidR="00AD7ADC">
        <w:t xml:space="preserve">above </w:t>
      </w:r>
      <w:r w:rsidRPr="00B111BC">
        <w:t>illustrate the prominen</w:t>
      </w:r>
      <w:r>
        <w:t>t</w:t>
      </w:r>
      <w:r w:rsidRPr="00B111BC">
        <w:t xml:space="preserve"> </w:t>
      </w:r>
      <w:r>
        <w:t xml:space="preserve">role </w:t>
      </w:r>
      <w:r w:rsidRPr="00B111BC">
        <w:t xml:space="preserve">that </w:t>
      </w:r>
      <w:r>
        <w:t>technology</w:t>
      </w:r>
      <w:r w:rsidRPr="00B111BC">
        <w:t xml:space="preserve"> can play in the lives of </w:t>
      </w:r>
      <w:r>
        <w:t>disabled people</w:t>
      </w:r>
      <w:r w:rsidRPr="00B111BC">
        <w:t xml:space="preserve"> and more importantly, the capacity people </w:t>
      </w:r>
      <w:proofErr w:type="gramStart"/>
      <w:r w:rsidRPr="00B111BC">
        <w:t>have to</w:t>
      </w:r>
      <w:proofErr w:type="gramEnd"/>
      <w:r w:rsidRPr="00B111BC">
        <w:t xml:space="preserve"> engage with it, which </w:t>
      </w:r>
      <w:r>
        <w:t xml:space="preserve">appears </w:t>
      </w:r>
      <w:r w:rsidRPr="00B111BC">
        <w:t>to have been underestimated</w:t>
      </w:r>
      <w:r>
        <w:t xml:space="preserve"> in the past</w:t>
      </w:r>
      <w:r w:rsidRPr="00B111BC">
        <w:t>.</w:t>
      </w:r>
      <w:r>
        <w:t xml:space="preserve"> </w:t>
      </w:r>
      <w:r w:rsidRPr="00B111BC">
        <w:t xml:space="preserve"> </w:t>
      </w:r>
    </w:p>
    <w:p w14:paraId="51E0BC00" w14:textId="77777777" w:rsidR="00E13D2F" w:rsidRDefault="00E13D2F" w:rsidP="008D728A">
      <w:pPr>
        <w:pStyle w:val="Heading2"/>
      </w:pPr>
      <w:bookmarkStart w:id="10" w:name="_Toc76241730"/>
      <w:bookmarkStart w:id="11" w:name="_Toc78385973"/>
      <w:bookmarkStart w:id="12" w:name="_Toc129007210"/>
      <w:r>
        <w:t>Digital poverty and digital literacy</w:t>
      </w:r>
      <w:bookmarkEnd w:id="10"/>
      <w:bookmarkEnd w:id="11"/>
      <w:bookmarkEnd w:id="12"/>
      <w:r>
        <w:t xml:space="preserve"> </w:t>
      </w:r>
    </w:p>
    <w:p w14:paraId="35993726" w14:textId="77777777" w:rsidR="00E13D2F" w:rsidRDefault="00E13D2F" w:rsidP="00E13D2F">
      <w:pPr>
        <w:spacing w:before="120" w:after="120"/>
      </w:pPr>
      <w:r>
        <w:t xml:space="preserve">We must be mindful that the increased use of technology may be a driver of social inequality. A recent NESC report pointed out that </w:t>
      </w:r>
      <w:r w:rsidRPr="002F1BA0">
        <w:t xml:space="preserve">connectivity, access to devices, </w:t>
      </w:r>
      <w:proofErr w:type="gramStart"/>
      <w:r w:rsidRPr="002F1BA0">
        <w:t>skills</w:t>
      </w:r>
      <w:proofErr w:type="gramEnd"/>
      <w:r w:rsidRPr="002F1BA0">
        <w:t xml:space="preserve"> and confidence to engage with ICT </w:t>
      </w:r>
      <w:r>
        <w:t>vary due to age, geography, and socio-economic factors. Research has also indicated that compared to the non-disabled population, persons with disabilities have lower levels of digital inclusion.</w:t>
      </w:r>
      <w:r>
        <w:rPr>
          <w:rStyle w:val="FootnoteReference"/>
        </w:rPr>
        <w:footnoteReference w:id="10"/>
      </w:r>
      <w:r>
        <w:t xml:space="preserve"> </w:t>
      </w:r>
      <w:r w:rsidRPr="0084785E">
        <w:t>It is essential that digital poverty and poor digital literacy are addressed to ensure that the increased prominence of technology does not widen social inequality.</w:t>
      </w:r>
      <w:r>
        <w:t xml:space="preserve"> </w:t>
      </w:r>
    </w:p>
    <w:p w14:paraId="484D27E9" w14:textId="781073B1" w:rsidR="00E13D2F" w:rsidRPr="00A2520E" w:rsidRDefault="002151D8" w:rsidP="00A2520E">
      <w:pPr>
        <w:rPr>
          <w:rFonts w:eastAsia="Calibri"/>
          <w:szCs w:val="26"/>
        </w:rPr>
      </w:pPr>
      <w:r>
        <w:rPr>
          <w:rFonts w:eastAsia="Calibri"/>
          <w:szCs w:val="26"/>
        </w:rPr>
        <w:t xml:space="preserve">The NDA would encourage </w:t>
      </w:r>
      <w:r w:rsidR="003D2CF9">
        <w:rPr>
          <w:rFonts w:eastAsia="Calibri"/>
          <w:szCs w:val="26"/>
        </w:rPr>
        <w:t>your</w:t>
      </w:r>
      <w:r>
        <w:rPr>
          <w:rFonts w:eastAsia="Calibri"/>
          <w:szCs w:val="26"/>
        </w:rPr>
        <w:t xml:space="preserve"> </w:t>
      </w:r>
      <w:proofErr w:type="gramStart"/>
      <w:r>
        <w:rPr>
          <w:rFonts w:eastAsia="Calibri"/>
          <w:szCs w:val="26"/>
        </w:rPr>
        <w:t>Department</w:t>
      </w:r>
      <w:proofErr w:type="gramEnd"/>
      <w:r>
        <w:rPr>
          <w:rFonts w:eastAsia="Calibri"/>
          <w:szCs w:val="26"/>
        </w:rPr>
        <w:t xml:space="preserve"> to use its relevant programmes to accelerate the availability and accessibility of digital and online services to disabled people in rural communities.</w:t>
      </w:r>
    </w:p>
    <w:p w14:paraId="6672ECBC" w14:textId="2A7E3D06" w:rsidR="009F2F0B" w:rsidRPr="009F007E" w:rsidRDefault="001F394C" w:rsidP="000479ED">
      <w:pPr>
        <w:pStyle w:val="Heading1"/>
      </w:pPr>
      <w:bookmarkStart w:id="13" w:name="_Toc129007211"/>
      <w:r w:rsidRPr="006168DD">
        <w:t>Town and Village Renewal Scheme</w:t>
      </w:r>
      <w:bookmarkEnd w:id="13"/>
    </w:p>
    <w:p w14:paraId="61F0D205" w14:textId="08631935" w:rsidR="009F2F0B" w:rsidRPr="009F007E" w:rsidRDefault="009F2F0B" w:rsidP="009F2F0B">
      <w:r>
        <w:t xml:space="preserve">The shift to remote working that was mandated by public health restrictions enabled a massive trial of the effectiveness of remote working. Many employers who might previously have feared that remote working would reduce productivity have found that employees have worked effectively at home. </w:t>
      </w:r>
      <w:r w:rsidRPr="009F007E">
        <w:t>There is now a broader acceptance by employers</w:t>
      </w:r>
      <w:r>
        <w:rPr>
          <w:rStyle w:val="FootnoteReference"/>
        </w:rPr>
        <w:footnoteReference w:id="11"/>
      </w:r>
      <w:r w:rsidRPr="009F007E">
        <w:t xml:space="preserve"> and government that employees may prefer to retain remote working as an option </w:t>
      </w:r>
      <w:r>
        <w:t>on a permanent basis and that it is possible to facilitate remote working and maintain profitability</w:t>
      </w:r>
      <w:r w:rsidR="00987386">
        <w:t>.</w:t>
      </w:r>
      <w:r w:rsidRPr="009F007E">
        <w:t xml:space="preserve"> </w:t>
      </w:r>
    </w:p>
    <w:p w14:paraId="0ABCDE9D" w14:textId="662BF58B" w:rsidR="009F2F0B" w:rsidRDefault="009F2F0B" w:rsidP="00322D97">
      <w:pPr>
        <w:pStyle w:val="ListBullet"/>
      </w:pPr>
      <w:r>
        <w:lastRenderedPageBreak/>
        <w:t xml:space="preserve">The disruption caused by the COVID-19 crisis resulted in an environment in which a rapid fundamental alteration in working arrangements could be introduced. </w:t>
      </w:r>
    </w:p>
    <w:p w14:paraId="3B2D221C" w14:textId="79D186DE" w:rsidR="006168DD" w:rsidRDefault="006168DD" w:rsidP="000869CD">
      <w:r>
        <w:t xml:space="preserve">The Department’s </w:t>
      </w:r>
      <w:r w:rsidR="0054533C">
        <w:t xml:space="preserve">recent iteration of the </w:t>
      </w:r>
      <w:r w:rsidRPr="006168DD">
        <w:t>Town and Village Renewal Scheme</w:t>
      </w:r>
      <w:r>
        <w:t xml:space="preserve"> has prioritised funding to:</w:t>
      </w:r>
    </w:p>
    <w:p w14:paraId="5BF6095C" w14:textId="0875A723" w:rsidR="006168DD" w:rsidRDefault="006168DD" w:rsidP="00322D97">
      <w:pPr>
        <w:pStyle w:val="ListBullet2"/>
      </w:pPr>
      <w:r>
        <w:t>Projects that bring vacant and derelict buildings and sites back into use as multi-purpose spaces.</w:t>
      </w:r>
    </w:p>
    <w:p w14:paraId="3F77BDA6" w14:textId="31445A97" w:rsidR="006168DD" w:rsidRDefault="006168DD" w:rsidP="00322D97">
      <w:pPr>
        <w:pStyle w:val="ListBullet2"/>
      </w:pPr>
      <w:r>
        <w:t>Projects that bring vacant properties in town centres back into use as remote working hubs. This includes funding for the repurposing of existing community or publicly owned buildings in town or village centres to facilitate remote working.</w:t>
      </w:r>
    </w:p>
    <w:p w14:paraId="265423B4" w14:textId="3895E620" w:rsidR="006168DD" w:rsidRDefault="006168DD" w:rsidP="006168DD">
      <w:r>
        <w:t xml:space="preserve">The NDA advises that these projects and any future examples to be funded under this Scheme should include criteria that follow a Universal Design approach to the design and refurbishment of such properties </w:t>
      </w:r>
      <w:proofErr w:type="gramStart"/>
      <w:r>
        <w:t>in order to</w:t>
      </w:r>
      <w:proofErr w:type="gramEnd"/>
      <w:r>
        <w:t xml:space="preserve"> allow </w:t>
      </w:r>
      <w:r w:rsidR="000869CD">
        <w:t xml:space="preserve">all members of the local community, including </w:t>
      </w:r>
      <w:r>
        <w:t>disabled people</w:t>
      </w:r>
      <w:r w:rsidR="0054533C">
        <w:t>,</w:t>
      </w:r>
      <w:r>
        <w:t xml:space="preserve"> to</w:t>
      </w:r>
      <w:r w:rsidR="0054533C">
        <w:t xml:space="preserve"> take advantage of the facilities provided. This would offer disabled people opportunities to</w:t>
      </w:r>
      <w:r w:rsidR="000869CD">
        <w:t xml:space="preserve"> </w:t>
      </w:r>
      <w:r w:rsidR="0054533C">
        <w:t xml:space="preserve">be economically active in their local communities. </w:t>
      </w:r>
      <w:r w:rsidR="00453C0C">
        <w:t>More i</w:t>
      </w:r>
      <w:r w:rsidR="003D2CF9">
        <w:t>nformation on Universal Design a</w:t>
      </w:r>
      <w:r w:rsidR="00453C0C">
        <w:t xml:space="preserve">pproaches can be found on the website of the Centre for Excellence for Universal Design </w:t>
      </w:r>
      <w:r w:rsidR="003D2CF9">
        <w:t>(CEUD)</w:t>
      </w:r>
      <w:r w:rsidR="001F394C">
        <w:t xml:space="preserve"> </w:t>
      </w:r>
      <w:r w:rsidR="00453C0C">
        <w:t>which is part of the NDA.</w:t>
      </w:r>
      <w:r w:rsidR="00453C0C">
        <w:rPr>
          <w:rStyle w:val="FootnoteReference"/>
        </w:rPr>
        <w:footnoteReference w:id="12"/>
      </w:r>
      <w:r w:rsidR="00453C0C">
        <w:t xml:space="preserve"> </w:t>
      </w:r>
    </w:p>
    <w:p w14:paraId="1F0B4FA2" w14:textId="77777777" w:rsidR="00E13D2F" w:rsidRDefault="00E13D2F" w:rsidP="00E13D2F">
      <w:pPr>
        <w:pStyle w:val="Heading1"/>
        <w:rPr>
          <w:rFonts w:eastAsia="Calibri"/>
        </w:rPr>
      </w:pPr>
      <w:bookmarkStart w:id="14" w:name="_Toc129007212"/>
      <w:r>
        <w:rPr>
          <w:rFonts w:eastAsia="Calibri"/>
        </w:rPr>
        <w:t>Tidy Towns</w:t>
      </w:r>
      <w:bookmarkEnd w:id="14"/>
    </w:p>
    <w:p w14:paraId="0FFAB19A" w14:textId="0BB75CB6" w:rsidR="00E13D2F" w:rsidRPr="00402FC2" w:rsidRDefault="00E13D2F" w:rsidP="00E13D2F">
      <w:pPr>
        <w:rPr>
          <w:rFonts w:eastAsia="Calibri"/>
        </w:rPr>
      </w:pPr>
      <w:r w:rsidRPr="00402FC2">
        <w:rPr>
          <w:rFonts w:eastAsia="Calibri"/>
        </w:rPr>
        <w:t xml:space="preserve">The </w:t>
      </w:r>
      <w:r>
        <w:rPr>
          <w:rFonts w:eastAsia="Calibri"/>
        </w:rPr>
        <w:t>NDA’s</w:t>
      </w:r>
      <w:r w:rsidRPr="00402FC2">
        <w:rPr>
          <w:rFonts w:eastAsia="Calibri"/>
        </w:rPr>
        <w:t xml:space="preserve"> </w:t>
      </w:r>
      <w:r w:rsidR="003D2CF9">
        <w:rPr>
          <w:rFonts w:eastAsia="Calibri"/>
        </w:rPr>
        <w:t>CEUD</w:t>
      </w:r>
      <w:r w:rsidRPr="00402FC2">
        <w:rPr>
          <w:rFonts w:eastAsia="Calibri"/>
        </w:rPr>
        <w:t xml:space="preserve"> had, for </w:t>
      </w:r>
      <w:proofErr w:type="gramStart"/>
      <w:r w:rsidRPr="00402FC2">
        <w:rPr>
          <w:rFonts w:eastAsia="Calibri"/>
        </w:rPr>
        <w:t>a number of</w:t>
      </w:r>
      <w:proofErr w:type="gramEnd"/>
      <w:r w:rsidRPr="00402FC2">
        <w:rPr>
          <w:rFonts w:eastAsia="Calibri"/>
        </w:rPr>
        <w:t xml:space="preserve"> years, been seeking to achieve a focus on Universal Design in the Tidy Towns competition as a means of rea</w:t>
      </w:r>
      <w:r>
        <w:rPr>
          <w:rFonts w:eastAsia="Calibri"/>
        </w:rPr>
        <w:t xml:space="preserve">ching into local communities.  </w:t>
      </w:r>
    </w:p>
    <w:p w14:paraId="1F7C19D1" w14:textId="77777777" w:rsidR="00E13D2F" w:rsidRPr="00402FC2" w:rsidRDefault="00E13D2F" w:rsidP="00E13D2F">
      <w:pPr>
        <w:rPr>
          <w:rFonts w:eastAsia="Calibri"/>
        </w:rPr>
      </w:pPr>
      <w:r w:rsidRPr="00402FC2">
        <w:rPr>
          <w:rFonts w:eastAsia="Calibri"/>
        </w:rPr>
        <w:t xml:space="preserve">The first year this was achieved was 2016, where the main application form for the Tidy Towns competition contained judging criteria that incorporated Universal Design, under two prominent categories: Built Environment and Streetscape; Landscaping and Open Spaces. This followed successful negotiations with the Tidy Towns Unit in the former Department of the Environment, Community and Local Government and a presentation </w:t>
      </w:r>
      <w:r>
        <w:rPr>
          <w:rFonts w:eastAsia="Calibri"/>
        </w:rPr>
        <w:t>to the Tidy Towns adjudicators.</w:t>
      </w:r>
    </w:p>
    <w:p w14:paraId="257071B6" w14:textId="55B10EA8" w:rsidR="008144B9" w:rsidRPr="00E13D2F" w:rsidRDefault="00E13D2F" w:rsidP="00CA1AE7">
      <w:pPr>
        <w:rPr>
          <w:rFonts w:eastAsia="Calibri"/>
        </w:rPr>
      </w:pPr>
      <w:r>
        <w:rPr>
          <w:rFonts w:eastAsia="Calibri"/>
        </w:rPr>
        <w:t xml:space="preserve">Since 2018 the </w:t>
      </w:r>
      <w:r w:rsidRPr="00402FC2">
        <w:rPr>
          <w:rFonts w:eastAsia="Calibri"/>
        </w:rPr>
        <w:t>application form contains amended judging criteria.  Universal Design principles are now referenced under “Streetscape and Public Places”</w:t>
      </w:r>
      <w:r>
        <w:rPr>
          <w:rFonts w:eastAsia="Calibri"/>
        </w:rPr>
        <w:t xml:space="preserve">. </w:t>
      </w:r>
      <w:r w:rsidRPr="002C40C3">
        <w:rPr>
          <w:rFonts w:eastAsia="Calibri"/>
        </w:rPr>
        <w:t xml:space="preserve">In 2021, the National Transport Authority published a </w:t>
      </w:r>
      <w:r w:rsidRPr="00B60687">
        <w:rPr>
          <w:rFonts w:eastAsia="Calibri"/>
          <w:b/>
        </w:rPr>
        <w:t xml:space="preserve">Universal Design </w:t>
      </w:r>
      <w:r w:rsidRPr="00B60687">
        <w:rPr>
          <w:rFonts w:eastAsia="Calibri"/>
          <w:b/>
        </w:rPr>
        <w:lastRenderedPageBreak/>
        <w:t>Walkability Audit Tool</w:t>
      </w:r>
      <w:r>
        <w:rPr>
          <w:rStyle w:val="FootnoteReference"/>
          <w:rFonts w:eastAsia="Calibri"/>
          <w:b/>
        </w:rPr>
        <w:footnoteReference w:id="13"/>
      </w:r>
      <w:r w:rsidRPr="002C40C3">
        <w:rPr>
          <w:rFonts w:eastAsia="Calibri"/>
        </w:rPr>
        <w:t xml:space="preserve">. The </w:t>
      </w:r>
      <w:r w:rsidR="006E0750">
        <w:rPr>
          <w:rFonts w:eastAsia="Calibri"/>
        </w:rPr>
        <w:t>CEUD</w:t>
      </w:r>
      <w:r w:rsidRPr="002C40C3">
        <w:rPr>
          <w:rFonts w:eastAsia="Calibri"/>
        </w:rPr>
        <w:t xml:space="preserve"> advised on the development of this tool, along with</w:t>
      </w:r>
      <w:r>
        <w:rPr>
          <w:rFonts w:eastAsia="Calibri"/>
        </w:rPr>
        <w:t xml:space="preserve"> Age Friendly Ireland and Green </w:t>
      </w:r>
      <w:r w:rsidRPr="002C40C3">
        <w:rPr>
          <w:rFonts w:eastAsia="Calibri"/>
        </w:rPr>
        <w:t>Schools.</w:t>
      </w:r>
      <w:r>
        <w:rPr>
          <w:rFonts w:eastAsia="Calibri"/>
        </w:rPr>
        <w:t xml:space="preserve"> The NDA advises that with these new resources there may be scope to further examine opportunities to introduce more Universal Design elements into the Tidy Towns judging criteria.</w:t>
      </w:r>
    </w:p>
    <w:p w14:paraId="427B2213" w14:textId="77777777" w:rsidR="00134370" w:rsidRPr="009C1F21" w:rsidRDefault="00E72988" w:rsidP="00326EBD">
      <w:pPr>
        <w:pStyle w:val="Heading1"/>
        <w:ind w:left="0"/>
        <w:rPr>
          <w:rFonts w:eastAsia="SimSun"/>
          <w:lang w:eastAsia="en-IE"/>
        </w:rPr>
      </w:pPr>
      <w:bookmarkStart w:id="15" w:name="_Toc129007213"/>
      <w:r w:rsidRPr="009C1F21">
        <w:rPr>
          <w:rFonts w:eastAsia="SimSun"/>
          <w:lang w:eastAsia="en-IE"/>
        </w:rPr>
        <w:t>Statutory</w:t>
      </w:r>
      <w:r w:rsidR="00134370" w:rsidRPr="009C1F21">
        <w:rPr>
          <w:rFonts w:eastAsia="SimSun"/>
          <w:lang w:eastAsia="en-IE"/>
        </w:rPr>
        <w:t xml:space="preserve"> Obligations</w:t>
      </w:r>
      <w:bookmarkEnd w:id="15"/>
    </w:p>
    <w:p w14:paraId="08D6FE82" w14:textId="77777777" w:rsidR="00E92B70" w:rsidRPr="009C1F21" w:rsidRDefault="00E92B70" w:rsidP="00E92B70">
      <w:pPr>
        <w:pStyle w:val="Heading2"/>
        <w:rPr>
          <w:rFonts w:eastAsia="SimSun"/>
          <w:lang w:eastAsia="en-IE"/>
        </w:rPr>
      </w:pPr>
      <w:bookmarkStart w:id="16" w:name="_Toc129007214"/>
      <w:r w:rsidRPr="009C1F21">
        <w:rPr>
          <w:rFonts w:eastAsia="SimSun"/>
          <w:lang w:eastAsia="en-IE"/>
        </w:rPr>
        <w:t xml:space="preserve">Compliance with Part </w:t>
      </w:r>
      <w:r w:rsidR="00703D2B" w:rsidRPr="009C1F21">
        <w:rPr>
          <w:rFonts w:eastAsia="SimSun"/>
          <w:lang w:eastAsia="en-IE"/>
        </w:rPr>
        <w:t xml:space="preserve">5 </w:t>
      </w:r>
      <w:r w:rsidR="00E37B5E" w:rsidRPr="009C1F21">
        <w:rPr>
          <w:rFonts w:eastAsia="SimSun"/>
          <w:lang w:eastAsia="en-IE"/>
        </w:rPr>
        <w:t>of the Disability Act 2005</w:t>
      </w:r>
      <w:bookmarkEnd w:id="16"/>
    </w:p>
    <w:p w14:paraId="3AEE7F45" w14:textId="27B5D4A5" w:rsidR="00F17665" w:rsidRPr="009C1F21" w:rsidRDefault="002D4420" w:rsidP="00F17665">
      <w:pPr>
        <w:autoSpaceDE w:val="0"/>
        <w:autoSpaceDN w:val="0"/>
        <w:adjustRightInd w:val="0"/>
        <w:spacing w:after="0"/>
        <w:rPr>
          <w:rFonts w:eastAsia="SimSun" w:cs="Arial"/>
          <w:szCs w:val="26"/>
          <w:lang w:eastAsia="en-IE"/>
        </w:rPr>
      </w:pPr>
      <w:r w:rsidRPr="009C1F21">
        <w:rPr>
          <w:rFonts w:eastAsia="SimSun" w:cs="Arial"/>
          <w:szCs w:val="26"/>
          <w:lang w:eastAsia="en-IE"/>
        </w:rPr>
        <w:t>Part 5</w:t>
      </w:r>
      <w:r w:rsidR="00E13936" w:rsidRPr="009C1F21">
        <w:rPr>
          <w:rFonts w:eastAsia="SimSun" w:cs="Arial"/>
          <w:szCs w:val="26"/>
          <w:lang w:eastAsia="en-IE"/>
        </w:rPr>
        <w:t xml:space="preserve"> of the Disability Act 2005 details the obligations public bodies </w:t>
      </w:r>
      <w:proofErr w:type="gramStart"/>
      <w:r w:rsidR="00E13936" w:rsidRPr="009C1F21">
        <w:rPr>
          <w:rFonts w:eastAsia="SimSun" w:cs="Arial"/>
          <w:szCs w:val="26"/>
          <w:lang w:eastAsia="en-IE"/>
        </w:rPr>
        <w:t>have to</w:t>
      </w:r>
      <w:proofErr w:type="gramEnd"/>
      <w:r w:rsidR="00E13936" w:rsidRPr="009C1F21">
        <w:rPr>
          <w:rFonts w:eastAsia="SimSun" w:cs="Arial"/>
          <w:szCs w:val="26"/>
          <w:lang w:eastAsia="en-IE"/>
        </w:rPr>
        <w:t xml:space="preserve"> promote and support the employmen</w:t>
      </w:r>
      <w:r w:rsidR="00554D71" w:rsidRPr="009C1F21">
        <w:rPr>
          <w:rFonts w:eastAsia="SimSun" w:cs="Arial"/>
          <w:szCs w:val="26"/>
          <w:lang w:eastAsia="en-IE"/>
        </w:rPr>
        <w:t xml:space="preserve">t of persons with disabilities. </w:t>
      </w:r>
      <w:r w:rsidR="00F17665" w:rsidRPr="009C1F21">
        <w:rPr>
          <w:rFonts w:eastAsia="SimSun" w:cs="Gill Sans MT"/>
          <w:szCs w:val="26"/>
          <w:lang w:eastAsia="en-IE"/>
        </w:rPr>
        <w:t>The NDA is ple</w:t>
      </w:r>
      <w:r w:rsidR="006E60A6" w:rsidRPr="009C1F21">
        <w:rPr>
          <w:rFonts w:eastAsia="SimSun" w:cs="Gill Sans MT"/>
          <w:szCs w:val="26"/>
          <w:lang w:eastAsia="en-IE"/>
        </w:rPr>
        <w:t>ased to note the record of the d</w:t>
      </w:r>
      <w:r w:rsidR="00F17665" w:rsidRPr="009C1F21">
        <w:rPr>
          <w:rFonts w:eastAsia="SimSun" w:cs="Gill Sans MT"/>
          <w:szCs w:val="26"/>
          <w:lang w:eastAsia="en-IE"/>
        </w:rPr>
        <w:t xml:space="preserve">epartment in relation to the employment of persons </w:t>
      </w:r>
      <w:r w:rsidR="00395753" w:rsidRPr="009C1F21">
        <w:rPr>
          <w:rFonts w:eastAsia="SimSun" w:cs="Gill Sans MT"/>
          <w:szCs w:val="26"/>
          <w:lang w:eastAsia="en-IE"/>
        </w:rPr>
        <w:t>with disabilities,</w:t>
      </w:r>
      <w:r w:rsidR="002E1848" w:rsidRPr="009C1F21">
        <w:rPr>
          <w:rFonts w:eastAsia="SimSun" w:cs="Gill Sans MT"/>
          <w:szCs w:val="26"/>
          <w:lang w:eastAsia="en-IE"/>
        </w:rPr>
        <w:t xml:space="preserve"> a</w:t>
      </w:r>
      <w:r w:rsidR="002158B4">
        <w:rPr>
          <w:rFonts w:eastAsia="SimSun" w:cs="Gill Sans MT"/>
          <w:szCs w:val="26"/>
          <w:lang w:eastAsia="en-IE"/>
        </w:rPr>
        <w:t>chieving 8</w:t>
      </w:r>
      <w:r w:rsidR="002E1848" w:rsidRPr="009C1F21">
        <w:rPr>
          <w:rFonts w:eastAsia="SimSun" w:cs="Gill Sans MT"/>
          <w:szCs w:val="26"/>
          <w:lang w:eastAsia="en-IE"/>
        </w:rPr>
        <w:t>% in 2021</w:t>
      </w:r>
      <w:r w:rsidR="00DC392C">
        <w:rPr>
          <w:rStyle w:val="FootnoteReference"/>
          <w:rFonts w:eastAsia="SimSun" w:cs="Gill Sans MT"/>
          <w:szCs w:val="26"/>
          <w:lang w:eastAsia="en-IE"/>
        </w:rPr>
        <w:footnoteReference w:id="14"/>
      </w:r>
      <w:r w:rsidR="002E1848" w:rsidRPr="009C1F21">
        <w:rPr>
          <w:rFonts w:eastAsia="SimSun" w:cs="Gill Sans MT"/>
          <w:szCs w:val="26"/>
          <w:lang w:eastAsia="en-IE"/>
        </w:rPr>
        <w:t>. In addition</w:t>
      </w:r>
      <w:r w:rsidR="00BB435F">
        <w:rPr>
          <w:rFonts w:eastAsia="SimSun" w:cs="Gill Sans MT"/>
          <w:szCs w:val="26"/>
          <w:lang w:eastAsia="en-IE"/>
        </w:rPr>
        <w:t>,</w:t>
      </w:r>
      <w:r w:rsidR="002E1848" w:rsidRPr="009C1F21">
        <w:rPr>
          <w:rFonts w:eastAsia="SimSun" w:cs="Gill Sans MT"/>
          <w:szCs w:val="26"/>
          <w:lang w:eastAsia="en-IE"/>
        </w:rPr>
        <w:t xml:space="preserve"> </w:t>
      </w:r>
      <w:r w:rsidR="002158B4">
        <w:rPr>
          <w:rFonts w:eastAsia="SimSun" w:cs="Gill Sans MT"/>
          <w:szCs w:val="26"/>
          <w:lang w:eastAsia="en-IE"/>
        </w:rPr>
        <w:t xml:space="preserve">one of two </w:t>
      </w:r>
      <w:r w:rsidR="002E1848" w:rsidRPr="009C1F21">
        <w:rPr>
          <w:rFonts w:eastAsia="SimSun" w:cs="Gill Sans MT"/>
          <w:szCs w:val="26"/>
          <w:lang w:eastAsia="en-IE"/>
        </w:rPr>
        <w:t xml:space="preserve">public bodies under </w:t>
      </w:r>
      <w:r w:rsidR="00353941" w:rsidRPr="009C1F21">
        <w:rPr>
          <w:rFonts w:eastAsia="SimSun" w:cs="Gill Sans MT"/>
          <w:szCs w:val="26"/>
          <w:lang w:eastAsia="en-IE"/>
        </w:rPr>
        <w:t xml:space="preserve">the </w:t>
      </w:r>
      <w:r w:rsidR="002D0E1A" w:rsidRPr="009C1F21">
        <w:rPr>
          <w:rFonts w:eastAsia="SimSun" w:cs="Gill Sans MT"/>
          <w:szCs w:val="26"/>
          <w:lang w:eastAsia="en-IE"/>
        </w:rPr>
        <w:t xml:space="preserve">aegis of </w:t>
      </w:r>
      <w:r w:rsidR="006E0750">
        <w:rPr>
          <w:rFonts w:eastAsia="SimSun" w:cs="Gill Sans MT"/>
          <w:szCs w:val="26"/>
          <w:lang w:eastAsia="en-IE"/>
        </w:rPr>
        <w:t>your</w:t>
      </w:r>
      <w:r w:rsidR="002D0E1A" w:rsidRPr="009C1F21">
        <w:rPr>
          <w:rFonts w:eastAsia="SimSun" w:cs="Gill Sans MT"/>
          <w:szCs w:val="26"/>
          <w:lang w:eastAsia="en-IE"/>
        </w:rPr>
        <w:t xml:space="preserve"> </w:t>
      </w:r>
      <w:proofErr w:type="gramStart"/>
      <w:r w:rsidR="006E0750">
        <w:rPr>
          <w:rFonts w:eastAsia="SimSun" w:cs="Gill Sans MT"/>
          <w:szCs w:val="26"/>
          <w:lang w:eastAsia="en-IE"/>
        </w:rPr>
        <w:t>D</w:t>
      </w:r>
      <w:r w:rsidR="002D0E1A" w:rsidRPr="009C1F21">
        <w:rPr>
          <w:rFonts w:eastAsia="SimSun" w:cs="Gill Sans MT"/>
          <w:szCs w:val="26"/>
          <w:lang w:eastAsia="en-IE"/>
        </w:rPr>
        <w:t>epartment</w:t>
      </w:r>
      <w:proofErr w:type="gramEnd"/>
      <w:r w:rsidR="002D0E1A" w:rsidRPr="009C1F21">
        <w:rPr>
          <w:rFonts w:eastAsia="SimSun" w:cs="Gill Sans MT"/>
          <w:szCs w:val="26"/>
          <w:lang w:eastAsia="en-IE"/>
        </w:rPr>
        <w:t xml:space="preserve"> </w:t>
      </w:r>
      <w:r w:rsidR="002E1848" w:rsidRPr="009C1F21">
        <w:rPr>
          <w:rFonts w:eastAsia="SimSun" w:cs="Gill Sans MT"/>
          <w:szCs w:val="26"/>
          <w:lang w:eastAsia="en-IE"/>
        </w:rPr>
        <w:t xml:space="preserve">also exceeded the minimum 3% target with the </w:t>
      </w:r>
      <w:r w:rsidR="002158B4">
        <w:rPr>
          <w:rFonts w:eastAsia="SimSun" w:cs="Gill Sans MT"/>
          <w:szCs w:val="26"/>
          <w:lang w:eastAsia="en-IE"/>
        </w:rPr>
        <w:t>Western Development Commission</w:t>
      </w:r>
      <w:r w:rsidR="002E1848" w:rsidRPr="009C1F21">
        <w:rPr>
          <w:rFonts w:eastAsia="SimSun" w:cs="Gill Sans MT"/>
          <w:szCs w:val="26"/>
          <w:lang w:eastAsia="en-IE"/>
        </w:rPr>
        <w:t xml:space="preserve"> achieving </w:t>
      </w:r>
      <w:r w:rsidR="005B3918">
        <w:rPr>
          <w:rFonts w:eastAsia="SimSun" w:cs="Gill Sans MT"/>
          <w:szCs w:val="26"/>
          <w:lang w:eastAsia="en-IE"/>
        </w:rPr>
        <w:t>10.7%</w:t>
      </w:r>
      <w:r w:rsidR="002E1848" w:rsidRPr="009C1F21">
        <w:rPr>
          <w:rFonts w:eastAsia="SimSun" w:cs="Gill Sans MT"/>
          <w:szCs w:val="26"/>
          <w:lang w:eastAsia="en-IE"/>
        </w:rPr>
        <w:t xml:space="preserve">. </w:t>
      </w:r>
      <w:r w:rsidR="005B3918">
        <w:rPr>
          <w:rFonts w:eastAsia="SimSun" w:cs="Gill Sans MT"/>
          <w:szCs w:val="26"/>
          <w:lang w:eastAsia="en-IE"/>
        </w:rPr>
        <w:t>The other public body – Water Safety Ireland - has less than 10 employees</w:t>
      </w:r>
      <w:r w:rsidR="00DC392C">
        <w:rPr>
          <w:rFonts w:eastAsia="SimSun" w:cs="Gill Sans MT"/>
          <w:szCs w:val="26"/>
          <w:lang w:eastAsia="en-IE"/>
        </w:rPr>
        <w:t xml:space="preserve"> and no one reporting a disability</w:t>
      </w:r>
      <w:r w:rsidR="005B3918">
        <w:rPr>
          <w:rFonts w:eastAsia="SimSun" w:cs="Gill Sans MT"/>
          <w:szCs w:val="26"/>
          <w:lang w:eastAsia="en-IE"/>
        </w:rPr>
        <w:t xml:space="preserve">. </w:t>
      </w:r>
      <w:r w:rsidR="002E1848" w:rsidRPr="009C1F21">
        <w:rPr>
          <w:rFonts w:eastAsia="SimSun" w:cs="Gill Sans MT"/>
          <w:szCs w:val="26"/>
          <w:lang w:eastAsia="en-IE"/>
        </w:rPr>
        <w:t>It</w:t>
      </w:r>
      <w:r w:rsidR="00F17665" w:rsidRPr="009C1F21">
        <w:rPr>
          <w:rFonts w:eastAsia="SimSun" w:cs="Gill Sans MT"/>
          <w:szCs w:val="26"/>
          <w:lang w:eastAsia="en-IE"/>
        </w:rPr>
        <w:t xml:space="preserve"> </w:t>
      </w:r>
      <w:r w:rsidR="00395753" w:rsidRPr="009C1F21">
        <w:rPr>
          <w:rFonts w:eastAsia="SimSun" w:cs="Gill Sans MT"/>
          <w:szCs w:val="26"/>
          <w:lang w:eastAsia="en-IE"/>
        </w:rPr>
        <w:t xml:space="preserve">is </w:t>
      </w:r>
      <w:r w:rsidR="00F17665" w:rsidRPr="009C1F21">
        <w:rPr>
          <w:rFonts w:eastAsia="SimSun" w:cs="Gill Sans MT"/>
          <w:szCs w:val="26"/>
          <w:lang w:eastAsia="en-IE"/>
        </w:rPr>
        <w:t xml:space="preserve">important to continue maintaining compliance with Part 5 of the </w:t>
      </w:r>
      <w:r w:rsidR="00F17665" w:rsidRPr="006E0750">
        <w:rPr>
          <w:rFonts w:eastAsia="SimSun" w:cs="Gill Sans MT"/>
          <w:b/>
          <w:szCs w:val="26"/>
          <w:lang w:eastAsia="en-IE"/>
        </w:rPr>
        <w:t>Disability A</w:t>
      </w:r>
      <w:r w:rsidR="006144CC" w:rsidRPr="006E0750">
        <w:rPr>
          <w:rFonts w:eastAsia="SimSun" w:cs="Gill Sans MT"/>
          <w:b/>
          <w:szCs w:val="26"/>
          <w:lang w:eastAsia="en-IE"/>
        </w:rPr>
        <w:t xml:space="preserve">ct </w:t>
      </w:r>
      <w:r w:rsidR="006E0750" w:rsidRPr="006E0750">
        <w:rPr>
          <w:rFonts w:eastAsia="SimSun" w:cs="Gill Sans MT"/>
          <w:b/>
          <w:szCs w:val="26"/>
          <w:lang w:eastAsia="en-IE"/>
        </w:rPr>
        <w:t>2005</w:t>
      </w:r>
      <w:r w:rsidR="006E0750">
        <w:rPr>
          <w:rFonts w:eastAsia="SimSun" w:cs="Gill Sans MT"/>
          <w:szCs w:val="26"/>
          <w:lang w:eastAsia="en-IE"/>
        </w:rPr>
        <w:t xml:space="preserve"> </w:t>
      </w:r>
      <w:r w:rsidR="006144CC" w:rsidRPr="009C1F21">
        <w:rPr>
          <w:rFonts w:eastAsia="SimSun" w:cs="Gill Sans MT"/>
          <w:szCs w:val="26"/>
          <w:lang w:eastAsia="en-IE"/>
        </w:rPr>
        <w:t xml:space="preserve">as a key focus of </w:t>
      </w:r>
      <w:r w:rsidR="006E0750">
        <w:rPr>
          <w:rFonts w:eastAsia="SimSun" w:cs="Gill Sans MT"/>
          <w:szCs w:val="26"/>
          <w:lang w:eastAsia="en-IE"/>
        </w:rPr>
        <w:t>your</w:t>
      </w:r>
      <w:r w:rsidR="00703D2B" w:rsidRPr="009C1F21">
        <w:rPr>
          <w:rFonts w:eastAsia="SimSun" w:cs="Gill Sans MT"/>
          <w:szCs w:val="26"/>
          <w:lang w:eastAsia="en-IE"/>
        </w:rPr>
        <w:t xml:space="preserve"> </w:t>
      </w:r>
      <w:r w:rsidR="006E0750">
        <w:rPr>
          <w:rFonts w:eastAsia="SimSun" w:cs="Gill Sans MT"/>
          <w:szCs w:val="26"/>
          <w:lang w:eastAsia="en-IE"/>
        </w:rPr>
        <w:t>D</w:t>
      </w:r>
      <w:r w:rsidR="00F17665" w:rsidRPr="009C1F21">
        <w:rPr>
          <w:rFonts w:eastAsia="SimSun" w:cs="Gill Sans MT"/>
          <w:szCs w:val="26"/>
          <w:lang w:eastAsia="en-IE"/>
        </w:rPr>
        <w:t xml:space="preserve">epartment's HR </w:t>
      </w:r>
      <w:proofErr w:type="gramStart"/>
      <w:r w:rsidR="00F17665" w:rsidRPr="009C1F21">
        <w:rPr>
          <w:rFonts w:eastAsia="SimSun" w:cs="Gill Sans MT"/>
          <w:szCs w:val="26"/>
          <w:lang w:eastAsia="en-IE"/>
        </w:rPr>
        <w:t>strategy</w:t>
      </w:r>
      <w:r w:rsidR="00AD79DB" w:rsidRPr="009C1F21">
        <w:rPr>
          <w:rFonts w:eastAsia="SimSun" w:cs="Gill Sans MT"/>
          <w:szCs w:val="26"/>
          <w:lang w:eastAsia="en-IE"/>
        </w:rPr>
        <w:t>, and</w:t>
      </w:r>
      <w:proofErr w:type="gramEnd"/>
      <w:r w:rsidR="00AD79DB" w:rsidRPr="009C1F21">
        <w:rPr>
          <w:rFonts w:eastAsia="SimSun" w:cs="Gill Sans MT"/>
          <w:szCs w:val="26"/>
          <w:lang w:eastAsia="en-IE"/>
        </w:rPr>
        <w:t xml:space="preserve"> articulati</w:t>
      </w:r>
      <w:r w:rsidR="003A4C08" w:rsidRPr="009C1F21">
        <w:rPr>
          <w:rFonts w:eastAsia="SimSun" w:cs="Gill Sans MT"/>
          <w:szCs w:val="26"/>
          <w:lang w:eastAsia="en-IE"/>
        </w:rPr>
        <w:t xml:space="preserve">ng a commitment to same in </w:t>
      </w:r>
      <w:r w:rsidR="006E0750">
        <w:rPr>
          <w:rFonts w:eastAsia="SimSun" w:cs="Gill Sans MT"/>
          <w:szCs w:val="26"/>
          <w:lang w:eastAsia="en-IE"/>
        </w:rPr>
        <w:t>your D</w:t>
      </w:r>
      <w:r w:rsidR="00AD79DB" w:rsidRPr="009C1F21">
        <w:rPr>
          <w:rFonts w:eastAsia="SimSun" w:cs="Gill Sans MT"/>
          <w:szCs w:val="26"/>
          <w:lang w:eastAsia="en-IE"/>
        </w:rPr>
        <w:t xml:space="preserve">epartment’s overall </w:t>
      </w:r>
      <w:r w:rsidR="00663E12" w:rsidRPr="009C1F21">
        <w:rPr>
          <w:rFonts w:eastAsia="SimSun" w:cs="Gill Sans MT"/>
          <w:szCs w:val="26"/>
          <w:lang w:eastAsia="en-IE"/>
        </w:rPr>
        <w:t>Statement</w:t>
      </w:r>
      <w:r w:rsidR="00AD79DB" w:rsidRPr="009C1F21">
        <w:rPr>
          <w:rFonts w:eastAsia="SimSun" w:cs="Gill Sans MT"/>
          <w:szCs w:val="26"/>
          <w:lang w:eastAsia="en-IE"/>
        </w:rPr>
        <w:t xml:space="preserve"> of Str</w:t>
      </w:r>
      <w:r w:rsidR="00F22161" w:rsidRPr="009C1F21">
        <w:rPr>
          <w:rFonts w:eastAsia="SimSun" w:cs="Gill Sans MT"/>
          <w:szCs w:val="26"/>
          <w:lang w:eastAsia="en-IE"/>
        </w:rPr>
        <w:t xml:space="preserve">ategy can also demonstrate </w:t>
      </w:r>
      <w:r w:rsidR="006E0750">
        <w:rPr>
          <w:rFonts w:eastAsia="SimSun" w:cs="Gill Sans MT"/>
          <w:szCs w:val="26"/>
          <w:lang w:eastAsia="en-IE"/>
        </w:rPr>
        <w:t>your D</w:t>
      </w:r>
      <w:r w:rsidR="00AD79DB" w:rsidRPr="009C1F21">
        <w:rPr>
          <w:rFonts w:eastAsia="SimSun" w:cs="Gill Sans MT"/>
          <w:szCs w:val="26"/>
          <w:lang w:eastAsia="en-IE"/>
        </w:rPr>
        <w:t>epartment’s standing as an employer invested in equalit</w:t>
      </w:r>
      <w:r w:rsidR="006E0750">
        <w:rPr>
          <w:rFonts w:eastAsia="SimSun" w:cs="Gill Sans MT"/>
          <w:szCs w:val="26"/>
          <w:lang w:eastAsia="en-IE"/>
        </w:rPr>
        <w:t>y, diversity and inclusion</w:t>
      </w:r>
      <w:r w:rsidR="00F17665" w:rsidRPr="009C1F21">
        <w:rPr>
          <w:rFonts w:eastAsia="SimSun" w:cs="Gill Sans MT"/>
          <w:szCs w:val="26"/>
          <w:lang w:eastAsia="en-IE"/>
        </w:rPr>
        <w:t>.</w:t>
      </w:r>
      <w:r w:rsidR="006E1F8E" w:rsidRPr="009C1F21">
        <w:rPr>
          <w:rStyle w:val="FootnoteReference"/>
          <w:rFonts w:eastAsia="SimSun" w:cs="Gill Sans MT"/>
          <w:szCs w:val="26"/>
          <w:lang w:eastAsia="en-IE"/>
        </w:rPr>
        <w:footnoteReference w:id="15"/>
      </w:r>
      <w:r w:rsidR="00F17665" w:rsidRPr="009C1F21">
        <w:rPr>
          <w:rFonts w:eastAsia="SimSun" w:cs="Gill Sans MT"/>
          <w:szCs w:val="26"/>
          <w:lang w:eastAsia="en-IE"/>
        </w:rPr>
        <w:t xml:space="preserve"> </w:t>
      </w:r>
      <w:r w:rsidR="005B3918">
        <w:rPr>
          <w:rFonts w:eastAsia="SimSun" w:cs="Gill Sans MT"/>
          <w:szCs w:val="26"/>
          <w:lang w:eastAsia="en-IE"/>
        </w:rPr>
        <w:t xml:space="preserve">The </w:t>
      </w:r>
      <w:r w:rsidR="005B3918" w:rsidRPr="005B3918">
        <w:rPr>
          <w:rFonts w:eastAsia="SimSun" w:cs="Gill Sans MT"/>
          <w:b/>
          <w:szCs w:val="26"/>
          <w:lang w:eastAsia="en-IE"/>
        </w:rPr>
        <w:t>Assisted Decision-</w:t>
      </w:r>
      <w:r w:rsidR="002E1848" w:rsidRPr="005B3918">
        <w:rPr>
          <w:rFonts w:eastAsia="SimSun" w:cs="Gill Sans MT"/>
          <w:b/>
          <w:szCs w:val="26"/>
          <w:lang w:eastAsia="en-IE"/>
        </w:rPr>
        <w:t>Making (Capacity) (Amendment) Act 2022</w:t>
      </w:r>
      <w:r w:rsidR="002E1848" w:rsidRPr="009C1F21">
        <w:rPr>
          <w:rFonts w:eastAsia="SimSun" w:cs="Gill Sans MT"/>
          <w:szCs w:val="26"/>
          <w:lang w:eastAsia="en-IE"/>
        </w:rPr>
        <w:t xml:space="preserve"> increase</w:t>
      </w:r>
      <w:r w:rsidR="00BB435F">
        <w:rPr>
          <w:rFonts w:eastAsia="SimSun" w:cs="Gill Sans MT"/>
          <w:szCs w:val="26"/>
          <w:lang w:eastAsia="en-IE"/>
        </w:rPr>
        <w:t>s</w:t>
      </w:r>
      <w:r w:rsidR="002E1848" w:rsidRPr="009C1F21">
        <w:rPr>
          <w:rFonts w:eastAsia="SimSun" w:cs="Gill Sans MT"/>
          <w:szCs w:val="26"/>
          <w:lang w:eastAsia="en-IE"/>
        </w:rPr>
        <w:t xml:space="preserve"> </w:t>
      </w:r>
      <w:r w:rsidR="006E0750">
        <w:rPr>
          <w:rFonts w:eastAsia="SimSun" w:cs="Gill Sans MT"/>
          <w:szCs w:val="26"/>
          <w:lang w:eastAsia="en-IE"/>
        </w:rPr>
        <w:t>will increase this statutory</w:t>
      </w:r>
      <w:r w:rsidR="002E1848" w:rsidRPr="009C1F21">
        <w:rPr>
          <w:rFonts w:eastAsia="SimSun" w:cs="Gill Sans MT"/>
          <w:szCs w:val="26"/>
          <w:lang w:eastAsia="en-IE"/>
        </w:rPr>
        <w:t xml:space="preserve"> minimum target from 3% to 6% by 2025. </w:t>
      </w:r>
    </w:p>
    <w:p w14:paraId="6A953CD3" w14:textId="77777777" w:rsidR="00BB00D5" w:rsidRPr="009C1F21" w:rsidRDefault="00BB00D5" w:rsidP="00BB00D5">
      <w:pPr>
        <w:spacing w:after="0"/>
        <w:rPr>
          <w:sz w:val="28"/>
          <w:szCs w:val="16"/>
        </w:rPr>
      </w:pPr>
    </w:p>
    <w:p w14:paraId="7A4B64C8" w14:textId="77777777" w:rsidR="008D6376" w:rsidRPr="009C1F21" w:rsidRDefault="008D6376" w:rsidP="00E92B70">
      <w:pPr>
        <w:pStyle w:val="Heading2"/>
        <w:rPr>
          <w:rFonts w:eastAsia="SimSun"/>
          <w:lang w:eastAsia="en-IE"/>
        </w:rPr>
      </w:pPr>
      <w:bookmarkStart w:id="17" w:name="_Toc129007215"/>
      <w:r w:rsidRPr="009C1F21">
        <w:rPr>
          <w:rFonts w:eastAsia="SimSun"/>
          <w:lang w:eastAsia="en-IE"/>
        </w:rPr>
        <w:t xml:space="preserve">EU Web </w:t>
      </w:r>
      <w:r w:rsidR="00271295" w:rsidRPr="009C1F21">
        <w:rPr>
          <w:rFonts w:eastAsia="SimSun"/>
          <w:lang w:eastAsia="en-IE"/>
        </w:rPr>
        <w:t>Accessibility</w:t>
      </w:r>
      <w:r w:rsidRPr="009C1F21">
        <w:rPr>
          <w:rFonts w:eastAsia="SimSun"/>
          <w:lang w:eastAsia="en-IE"/>
        </w:rPr>
        <w:t xml:space="preserve"> Obligations</w:t>
      </w:r>
      <w:bookmarkEnd w:id="17"/>
      <w:r w:rsidRPr="009C1F21">
        <w:rPr>
          <w:rFonts w:eastAsia="SimSun"/>
          <w:lang w:eastAsia="en-IE"/>
        </w:rPr>
        <w:t xml:space="preserve"> </w:t>
      </w:r>
    </w:p>
    <w:p w14:paraId="39664FB5" w14:textId="3C964460" w:rsidR="006C4719" w:rsidRDefault="006C4719" w:rsidP="006C4719">
      <w:pPr>
        <w:pStyle w:val="NormalWeb"/>
        <w:spacing w:before="0" w:beforeAutospacing="0" w:after="0" w:afterAutospacing="0"/>
        <w:rPr>
          <w:rFonts w:ascii="Gill Sans MT" w:eastAsia="SimSun" w:hAnsi="Gill Sans MT" w:cs="Gill Sans MT"/>
          <w:sz w:val="26"/>
          <w:szCs w:val="26"/>
        </w:rPr>
      </w:pPr>
      <w:r w:rsidRPr="009C1F21">
        <w:rPr>
          <w:rFonts w:ascii="Gill Sans MT" w:eastAsia="SimSun" w:hAnsi="Gill Sans MT" w:cs="Gill Sans MT"/>
          <w:sz w:val="26"/>
          <w:szCs w:val="26"/>
        </w:rPr>
        <w:t>The</w:t>
      </w:r>
      <w:r w:rsidR="00F759C7" w:rsidRPr="009C1F21">
        <w:rPr>
          <w:rFonts w:ascii="Gill Sans MT" w:eastAsia="SimSun" w:hAnsi="Gill Sans MT" w:cs="Gill Sans MT"/>
          <w:sz w:val="26"/>
          <w:szCs w:val="26"/>
        </w:rPr>
        <w:t xml:space="preserve"> </w:t>
      </w:r>
      <w:hyperlink r:id="rId9" w:history="1">
        <w:r w:rsidR="00F759C7" w:rsidRPr="009C1F21">
          <w:rPr>
            <w:rStyle w:val="Hyperlink"/>
            <w:rFonts w:ascii="Gill Sans MT" w:eastAsia="SimSun" w:hAnsi="Gill Sans MT" w:cs="Gill Sans MT"/>
            <w:color w:val="auto"/>
            <w:sz w:val="26"/>
            <w:szCs w:val="26"/>
          </w:rPr>
          <w:t>EU Web Accessibility Directive</w:t>
        </w:r>
      </w:hyperlink>
      <w:r w:rsidRPr="009C1F21">
        <w:rPr>
          <w:rFonts w:ascii="Gill Sans MT" w:eastAsia="SimSun" w:hAnsi="Gill Sans MT" w:cs="Gill Sans MT"/>
          <w:sz w:val="26"/>
          <w:szCs w:val="26"/>
        </w:rPr>
        <w:t xml:space="preserve">, which came into force in September 2020, requires Member States to ensure that websites and mobile applications of public sector bodies are fully accessible to persons with disabilities and comply with the harmonised standard EN 310 549 (v3.2.1). The Directive further requires public bodies to maintain an </w:t>
      </w:r>
      <w:hyperlink r:id="rId10" w:history="1">
        <w:r w:rsidRPr="009C1F21">
          <w:rPr>
            <w:rStyle w:val="Hyperlink"/>
            <w:rFonts w:ascii="Gill Sans MT" w:eastAsia="SimSun" w:hAnsi="Gill Sans MT" w:cs="Gill Sans MT"/>
            <w:color w:val="auto"/>
            <w:sz w:val="26"/>
            <w:szCs w:val="26"/>
          </w:rPr>
          <w:t>Accessibility Statement</w:t>
        </w:r>
      </w:hyperlink>
      <w:r w:rsidRPr="009C1F21">
        <w:rPr>
          <w:rFonts w:ascii="Gill Sans MT" w:eastAsia="SimSun" w:hAnsi="Gill Sans MT" w:cs="Gill Sans MT"/>
          <w:sz w:val="26"/>
          <w:szCs w:val="26"/>
        </w:rPr>
        <w:t xml:space="preserve"> in a prominent location on all its websites.  This must include a clear feedback mechanism for users to ask </w:t>
      </w:r>
      <w:r w:rsidR="00F4304C" w:rsidRPr="009C1F21">
        <w:rPr>
          <w:rFonts w:ascii="Gill Sans MT" w:eastAsia="SimSun" w:hAnsi="Gill Sans MT" w:cs="Gill Sans MT"/>
          <w:sz w:val="26"/>
          <w:szCs w:val="26"/>
        </w:rPr>
        <w:t xml:space="preserve">for </w:t>
      </w:r>
      <w:r w:rsidRPr="009C1F21">
        <w:rPr>
          <w:rFonts w:ascii="Gill Sans MT" w:eastAsia="SimSun" w:hAnsi="Gill Sans MT" w:cs="Gill Sans MT"/>
          <w:sz w:val="26"/>
          <w:szCs w:val="26"/>
        </w:rPr>
        <w:t xml:space="preserve">assistance with inaccessible content and features as well as the statutory complaints mechanism through which a person can make a formal complaint about the website’s accessibility in-line with the </w:t>
      </w:r>
      <w:r w:rsidRPr="001F2D27">
        <w:rPr>
          <w:rFonts w:ascii="Gill Sans MT" w:eastAsia="SimSun" w:hAnsi="Gill Sans MT" w:cs="Gill Sans MT"/>
          <w:b/>
          <w:sz w:val="26"/>
          <w:szCs w:val="26"/>
        </w:rPr>
        <w:t>Disability Act 2005</w:t>
      </w:r>
      <w:r w:rsidRPr="009C1F21">
        <w:rPr>
          <w:rFonts w:ascii="Gill Sans MT" w:eastAsia="SimSun" w:hAnsi="Gill Sans MT" w:cs="Gill Sans MT"/>
          <w:sz w:val="26"/>
          <w:szCs w:val="26"/>
        </w:rPr>
        <w:t xml:space="preserve"> or the </w:t>
      </w:r>
      <w:r w:rsidRPr="001F2D27">
        <w:rPr>
          <w:rFonts w:ascii="Gill Sans MT" w:eastAsia="SimSun" w:hAnsi="Gill Sans MT" w:cs="Gill Sans MT"/>
          <w:b/>
          <w:sz w:val="26"/>
          <w:szCs w:val="26"/>
        </w:rPr>
        <w:t>Equal Status Act 20</w:t>
      </w:r>
      <w:r w:rsidR="00A54BD7" w:rsidRPr="001F2D27">
        <w:rPr>
          <w:rFonts w:ascii="Gill Sans MT" w:eastAsia="SimSun" w:hAnsi="Gill Sans MT" w:cs="Gill Sans MT"/>
          <w:b/>
          <w:sz w:val="26"/>
          <w:szCs w:val="26"/>
        </w:rPr>
        <w:t>00-2015</w:t>
      </w:r>
      <w:r w:rsidR="00A54BD7" w:rsidRPr="009C1F21">
        <w:rPr>
          <w:rFonts w:ascii="Gill Sans MT" w:eastAsia="SimSun" w:hAnsi="Gill Sans MT" w:cs="Gill Sans MT"/>
          <w:sz w:val="26"/>
          <w:szCs w:val="26"/>
        </w:rPr>
        <w:t xml:space="preserve">, whichever so applies. </w:t>
      </w:r>
      <w:r w:rsidRPr="009C1F21">
        <w:rPr>
          <w:rFonts w:ascii="Gill Sans MT" w:eastAsia="SimSun" w:hAnsi="Gill Sans MT" w:cs="Gill Sans MT"/>
          <w:sz w:val="26"/>
          <w:szCs w:val="26"/>
        </w:rPr>
        <w:t xml:space="preserve">The </w:t>
      </w:r>
      <w:r w:rsidR="001F2D27">
        <w:rPr>
          <w:rFonts w:ascii="Gill Sans MT" w:eastAsia="SimSun" w:hAnsi="Gill Sans MT" w:cs="Gill Sans MT"/>
          <w:sz w:val="26"/>
          <w:szCs w:val="26"/>
        </w:rPr>
        <w:t>NDA</w:t>
      </w:r>
      <w:r w:rsidRPr="009C1F21">
        <w:rPr>
          <w:rFonts w:ascii="Gill Sans MT" w:eastAsia="SimSun" w:hAnsi="Gill Sans MT" w:cs="Gill Sans MT"/>
          <w:sz w:val="26"/>
          <w:szCs w:val="26"/>
        </w:rPr>
        <w:t xml:space="preserve"> is named in</w:t>
      </w:r>
      <w:r w:rsidR="00C862AE" w:rsidRPr="009C1F21">
        <w:rPr>
          <w:rFonts w:ascii="Gill Sans MT" w:eastAsia="SimSun" w:hAnsi="Gill Sans MT" w:cs="Gill Sans MT"/>
          <w:sz w:val="26"/>
          <w:szCs w:val="26"/>
        </w:rPr>
        <w:t xml:space="preserve"> </w:t>
      </w:r>
      <w:r w:rsidRPr="009C1F21">
        <w:rPr>
          <w:rFonts w:ascii="Gill Sans MT" w:eastAsia="SimSun" w:hAnsi="Gill Sans MT" w:cs="Gill Sans MT"/>
          <w:sz w:val="26"/>
          <w:szCs w:val="26"/>
        </w:rPr>
        <w:t>Irish Regulations</w:t>
      </w:r>
      <w:r w:rsidR="00C862AE" w:rsidRPr="009C1F21">
        <w:rPr>
          <w:rFonts w:ascii="Gill Sans MT" w:eastAsia="SimSun" w:hAnsi="Gill Sans MT" w:cs="Gill Sans MT"/>
          <w:sz w:val="26"/>
          <w:szCs w:val="26"/>
        </w:rPr>
        <w:t xml:space="preserve"> </w:t>
      </w:r>
      <w:r w:rsidRPr="009C1F21">
        <w:rPr>
          <w:rFonts w:ascii="Gill Sans MT" w:eastAsia="SimSun" w:hAnsi="Gill Sans MT" w:cs="Gill Sans MT"/>
          <w:sz w:val="26"/>
          <w:szCs w:val="26"/>
        </w:rPr>
        <w:t xml:space="preserve">as the National Monitoring Body for the purposes of monitoring </w:t>
      </w:r>
      <w:r w:rsidRPr="009C1F21">
        <w:rPr>
          <w:rFonts w:ascii="Gill Sans MT" w:eastAsia="SimSun" w:hAnsi="Gill Sans MT" w:cs="Gill Sans MT"/>
          <w:sz w:val="26"/>
          <w:szCs w:val="26"/>
        </w:rPr>
        <w:lastRenderedPageBreak/>
        <w:t xml:space="preserve">compliance with and reporting on the EU Web Accessibility Directive. </w:t>
      </w:r>
      <w:r w:rsidR="00FE1E73" w:rsidRPr="009C1F21">
        <w:rPr>
          <w:rFonts w:ascii="Gill Sans MT" w:eastAsia="SimSun" w:hAnsi="Gill Sans MT" w:cs="Gill Sans MT"/>
          <w:sz w:val="26"/>
          <w:szCs w:val="26"/>
        </w:rPr>
        <w:t xml:space="preserve">The </w:t>
      </w:r>
      <w:r w:rsidR="001F2D27">
        <w:rPr>
          <w:rFonts w:ascii="Gill Sans MT" w:eastAsia="SimSun" w:hAnsi="Gill Sans MT" w:cs="Gill Sans MT"/>
          <w:sz w:val="26"/>
          <w:szCs w:val="26"/>
        </w:rPr>
        <w:t xml:space="preserve">NDA </w:t>
      </w:r>
      <w:r w:rsidRPr="009C1F21">
        <w:rPr>
          <w:rFonts w:ascii="Gill Sans MT" w:eastAsia="SimSun" w:hAnsi="Gill Sans MT" w:cs="Gill Sans MT"/>
          <w:sz w:val="26"/>
          <w:szCs w:val="26"/>
        </w:rPr>
        <w:t xml:space="preserve">submitted </w:t>
      </w:r>
      <w:hyperlink r:id="rId11" w:history="1">
        <w:r w:rsidRPr="00002FBF">
          <w:rPr>
            <w:rStyle w:val="Hyperlink"/>
            <w:rFonts w:ascii="Gill Sans MT" w:eastAsia="SimSun" w:hAnsi="Gill Sans MT" w:cs="Gill Sans MT"/>
            <w:color w:val="auto"/>
            <w:sz w:val="26"/>
            <w:szCs w:val="26"/>
            <w:u w:val="none"/>
          </w:rPr>
          <w:t>two monitoring reports</w:t>
        </w:r>
      </w:hyperlink>
      <w:r w:rsidRPr="009C1F21">
        <w:rPr>
          <w:rFonts w:ascii="Gill Sans MT" w:eastAsia="SimSun" w:hAnsi="Gill Sans MT" w:cs="Gill Sans MT"/>
          <w:sz w:val="26"/>
          <w:szCs w:val="26"/>
        </w:rPr>
        <w:t xml:space="preserve"> to the European Commission in December</w:t>
      </w:r>
      <w:r w:rsidR="001F2D27">
        <w:rPr>
          <w:rFonts w:ascii="Gill Sans MT" w:eastAsia="SimSun" w:hAnsi="Gill Sans MT" w:cs="Gill Sans MT"/>
          <w:sz w:val="26"/>
          <w:szCs w:val="26"/>
        </w:rPr>
        <w:t xml:space="preserve"> 202</w:t>
      </w:r>
      <w:r w:rsidR="005E383C" w:rsidRPr="009C1F21">
        <w:rPr>
          <w:rFonts w:ascii="Gill Sans MT" w:eastAsia="SimSun" w:hAnsi="Gill Sans MT" w:cs="Gill Sans MT"/>
          <w:sz w:val="26"/>
          <w:szCs w:val="26"/>
        </w:rPr>
        <w:t>1 and 2022</w:t>
      </w:r>
      <w:r w:rsidR="001F2D27">
        <w:rPr>
          <w:rFonts w:ascii="Gill Sans MT" w:eastAsia="SimSun" w:hAnsi="Gill Sans MT" w:cs="Gill Sans MT"/>
          <w:sz w:val="26"/>
          <w:szCs w:val="26"/>
        </w:rPr>
        <w:t>,</w:t>
      </w:r>
      <w:r w:rsidR="005E383C" w:rsidRPr="009C1F21">
        <w:rPr>
          <w:rFonts w:ascii="Gill Sans MT" w:eastAsia="SimSun" w:hAnsi="Gill Sans MT" w:cs="Gill Sans MT"/>
          <w:sz w:val="26"/>
          <w:szCs w:val="26"/>
        </w:rPr>
        <w:t xml:space="preserve"> </w:t>
      </w:r>
      <w:r w:rsidR="006E0750">
        <w:rPr>
          <w:rFonts w:ascii="Gill Sans MT" w:eastAsia="SimSun" w:hAnsi="Gill Sans MT" w:cs="Gill Sans MT"/>
          <w:sz w:val="26"/>
          <w:szCs w:val="26"/>
        </w:rPr>
        <w:t>respectively</w:t>
      </w:r>
      <w:r w:rsidR="005E383C" w:rsidRPr="009C1F21">
        <w:rPr>
          <w:rFonts w:ascii="Gill Sans MT" w:eastAsia="SimSun" w:hAnsi="Gill Sans MT" w:cs="Gill Sans MT"/>
          <w:sz w:val="26"/>
          <w:szCs w:val="26"/>
        </w:rPr>
        <w:t xml:space="preserve">, and </w:t>
      </w:r>
      <w:r w:rsidRPr="009C1F21">
        <w:rPr>
          <w:rFonts w:ascii="Gill Sans MT" w:eastAsia="SimSun" w:hAnsi="Gill Sans MT" w:cs="Gill Sans MT"/>
          <w:sz w:val="26"/>
          <w:szCs w:val="26"/>
        </w:rPr>
        <w:t>issued</w:t>
      </w:r>
      <w:r w:rsidR="006E0750">
        <w:rPr>
          <w:rFonts w:ascii="Gill Sans MT" w:eastAsia="SimSun" w:hAnsi="Gill Sans MT" w:cs="Gill Sans MT"/>
          <w:sz w:val="26"/>
          <w:szCs w:val="26"/>
        </w:rPr>
        <w:t xml:space="preserve"> a Notice of Monitoring to D</w:t>
      </w:r>
      <w:r w:rsidRPr="009C1F21">
        <w:rPr>
          <w:rFonts w:ascii="Gill Sans MT" w:eastAsia="SimSun" w:hAnsi="Gill Sans MT" w:cs="Gill Sans MT"/>
          <w:sz w:val="26"/>
          <w:szCs w:val="26"/>
        </w:rPr>
        <w:t>epartments in November 2022.</w:t>
      </w:r>
      <w:r w:rsidR="005D5A7F" w:rsidRPr="009C1F21">
        <w:rPr>
          <w:rStyle w:val="FootnoteReference"/>
          <w:rFonts w:ascii="Gill Sans MT" w:eastAsia="SimSun" w:hAnsi="Gill Sans MT" w:cs="Gill Sans MT"/>
          <w:sz w:val="26"/>
          <w:szCs w:val="26"/>
        </w:rPr>
        <w:footnoteReference w:id="16"/>
      </w:r>
    </w:p>
    <w:p w14:paraId="5BABC6F6" w14:textId="77777777" w:rsidR="004A2B86" w:rsidRPr="009C1F21" w:rsidRDefault="004A2B86" w:rsidP="006C4719">
      <w:pPr>
        <w:pStyle w:val="NormalWeb"/>
        <w:spacing w:before="0" w:beforeAutospacing="0" w:after="0" w:afterAutospacing="0"/>
        <w:rPr>
          <w:rFonts w:ascii="Gill Sans MT" w:eastAsia="SimSun" w:hAnsi="Gill Sans MT" w:cs="Gill Sans MT"/>
          <w:sz w:val="26"/>
          <w:szCs w:val="26"/>
        </w:rPr>
      </w:pPr>
    </w:p>
    <w:p w14:paraId="73C60758" w14:textId="0D215058" w:rsidR="004A2B86" w:rsidRDefault="004A2B86" w:rsidP="004A2B86">
      <w:pPr>
        <w:rPr>
          <w:rFonts w:eastAsia="SimSun"/>
        </w:rPr>
      </w:pPr>
      <w:r>
        <w:rPr>
          <w:rFonts w:eastAsia="SimSun"/>
        </w:rPr>
        <w:t xml:space="preserve">The </w:t>
      </w:r>
      <w:r w:rsidRPr="004A2B86">
        <w:rPr>
          <w:rFonts w:eastAsia="SimSun"/>
        </w:rPr>
        <w:t xml:space="preserve">NDA issued a Notice of Monitoring under the Directive to </w:t>
      </w:r>
      <w:r w:rsidR="006E0750">
        <w:rPr>
          <w:rFonts w:eastAsia="SimSun"/>
        </w:rPr>
        <w:t>your</w:t>
      </w:r>
      <w:r w:rsidRPr="004A2B86">
        <w:rPr>
          <w:rFonts w:eastAsia="SimSun"/>
        </w:rPr>
        <w:t xml:space="preserve"> Department on 16 December 2022.  NDA</w:t>
      </w:r>
      <w:r>
        <w:rPr>
          <w:rFonts w:eastAsia="SimSun"/>
        </w:rPr>
        <w:t xml:space="preserve"> has received no reply to date. We</w:t>
      </w:r>
      <w:r w:rsidRPr="004A2B86">
        <w:rPr>
          <w:rFonts w:eastAsia="SimSun"/>
        </w:rPr>
        <w:t xml:space="preserve"> conducted Simplified (automated) Reviews on: </w:t>
      </w:r>
    </w:p>
    <w:p w14:paraId="758C9FEB" w14:textId="77777777" w:rsidR="004A2B86" w:rsidRDefault="004A2B86" w:rsidP="004A2B86">
      <w:pPr>
        <w:pStyle w:val="ListBullet2"/>
        <w:rPr>
          <w:rFonts w:eastAsia="SimSun"/>
        </w:rPr>
      </w:pPr>
      <w:r w:rsidRPr="004A2B86">
        <w:rPr>
          <w:rFonts w:eastAsia="SimSun"/>
        </w:rPr>
        <w:t xml:space="preserve">Department of Rural and Community Development on Gov.ie, </w:t>
      </w:r>
    </w:p>
    <w:p w14:paraId="384B6BA7" w14:textId="4B69B7FF" w:rsidR="004A2B86" w:rsidRPr="004A2B86" w:rsidRDefault="004A2B86" w:rsidP="004A2B86">
      <w:pPr>
        <w:pStyle w:val="ListBullet2"/>
        <w:rPr>
          <w:rFonts w:eastAsia="SimSun"/>
        </w:rPr>
      </w:pPr>
      <w:r>
        <w:rPr>
          <w:rFonts w:eastAsia="SimSun"/>
        </w:rPr>
        <w:t>T</w:t>
      </w:r>
      <w:r w:rsidRPr="004A2B86">
        <w:rPr>
          <w:rFonts w:eastAsia="SimSun"/>
        </w:rPr>
        <w:t xml:space="preserve">he website of the Charities Regulator. </w:t>
      </w:r>
    </w:p>
    <w:p w14:paraId="406DB34B" w14:textId="77777777" w:rsidR="004A2B86" w:rsidRPr="004A2B86" w:rsidRDefault="004A2B86" w:rsidP="004A2B86">
      <w:pPr>
        <w:pStyle w:val="NormalAfterList"/>
        <w:rPr>
          <w:rFonts w:eastAsia="SimSun"/>
        </w:rPr>
      </w:pPr>
      <w:r w:rsidRPr="004A2B86">
        <w:rPr>
          <w:rFonts w:eastAsia="SimSun"/>
        </w:rPr>
        <w:t>NDA’s monitoring demonstrates that:</w:t>
      </w:r>
    </w:p>
    <w:p w14:paraId="4B8424FA" w14:textId="19424598" w:rsidR="004A2B86" w:rsidRPr="004A2B86" w:rsidRDefault="004A2B86" w:rsidP="004A2B86">
      <w:pPr>
        <w:pStyle w:val="ListBullet2"/>
        <w:rPr>
          <w:rFonts w:eastAsia="SimSun"/>
        </w:rPr>
      </w:pPr>
      <w:r w:rsidRPr="004A2B86">
        <w:rPr>
          <w:rFonts w:eastAsia="SimSun"/>
        </w:rPr>
        <w:t>PDFs routinely published by the Department to gov.ie are inaccessible</w:t>
      </w:r>
    </w:p>
    <w:p w14:paraId="278B77C5" w14:textId="69777B99" w:rsidR="004A2B86" w:rsidRPr="004A2B86" w:rsidRDefault="004A2B86" w:rsidP="004A2B86">
      <w:pPr>
        <w:pStyle w:val="ListBullet2"/>
        <w:rPr>
          <w:rFonts w:eastAsia="SimSun"/>
        </w:rPr>
      </w:pPr>
      <w:r w:rsidRPr="004A2B86">
        <w:rPr>
          <w:rFonts w:eastAsia="SimSun"/>
        </w:rPr>
        <w:t xml:space="preserve">Most PDFs published to </w:t>
      </w:r>
      <w:r>
        <w:rPr>
          <w:rFonts w:eastAsia="SimSun"/>
        </w:rPr>
        <w:t xml:space="preserve">the </w:t>
      </w:r>
      <w:r w:rsidRPr="004A2B86">
        <w:rPr>
          <w:rFonts w:eastAsia="SimSun"/>
        </w:rPr>
        <w:t xml:space="preserve">Charities Regulator website are inaccessible.  This website also contains a wide range of accessibility errors, resulting in an Accessibility Score of 14% in the last scan conducted.  </w:t>
      </w:r>
      <w:r w:rsidR="00DA5D81">
        <w:rPr>
          <w:rFonts w:eastAsia="SimSun"/>
        </w:rPr>
        <w:t>This is a low score.</w:t>
      </w:r>
    </w:p>
    <w:p w14:paraId="3E6C2157" w14:textId="0D1E0360" w:rsidR="00002FBF" w:rsidRDefault="004A2B86" w:rsidP="004A2B86">
      <w:pPr>
        <w:rPr>
          <w:rFonts w:eastAsia="SimSun"/>
        </w:rPr>
      </w:pPr>
      <w:r>
        <w:rPr>
          <w:rFonts w:eastAsia="SimSun"/>
        </w:rPr>
        <w:t>We recommend</w:t>
      </w:r>
      <w:r w:rsidRPr="004A2B86">
        <w:rPr>
          <w:rFonts w:eastAsia="SimSun"/>
        </w:rPr>
        <w:t xml:space="preserve"> </w:t>
      </w:r>
      <w:r w:rsidR="006E0750">
        <w:rPr>
          <w:rFonts w:eastAsia="SimSun"/>
        </w:rPr>
        <w:t>your</w:t>
      </w:r>
      <w:r w:rsidRPr="004A2B86">
        <w:rPr>
          <w:rFonts w:eastAsia="SimSun"/>
        </w:rPr>
        <w:t xml:space="preserve"> </w:t>
      </w:r>
      <w:proofErr w:type="gramStart"/>
      <w:r w:rsidRPr="004A2B86">
        <w:rPr>
          <w:rFonts w:eastAsia="SimSun"/>
        </w:rPr>
        <w:t>Department</w:t>
      </w:r>
      <w:proofErr w:type="gramEnd"/>
      <w:r w:rsidRPr="004A2B86">
        <w:rPr>
          <w:rFonts w:eastAsia="SimSun"/>
        </w:rPr>
        <w:t xml:space="preserve"> engages with </w:t>
      </w:r>
      <w:r>
        <w:rPr>
          <w:rFonts w:eastAsia="SimSun"/>
        </w:rPr>
        <w:t>us</w:t>
      </w:r>
      <w:r w:rsidRPr="004A2B86">
        <w:rPr>
          <w:rFonts w:eastAsia="SimSun"/>
        </w:rPr>
        <w:t xml:space="preserve"> to review how the accessibility of Dep</w:t>
      </w:r>
      <w:r>
        <w:rPr>
          <w:rFonts w:eastAsia="SimSun"/>
        </w:rPr>
        <w:t>artmental PDFs may be improved. We also recommend</w:t>
      </w:r>
      <w:r w:rsidRPr="004A2B86">
        <w:rPr>
          <w:rFonts w:eastAsia="SimSun"/>
        </w:rPr>
        <w:t xml:space="preserve"> that the Charities Regulator address the issues identified in the Simplified </w:t>
      </w:r>
      <w:r w:rsidR="00002FBF" w:rsidRPr="004A2B86">
        <w:rPr>
          <w:rFonts w:eastAsia="SimSun"/>
        </w:rPr>
        <w:t>Review.</w:t>
      </w:r>
      <w:r w:rsidR="00002FBF">
        <w:rPr>
          <w:rFonts w:eastAsia="SimSun"/>
        </w:rPr>
        <w:t xml:space="preserve"> </w:t>
      </w:r>
    </w:p>
    <w:p w14:paraId="415AB91F" w14:textId="4F3BC494" w:rsidR="00A10ADB" w:rsidRPr="009C1F21" w:rsidRDefault="00002FBF" w:rsidP="004A2B86">
      <w:pPr>
        <w:rPr>
          <w:rFonts w:eastAsia="SimSun"/>
        </w:rPr>
      </w:pPr>
      <w:r w:rsidRPr="009C1F21">
        <w:rPr>
          <w:rFonts w:eastAsia="SimSun"/>
        </w:rPr>
        <w:t>The</w:t>
      </w:r>
      <w:r w:rsidR="00963CF5" w:rsidRPr="009C1F21">
        <w:rPr>
          <w:rFonts w:eastAsia="SimSun"/>
        </w:rPr>
        <w:t xml:space="preserve"> </w:t>
      </w:r>
      <w:r w:rsidR="009C7596" w:rsidRPr="009C1F21">
        <w:rPr>
          <w:rFonts w:eastAsia="SimSun"/>
        </w:rPr>
        <w:t xml:space="preserve">NDA </w:t>
      </w:r>
      <w:r>
        <w:rPr>
          <w:rFonts w:eastAsia="SimSun"/>
        </w:rPr>
        <w:t>advises</w:t>
      </w:r>
      <w:r w:rsidR="009C7596" w:rsidRPr="009C1F21">
        <w:rPr>
          <w:rFonts w:eastAsia="SimSun"/>
        </w:rPr>
        <w:t xml:space="preserve"> </w:t>
      </w:r>
      <w:r>
        <w:rPr>
          <w:rFonts w:eastAsia="SimSun"/>
        </w:rPr>
        <w:t xml:space="preserve">that </w:t>
      </w:r>
      <w:r w:rsidR="006E0750">
        <w:rPr>
          <w:rFonts w:eastAsia="SimSun"/>
        </w:rPr>
        <w:t>your</w:t>
      </w:r>
      <w:r w:rsidR="009C7596" w:rsidRPr="009C1F21">
        <w:rPr>
          <w:rFonts w:eastAsia="SimSun"/>
        </w:rPr>
        <w:t xml:space="preserve"> </w:t>
      </w:r>
      <w:proofErr w:type="gramStart"/>
      <w:r w:rsidR="00290617" w:rsidRPr="009C1F21">
        <w:rPr>
          <w:rFonts w:eastAsia="SimSun"/>
        </w:rPr>
        <w:t>Department</w:t>
      </w:r>
      <w:proofErr w:type="gramEnd"/>
      <w:r w:rsidR="00290617" w:rsidRPr="009C1F21">
        <w:rPr>
          <w:rFonts w:eastAsia="SimSun"/>
        </w:rPr>
        <w:t xml:space="preserve"> </w:t>
      </w:r>
      <w:r>
        <w:rPr>
          <w:rFonts w:eastAsia="SimSun"/>
        </w:rPr>
        <w:t>follows through on</w:t>
      </w:r>
      <w:r w:rsidRPr="009C1F21">
        <w:rPr>
          <w:rFonts w:eastAsia="SimSun"/>
        </w:rPr>
        <w:t xml:space="preserve"> </w:t>
      </w:r>
      <w:r w:rsidR="00290617" w:rsidRPr="009C1F21">
        <w:rPr>
          <w:rFonts w:eastAsia="SimSun"/>
        </w:rPr>
        <w:t xml:space="preserve">its statutory obligation to ensure all its websites, and the websites of services </w:t>
      </w:r>
      <w:r w:rsidR="00EA362F">
        <w:rPr>
          <w:rFonts w:eastAsia="SimSun"/>
        </w:rPr>
        <w:t>it</w:t>
      </w:r>
      <w:r w:rsidR="00290617" w:rsidRPr="009C1F21">
        <w:rPr>
          <w:rFonts w:eastAsia="SimSun"/>
        </w:rPr>
        <w:t xml:space="preserve"> contracts, comply with the EU Web Accessibility Directive,</w:t>
      </w:r>
      <w:r w:rsidR="006C4719" w:rsidRPr="009C1F21">
        <w:rPr>
          <w:rFonts w:eastAsia="SimSun"/>
        </w:rPr>
        <w:t xml:space="preserve"> in the</w:t>
      </w:r>
      <w:r w:rsidR="00EF1F1C" w:rsidRPr="009C1F21">
        <w:rPr>
          <w:rFonts w:eastAsia="SimSun"/>
        </w:rPr>
        <w:t xml:space="preserve"> </w:t>
      </w:r>
      <w:r w:rsidR="00966C30" w:rsidRPr="009C1F21">
        <w:rPr>
          <w:rFonts w:eastAsia="SimSun"/>
        </w:rPr>
        <w:t>Statement of Strategy</w:t>
      </w:r>
      <w:r w:rsidR="00624667" w:rsidRPr="009C1F21">
        <w:rPr>
          <w:rFonts w:eastAsia="SimSun"/>
        </w:rPr>
        <w:t xml:space="preserve">. </w:t>
      </w:r>
      <w:r w:rsidR="00EA362F">
        <w:rPr>
          <w:rFonts w:eastAsia="SimSun"/>
        </w:rPr>
        <w:t>Your</w:t>
      </w:r>
      <w:r w:rsidR="00426D76" w:rsidRPr="009C1F21">
        <w:rPr>
          <w:rFonts w:eastAsia="SimSun"/>
        </w:rPr>
        <w:t xml:space="preserve"> </w:t>
      </w:r>
      <w:proofErr w:type="gramStart"/>
      <w:r w:rsidR="00EA362F">
        <w:rPr>
          <w:rFonts w:eastAsia="SimSun"/>
        </w:rPr>
        <w:t>D</w:t>
      </w:r>
      <w:r w:rsidR="00290617" w:rsidRPr="009C1F21">
        <w:rPr>
          <w:rFonts w:eastAsia="SimSun"/>
        </w:rPr>
        <w:t>epartment</w:t>
      </w:r>
      <w:proofErr w:type="gramEnd"/>
      <w:r w:rsidR="002B3A24" w:rsidRPr="009C1F21">
        <w:rPr>
          <w:rFonts w:eastAsia="SimSun"/>
        </w:rPr>
        <w:t xml:space="preserve"> should continue to be mindful of the EU Web Accessibility Directive in the development of any future online content, particularly the development of online forms that people with disabilities may be required to complete</w:t>
      </w:r>
      <w:r w:rsidR="00793F28" w:rsidRPr="009C1F21">
        <w:rPr>
          <w:rFonts w:eastAsia="SimSun"/>
        </w:rPr>
        <w:t xml:space="preserve">. </w:t>
      </w:r>
      <w:r w:rsidR="00624667" w:rsidRPr="009C1F21">
        <w:rPr>
          <w:rFonts w:eastAsia="SimSun"/>
        </w:rPr>
        <w:t>The</w:t>
      </w:r>
      <w:r w:rsidR="00BF4AC9" w:rsidRPr="009C1F21">
        <w:rPr>
          <w:rFonts w:eastAsia="SimSun"/>
        </w:rPr>
        <w:t xml:space="preserve"> </w:t>
      </w:r>
      <w:r w:rsidR="006C4719" w:rsidRPr="009C1F21">
        <w:rPr>
          <w:rFonts w:eastAsia="SimSun"/>
        </w:rPr>
        <w:t xml:space="preserve">NDA recommends that this obligation </w:t>
      </w:r>
      <w:r w:rsidR="00C862AE" w:rsidRPr="009C1F21">
        <w:rPr>
          <w:rFonts w:eastAsia="SimSun"/>
        </w:rPr>
        <w:t xml:space="preserve">and an action plan to address access issues </w:t>
      </w:r>
      <w:r w:rsidR="006C4719" w:rsidRPr="009C1F21">
        <w:rPr>
          <w:rFonts w:eastAsia="SimSun"/>
        </w:rPr>
        <w:t>is referenced in relevant strategic objectives and that the Statement of Strategy itself is publish</w:t>
      </w:r>
      <w:r w:rsidR="00290617" w:rsidRPr="009C1F21">
        <w:rPr>
          <w:rFonts w:eastAsia="SimSun"/>
        </w:rPr>
        <w:t>ed</w:t>
      </w:r>
      <w:r w:rsidR="006C4719" w:rsidRPr="009C1F21">
        <w:rPr>
          <w:rFonts w:eastAsia="SimSun"/>
        </w:rPr>
        <w:t xml:space="preserve"> in a fully accessible </w:t>
      </w:r>
      <w:r w:rsidR="003019AE">
        <w:rPr>
          <w:rFonts w:eastAsia="SimSun"/>
        </w:rPr>
        <w:t>format</w:t>
      </w:r>
      <w:r w:rsidR="006C4719" w:rsidRPr="009C1F21">
        <w:rPr>
          <w:rFonts w:eastAsia="SimSun"/>
        </w:rPr>
        <w:t>.</w:t>
      </w:r>
    </w:p>
    <w:p w14:paraId="507CBD77" w14:textId="77777777" w:rsidR="0027765E" w:rsidRPr="009C1F21" w:rsidRDefault="0027765E" w:rsidP="0027765E">
      <w:pPr>
        <w:pStyle w:val="Heading2"/>
        <w:rPr>
          <w:lang w:eastAsia="en-IE"/>
        </w:rPr>
      </w:pPr>
      <w:bookmarkStart w:id="18" w:name="_Toc129007216"/>
      <w:r w:rsidRPr="009C1F21">
        <w:rPr>
          <w:lang w:eastAsia="en-IE"/>
        </w:rPr>
        <w:t>Compliance with Part 3 of Disability Act 2005</w:t>
      </w:r>
      <w:bookmarkEnd w:id="18"/>
    </w:p>
    <w:p w14:paraId="5C7D6AF3" w14:textId="11EC2F1C" w:rsidR="001C12F9" w:rsidRPr="009C1F21" w:rsidRDefault="00544335" w:rsidP="001C12F9">
      <w:pPr>
        <w:spacing w:after="0"/>
        <w:rPr>
          <w:lang w:eastAsia="en-IE"/>
        </w:rPr>
      </w:pPr>
      <w:r w:rsidRPr="009C1F21">
        <w:rPr>
          <w:lang w:eastAsia="en-IE"/>
        </w:rPr>
        <w:t xml:space="preserve">Part 3 of the Disability Act </w:t>
      </w:r>
      <w:r w:rsidR="00F64C29" w:rsidRPr="009C1F21">
        <w:rPr>
          <w:lang w:eastAsia="en-IE"/>
        </w:rPr>
        <w:t xml:space="preserve">details obligations </w:t>
      </w:r>
      <w:r w:rsidR="00EA362F">
        <w:rPr>
          <w:lang w:eastAsia="en-IE"/>
        </w:rPr>
        <w:t xml:space="preserve">departments and </w:t>
      </w:r>
      <w:r w:rsidR="00F64C29" w:rsidRPr="009C1F21">
        <w:rPr>
          <w:lang w:eastAsia="en-IE"/>
        </w:rPr>
        <w:t xml:space="preserve">public bodies </w:t>
      </w:r>
      <w:proofErr w:type="gramStart"/>
      <w:r w:rsidR="00F64C29" w:rsidRPr="009C1F21">
        <w:rPr>
          <w:lang w:eastAsia="en-IE"/>
        </w:rPr>
        <w:t>have to</w:t>
      </w:r>
      <w:proofErr w:type="gramEnd"/>
      <w:r w:rsidR="00F64C29" w:rsidRPr="009C1F21">
        <w:rPr>
          <w:lang w:eastAsia="en-IE"/>
        </w:rPr>
        <w:t xml:space="preserve"> ensure that information </w:t>
      </w:r>
      <w:r w:rsidR="006A7662" w:rsidRPr="009C1F21">
        <w:rPr>
          <w:lang w:eastAsia="en-IE"/>
        </w:rPr>
        <w:t xml:space="preserve">and service are </w:t>
      </w:r>
      <w:r w:rsidR="00D9523F" w:rsidRPr="009C1F21">
        <w:rPr>
          <w:lang w:eastAsia="en-IE"/>
        </w:rPr>
        <w:t xml:space="preserve">accessible to persons with disabilities. </w:t>
      </w:r>
      <w:r w:rsidR="0065606A" w:rsidRPr="009C1F21">
        <w:rPr>
          <w:lang w:eastAsia="en-IE"/>
        </w:rPr>
        <w:t>W</w:t>
      </w:r>
      <w:r w:rsidR="006A7662" w:rsidRPr="009C1F21">
        <w:rPr>
          <w:lang w:eastAsia="en-IE"/>
        </w:rPr>
        <w:t>here practical and appropriate</w:t>
      </w:r>
      <w:r w:rsidR="00A65C73" w:rsidRPr="009C1F21">
        <w:rPr>
          <w:lang w:eastAsia="en-IE"/>
        </w:rPr>
        <w:t>,</w:t>
      </w:r>
      <w:r w:rsidR="006A7662" w:rsidRPr="009C1F21">
        <w:rPr>
          <w:lang w:eastAsia="en-IE"/>
        </w:rPr>
        <w:t xml:space="preserve"> </w:t>
      </w:r>
      <w:r w:rsidR="00EA362F">
        <w:rPr>
          <w:lang w:eastAsia="en-IE"/>
        </w:rPr>
        <w:t xml:space="preserve">departments and </w:t>
      </w:r>
      <w:r w:rsidR="00A84E60" w:rsidRPr="009C1F21">
        <w:rPr>
          <w:lang w:eastAsia="en-IE"/>
        </w:rPr>
        <w:t xml:space="preserve">public bodies should ensure that </w:t>
      </w:r>
      <w:r w:rsidR="004E7278" w:rsidRPr="009C1F21">
        <w:rPr>
          <w:lang w:eastAsia="en-IE"/>
        </w:rPr>
        <w:t>services provided to</w:t>
      </w:r>
      <w:r w:rsidR="006A7662" w:rsidRPr="009C1F21">
        <w:rPr>
          <w:lang w:eastAsia="en-IE"/>
        </w:rPr>
        <w:t xml:space="preserve"> </w:t>
      </w:r>
      <w:r w:rsidR="00060CC4" w:rsidRPr="009C1F21">
        <w:rPr>
          <w:lang w:eastAsia="en-IE"/>
        </w:rPr>
        <w:t xml:space="preserve">disabled persons and persons without disabilities are </w:t>
      </w:r>
      <w:r w:rsidR="00A84E60" w:rsidRPr="009C1F21">
        <w:rPr>
          <w:lang w:eastAsia="en-IE"/>
        </w:rPr>
        <w:t>integrated</w:t>
      </w:r>
      <w:r w:rsidR="006A7662" w:rsidRPr="009C1F21">
        <w:rPr>
          <w:lang w:eastAsia="en-IE"/>
        </w:rPr>
        <w:t xml:space="preserve">. </w:t>
      </w:r>
      <w:r w:rsidR="001C12F9" w:rsidRPr="009C1F21">
        <w:rPr>
          <w:lang w:eastAsia="en-IE"/>
        </w:rPr>
        <w:t xml:space="preserve">The </w:t>
      </w:r>
      <w:r w:rsidR="00EA362F">
        <w:rPr>
          <w:lang w:eastAsia="en-IE"/>
        </w:rPr>
        <w:t xml:space="preserve">NDA’s CEUD </w:t>
      </w:r>
      <w:r w:rsidR="001C12F9" w:rsidRPr="009C1F21">
        <w:rPr>
          <w:lang w:eastAsia="en-IE"/>
        </w:rPr>
        <w:t xml:space="preserve">developed a Customer Communications Toolkit for the Public Service, which provides guidance for public servants on how to </w:t>
      </w:r>
      <w:r w:rsidR="001C12F9" w:rsidRPr="009C1F21">
        <w:rPr>
          <w:lang w:eastAsia="en-IE"/>
        </w:rPr>
        <w:lastRenderedPageBreak/>
        <w:t xml:space="preserve">communicate with the public using the simplest and clearest language possible and to ensure that all services are </w:t>
      </w:r>
      <w:proofErr w:type="gramStart"/>
      <w:r w:rsidR="001C12F9" w:rsidRPr="009C1F21">
        <w:rPr>
          <w:lang w:eastAsia="en-IE"/>
        </w:rPr>
        <w:t>accessible, and</w:t>
      </w:r>
      <w:proofErr w:type="gramEnd"/>
      <w:r w:rsidR="001C12F9" w:rsidRPr="009C1F21">
        <w:rPr>
          <w:lang w:eastAsia="en-IE"/>
        </w:rPr>
        <w:t xml:space="preserve"> meet the diverse needs of all customers.</w:t>
      </w:r>
      <w:r w:rsidR="001C12F9" w:rsidRPr="009C1F21">
        <w:rPr>
          <w:rStyle w:val="FootnoteReference"/>
          <w:lang w:eastAsia="en-IE"/>
        </w:rPr>
        <w:t xml:space="preserve"> </w:t>
      </w:r>
      <w:r w:rsidR="001C12F9" w:rsidRPr="009C1F21">
        <w:rPr>
          <w:rStyle w:val="FootnoteReference"/>
          <w:lang w:eastAsia="en-IE"/>
        </w:rPr>
        <w:footnoteReference w:id="17"/>
      </w:r>
      <w:r w:rsidR="00F60E4C">
        <w:rPr>
          <w:lang w:eastAsia="en-IE"/>
        </w:rPr>
        <w:t xml:space="preserve"> An updated version of the Toolkit will be available </w:t>
      </w:r>
      <w:r w:rsidR="00EA362F">
        <w:rPr>
          <w:lang w:eastAsia="en-IE"/>
        </w:rPr>
        <w:t>before the end of March 2023</w:t>
      </w:r>
      <w:r w:rsidR="00F60E4C">
        <w:rPr>
          <w:lang w:eastAsia="en-IE"/>
        </w:rPr>
        <w:t>.</w:t>
      </w:r>
    </w:p>
    <w:p w14:paraId="527CDB9F" w14:textId="77777777" w:rsidR="00C5107B" w:rsidRPr="009C1F21" w:rsidRDefault="00C5107B" w:rsidP="008A5D26">
      <w:pPr>
        <w:spacing w:after="0"/>
        <w:rPr>
          <w:lang w:eastAsia="en-IE"/>
        </w:rPr>
      </w:pPr>
    </w:p>
    <w:p w14:paraId="1B023975" w14:textId="50A04B52" w:rsidR="007912AE" w:rsidRPr="009C1F21" w:rsidRDefault="009A3A4B" w:rsidP="00EE21BA">
      <w:pPr>
        <w:spacing w:after="0"/>
        <w:rPr>
          <w:szCs w:val="26"/>
          <w:lang w:eastAsia="en-IE"/>
        </w:rPr>
      </w:pPr>
      <w:r w:rsidRPr="009C1F21">
        <w:rPr>
          <w:szCs w:val="26"/>
          <w:lang w:eastAsia="en-IE"/>
        </w:rPr>
        <w:t>The NDA</w:t>
      </w:r>
      <w:r w:rsidR="00C5107B" w:rsidRPr="009C1F21">
        <w:rPr>
          <w:szCs w:val="26"/>
          <w:lang w:eastAsia="en-IE"/>
        </w:rPr>
        <w:t xml:space="preserve"> recently forwarded the fi</w:t>
      </w:r>
      <w:r w:rsidR="000C7B2A">
        <w:rPr>
          <w:szCs w:val="26"/>
          <w:lang w:eastAsia="en-IE"/>
        </w:rPr>
        <w:t>ndings of the</w:t>
      </w:r>
      <w:r w:rsidR="00C5107B" w:rsidRPr="009C1F21">
        <w:rPr>
          <w:szCs w:val="26"/>
          <w:lang w:eastAsia="en-IE"/>
        </w:rPr>
        <w:t xml:space="preserve"> </w:t>
      </w:r>
      <w:r w:rsidR="00D524D2">
        <w:rPr>
          <w:szCs w:val="26"/>
          <w:lang w:eastAsia="en-IE"/>
        </w:rPr>
        <w:t xml:space="preserve">Part 3 Monitoring </w:t>
      </w:r>
      <w:r w:rsidR="002E5AE0">
        <w:rPr>
          <w:szCs w:val="26"/>
          <w:lang w:eastAsia="en-IE"/>
        </w:rPr>
        <w:t>Report</w:t>
      </w:r>
      <w:r w:rsidR="00C5107B" w:rsidRPr="009C1F21">
        <w:rPr>
          <w:szCs w:val="26"/>
          <w:lang w:eastAsia="en-IE"/>
        </w:rPr>
        <w:t xml:space="preserve"> to the Secretary</w:t>
      </w:r>
      <w:r w:rsidR="004A32A6">
        <w:rPr>
          <w:szCs w:val="26"/>
          <w:lang w:eastAsia="en-IE"/>
        </w:rPr>
        <w:t>-</w:t>
      </w:r>
      <w:r w:rsidR="00C5107B" w:rsidRPr="009C1F21">
        <w:rPr>
          <w:szCs w:val="26"/>
          <w:lang w:eastAsia="en-IE"/>
        </w:rPr>
        <w:t xml:space="preserve">General of </w:t>
      </w:r>
      <w:r w:rsidR="009D6415">
        <w:rPr>
          <w:szCs w:val="26"/>
          <w:lang w:eastAsia="en-IE"/>
        </w:rPr>
        <w:t>your Department</w:t>
      </w:r>
      <w:r w:rsidR="00C5107B" w:rsidRPr="009C1F21">
        <w:rPr>
          <w:szCs w:val="26"/>
          <w:lang w:eastAsia="en-IE"/>
        </w:rPr>
        <w:t xml:space="preserve">, which contains </w:t>
      </w:r>
      <w:r w:rsidR="00E0653E" w:rsidRPr="009C1F21">
        <w:rPr>
          <w:szCs w:val="26"/>
          <w:lang w:eastAsia="en-IE"/>
        </w:rPr>
        <w:t>the</w:t>
      </w:r>
      <w:r w:rsidR="00EA362F">
        <w:rPr>
          <w:szCs w:val="26"/>
          <w:lang w:eastAsia="en-IE"/>
        </w:rPr>
        <w:t xml:space="preserve"> results of a desk-</w:t>
      </w:r>
      <w:r w:rsidR="00C5107B" w:rsidRPr="009C1F21">
        <w:rPr>
          <w:szCs w:val="26"/>
          <w:lang w:eastAsia="en-IE"/>
        </w:rPr>
        <w:t xml:space="preserve">based exercise, assessing the websites of </w:t>
      </w:r>
      <w:r w:rsidR="00264EFF">
        <w:rPr>
          <w:szCs w:val="26"/>
          <w:lang w:eastAsia="en-IE"/>
        </w:rPr>
        <w:t xml:space="preserve">departments and </w:t>
      </w:r>
      <w:r w:rsidR="00C5107B" w:rsidRPr="009C1F21">
        <w:rPr>
          <w:szCs w:val="26"/>
          <w:lang w:eastAsia="en-IE"/>
        </w:rPr>
        <w:t xml:space="preserve">public bodies </w:t>
      </w:r>
      <w:r w:rsidR="00577065">
        <w:rPr>
          <w:szCs w:val="26"/>
          <w:lang w:eastAsia="en-IE"/>
        </w:rPr>
        <w:t xml:space="preserve">for information in relation to Access Officers, </w:t>
      </w:r>
      <w:r w:rsidR="00C5107B" w:rsidRPr="009C1F21">
        <w:rPr>
          <w:szCs w:val="26"/>
          <w:lang w:eastAsia="en-IE"/>
        </w:rPr>
        <w:t xml:space="preserve">as defined by Part 3 of the </w:t>
      </w:r>
      <w:r w:rsidR="00C5107B" w:rsidRPr="00EE21BA">
        <w:rPr>
          <w:b/>
          <w:szCs w:val="26"/>
          <w:lang w:eastAsia="en-IE"/>
        </w:rPr>
        <w:t>Disability Act</w:t>
      </w:r>
      <w:r w:rsidR="00EE21BA" w:rsidRPr="00EE21BA">
        <w:rPr>
          <w:b/>
          <w:szCs w:val="26"/>
          <w:lang w:eastAsia="en-IE"/>
        </w:rPr>
        <w:t xml:space="preserve"> 2005</w:t>
      </w:r>
      <w:r w:rsidR="00C5107B" w:rsidRPr="009C1F21">
        <w:rPr>
          <w:szCs w:val="26"/>
          <w:lang w:eastAsia="en-IE"/>
        </w:rPr>
        <w:t>.</w:t>
      </w:r>
      <w:r w:rsidR="00B47D23">
        <w:rPr>
          <w:szCs w:val="26"/>
          <w:lang w:eastAsia="en-IE"/>
        </w:rPr>
        <w:t xml:space="preserve"> </w:t>
      </w:r>
      <w:r w:rsidR="009D6415">
        <w:rPr>
          <w:szCs w:val="26"/>
          <w:lang w:eastAsia="en-IE"/>
        </w:rPr>
        <w:t xml:space="preserve">We advise that your </w:t>
      </w:r>
      <w:proofErr w:type="gramStart"/>
      <w:r w:rsidR="009D6415">
        <w:rPr>
          <w:szCs w:val="26"/>
          <w:lang w:eastAsia="en-IE"/>
        </w:rPr>
        <w:t>Department</w:t>
      </w:r>
      <w:proofErr w:type="gramEnd"/>
      <w:r w:rsidR="009D6415">
        <w:rPr>
          <w:szCs w:val="26"/>
          <w:lang w:eastAsia="en-IE"/>
        </w:rPr>
        <w:t xml:space="preserve"> reviews the data</w:t>
      </w:r>
      <w:r w:rsidR="004A32A6">
        <w:rPr>
          <w:szCs w:val="26"/>
          <w:lang w:eastAsia="en-IE"/>
        </w:rPr>
        <w:t xml:space="preserve">. </w:t>
      </w:r>
      <w:r w:rsidR="00E378B3">
        <w:rPr>
          <w:szCs w:val="26"/>
          <w:lang w:eastAsia="en-IE"/>
        </w:rPr>
        <w:t>However, t</w:t>
      </w:r>
      <w:r w:rsidR="001C12F9" w:rsidRPr="009C1F21">
        <w:rPr>
          <w:szCs w:val="26"/>
          <w:lang w:eastAsia="en-IE"/>
        </w:rPr>
        <w:t>he</w:t>
      </w:r>
      <w:r w:rsidR="00706B29">
        <w:rPr>
          <w:szCs w:val="26"/>
          <w:lang w:eastAsia="en-IE"/>
        </w:rPr>
        <w:t>se</w:t>
      </w:r>
      <w:r w:rsidR="001C12F9" w:rsidRPr="009C1F21">
        <w:rPr>
          <w:szCs w:val="26"/>
          <w:lang w:eastAsia="en-IE"/>
        </w:rPr>
        <w:t xml:space="preserve"> </w:t>
      </w:r>
      <w:r w:rsidR="009D6415">
        <w:rPr>
          <w:szCs w:val="26"/>
          <w:lang w:eastAsia="en-IE"/>
        </w:rPr>
        <w:t>results</w:t>
      </w:r>
      <w:r w:rsidR="009D6415" w:rsidRPr="009C1F21">
        <w:rPr>
          <w:szCs w:val="26"/>
          <w:lang w:eastAsia="en-IE"/>
        </w:rPr>
        <w:t xml:space="preserve"> </w:t>
      </w:r>
      <w:r w:rsidR="001C12F9" w:rsidRPr="009C1F21">
        <w:rPr>
          <w:szCs w:val="26"/>
          <w:lang w:eastAsia="en-IE"/>
        </w:rPr>
        <w:t>may be subject to change</w:t>
      </w:r>
      <w:r w:rsidR="000A3C85">
        <w:rPr>
          <w:szCs w:val="26"/>
          <w:lang w:eastAsia="en-IE"/>
        </w:rPr>
        <w:t>,</w:t>
      </w:r>
      <w:r w:rsidR="001C12F9" w:rsidRPr="009C1F21">
        <w:rPr>
          <w:szCs w:val="26"/>
          <w:lang w:eastAsia="en-IE"/>
        </w:rPr>
        <w:t xml:space="preserve"> </w:t>
      </w:r>
      <w:r w:rsidR="001D32F8" w:rsidRPr="009C1F21">
        <w:rPr>
          <w:szCs w:val="26"/>
          <w:lang w:eastAsia="en-IE"/>
        </w:rPr>
        <w:t xml:space="preserve">as the </w:t>
      </w:r>
      <w:r w:rsidR="004A32A6">
        <w:rPr>
          <w:szCs w:val="26"/>
          <w:lang w:eastAsia="en-IE"/>
        </w:rPr>
        <w:t>D</w:t>
      </w:r>
      <w:r w:rsidR="001D32F8" w:rsidRPr="009C1F21">
        <w:rPr>
          <w:szCs w:val="26"/>
          <w:lang w:eastAsia="en-IE"/>
        </w:rPr>
        <w:t>epartment</w:t>
      </w:r>
      <w:r w:rsidR="004A32A6">
        <w:rPr>
          <w:szCs w:val="26"/>
          <w:lang w:eastAsia="en-IE"/>
        </w:rPr>
        <w:t>,</w:t>
      </w:r>
      <w:r w:rsidR="001D32F8" w:rsidRPr="009C1F21">
        <w:rPr>
          <w:szCs w:val="26"/>
          <w:lang w:eastAsia="en-IE"/>
        </w:rPr>
        <w:t xml:space="preserve"> and </w:t>
      </w:r>
      <w:r w:rsidR="004A32A6">
        <w:rPr>
          <w:szCs w:val="26"/>
          <w:lang w:eastAsia="en-IE"/>
        </w:rPr>
        <w:t>the public bodies under it remit,</w:t>
      </w:r>
      <w:r w:rsidR="00432C07">
        <w:rPr>
          <w:szCs w:val="26"/>
          <w:lang w:eastAsia="en-IE"/>
        </w:rPr>
        <w:t xml:space="preserve"> have until 30</w:t>
      </w:r>
      <w:r w:rsidR="001D32F8" w:rsidRPr="009C1F21">
        <w:rPr>
          <w:szCs w:val="26"/>
          <w:lang w:eastAsia="en-IE"/>
        </w:rPr>
        <w:t xml:space="preserve"> March 2023 to </w:t>
      </w:r>
      <w:r w:rsidR="00B74204" w:rsidRPr="009C1F21">
        <w:rPr>
          <w:szCs w:val="26"/>
          <w:lang w:eastAsia="en-IE"/>
        </w:rPr>
        <w:t>revert</w:t>
      </w:r>
      <w:r w:rsidR="001D32F8" w:rsidRPr="009C1F21">
        <w:rPr>
          <w:szCs w:val="26"/>
          <w:lang w:eastAsia="en-IE"/>
        </w:rPr>
        <w:t xml:space="preserve"> with additional information or updated websites</w:t>
      </w:r>
      <w:r w:rsidR="00A075AF" w:rsidRPr="009C1F21">
        <w:rPr>
          <w:szCs w:val="26"/>
          <w:lang w:eastAsia="en-IE"/>
        </w:rPr>
        <w:t>,</w:t>
      </w:r>
      <w:r w:rsidR="002B5D3E" w:rsidRPr="009C1F21">
        <w:rPr>
          <w:szCs w:val="26"/>
          <w:lang w:eastAsia="en-IE"/>
        </w:rPr>
        <w:t xml:space="preserve"> before final publication of the report</w:t>
      </w:r>
      <w:r w:rsidR="001D32F8" w:rsidRPr="009C1F21">
        <w:rPr>
          <w:szCs w:val="26"/>
          <w:lang w:eastAsia="en-IE"/>
        </w:rPr>
        <w:t xml:space="preserve">. </w:t>
      </w:r>
      <w:r w:rsidR="00657095">
        <w:rPr>
          <w:szCs w:val="26"/>
          <w:lang w:eastAsia="en-IE"/>
        </w:rPr>
        <w:t xml:space="preserve">Based on the information gathered to date, two </w:t>
      </w:r>
      <w:r w:rsidR="000E1F50">
        <w:rPr>
          <w:szCs w:val="26"/>
          <w:lang w:eastAsia="en-IE"/>
        </w:rPr>
        <w:t>organisations (50% of those examined) me</w:t>
      </w:r>
      <w:r w:rsidR="00657095" w:rsidRPr="00657095">
        <w:rPr>
          <w:szCs w:val="26"/>
          <w:lang w:eastAsia="en-IE"/>
        </w:rPr>
        <w:t xml:space="preserve">t all </w:t>
      </w:r>
      <w:r w:rsidR="00657095">
        <w:rPr>
          <w:szCs w:val="26"/>
          <w:lang w:eastAsia="en-IE"/>
        </w:rPr>
        <w:t xml:space="preserve">the </w:t>
      </w:r>
      <w:r w:rsidR="00657095" w:rsidRPr="00657095">
        <w:rPr>
          <w:szCs w:val="26"/>
          <w:lang w:eastAsia="en-IE"/>
        </w:rPr>
        <w:t>criteria of the standard indicator regarding Section 26(2) - Access Officers. This is above the average of public bodies overall</w:t>
      </w:r>
      <w:r w:rsidR="000E1F50">
        <w:rPr>
          <w:szCs w:val="26"/>
          <w:lang w:eastAsia="en-IE"/>
        </w:rPr>
        <w:t>, which is 33.9%</w:t>
      </w:r>
      <w:r w:rsidR="00657095">
        <w:rPr>
          <w:szCs w:val="26"/>
          <w:lang w:eastAsia="en-IE"/>
        </w:rPr>
        <w:t xml:space="preserve">. </w:t>
      </w:r>
      <w:r w:rsidR="00C9685F" w:rsidRPr="009C1F21">
        <w:rPr>
          <w:szCs w:val="26"/>
          <w:lang w:eastAsia="en-IE"/>
        </w:rPr>
        <w:t>T</w:t>
      </w:r>
      <w:r w:rsidR="007912AE" w:rsidRPr="009C1F21">
        <w:rPr>
          <w:szCs w:val="26"/>
          <w:lang w:eastAsia="en-IE"/>
        </w:rPr>
        <w:t>he NDA look</w:t>
      </w:r>
      <w:r w:rsidR="004A32A6">
        <w:rPr>
          <w:szCs w:val="26"/>
          <w:lang w:eastAsia="en-IE"/>
        </w:rPr>
        <w:t>s</w:t>
      </w:r>
      <w:r w:rsidR="007912AE" w:rsidRPr="009C1F21">
        <w:rPr>
          <w:szCs w:val="26"/>
          <w:lang w:eastAsia="en-IE"/>
        </w:rPr>
        <w:t xml:space="preserve"> forward to continued work on the recommendations detailed in the report</w:t>
      </w:r>
      <w:r w:rsidR="00325A0D">
        <w:rPr>
          <w:szCs w:val="26"/>
          <w:lang w:eastAsia="en-IE"/>
        </w:rPr>
        <w:t>,</w:t>
      </w:r>
      <w:r w:rsidR="00526872" w:rsidRPr="009C1F21">
        <w:rPr>
          <w:szCs w:val="26"/>
          <w:lang w:eastAsia="en-IE"/>
        </w:rPr>
        <w:t xml:space="preserve"> to ensure best practice is followed</w:t>
      </w:r>
      <w:r w:rsidR="00325A0D">
        <w:rPr>
          <w:szCs w:val="26"/>
          <w:lang w:eastAsia="en-IE"/>
        </w:rPr>
        <w:t>,</w:t>
      </w:r>
      <w:r w:rsidR="007912AE" w:rsidRPr="009C1F21">
        <w:rPr>
          <w:szCs w:val="26"/>
          <w:lang w:eastAsia="en-IE"/>
        </w:rPr>
        <w:t xml:space="preserve"> and in assisting public bodies who do not meet this indicator</w:t>
      </w:r>
      <w:r w:rsidR="004A32A6">
        <w:rPr>
          <w:szCs w:val="26"/>
          <w:lang w:eastAsia="en-IE"/>
        </w:rPr>
        <w:t>,</w:t>
      </w:r>
      <w:r w:rsidR="007912AE" w:rsidRPr="009C1F21">
        <w:rPr>
          <w:szCs w:val="26"/>
          <w:lang w:eastAsia="en-IE"/>
        </w:rPr>
        <w:t xml:space="preserve"> </w:t>
      </w:r>
      <w:r w:rsidR="00B14008" w:rsidRPr="009C1F21">
        <w:rPr>
          <w:szCs w:val="26"/>
          <w:lang w:eastAsia="en-IE"/>
        </w:rPr>
        <w:t>to address</w:t>
      </w:r>
      <w:r w:rsidR="007912AE" w:rsidRPr="009C1F21">
        <w:rPr>
          <w:szCs w:val="26"/>
          <w:lang w:eastAsia="en-IE"/>
        </w:rPr>
        <w:t xml:space="preserve"> gaps.</w:t>
      </w:r>
    </w:p>
    <w:p w14:paraId="3F62F70D" w14:textId="77777777" w:rsidR="007912AE" w:rsidRPr="009C1F21" w:rsidRDefault="007912AE" w:rsidP="002334CE">
      <w:pPr>
        <w:spacing w:after="0"/>
        <w:rPr>
          <w:lang w:eastAsia="en-IE"/>
        </w:rPr>
      </w:pPr>
    </w:p>
    <w:p w14:paraId="52AC7461" w14:textId="77777777" w:rsidR="00582974" w:rsidRPr="009C1F21" w:rsidRDefault="00582974" w:rsidP="00582974">
      <w:pPr>
        <w:pStyle w:val="Heading2"/>
        <w:rPr>
          <w:lang w:eastAsia="en-IE"/>
        </w:rPr>
      </w:pPr>
      <w:bookmarkStart w:id="19" w:name="_Toc129007217"/>
      <w:r w:rsidRPr="009C1F21">
        <w:rPr>
          <w:lang w:eastAsia="en-IE"/>
        </w:rPr>
        <w:t>Requirement for Accessible Public Buildings under Section 25 of the Disability Act 2005</w:t>
      </w:r>
      <w:bookmarkEnd w:id="19"/>
    </w:p>
    <w:p w14:paraId="3CF99218" w14:textId="253004DF" w:rsidR="00B479AA" w:rsidRPr="009C1F21" w:rsidRDefault="00A10ADB" w:rsidP="0068407C">
      <w:pPr>
        <w:spacing w:after="0"/>
        <w:rPr>
          <w:rFonts w:eastAsiaTheme="minorHAnsi"/>
          <w:sz w:val="28"/>
          <w:szCs w:val="28"/>
        </w:rPr>
      </w:pPr>
      <w:r w:rsidRPr="009C1F21">
        <w:rPr>
          <w:rFonts w:eastAsia="SimSun" w:cs="Gill Sans MT"/>
          <w:szCs w:val="26"/>
          <w:lang w:eastAsia="en-IE"/>
        </w:rPr>
        <w:t xml:space="preserve">Section 25 of the </w:t>
      </w:r>
      <w:r w:rsidRPr="00F60E4C">
        <w:rPr>
          <w:rFonts w:eastAsia="SimSun" w:cs="Gill Sans MT"/>
          <w:b/>
          <w:szCs w:val="26"/>
          <w:lang w:eastAsia="en-IE"/>
        </w:rPr>
        <w:t xml:space="preserve">Disability Act </w:t>
      </w:r>
      <w:r w:rsidR="00F60E4C" w:rsidRPr="00F60E4C">
        <w:rPr>
          <w:rFonts w:eastAsia="SimSun" w:cs="Gill Sans MT"/>
          <w:b/>
          <w:szCs w:val="26"/>
          <w:lang w:eastAsia="en-IE"/>
        </w:rPr>
        <w:t>2005</w:t>
      </w:r>
      <w:r w:rsidR="00F60E4C">
        <w:rPr>
          <w:rFonts w:eastAsia="SimSun" w:cs="Gill Sans MT"/>
          <w:szCs w:val="26"/>
          <w:lang w:eastAsia="en-IE"/>
        </w:rPr>
        <w:t xml:space="preserve"> </w:t>
      </w:r>
      <w:r w:rsidRPr="009C1F21">
        <w:rPr>
          <w:rFonts w:eastAsia="SimSun" w:cs="Gill Sans MT"/>
          <w:szCs w:val="26"/>
          <w:lang w:eastAsia="en-IE"/>
        </w:rPr>
        <w:t>requires all departments and public bodies to ensure that the parts of their buildings wh</w:t>
      </w:r>
      <w:r w:rsidR="00582974" w:rsidRPr="009C1F21">
        <w:rPr>
          <w:rFonts w:eastAsia="SimSun" w:cs="Gill Sans MT"/>
          <w:szCs w:val="26"/>
          <w:lang w:eastAsia="en-IE"/>
        </w:rPr>
        <w:t>ich are ac</w:t>
      </w:r>
      <w:r w:rsidR="006C6E9A" w:rsidRPr="009C1F21">
        <w:rPr>
          <w:rFonts w:eastAsia="SimSun" w:cs="Gill Sans MT"/>
          <w:szCs w:val="26"/>
          <w:lang w:eastAsia="en-IE"/>
        </w:rPr>
        <w:t>cesse</w:t>
      </w:r>
      <w:r w:rsidR="001125F9" w:rsidRPr="009C1F21">
        <w:rPr>
          <w:rFonts w:eastAsia="SimSun" w:cs="Gill Sans MT"/>
          <w:szCs w:val="26"/>
          <w:lang w:eastAsia="en-IE"/>
        </w:rPr>
        <w:t xml:space="preserve">d by the public, </w:t>
      </w:r>
      <w:r w:rsidR="003D0C37" w:rsidRPr="009C1F21">
        <w:rPr>
          <w:rFonts w:eastAsia="SimSun" w:cs="Gill Sans MT"/>
          <w:szCs w:val="26"/>
          <w:lang w:eastAsia="en-IE"/>
        </w:rPr>
        <w:t>apart from heritage sites,</w:t>
      </w:r>
      <w:r w:rsidRPr="009C1F21">
        <w:rPr>
          <w:rFonts w:eastAsia="SimSun" w:cs="Gill Sans MT"/>
          <w:szCs w:val="26"/>
          <w:lang w:eastAsia="en-IE"/>
        </w:rPr>
        <w:t xml:space="preserve"> are brought into compliance with Part M of the building regulations, which deals with </w:t>
      </w:r>
      <w:r w:rsidR="004E46FD" w:rsidRPr="009C1F21">
        <w:rPr>
          <w:rFonts w:eastAsia="SimSun" w:cs="Gill Sans MT"/>
          <w:szCs w:val="26"/>
          <w:lang w:eastAsia="en-IE"/>
        </w:rPr>
        <w:t>access</w:t>
      </w:r>
      <w:r w:rsidR="00582974" w:rsidRPr="009C1F21">
        <w:rPr>
          <w:rFonts w:eastAsia="SimSun" w:cs="Gill Sans MT"/>
          <w:szCs w:val="26"/>
          <w:lang w:eastAsia="en-IE"/>
        </w:rPr>
        <w:t xml:space="preserve"> and use</w:t>
      </w:r>
      <w:r w:rsidRPr="009C1F21">
        <w:rPr>
          <w:rFonts w:eastAsia="SimSun" w:cs="Gill Sans MT"/>
          <w:szCs w:val="26"/>
          <w:lang w:eastAsia="en-IE"/>
        </w:rPr>
        <w:t xml:space="preserve">. </w:t>
      </w:r>
      <w:r w:rsidR="00B479AA" w:rsidRPr="009C1F21">
        <w:rPr>
          <w:rFonts w:eastAsia="SimSun" w:cs="Gill Sans MT"/>
          <w:szCs w:val="26"/>
          <w:lang w:eastAsia="en-IE"/>
        </w:rPr>
        <w:t xml:space="preserve">The requirement is to upgrade older public buildings so that they comply with Part M, within a ten-year </w:t>
      </w:r>
      <w:proofErr w:type="gramStart"/>
      <w:r w:rsidR="00B479AA" w:rsidRPr="009C1F21">
        <w:rPr>
          <w:rFonts w:eastAsia="SimSun" w:cs="Gill Sans MT"/>
          <w:szCs w:val="26"/>
          <w:lang w:eastAsia="en-IE"/>
        </w:rPr>
        <w:t>time-frame</w:t>
      </w:r>
      <w:proofErr w:type="gramEnd"/>
      <w:r w:rsidR="00B479AA" w:rsidRPr="009C1F21">
        <w:rPr>
          <w:rFonts w:eastAsia="SimSun" w:cs="Gill Sans MT"/>
          <w:szCs w:val="26"/>
          <w:lang w:eastAsia="en-IE"/>
        </w:rPr>
        <w:t xml:space="preserve"> of any amendment to part M. Part M 2</w:t>
      </w:r>
      <w:r w:rsidR="004A3945" w:rsidRPr="009C1F21">
        <w:rPr>
          <w:rFonts w:eastAsia="SimSun" w:cs="Gill Sans MT"/>
          <w:szCs w:val="26"/>
          <w:lang w:eastAsia="en-IE"/>
        </w:rPr>
        <w:t>010 commenced on 1 January 2012 and</w:t>
      </w:r>
      <w:r w:rsidR="00B479AA" w:rsidRPr="009C1F21">
        <w:rPr>
          <w:rFonts w:eastAsia="SimSun" w:cs="Gill Sans MT"/>
          <w:szCs w:val="26"/>
          <w:lang w:eastAsia="en-IE"/>
        </w:rPr>
        <w:t xml:space="preserve"> was </w:t>
      </w:r>
      <w:r w:rsidR="00C47269" w:rsidRPr="009C1F21">
        <w:rPr>
          <w:rFonts w:eastAsia="SimSun" w:cs="Gill Sans MT"/>
          <w:szCs w:val="26"/>
          <w:lang w:eastAsia="en-IE"/>
        </w:rPr>
        <w:t xml:space="preserve">subsequently </w:t>
      </w:r>
      <w:r w:rsidR="00B479AA" w:rsidRPr="009C1F21">
        <w:rPr>
          <w:rFonts w:eastAsia="SimSun" w:cs="Gill Sans MT"/>
          <w:szCs w:val="26"/>
          <w:lang w:eastAsia="en-IE"/>
        </w:rPr>
        <w:t>reviewed and replaced again with Part M 2022, which commenced on 1 January 2023. Under Section 25 therefore, public bodies are required to bring their public buildings into compliance with Part M 2010 by 1st January 2022 and P</w:t>
      </w:r>
      <w:r w:rsidR="00C47269" w:rsidRPr="009C1F21">
        <w:rPr>
          <w:rFonts w:eastAsia="SimSun" w:cs="Gill Sans MT"/>
          <w:szCs w:val="26"/>
          <w:lang w:eastAsia="en-IE"/>
        </w:rPr>
        <w:t>art M 2022 by 1st January 2033</w:t>
      </w:r>
      <w:r w:rsidR="00B479AA" w:rsidRPr="009C1F21">
        <w:rPr>
          <w:rFonts w:eastAsia="SimSun" w:cs="Gill Sans MT"/>
          <w:szCs w:val="26"/>
          <w:lang w:eastAsia="en-IE"/>
        </w:rPr>
        <w:t>. The new requirements under Part M 2</w:t>
      </w:r>
      <w:r w:rsidR="0095589F" w:rsidRPr="009C1F21">
        <w:rPr>
          <w:rFonts w:eastAsia="SimSun" w:cs="Gill Sans MT"/>
          <w:szCs w:val="26"/>
          <w:lang w:eastAsia="en-IE"/>
        </w:rPr>
        <w:t>022 relate to the provision of c</w:t>
      </w:r>
      <w:r w:rsidR="00291822" w:rsidRPr="009C1F21">
        <w:rPr>
          <w:rFonts w:eastAsia="SimSun" w:cs="Gill Sans MT"/>
          <w:szCs w:val="26"/>
          <w:lang w:eastAsia="en-IE"/>
        </w:rPr>
        <w:t>hanging p</w:t>
      </w:r>
      <w:r w:rsidR="00B479AA" w:rsidRPr="009C1F21">
        <w:rPr>
          <w:rFonts w:eastAsia="SimSun" w:cs="Gill Sans MT"/>
          <w:szCs w:val="26"/>
          <w:lang w:eastAsia="en-IE"/>
        </w:rPr>
        <w:t>laces toilets.</w:t>
      </w:r>
    </w:p>
    <w:p w14:paraId="4D6668ED" w14:textId="77777777" w:rsidR="00582974" w:rsidRPr="009C1F21" w:rsidRDefault="00582974" w:rsidP="00A10ADB">
      <w:pPr>
        <w:autoSpaceDE w:val="0"/>
        <w:autoSpaceDN w:val="0"/>
        <w:adjustRightInd w:val="0"/>
        <w:spacing w:after="0"/>
        <w:rPr>
          <w:rFonts w:eastAsia="SimSun" w:cs="Gill Sans MT"/>
          <w:szCs w:val="26"/>
          <w:lang w:eastAsia="en-IE"/>
        </w:rPr>
      </w:pPr>
    </w:p>
    <w:p w14:paraId="6CD42D81" w14:textId="277528EC" w:rsidR="00B64418" w:rsidRPr="009C1F21" w:rsidRDefault="00A10ADB" w:rsidP="0068407C">
      <w:pPr>
        <w:autoSpaceDE w:val="0"/>
        <w:autoSpaceDN w:val="0"/>
        <w:adjustRightInd w:val="0"/>
        <w:spacing w:after="0"/>
        <w:rPr>
          <w:rFonts w:eastAsia="SimSun" w:cs="Gill Sans MT"/>
          <w:szCs w:val="26"/>
          <w:lang w:eastAsia="en-IE"/>
        </w:rPr>
      </w:pPr>
      <w:r w:rsidRPr="009C1F21">
        <w:rPr>
          <w:rFonts w:eastAsia="SimSun" w:cs="Gill Sans MT"/>
          <w:szCs w:val="26"/>
          <w:lang w:eastAsia="en-IE"/>
        </w:rPr>
        <w:t xml:space="preserve">The NDA </w:t>
      </w:r>
      <w:r w:rsidR="00A56579" w:rsidRPr="009C1F21">
        <w:rPr>
          <w:rFonts w:eastAsia="SimSun" w:cs="Gill Sans MT"/>
          <w:szCs w:val="26"/>
          <w:lang w:eastAsia="en-IE"/>
        </w:rPr>
        <w:t>advise</w:t>
      </w:r>
      <w:r w:rsidR="00F60E4C">
        <w:rPr>
          <w:rFonts w:eastAsia="SimSun" w:cs="Gill Sans MT"/>
          <w:szCs w:val="26"/>
          <w:lang w:eastAsia="en-IE"/>
        </w:rPr>
        <w:t>s</w:t>
      </w:r>
      <w:r w:rsidRPr="009C1F21">
        <w:rPr>
          <w:rFonts w:eastAsia="SimSun" w:cs="Gill Sans MT"/>
          <w:szCs w:val="26"/>
          <w:lang w:eastAsia="en-IE"/>
        </w:rPr>
        <w:t xml:space="preserve"> that each department and </w:t>
      </w:r>
      <w:r w:rsidR="00985210">
        <w:rPr>
          <w:rFonts w:eastAsia="SimSun" w:cs="Gill Sans MT"/>
          <w:szCs w:val="26"/>
          <w:lang w:eastAsia="en-IE"/>
        </w:rPr>
        <w:t>public body</w:t>
      </w:r>
      <w:r w:rsidRPr="009C1F21">
        <w:rPr>
          <w:rFonts w:eastAsia="SimSun" w:cs="Gill Sans MT"/>
          <w:szCs w:val="26"/>
          <w:lang w:eastAsia="en-IE"/>
        </w:rPr>
        <w:t xml:space="preserve"> should develop an action plan including access audits, planned improvements works, timeframes for implementation and earmarked funding, to work towards achieving compliance with these legal obligations. This may involve engaging with other authorities as appropriate, including</w:t>
      </w:r>
      <w:r w:rsidR="00F60E4C">
        <w:rPr>
          <w:rFonts w:eastAsia="SimSun" w:cs="Gill Sans MT"/>
          <w:szCs w:val="26"/>
          <w:lang w:eastAsia="en-IE"/>
        </w:rPr>
        <w:t>,</w:t>
      </w:r>
      <w:r w:rsidRPr="009C1F21">
        <w:rPr>
          <w:rFonts w:eastAsia="SimSun" w:cs="Gill Sans MT"/>
          <w:szCs w:val="26"/>
          <w:lang w:eastAsia="en-IE"/>
        </w:rPr>
        <w:t xml:space="preserve"> for example, the OPW. We also advise that compliance with Section 25 should be factored into performance framework agreements </w:t>
      </w:r>
      <w:r w:rsidRPr="009C1F21">
        <w:rPr>
          <w:rFonts w:eastAsia="SimSun" w:cs="Gill Sans MT"/>
          <w:szCs w:val="26"/>
          <w:lang w:eastAsia="en-IE"/>
        </w:rPr>
        <w:lastRenderedPageBreak/>
        <w:t>with agencies as a governance matter to comply with legal du</w:t>
      </w:r>
      <w:r w:rsidR="00BC3890" w:rsidRPr="009C1F21">
        <w:rPr>
          <w:rFonts w:eastAsia="SimSun" w:cs="Gill Sans MT"/>
          <w:szCs w:val="26"/>
          <w:lang w:eastAsia="en-IE"/>
        </w:rPr>
        <w:t xml:space="preserve">ties. </w:t>
      </w:r>
      <w:r w:rsidR="00BA676B" w:rsidRPr="009C1F21">
        <w:rPr>
          <w:rFonts w:eastAsia="SimSun" w:cs="Gill Sans MT"/>
          <w:szCs w:val="26"/>
          <w:lang w:eastAsia="en-IE"/>
        </w:rPr>
        <w:t>The NDA recommend</w:t>
      </w:r>
      <w:r w:rsidR="00E36793" w:rsidRPr="009C1F21">
        <w:rPr>
          <w:rFonts w:eastAsia="SimSun" w:cs="Gill Sans MT"/>
          <w:szCs w:val="26"/>
          <w:lang w:eastAsia="en-IE"/>
        </w:rPr>
        <w:t>s</w:t>
      </w:r>
      <w:r w:rsidR="00BA676B" w:rsidRPr="009C1F21">
        <w:rPr>
          <w:rFonts w:eastAsia="SimSun" w:cs="Gill Sans MT"/>
          <w:szCs w:val="26"/>
          <w:lang w:eastAsia="en-IE"/>
        </w:rPr>
        <w:t xml:space="preserve"> that </w:t>
      </w:r>
      <w:r w:rsidR="00985210">
        <w:rPr>
          <w:rFonts w:eastAsia="SimSun" w:cs="Gill Sans MT"/>
          <w:szCs w:val="26"/>
          <w:lang w:eastAsia="en-IE"/>
        </w:rPr>
        <w:t>your D</w:t>
      </w:r>
      <w:r w:rsidR="001E0590" w:rsidRPr="009C1F21">
        <w:rPr>
          <w:rFonts w:eastAsia="SimSun" w:cs="Gill Sans MT"/>
          <w:szCs w:val="26"/>
          <w:lang w:eastAsia="en-IE"/>
        </w:rPr>
        <w:t>epartment</w:t>
      </w:r>
      <w:r w:rsidR="00BA676B" w:rsidRPr="009C1F21">
        <w:rPr>
          <w:rFonts w:eastAsia="SimSun" w:cs="Gill Sans MT"/>
          <w:szCs w:val="26"/>
          <w:lang w:eastAsia="en-IE"/>
        </w:rPr>
        <w:t xml:space="preserve"> </w:t>
      </w:r>
      <w:r w:rsidR="00B64418" w:rsidRPr="009C1F21">
        <w:rPr>
          <w:rFonts w:eastAsia="SimSun" w:cs="Gill Sans MT"/>
          <w:szCs w:val="26"/>
          <w:lang w:eastAsia="en-IE"/>
        </w:rPr>
        <w:t xml:space="preserve">develops a plan to implement Section 25 recommendations in buildings within its remit, including </w:t>
      </w:r>
      <w:r w:rsidR="00A00834">
        <w:rPr>
          <w:rFonts w:eastAsia="SimSun" w:cs="Gill Sans MT"/>
          <w:szCs w:val="26"/>
          <w:lang w:eastAsia="en-IE"/>
        </w:rPr>
        <w:t xml:space="preserve">any </w:t>
      </w:r>
      <w:r w:rsidR="00B64418" w:rsidRPr="009C1F21">
        <w:rPr>
          <w:rFonts w:eastAsia="SimSun" w:cs="Gill Sans MT"/>
          <w:szCs w:val="26"/>
          <w:lang w:eastAsia="en-IE"/>
        </w:rPr>
        <w:t>public bu</w:t>
      </w:r>
      <w:r w:rsidR="00A00834">
        <w:rPr>
          <w:rFonts w:eastAsia="SimSun" w:cs="Gill Sans MT"/>
          <w:szCs w:val="26"/>
          <w:lang w:eastAsia="en-IE"/>
        </w:rPr>
        <w:t xml:space="preserve">ildings, </w:t>
      </w:r>
      <w:r w:rsidR="00B64418" w:rsidRPr="009C1F21">
        <w:rPr>
          <w:rFonts w:eastAsia="SimSun" w:cs="Gill Sans MT"/>
          <w:szCs w:val="26"/>
          <w:lang w:eastAsia="en-IE"/>
        </w:rPr>
        <w:t xml:space="preserve">and that this commitment is </w:t>
      </w:r>
      <w:r w:rsidR="00D56DEB" w:rsidRPr="009C1F21">
        <w:rPr>
          <w:rFonts w:eastAsia="SimSun" w:cs="Gill Sans MT"/>
          <w:szCs w:val="26"/>
          <w:lang w:eastAsia="en-IE"/>
        </w:rPr>
        <w:t xml:space="preserve">clearly </w:t>
      </w:r>
      <w:r w:rsidR="00B64418" w:rsidRPr="009C1F21">
        <w:rPr>
          <w:rFonts w:eastAsia="SimSun" w:cs="Gill Sans MT"/>
          <w:szCs w:val="26"/>
          <w:lang w:eastAsia="en-IE"/>
        </w:rPr>
        <w:t xml:space="preserve">articulated in the Statement of Strategy. </w:t>
      </w:r>
    </w:p>
    <w:p w14:paraId="22E28CCD" w14:textId="77777777" w:rsidR="0068407C" w:rsidRPr="009C1F21" w:rsidRDefault="0068407C" w:rsidP="0068407C">
      <w:pPr>
        <w:autoSpaceDE w:val="0"/>
        <w:autoSpaceDN w:val="0"/>
        <w:adjustRightInd w:val="0"/>
        <w:spacing w:after="0"/>
        <w:rPr>
          <w:rFonts w:eastAsia="SimSun" w:cs="Gill Sans MT"/>
          <w:szCs w:val="26"/>
          <w:lang w:eastAsia="en-IE"/>
        </w:rPr>
      </w:pPr>
    </w:p>
    <w:p w14:paraId="68404D57" w14:textId="4D6698AD" w:rsidR="00A97D23" w:rsidRPr="009C1F21" w:rsidRDefault="00C261A9" w:rsidP="00A10ADB">
      <w:pPr>
        <w:autoSpaceDE w:val="0"/>
        <w:autoSpaceDN w:val="0"/>
        <w:adjustRightInd w:val="0"/>
        <w:spacing w:after="0"/>
        <w:rPr>
          <w:rFonts w:eastAsia="SimSun" w:cs="Gill Sans MT"/>
          <w:szCs w:val="26"/>
          <w:lang w:eastAsia="en-IE"/>
        </w:rPr>
      </w:pPr>
      <w:r w:rsidRPr="00F60E4C">
        <w:rPr>
          <w:rFonts w:eastAsia="SimSun" w:cs="Gill Sans MT"/>
          <w:b/>
          <w:szCs w:val="26"/>
          <w:lang w:eastAsia="en-IE"/>
        </w:rPr>
        <w:t>An Operational Review of the Effectiveness of Section 25 of the Disability Act 2005</w:t>
      </w:r>
      <w:r w:rsidR="00A357F9">
        <w:rPr>
          <w:rStyle w:val="FootnoteReference"/>
          <w:rFonts w:eastAsia="SimSun" w:cs="Gill Sans MT"/>
          <w:b/>
          <w:szCs w:val="26"/>
          <w:lang w:eastAsia="en-IE"/>
        </w:rPr>
        <w:footnoteReference w:id="18"/>
      </w:r>
      <w:r w:rsidRPr="009C1F21">
        <w:rPr>
          <w:rFonts w:eastAsia="SimSun" w:cs="Gill Sans MT"/>
          <w:szCs w:val="26"/>
          <w:lang w:eastAsia="en-IE"/>
        </w:rPr>
        <w:t xml:space="preserve"> was published by the NDA in 2019 providing guidance on how public bodies can comply with Section 25.</w:t>
      </w:r>
      <w:r w:rsidRPr="009C1F21">
        <w:rPr>
          <w:sz w:val="28"/>
          <w:szCs w:val="28"/>
          <w:lang w:eastAsia="en-IE"/>
        </w:rPr>
        <w:t xml:space="preserve"> </w:t>
      </w:r>
      <w:r w:rsidR="00FC6C49" w:rsidRPr="009C1F21">
        <w:rPr>
          <w:rFonts w:eastAsia="SimSun" w:cs="Gill Sans MT"/>
          <w:szCs w:val="26"/>
          <w:lang w:eastAsia="en-IE"/>
        </w:rPr>
        <w:t xml:space="preserve">Under Part 3 of the </w:t>
      </w:r>
      <w:r w:rsidR="00FC6C49" w:rsidRPr="00985210">
        <w:rPr>
          <w:rFonts w:eastAsia="SimSun" w:cs="Gill Sans MT"/>
          <w:b/>
          <w:szCs w:val="26"/>
          <w:lang w:eastAsia="en-IE"/>
        </w:rPr>
        <w:t>Disability Act</w:t>
      </w:r>
      <w:r w:rsidR="00985210" w:rsidRPr="00985210">
        <w:rPr>
          <w:rFonts w:eastAsia="SimSun" w:cs="Gill Sans MT"/>
          <w:b/>
          <w:szCs w:val="26"/>
          <w:lang w:eastAsia="en-IE"/>
        </w:rPr>
        <w:t xml:space="preserve"> 2005</w:t>
      </w:r>
      <w:r w:rsidR="00FC6C49" w:rsidRPr="009C1F21">
        <w:rPr>
          <w:rFonts w:eastAsia="SimSun" w:cs="Gill Sans MT"/>
          <w:szCs w:val="26"/>
          <w:lang w:eastAsia="en-IE"/>
        </w:rPr>
        <w:t xml:space="preserve">, the </w:t>
      </w:r>
      <w:r w:rsidR="00A97D23" w:rsidRPr="009C1F21">
        <w:rPr>
          <w:rFonts w:eastAsia="SimSun" w:cs="Gill Sans MT"/>
          <w:szCs w:val="26"/>
          <w:lang w:eastAsia="en-IE"/>
        </w:rPr>
        <w:t xml:space="preserve">NDA </w:t>
      </w:r>
      <w:r w:rsidR="00FC6C49" w:rsidRPr="009C1F21">
        <w:rPr>
          <w:rFonts w:eastAsia="SimSun" w:cs="Gill Sans MT"/>
          <w:szCs w:val="26"/>
          <w:lang w:eastAsia="en-IE"/>
        </w:rPr>
        <w:t xml:space="preserve">is </w:t>
      </w:r>
      <w:r w:rsidR="00A97D23" w:rsidRPr="009C1F21">
        <w:rPr>
          <w:rFonts w:eastAsia="SimSun" w:cs="Gill Sans MT"/>
          <w:szCs w:val="26"/>
          <w:lang w:eastAsia="en-IE"/>
        </w:rPr>
        <w:t xml:space="preserve">developing a </w:t>
      </w:r>
      <w:r w:rsidR="00FC6C49" w:rsidRPr="009C1F21">
        <w:rPr>
          <w:rFonts w:eastAsia="SimSun" w:cs="Gill Sans MT"/>
          <w:szCs w:val="26"/>
          <w:lang w:eastAsia="en-IE"/>
        </w:rPr>
        <w:t xml:space="preserve">statutory </w:t>
      </w:r>
      <w:r w:rsidR="00A97D23" w:rsidRPr="009C1F21">
        <w:rPr>
          <w:rFonts w:eastAsia="SimSun" w:cs="Gill Sans MT"/>
          <w:szCs w:val="26"/>
          <w:lang w:eastAsia="en-IE"/>
        </w:rPr>
        <w:t>Code of Practice on Accessible</w:t>
      </w:r>
      <w:r w:rsidRPr="009C1F21">
        <w:rPr>
          <w:rFonts w:eastAsia="SimSun" w:cs="Gill Sans MT"/>
          <w:szCs w:val="26"/>
          <w:lang w:eastAsia="en-IE"/>
        </w:rPr>
        <w:t xml:space="preserve"> Public</w:t>
      </w:r>
      <w:r w:rsidR="00A97D23" w:rsidRPr="009C1F21">
        <w:rPr>
          <w:rFonts w:eastAsia="SimSun" w:cs="Gill Sans MT"/>
          <w:szCs w:val="26"/>
          <w:lang w:eastAsia="en-IE"/>
        </w:rPr>
        <w:t xml:space="preserve"> Buildings </w:t>
      </w:r>
      <w:r w:rsidR="00FC6C49" w:rsidRPr="009C1F21">
        <w:rPr>
          <w:rFonts w:eastAsia="SimSun" w:cs="Gill Sans MT"/>
          <w:szCs w:val="26"/>
          <w:lang w:eastAsia="en-IE"/>
        </w:rPr>
        <w:t>at the request of the Minister</w:t>
      </w:r>
      <w:r w:rsidR="00985210">
        <w:rPr>
          <w:rFonts w:eastAsia="SimSun" w:cs="Gill Sans MT"/>
          <w:szCs w:val="26"/>
          <w:lang w:eastAsia="en-IE"/>
        </w:rPr>
        <w:t xml:space="preserve"> for Children, Equality Disability, Information and Youth</w:t>
      </w:r>
      <w:r w:rsidR="0068407C" w:rsidRPr="009C1F21">
        <w:rPr>
          <w:rFonts w:eastAsia="SimSun" w:cs="Gill Sans MT"/>
          <w:szCs w:val="26"/>
          <w:lang w:eastAsia="en-IE"/>
        </w:rPr>
        <w:t>, informed by the findings of the Operational Review</w:t>
      </w:r>
      <w:r w:rsidR="00FC6C49" w:rsidRPr="009C1F21">
        <w:rPr>
          <w:rFonts w:eastAsia="SimSun" w:cs="Gill Sans MT"/>
          <w:szCs w:val="26"/>
          <w:lang w:eastAsia="en-IE"/>
        </w:rPr>
        <w:t xml:space="preserve">. When completed, the NDA will have a role to monitor compliance with </w:t>
      </w:r>
      <w:r w:rsidR="00746FDB" w:rsidRPr="009C1F21">
        <w:rPr>
          <w:rFonts w:eastAsia="SimSun" w:cs="Gill Sans MT"/>
          <w:szCs w:val="26"/>
          <w:lang w:eastAsia="en-IE"/>
        </w:rPr>
        <w:t>same, and to provide advice to d</w:t>
      </w:r>
      <w:r w:rsidR="00FC6C49" w:rsidRPr="009C1F21">
        <w:rPr>
          <w:rFonts w:eastAsia="SimSun" w:cs="Gill Sans MT"/>
          <w:szCs w:val="26"/>
          <w:lang w:eastAsia="en-IE"/>
        </w:rPr>
        <w:t xml:space="preserve">epartments on areas requiring further action or focus. </w:t>
      </w:r>
    </w:p>
    <w:p w14:paraId="05E3FDA4" w14:textId="77777777" w:rsidR="00A10ADB" w:rsidRPr="009C1F21" w:rsidRDefault="00A10ADB" w:rsidP="003D7B65">
      <w:pPr>
        <w:pStyle w:val="NormalWeb"/>
        <w:spacing w:before="0" w:beforeAutospacing="0" w:after="0" w:afterAutospacing="0"/>
        <w:rPr>
          <w:rFonts w:ascii="Gill Sans MT" w:hAnsi="Gill Sans MT"/>
        </w:rPr>
      </w:pPr>
    </w:p>
    <w:p w14:paraId="168639CC" w14:textId="77777777" w:rsidR="0001762E" w:rsidRPr="009C1F21" w:rsidRDefault="0001762E" w:rsidP="009B2890">
      <w:pPr>
        <w:pStyle w:val="Heading2"/>
        <w:rPr>
          <w:rFonts w:eastAsia="SimSun"/>
          <w:lang w:eastAsia="en-IE"/>
        </w:rPr>
      </w:pPr>
      <w:bookmarkStart w:id="20" w:name="_Toc129007218"/>
      <w:r w:rsidRPr="009C1F21">
        <w:rPr>
          <w:rFonts w:eastAsia="SimSun"/>
          <w:lang w:eastAsia="en-IE"/>
        </w:rPr>
        <w:t>Irish Sign Language Act</w:t>
      </w:r>
      <w:bookmarkEnd w:id="20"/>
      <w:r w:rsidRPr="009C1F21">
        <w:rPr>
          <w:rFonts w:eastAsia="SimSun"/>
          <w:lang w:eastAsia="en-IE"/>
        </w:rPr>
        <w:t xml:space="preserve"> </w:t>
      </w:r>
    </w:p>
    <w:p w14:paraId="366409F2" w14:textId="3A7758A2" w:rsidR="00327993" w:rsidRPr="009C1F21" w:rsidRDefault="006B48CE" w:rsidP="00AD4A51">
      <w:pPr>
        <w:spacing w:after="0"/>
        <w:rPr>
          <w:szCs w:val="26"/>
        </w:rPr>
      </w:pPr>
      <w:r w:rsidRPr="009C1F21">
        <w:rPr>
          <w:szCs w:val="26"/>
        </w:rPr>
        <w:t xml:space="preserve">The </w:t>
      </w:r>
      <w:r w:rsidRPr="00A357F9">
        <w:rPr>
          <w:b/>
          <w:szCs w:val="26"/>
        </w:rPr>
        <w:t>Irish Sign Language Act 2017</w:t>
      </w:r>
      <w:r w:rsidRPr="009C1F21">
        <w:rPr>
          <w:szCs w:val="26"/>
        </w:rPr>
        <w:t xml:space="preserve">, which recognises the right of </w:t>
      </w:r>
      <w:r w:rsidR="003F2874">
        <w:rPr>
          <w:szCs w:val="26"/>
        </w:rPr>
        <w:t>Irish Sign Language (</w:t>
      </w:r>
      <w:r w:rsidRPr="009C1F21">
        <w:rPr>
          <w:szCs w:val="26"/>
        </w:rPr>
        <w:t>ISL</w:t>
      </w:r>
      <w:r w:rsidR="003F2874">
        <w:rPr>
          <w:szCs w:val="26"/>
        </w:rPr>
        <w:t>)</w:t>
      </w:r>
      <w:r w:rsidRPr="009C1F21">
        <w:rPr>
          <w:szCs w:val="26"/>
        </w:rPr>
        <w:t xml:space="preserve"> users to use ISL as their native language, and to develop and preserve it, was </w:t>
      </w:r>
      <w:r w:rsidR="003F2874">
        <w:rPr>
          <w:szCs w:val="26"/>
        </w:rPr>
        <w:t>formally commenced</w:t>
      </w:r>
      <w:r w:rsidRPr="009C1F21">
        <w:rPr>
          <w:szCs w:val="26"/>
        </w:rPr>
        <w:t xml:space="preserve"> in December 2020. This Act places a statutory duty on all </w:t>
      </w:r>
      <w:r w:rsidR="00985210">
        <w:rPr>
          <w:szCs w:val="26"/>
        </w:rPr>
        <w:t xml:space="preserve">departments and </w:t>
      </w:r>
      <w:r w:rsidRPr="009C1F21">
        <w:rPr>
          <w:szCs w:val="26"/>
        </w:rPr>
        <w:t xml:space="preserve">public bodies to do all that is reasonable to provide ISL users with free ISL interpretation when availing of or seeking to access statutory entitlements and services provided by or under statute. </w:t>
      </w:r>
      <w:r w:rsidR="005C45EB" w:rsidRPr="009C1F21">
        <w:rPr>
          <w:szCs w:val="26"/>
        </w:rPr>
        <w:t xml:space="preserve">The </w:t>
      </w:r>
      <w:r w:rsidR="00327993" w:rsidRPr="009C1F21">
        <w:rPr>
          <w:szCs w:val="26"/>
        </w:rPr>
        <w:t>NDA note</w:t>
      </w:r>
      <w:r w:rsidR="00306E36">
        <w:rPr>
          <w:szCs w:val="26"/>
        </w:rPr>
        <w:t>s</w:t>
      </w:r>
      <w:r w:rsidR="00327993" w:rsidRPr="009C1F21">
        <w:rPr>
          <w:szCs w:val="26"/>
        </w:rPr>
        <w:t xml:space="preserve"> that in the recently published report on the operation of the Act</w:t>
      </w:r>
      <w:r w:rsidR="009E5406" w:rsidRPr="009C1F21">
        <w:rPr>
          <w:szCs w:val="26"/>
        </w:rPr>
        <w:t>,</w:t>
      </w:r>
      <w:r w:rsidR="00327993" w:rsidRPr="009C1F21">
        <w:rPr>
          <w:szCs w:val="26"/>
        </w:rPr>
        <w:t xml:space="preserve"> the Department of </w:t>
      </w:r>
      <w:r w:rsidR="00306E36">
        <w:rPr>
          <w:szCs w:val="26"/>
        </w:rPr>
        <w:t>Rural a</w:t>
      </w:r>
      <w:r w:rsidR="003F2874">
        <w:rPr>
          <w:szCs w:val="26"/>
        </w:rPr>
        <w:t>n</w:t>
      </w:r>
      <w:r w:rsidR="00306E36">
        <w:rPr>
          <w:szCs w:val="26"/>
        </w:rPr>
        <w:t>d Community Development</w:t>
      </w:r>
      <w:r w:rsidR="00327993" w:rsidRPr="009C1F21">
        <w:rPr>
          <w:szCs w:val="26"/>
        </w:rPr>
        <w:t xml:space="preserve"> had assessed themselves as </w:t>
      </w:r>
      <w:r w:rsidR="00306E36">
        <w:rPr>
          <w:szCs w:val="26"/>
        </w:rPr>
        <w:t xml:space="preserve">partially </w:t>
      </w:r>
      <w:r w:rsidR="00327993" w:rsidRPr="009C1F21">
        <w:rPr>
          <w:szCs w:val="26"/>
        </w:rPr>
        <w:t>compliant with the Act.</w:t>
      </w:r>
      <w:r w:rsidR="008A2296" w:rsidRPr="009C1F21">
        <w:rPr>
          <w:rStyle w:val="FootnoteReference"/>
          <w:rFonts w:ascii="Gill Sans MT" w:hAnsi="Gill Sans MT"/>
          <w:sz w:val="26"/>
          <w:szCs w:val="26"/>
        </w:rPr>
        <w:footnoteReference w:id="19"/>
      </w:r>
      <w:r w:rsidR="00327993" w:rsidRPr="009C1F21">
        <w:rPr>
          <w:szCs w:val="26"/>
        </w:rPr>
        <w:t xml:space="preserve"> Public bodes under the </w:t>
      </w:r>
      <w:r w:rsidR="009B2890" w:rsidRPr="009C1F21">
        <w:rPr>
          <w:szCs w:val="26"/>
        </w:rPr>
        <w:t>aegis</w:t>
      </w:r>
      <w:r w:rsidR="00327993" w:rsidRPr="009C1F21">
        <w:rPr>
          <w:szCs w:val="26"/>
        </w:rPr>
        <w:t xml:space="preserve"> of </w:t>
      </w:r>
      <w:r w:rsidR="009E5406" w:rsidRPr="009C1F21">
        <w:rPr>
          <w:szCs w:val="26"/>
        </w:rPr>
        <w:t>the department</w:t>
      </w:r>
      <w:r w:rsidR="00327993" w:rsidRPr="009C1F21">
        <w:rPr>
          <w:szCs w:val="26"/>
        </w:rPr>
        <w:t xml:space="preserve"> self</w:t>
      </w:r>
      <w:r w:rsidR="00FC6C49" w:rsidRPr="009C1F21">
        <w:rPr>
          <w:szCs w:val="26"/>
        </w:rPr>
        <w:t>-</w:t>
      </w:r>
      <w:r w:rsidR="00327993" w:rsidRPr="009C1F21">
        <w:rPr>
          <w:szCs w:val="26"/>
        </w:rPr>
        <w:t xml:space="preserve">assessed as either compliant or </w:t>
      </w:r>
      <w:r w:rsidR="00306E36">
        <w:rPr>
          <w:szCs w:val="26"/>
        </w:rPr>
        <w:t xml:space="preserve">not </w:t>
      </w:r>
      <w:r w:rsidR="00327993" w:rsidRPr="009C1F21">
        <w:rPr>
          <w:szCs w:val="26"/>
        </w:rPr>
        <w:t xml:space="preserve">compliant. </w:t>
      </w:r>
      <w:r w:rsidRPr="009C1F21">
        <w:rPr>
          <w:szCs w:val="26"/>
        </w:rPr>
        <w:t xml:space="preserve"> </w:t>
      </w:r>
    </w:p>
    <w:p w14:paraId="36DE63A7" w14:textId="77777777" w:rsidR="00AD4A51" w:rsidRPr="009C1F21" w:rsidRDefault="00AD4A51" w:rsidP="00AD4A51">
      <w:pPr>
        <w:spacing w:after="0"/>
        <w:rPr>
          <w:szCs w:val="26"/>
        </w:rPr>
      </w:pPr>
    </w:p>
    <w:p w14:paraId="0CA1D63D" w14:textId="48F45CD9" w:rsidR="003F2874" w:rsidRPr="009C1F21" w:rsidRDefault="007377C6" w:rsidP="003F2874">
      <w:pPr>
        <w:spacing w:after="0"/>
        <w:rPr>
          <w:szCs w:val="26"/>
        </w:rPr>
      </w:pPr>
      <w:r>
        <w:rPr>
          <w:szCs w:val="26"/>
        </w:rPr>
        <w:t>The NDA welcomes t</w:t>
      </w:r>
      <w:r w:rsidR="00985210">
        <w:rPr>
          <w:szCs w:val="26"/>
        </w:rPr>
        <w:t xml:space="preserve">he 100% response rate from your </w:t>
      </w:r>
      <w:proofErr w:type="gramStart"/>
      <w:r w:rsidR="00985210">
        <w:rPr>
          <w:szCs w:val="26"/>
        </w:rPr>
        <w:t>D</w:t>
      </w:r>
      <w:r>
        <w:rPr>
          <w:szCs w:val="26"/>
        </w:rPr>
        <w:t>epartment</w:t>
      </w:r>
      <w:proofErr w:type="gramEnd"/>
      <w:r>
        <w:rPr>
          <w:szCs w:val="26"/>
        </w:rPr>
        <w:t xml:space="preserve"> and the public bodies under its remit. </w:t>
      </w:r>
      <w:r w:rsidR="006B48CE" w:rsidRPr="009C1F21">
        <w:rPr>
          <w:szCs w:val="26"/>
        </w:rPr>
        <w:t xml:space="preserve">The NDA </w:t>
      </w:r>
      <w:r w:rsidR="00985210">
        <w:rPr>
          <w:szCs w:val="26"/>
        </w:rPr>
        <w:t xml:space="preserve">encourages your </w:t>
      </w:r>
      <w:proofErr w:type="gramStart"/>
      <w:r w:rsidR="00985210">
        <w:rPr>
          <w:szCs w:val="26"/>
        </w:rPr>
        <w:t>D</w:t>
      </w:r>
      <w:r w:rsidR="003F2874">
        <w:rPr>
          <w:szCs w:val="26"/>
        </w:rPr>
        <w:t>epartment</w:t>
      </w:r>
      <w:proofErr w:type="gramEnd"/>
      <w:r w:rsidR="003F2874">
        <w:rPr>
          <w:szCs w:val="26"/>
        </w:rPr>
        <w:t xml:space="preserve"> to look at how it can provide a more inclusive service for those of its customers who use ISL.</w:t>
      </w:r>
    </w:p>
    <w:p w14:paraId="3E52B3CE" w14:textId="12081EC6" w:rsidR="006B48CE" w:rsidRPr="009C1F21" w:rsidRDefault="006B48CE" w:rsidP="00CC33B2">
      <w:pPr>
        <w:spacing w:after="0"/>
        <w:rPr>
          <w:szCs w:val="26"/>
        </w:rPr>
      </w:pPr>
    </w:p>
    <w:p w14:paraId="05C8ADB2" w14:textId="77777777" w:rsidR="006B48CE" w:rsidRPr="009C1F21" w:rsidRDefault="00327993" w:rsidP="00836F3A">
      <w:pPr>
        <w:pStyle w:val="Heading1"/>
      </w:pPr>
      <w:bookmarkStart w:id="21" w:name="_Toc129007219"/>
      <w:r w:rsidRPr="009C1F21">
        <w:t>Conclusion</w:t>
      </w:r>
      <w:bookmarkEnd w:id="21"/>
    </w:p>
    <w:p w14:paraId="7EBC408E" w14:textId="5100F990" w:rsidR="00284E78" w:rsidRPr="009C1F21" w:rsidRDefault="005B33FF" w:rsidP="00B66A74">
      <w:pPr>
        <w:pStyle w:val="NormalWeb"/>
        <w:spacing w:before="0" w:beforeAutospacing="0" w:after="0" w:afterAutospacing="0"/>
        <w:rPr>
          <w:rFonts w:ascii="Gill Sans MT" w:hAnsi="Gill Sans MT"/>
          <w:sz w:val="26"/>
          <w:szCs w:val="26"/>
          <w:lang w:eastAsia="en-US"/>
        </w:rPr>
      </w:pPr>
      <w:r w:rsidRPr="009C1F21">
        <w:rPr>
          <w:rFonts w:ascii="Gill Sans MT" w:hAnsi="Gill Sans MT"/>
          <w:sz w:val="26"/>
          <w:szCs w:val="26"/>
          <w:lang w:eastAsia="en-US"/>
        </w:rPr>
        <w:t xml:space="preserve">The </w:t>
      </w:r>
      <w:r w:rsidR="00327993" w:rsidRPr="009C1F21">
        <w:rPr>
          <w:rFonts w:ascii="Gill Sans MT" w:hAnsi="Gill Sans MT"/>
          <w:sz w:val="26"/>
          <w:szCs w:val="26"/>
          <w:lang w:eastAsia="en-US"/>
        </w:rPr>
        <w:t xml:space="preserve">NDA </w:t>
      </w:r>
      <w:r w:rsidR="00FC6C49" w:rsidRPr="009C1F21">
        <w:rPr>
          <w:rFonts w:ascii="Gill Sans MT" w:hAnsi="Gill Sans MT"/>
          <w:sz w:val="26"/>
          <w:szCs w:val="26"/>
          <w:lang w:eastAsia="en-US"/>
        </w:rPr>
        <w:t xml:space="preserve">would be </w:t>
      </w:r>
      <w:r w:rsidR="00327993" w:rsidRPr="009C1F21">
        <w:rPr>
          <w:rFonts w:ascii="Gill Sans MT" w:hAnsi="Gill Sans MT"/>
          <w:sz w:val="26"/>
          <w:szCs w:val="26"/>
          <w:lang w:eastAsia="en-US"/>
        </w:rPr>
        <w:t xml:space="preserve">happy to engage with officials from </w:t>
      </w:r>
      <w:r w:rsidR="00FC6C49" w:rsidRPr="009C1F21">
        <w:rPr>
          <w:rFonts w:ascii="Gill Sans MT" w:hAnsi="Gill Sans MT"/>
          <w:sz w:val="26"/>
          <w:szCs w:val="26"/>
          <w:lang w:eastAsia="en-US"/>
        </w:rPr>
        <w:t xml:space="preserve">the Department of </w:t>
      </w:r>
      <w:r w:rsidR="00DA1AC3">
        <w:rPr>
          <w:rFonts w:ascii="Gill Sans MT" w:hAnsi="Gill Sans MT"/>
          <w:sz w:val="26"/>
          <w:szCs w:val="26"/>
          <w:lang w:eastAsia="en-US"/>
        </w:rPr>
        <w:t>Rural and Community Development</w:t>
      </w:r>
      <w:r w:rsidR="00FC6C49" w:rsidRPr="009C1F21">
        <w:rPr>
          <w:rFonts w:ascii="Gill Sans MT" w:hAnsi="Gill Sans MT"/>
          <w:sz w:val="26"/>
          <w:szCs w:val="26"/>
          <w:lang w:eastAsia="en-US"/>
        </w:rPr>
        <w:t xml:space="preserve"> </w:t>
      </w:r>
      <w:r w:rsidR="00327993" w:rsidRPr="009C1F21">
        <w:rPr>
          <w:rFonts w:ascii="Gill Sans MT" w:hAnsi="Gill Sans MT"/>
          <w:sz w:val="26"/>
          <w:szCs w:val="26"/>
          <w:lang w:eastAsia="en-US"/>
        </w:rPr>
        <w:t>on any of the points raised in this submission</w:t>
      </w:r>
      <w:r w:rsidR="00E46576">
        <w:rPr>
          <w:rFonts w:ascii="Gill Sans MT" w:hAnsi="Gill Sans MT"/>
          <w:sz w:val="26"/>
          <w:szCs w:val="26"/>
          <w:lang w:eastAsia="en-US"/>
        </w:rPr>
        <w:t xml:space="preserve">, </w:t>
      </w:r>
      <w:r w:rsidR="00E46576">
        <w:rPr>
          <w:rFonts w:ascii="Gill Sans MT" w:hAnsi="Gill Sans MT"/>
          <w:sz w:val="26"/>
          <w:szCs w:val="26"/>
          <w:lang w:eastAsia="en-US"/>
        </w:rPr>
        <w:lastRenderedPageBreak/>
        <w:t>which are summarised below for convenience</w:t>
      </w:r>
      <w:r w:rsidR="00327993" w:rsidRPr="009C1F21">
        <w:rPr>
          <w:rFonts w:ascii="Gill Sans MT" w:hAnsi="Gill Sans MT"/>
          <w:sz w:val="26"/>
          <w:szCs w:val="26"/>
          <w:lang w:eastAsia="en-US"/>
        </w:rPr>
        <w:t xml:space="preserve">. We also look forward to making submissions on </w:t>
      </w:r>
      <w:r w:rsidR="00322D97">
        <w:rPr>
          <w:rFonts w:ascii="Gill Sans MT" w:hAnsi="Gill Sans MT"/>
          <w:sz w:val="26"/>
          <w:szCs w:val="26"/>
          <w:lang w:eastAsia="en-US"/>
        </w:rPr>
        <w:t>any</w:t>
      </w:r>
      <w:r w:rsidR="00327993" w:rsidRPr="009C1F21">
        <w:rPr>
          <w:rFonts w:ascii="Gill Sans MT" w:hAnsi="Gill Sans MT"/>
          <w:sz w:val="26"/>
          <w:szCs w:val="26"/>
          <w:lang w:eastAsia="en-US"/>
        </w:rPr>
        <w:t xml:space="preserve"> forthcoming consultations on </w:t>
      </w:r>
      <w:r w:rsidR="00985210">
        <w:rPr>
          <w:rFonts w:ascii="Gill Sans MT" w:hAnsi="Gill Sans MT"/>
          <w:sz w:val="26"/>
          <w:szCs w:val="26"/>
          <w:lang w:eastAsia="en-US"/>
        </w:rPr>
        <w:t>areas under your</w:t>
      </w:r>
      <w:r w:rsidR="00322D97">
        <w:rPr>
          <w:rFonts w:ascii="Gill Sans MT" w:hAnsi="Gill Sans MT"/>
          <w:sz w:val="26"/>
          <w:szCs w:val="26"/>
          <w:lang w:eastAsia="en-US"/>
        </w:rPr>
        <w:t xml:space="preserve"> </w:t>
      </w:r>
      <w:proofErr w:type="gramStart"/>
      <w:r w:rsidR="00322D97">
        <w:rPr>
          <w:rFonts w:ascii="Gill Sans MT" w:hAnsi="Gill Sans MT"/>
          <w:sz w:val="26"/>
          <w:szCs w:val="26"/>
          <w:lang w:eastAsia="en-US"/>
        </w:rPr>
        <w:t>Department’s</w:t>
      </w:r>
      <w:proofErr w:type="gramEnd"/>
      <w:r w:rsidR="00322D97">
        <w:rPr>
          <w:rFonts w:ascii="Gill Sans MT" w:hAnsi="Gill Sans MT"/>
          <w:sz w:val="26"/>
          <w:szCs w:val="26"/>
          <w:lang w:eastAsia="en-US"/>
        </w:rPr>
        <w:t xml:space="preserve"> remit</w:t>
      </w:r>
      <w:r w:rsidR="00327993" w:rsidRPr="009C1F21">
        <w:rPr>
          <w:rFonts w:ascii="Gill Sans MT" w:hAnsi="Gill Sans MT"/>
          <w:sz w:val="26"/>
          <w:szCs w:val="26"/>
          <w:lang w:eastAsia="en-US"/>
        </w:rPr>
        <w:t xml:space="preserve"> which can have a significant impact on the lives of people with disabilities. </w:t>
      </w:r>
    </w:p>
    <w:p w14:paraId="17057EF3" w14:textId="77777777" w:rsidR="00B66A74" w:rsidRPr="009C1F21" w:rsidRDefault="00B66A74" w:rsidP="00B66A74">
      <w:pPr>
        <w:pStyle w:val="NormalWeb"/>
        <w:spacing w:before="0" w:beforeAutospacing="0" w:after="0" w:afterAutospacing="0"/>
        <w:rPr>
          <w:rFonts w:ascii="Gill Sans MT" w:hAnsi="Gill Sans MT"/>
          <w:sz w:val="26"/>
          <w:szCs w:val="26"/>
          <w:lang w:eastAsia="en-US"/>
        </w:rPr>
      </w:pPr>
    </w:p>
    <w:p w14:paraId="48E3F164" w14:textId="5B67FEE5" w:rsidR="00863A45" w:rsidRPr="009C1F21" w:rsidRDefault="00E46576" w:rsidP="00281DE2">
      <w:pPr>
        <w:pStyle w:val="Heading2"/>
        <w:rPr>
          <w:rFonts w:eastAsia="SimSun"/>
          <w:lang w:eastAsia="en-IE"/>
        </w:rPr>
      </w:pPr>
      <w:bookmarkStart w:id="22" w:name="_Toc129007220"/>
      <w:r>
        <w:rPr>
          <w:rFonts w:eastAsia="SimSun"/>
          <w:lang w:eastAsia="en-IE"/>
        </w:rPr>
        <w:t xml:space="preserve">Summary of </w:t>
      </w:r>
      <w:r w:rsidR="00281DE2" w:rsidRPr="009C1F21">
        <w:rPr>
          <w:rFonts w:eastAsia="SimSun"/>
          <w:lang w:eastAsia="en-IE"/>
        </w:rPr>
        <w:t xml:space="preserve">Key Recommendations </w:t>
      </w:r>
      <w:r w:rsidR="005E3ED2" w:rsidRPr="009C1F21">
        <w:rPr>
          <w:rFonts w:eastAsia="SimSun"/>
          <w:lang w:eastAsia="en-IE"/>
        </w:rPr>
        <w:t>to the Department</w:t>
      </w:r>
      <w:bookmarkEnd w:id="22"/>
    </w:p>
    <w:p w14:paraId="0D265DCA" w14:textId="3F84F8A1" w:rsidR="00C12C2B" w:rsidRPr="009C1F21" w:rsidRDefault="00C12C2B" w:rsidP="0095483D">
      <w:pPr>
        <w:rPr>
          <w:rFonts w:eastAsia="SimSun"/>
          <w:lang w:eastAsia="en-IE"/>
        </w:rPr>
      </w:pPr>
      <w:r w:rsidRPr="009C1F21">
        <w:rPr>
          <w:rFonts w:eastAsia="SimSun"/>
          <w:lang w:eastAsia="en-IE"/>
        </w:rPr>
        <w:t>The NDA advise</w:t>
      </w:r>
      <w:r w:rsidR="006A3EED">
        <w:rPr>
          <w:rFonts w:eastAsia="SimSun"/>
          <w:lang w:eastAsia="en-IE"/>
        </w:rPr>
        <w:t>s</w:t>
      </w:r>
      <w:r w:rsidRPr="009C1F21">
        <w:rPr>
          <w:rFonts w:eastAsia="SimSun"/>
          <w:lang w:eastAsia="en-IE"/>
        </w:rPr>
        <w:t xml:space="preserve"> that the Department of </w:t>
      </w:r>
      <w:r w:rsidR="00321297">
        <w:rPr>
          <w:rFonts w:eastAsia="SimSun"/>
          <w:lang w:eastAsia="en-IE"/>
        </w:rPr>
        <w:t>Rural and Community Development</w:t>
      </w:r>
      <w:r w:rsidRPr="009C1F21">
        <w:rPr>
          <w:rFonts w:eastAsia="SimSun"/>
          <w:lang w:eastAsia="en-IE"/>
        </w:rPr>
        <w:t xml:space="preserve"> include the following </w:t>
      </w:r>
      <w:r w:rsidR="009C1F21" w:rsidRPr="009C1F21">
        <w:rPr>
          <w:rFonts w:eastAsia="SimSun"/>
          <w:lang w:eastAsia="en-IE"/>
        </w:rPr>
        <w:t xml:space="preserve">clear commitments </w:t>
      </w:r>
      <w:r w:rsidR="003B31B1" w:rsidRPr="009C1F21">
        <w:rPr>
          <w:rFonts w:eastAsia="SimSun"/>
          <w:lang w:eastAsia="en-IE"/>
        </w:rPr>
        <w:t>in the Statement of S</w:t>
      </w:r>
      <w:r w:rsidR="009C1F21" w:rsidRPr="009C1F21">
        <w:rPr>
          <w:rFonts w:eastAsia="SimSun"/>
          <w:lang w:eastAsia="en-IE"/>
        </w:rPr>
        <w:t>trategy</w:t>
      </w:r>
      <w:r w:rsidR="006A3EED">
        <w:rPr>
          <w:rFonts w:eastAsia="SimSun"/>
          <w:lang w:eastAsia="en-IE"/>
        </w:rPr>
        <w:t xml:space="preserve"> </w:t>
      </w:r>
      <w:proofErr w:type="gramStart"/>
      <w:r w:rsidR="006A3EED">
        <w:rPr>
          <w:rFonts w:eastAsia="SimSun"/>
          <w:lang w:eastAsia="en-IE"/>
        </w:rPr>
        <w:t>2023-</w:t>
      </w:r>
      <w:r w:rsidR="00321297">
        <w:rPr>
          <w:rFonts w:eastAsia="SimSun"/>
          <w:lang w:eastAsia="en-IE"/>
        </w:rPr>
        <w:t>2025</w:t>
      </w:r>
      <w:r w:rsidRPr="009C1F21">
        <w:rPr>
          <w:rFonts w:eastAsia="SimSun"/>
          <w:lang w:eastAsia="en-IE"/>
        </w:rPr>
        <w:t>;</w:t>
      </w:r>
      <w:proofErr w:type="gramEnd"/>
    </w:p>
    <w:p w14:paraId="3C51E080" w14:textId="2B27348A" w:rsidR="004571E9" w:rsidRDefault="004571E9" w:rsidP="00A85118">
      <w:pPr>
        <w:pStyle w:val="ListBullet2"/>
      </w:pPr>
      <w:r>
        <w:t>Involve DPOs in the consultation structure</w:t>
      </w:r>
      <w:r w:rsidR="00A85118">
        <w:t>s</w:t>
      </w:r>
      <w:r w:rsidR="00985210">
        <w:t xml:space="preserve"> of your</w:t>
      </w:r>
      <w:r>
        <w:t xml:space="preserve"> </w:t>
      </w:r>
      <w:proofErr w:type="gramStart"/>
      <w:r>
        <w:t>Department</w:t>
      </w:r>
      <w:proofErr w:type="gramEnd"/>
      <w:r w:rsidR="00144B36" w:rsidRPr="00144B36">
        <w:t>.</w:t>
      </w:r>
    </w:p>
    <w:p w14:paraId="2F9CCB7D" w14:textId="418CB468" w:rsidR="00144B36" w:rsidRPr="00144B36" w:rsidRDefault="004571E9" w:rsidP="00A85118">
      <w:pPr>
        <w:pStyle w:val="ListBullet2"/>
      </w:pPr>
      <w:r>
        <w:t xml:space="preserve">Increase the resources available </w:t>
      </w:r>
      <w:r w:rsidRPr="004571E9">
        <w:t xml:space="preserve">to promote </w:t>
      </w:r>
      <w:r w:rsidR="00F70BD2">
        <w:t xml:space="preserve">community development </w:t>
      </w:r>
      <w:r w:rsidRPr="004571E9">
        <w:t>capacity in the community sector.</w:t>
      </w:r>
    </w:p>
    <w:p w14:paraId="2D37474A" w14:textId="4B48591E" w:rsidR="00144B36" w:rsidRPr="00144B36" w:rsidRDefault="001F51F4" w:rsidP="00A85118">
      <w:pPr>
        <w:pStyle w:val="ListBullet2"/>
      </w:pPr>
      <w:r>
        <w:t>Review the operation of those schemes that impact on the lives of disabled people</w:t>
      </w:r>
      <w:r w:rsidR="00577065">
        <w:t xml:space="preserve"> and disability proof new schemes from the design stage</w:t>
      </w:r>
    </w:p>
    <w:p w14:paraId="23859016" w14:textId="77777777" w:rsidR="001F51F4" w:rsidRPr="001F51F4" w:rsidRDefault="001F51F4" w:rsidP="00A85118">
      <w:pPr>
        <w:pStyle w:val="ListBullet2"/>
      </w:pPr>
      <w:r>
        <w:rPr>
          <w:rFonts w:eastAsia="Calibri"/>
        </w:rPr>
        <w:t>Accelerate the availability and accessibility of digital and online services to disabled people in rural communities.</w:t>
      </w:r>
    </w:p>
    <w:p w14:paraId="0A9A16B9" w14:textId="76AFB0AE" w:rsidR="00A85118" w:rsidRPr="00A85118" w:rsidRDefault="00144B36" w:rsidP="00A85118">
      <w:pPr>
        <w:pStyle w:val="ListBullet2"/>
      </w:pPr>
      <w:r w:rsidRPr="00144B36">
        <w:rPr>
          <w:rFonts w:eastAsia="Calibri"/>
        </w:rPr>
        <w:t xml:space="preserve">Ensure </w:t>
      </w:r>
      <w:r w:rsidR="00A85118">
        <w:rPr>
          <w:rFonts w:eastAsia="Calibri"/>
        </w:rPr>
        <w:t>that all future projects fun</w:t>
      </w:r>
      <w:r w:rsidR="00985210">
        <w:rPr>
          <w:rFonts w:eastAsia="Calibri"/>
        </w:rPr>
        <w:t>ded under the Town and Village R</w:t>
      </w:r>
      <w:r w:rsidR="00A85118">
        <w:rPr>
          <w:rFonts w:eastAsia="Calibri"/>
        </w:rPr>
        <w:t>enewal Scheme follow a Universal Design approach to design and refurbishment.</w:t>
      </w:r>
    </w:p>
    <w:p w14:paraId="218B7CF7" w14:textId="09AC0E33" w:rsidR="00A85118" w:rsidRPr="00A85118" w:rsidRDefault="00A85118" w:rsidP="00A85118">
      <w:pPr>
        <w:pStyle w:val="ListBullet2"/>
      </w:pPr>
      <w:r>
        <w:rPr>
          <w:rFonts w:eastAsia="Calibri"/>
        </w:rPr>
        <w:t>Introduce further Universal Design elements into the Tidy Towns adjudication process.</w:t>
      </w:r>
    </w:p>
    <w:p w14:paraId="2D995E22" w14:textId="0F207A9E" w:rsidR="00AE036D" w:rsidRPr="00A85118" w:rsidRDefault="000D1F5A" w:rsidP="00A85118">
      <w:pPr>
        <w:pStyle w:val="ListBullet2"/>
        <w:rPr>
          <w:rFonts w:ascii="Gill Sans" w:hAnsi="Gill Sans"/>
        </w:rPr>
      </w:pPr>
      <w:r w:rsidRPr="00A85118">
        <w:rPr>
          <w:rFonts w:ascii="Gill Sans" w:hAnsi="Gill Sans"/>
          <w:lang w:val="en-GB" w:eastAsia="en-GB"/>
        </w:rPr>
        <w:t>Maintain</w:t>
      </w:r>
      <w:r w:rsidR="00AE036D" w:rsidRPr="00A85118">
        <w:rPr>
          <w:rFonts w:ascii="Gill Sans" w:hAnsi="Gill Sans"/>
          <w:lang w:val="en-GB" w:eastAsia="en-GB"/>
        </w:rPr>
        <w:t xml:space="preserve"> compliance with Part 5 of the Disability Act as a key focus of the department's HR strategy. </w:t>
      </w:r>
    </w:p>
    <w:p w14:paraId="11A73AD3" w14:textId="35EBA6AA" w:rsidR="00A85118" w:rsidRDefault="00577065" w:rsidP="00A85118">
      <w:pPr>
        <w:pStyle w:val="ListBullet2"/>
        <w:rPr>
          <w:rFonts w:ascii="Gill Sans" w:hAnsi="Gill Sans"/>
          <w:lang w:val="en-GB" w:eastAsia="en-GB"/>
        </w:rPr>
      </w:pPr>
      <w:r>
        <w:rPr>
          <w:rFonts w:ascii="Gill Sans" w:hAnsi="Gill Sans"/>
          <w:lang w:val="en-GB" w:eastAsia="en-GB"/>
        </w:rPr>
        <w:t>Include a</w:t>
      </w:r>
      <w:r w:rsidRPr="00EE3F67">
        <w:rPr>
          <w:rFonts w:ascii="Gill Sans" w:hAnsi="Gill Sans"/>
          <w:lang w:val="en-GB" w:eastAsia="en-GB"/>
        </w:rPr>
        <w:t xml:space="preserve"> </w:t>
      </w:r>
      <w:r w:rsidR="005F0260" w:rsidRPr="00EE3F67">
        <w:rPr>
          <w:rFonts w:ascii="Gill Sans" w:hAnsi="Gill Sans"/>
          <w:lang w:val="en-GB" w:eastAsia="en-GB"/>
        </w:rPr>
        <w:t>reference to</w:t>
      </w:r>
      <w:r w:rsidR="004F7A5C" w:rsidRPr="00EE3F67">
        <w:rPr>
          <w:rFonts w:ascii="Gill Sans" w:hAnsi="Gill Sans"/>
          <w:lang w:val="en-GB" w:eastAsia="en-GB"/>
        </w:rPr>
        <w:t xml:space="preserve"> the</w:t>
      </w:r>
      <w:r w:rsidR="00E67E44" w:rsidRPr="00EE3F67">
        <w:rPr>
          <w:rFonts w:ascii="Gill Sans" w:hAnsi="Gill Sans"/>
          <w:lang w:val="en-GB" w:eastAsia="en-GB"/>
        </w:rPr>
        <w:t xml:space="preserve"> o</w:t>
      </w:r>
      <w:r w:rsidR="00281DE2" w:rsidRPr="00EE3F67">
        <w:rPr>
          <w:rFonts w:ascii="Gill Sans" w:hAnsi="Gill Sans"/>
          <w:lang w:val="en-GB" w:eastAsia="en-GB"/>
        </w:rPr>
        <w:t>bligation</w:t>
      </w:r>
      <w:r w:rsidR="00AE036D" w:rsidRPr="00EE3F67">
        <w:rPr>
          <w:rFonts w:ascii="Gill Sans" w:hAnsi="Gill Sans"/>
          <w:lang w:val="en-GB" w:eastAsia="en-GB"/>
        </w:rPr>
        <w:t xml:space="preserve">s </w:t>
      </w:r>
      <w:r w:rsidR="004F7A5C" w:rsidRPr="00EE3F67">
        <w:rPr>
          <w:rFonts w:ascii="Gill Sans" w:hAnsi="Gill Sans"/>
          <w:lang w:val="en-GB" w:eastAsia="en-GB"/>
        </w:rPr>
        <w:t xml:space="preserve">of the department </w:t>
      </w:r>
      <w:r w:rsidR="00AE036D" w:rsidRPr="00EE3F67">
        <w:rPr>
          <w:rFonts w:ascii="Gill Sans" w:hAnsi="Gill Sans"/>
          <w:lang w:val="en-GB" w:eastAsia="en-GB"/>
        </w:rPr>
        <w:t>under the EU Web Accessibility Directive</w:t>
      </w:r>
      <w:r w:rsidR="00281DE2" w:rsidRPr="00EE3F67">
        <w:rPr>
          <w:rFonts w:ascii="Gill Sans" w:hAnsi="Gill Sans"/>
          <w:lang w:val="en-GB" w:eastAsia="en-GB"/>
        </w:rPr>
        <w:t xml:space="preserve"> and an action plan to address access issues</w:t>
      </w:r>
    </w:p>
    <w:p w14:paraId="41F19D05" w14:textId="351B7DFB" w:rsidR="009A3A4B" w:rsidRPr="00A85118" w:rsidRDefault="00A8294B" w:rsidP="00A85118">
      <w:pPr>
        <w:pStyle w:val="ListBullet2"/>
        <w:rPr>
          <w:rFonts w:ascii="Gill Sans" w:hAnsi="Gill Sans"/>
          <w:lang w:val="en-GB" w:eastAsia="en-GB"/>
        </w:rPr>
      </w:pPr>
      <w:r w:rsidRPr="00A85118">
        <w:rPr>
          <w:rFonts w:ascii="Gill Sans" w:hAnsi="Gill Sans"/>
          <w:lang w:val="en-GB" w:eastAsia="en-GB"/>
        </w:rPr>
        <w:t>Continue</w:t>
      </w:r>
      <w:r w:rsidR="006D47C9">
        <w:rPr>
          <w:rFonts w:ascii="Gill Sans" w:hAnsi="Gill Sans"/>
          <w:lang w:val="en-GB" w:eastAsia="en-GB"/>
        </w:rPr>
        <w:t xml:space="preserve"> to</w:t>
      </w:r>
      <w:r w:rsidR="00066BA7" w:rsidRPr="00A85118">
        <w:rPr>
          <w:rFonts w:ascii="Gill Sans" w:hAnsi="Gill Sans"/>
          <w:lang w:val="en-GB" w:eastAsia="en-GB"/>
        </w:rPr>
        <w:t xml:space="preserve"> work on </w:t>
      </w:r>
      <w:r w:rsidR="00F83545" w:rsidRPr="00A85118">
        <w:rPr>
          <w:rFonts w:ascii="Gill Sans" w:hAnsi="Gill Sans"/>
          <w:lang w:val="en-GB" w:eastAsia="en-GB"/>
        </w:rPr>
        <w:t>the implementation</w:t>
      </w:r>
      <w:r w:rsidR="00066BA7" w:rsidRPr="00A85118">
        <w:rPr>
          <w:rFonts w:ascii="Gill Sans" w:hAnsi="Gill Sans"/>
          <w:lang w:val="en-GB" w:eastAsia="en-GB"/>
        </w:rPr>
        <w:t xml:space="preserve"> </w:t>
      </w:r>
      <w:r w:rsidR="001432DC" w:rsidRPr="00A85118">
        <w:rPr>
          <w:rFonts w:ascii="Gill Sans" w:hAnsi="Gill Sans"/>
          <w:lang w:val="en-GB" w:eastAsia="en-GB"/>
        </w:rPr>
        <w:t xml:space="preserve">of </w:t>
      </w:r>
      <w:r w:rsidR="00066BA7" w:rsidRPr="00A85118">
        <w:rPr>
          <w:rFonts w:ascii="Gill Sans" w:hAnsi="Gill Sans"/>
          <w:lang w:val="en-GB" w:eastAsia="en-GB"/>
        </w:rPr>
        <w:t xml:space="preserve">the </w:t>
      </w:r>
      <w:r w:rsidR="00C0666E" w:rsidRPr="00A85118">
        <w:rPr>
          <w:rFonts w:ascii="Gill Sans" w:hAnsi="Gill Sans"/>
          <w:lang w:val="en-GB" w:eastAsia="en-GB"/>
        </w:rPr>
        <w:t>recommendations</w:t>
      </w:r>
      <w:r w:rsidR="00066BA7" w:rsidRPr="00A85118">
        <w:rPr>
          <w:rFonts w:ascii="Gill Sans" w:hAnsi="Gill Sans"/>
          <w:lang w:val="en-GB" w:eastAsia="en-GB"/>
        </w:rPr>
        <w:t xml:space="preserve"> of the Part 3 Monitoring Report</w:t>
      </w:r>
      <w:r w:rsidR="0022129F" w:rsidRPr="00A85118">
        <w:rPr>
          <w:rFonts w:ascii="Gill Sans" w:hAnsi="Gill Sans"/>
          <w:lang w:val="en-GB" w:eastAsia="en-GB"/>
        </w:rPr>
        <w:t>,</w:t>
      </w:r>
      <w:r w:rsidR="00066BA7" w:rsidRPr="00A85118">
        <w:rPr>
          <w:rFonts w:ascii="Gill Sans" w:hAnsi="Gill Sans"/>
          <w:lang w:val="en-GB" w:eastAsia="en-GB"/>
        </w:rPr>
        <w:t xml:space="preserve"> </w:t>
      </w:r>
      <w:r w:rsidR="002D03ED" w:rsidRPr="00A85118">
        <w:rPr>
          <w:rFonts w:ascii="Gill Sans" w:hAnsi="Gill Sans"/>
          <w:lang w:val="en-GB" w:eastAsia="en-GB"/>
        </w:rPr>
        <w:t xml:space="preserve">in </w:t>
      </w:r>
      <w:r w:rsidR="00C0666E" w:rsidRPr="00A85118">
        <w:rPr>
          <w:rFonts w:ascii="Gill Sans" w:hAnsi="Gill Sans"/>
          <w:lang w:val="en-GB" w:eastAsia="en-GB"/>
        </w:rPr>
        <w:t>assisting</w:t>
      </w:r>
      <w:r w:rsidR="002D03ED" w:rsidRPr="00A85118">
        <w:rPr>
          <w:rFonts w:ascii="Gill Sans" w:hAnsi="Gill Sans"/>
          <w:lang w:val="en-GB" w:eastAsia="en-GB"/>
        </w:rPr>
        <w:t xml:space="preserve"> public bodies under the aegis of the department who do not meet their requirements. </w:t>
      </w:r>
    </w:p>
    <w:p w14:paraId="55B3FB7F" w14:textId="6008074C" w:rsidR="006745A3" w:rsidRDefault="003C3D12" w:rsidP="00A85118">
      <w:pPr>
        <w:pStyle w:val="ListBullet2"/>
        <w:rPr>
          <w:rFonts w:ascii="Gill Sans" w:hAnsi="Gill Sans"/>
          <w:lang w:val="en-GB" w:eastAsia="en-GB"/>
        </w:rPr>
      </w:pPr>
      <w:r>
        <w:rPr>
          <w:rFonts w:ascii="Gill Sans" w:hAnsi="Gill Sans"/>
          <w:lang w:val="en-GB" w:eastAsia="en-GB"/>
        </w:rPr>
        <w:t>Ensure</w:t>
      </w:r>
      <w:r w:rsidRPr="00EE3F67">
        <w:rPr>
          <w:rFonts w:ascii="Gill Sans" w:hAnsi="Gill Sans"/>
          <w:lang w:val="en-GB" w:eastAsia="en-GB"/>
        </w:rPr>
        <w:t xml:space="preserve"> </w:t>
      </w:r>
      <w:r w:rsidR="00AE036D" w:rsidRPr="00EE3F67">
        <w:rPr>
          <w:rFonts w:ascii="Gill Sans" w:hAnsi="Gill Sans"/>
          <w:lang w:val="en-GB" w:eastAsia="en-GB"/>
        </w:rPr>
        <w:t>compliance</w:t>
      </w:r>
      <w:r w:rsidR="008D0CF6">
        <w:rPr>
          <w:rFonts w:ascii="Gill Sans" w:hAnsi="Gill Sans"/>
          <w:lang w:val="en-GB" w:eastAsia="en-GB"/>
        </w:rPr>
        <w:t xml:space="preserve"> u</w:t>
      </w:r>
      <w:r w:rsidR="00B616A9" w:rsidRPr="00EE3F67">
        <w:rPr>
          <w:rFonts w:ascii="Gill Sans" w:hAnsi="Gill Sans"/>
          <w:lang w:val="en-GB" w:eastAsia="en-GB"/>
        </w:rPr>
        <w:t xml:space="preserve">nder </w:t>
      </w:r>
      <w:r w:rsidR="00281DE2" w:rsidRPr="00EE3F67">
        <w:rPr>
          <w:rFonts w:ascii="Gill Sans" w:hAnsi="Gill Sans"/>
          <w:lang w:val="en-GB" w:eastAsia="en-GB"/>
        </w:rPr>
        <w:t>Section 25</w:t>
      </w:r>
      <w:r w:rsidR="00645075" w:rsidRPr="00EE3F67">
        <w:rPr>
          <w:rFonts w:ascii="Gill Sans" w:hAnsi="Gill Sans"/>
          <w:lang w:val="en-GB" w:eastAsia="en-GB"/>
        </w:rPr>
        <w:t xml:space="preserve"> of the Disability Act</w:t>
      </w:r>
      <w:r w:rsidR="00281DE2" w:rsidRPr="00EE3F67">
        <w:rPr>
          <w:rFonts w:ascii="Gill Sans" w:hAnsi="Gill Sans"/>
          <w:lang w:val="en-GB" w:eastAsia="en-GB"/>
        </w:rPr>
        <w:t xml:space="preserve">, </w:t>
      </w:r>
      <w:r w:rsidR="000655BE" w:rsidRPr="00EE3F67">
        <w:rPr>
          <w:rFonts w:ascii="Gill Sans" w:hAnsi="Gill Sans"/>
          <w:lang w:val="en-GB" w:eastAsia="en-GB"/>
        </w:rPr>
        <w:t xml:space="preserve">requiring all </w:t>
      </w:r>
      <w:r w:rsidR="00281DE2" w:rsidRPr="00EE3F67">
        <w:rPr>
          <w:rFonts w:ascii="Gill Sans" w:hAnsi="Gill Sans"/>
          <w:lang w:val="en-GB" w:eastAsia="en-GB"/>
        </w:rPr>
        <w:t>public bodies to bring their public buildings into compliance with Part M Part M 2022 by 1st January 2033</w:t>
      </w:r>
      <w:r w:rsidR="00554C46" w:rsidRPr="00EE3F67">
        <w:rPr>
          <w:rFonts w:ascii="Gill Sans" w:hAnsi="Gill Sans"/>
          <w:lang w:val="en-GB" w:eastAsia="en-GB"/>
        </w:rPr>
        <w:t xml:space="preserve">, including the </w:t>
      </w:r>
      <w:r w:rsidR="00281DE2" w:rsidRPr="00EE3F67">
        <w:rPr>
          <w:rFonts w:ascii="Gill Sans" w:hAnsi="Gill Sans"/>
          <w:lang w:val="en-GB" w:eastAsia="en-GB"/>
        </w:rPr>
        <w:t xml:space="preserve">new requirements under Part M 2022 </w:t>
      </w:r>
      <w:r w:rsidR="00306A13" w:rsidRPr="00EE3F67">
        <w:rPr>
          <w:rFonts w:ascii="Gill Sans" w:hAnsi="Gill Sans"/>
          <w:lang w:val="en-GB" w:eastAsia="en-GB"/>
        </w:rPr>
        <w:t>in relation</w:t>
      </w:r>
      <w:r w:rsidR="00281DE2" w:rsidRPr="00EE3F67">
        <w:rPr>
          <w:rFonts w:ascii="Gill Sans" w:hAnsi="Gill Sans"/>
          <w:lang w:val="en-GB" w:eastAsia="en-GB"/>
        </w:rPr>
        <w:t xml:space="preserve"> to the provision of changing places toilets.</w:t>
      </w:r>
    </w:p>
    <w:p w14:paraId="2F0CE705" w14:textId="153A3997" w:rsidR="00985210" w:rsidRPr="00321297" w:rsidRDefault="00985210" w:rsidP="00A85118">
      <w:pPr>
        <w:pStyle w:val="ListBullet2"/>
        <w:rPr>
          <w:rFonts w:ascii="Gill Sans" w:hAnsi="Gill Sans"/>
          <w:lang w:val="en-GB" w:eastAsia="en-GB"/>
        </w:rPr>
      </w:pPr>
      <w:r>
        <w:rPr>
          <w:rFonts w:ascii="Gill Sans" w:hAnsi="Gill Sans"/>
          <w:lang w:val="en-GB" w:eastAsia="en-GB"/>
        </w:rPr>
        <w:t>Look at further measures to provide inclusive services for ISL users</w:t>
      </w:r>
    </w:p>
    <w:sectPr w:rsidR="00985210" w:rsidRPr="00321297">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CD8E" w14:textId="77777777" w:rsidR="0040221F" w:rsidRDefault="0040221F">
      <w:r>
        <w:separator/>
      </w:r>
    </w:p>
  </w:endnote>
  <w:endnote w:type="continuationSeparator" w:id="0">
    <w:p w14:paraId="2008E685" w14:textId="77777777" w:rsidR="0040221F" w:rsidRDefault="0040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D522" w14:textId="4C074D94" w:rsidR="009C4D62" w:rsidRDefault="009C4D62">
    <w:pPr>
      <w:pStyle w:val="Footer"/>
    </w:pPr>
    <w:r>
      <w:tab/>
    </w:r>
    <w:r>
      <w:tab/>
    </w:r>
    <w:r>
      <w:fldChar w:fldCharType="begin"/>
    </w:r>
    <w:r>
      <w:instrText xml:space="preserve"> PAGE  \* Arabic  \* MERGEFORMAT </w:instrText>
    </w:r>
    <w:r>
      <w:fldChar w:fldCharType="separate"/>
    </w:r>
    <w:r w:rsidR="007B400B">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D461" w14:textId="77777777" w:rsidR="0040221F" w:rsidRDefault="0040221F">
      <w:r>
        <w:separator/>
      </w:r>
    </w:p>
  </w:footnote>
  <w:footnote w:type="continuationSeparator" w:id="0">
    <w:p w14:paraId="04D5C0CE" w14:textId="77777777" w:rsidR="0040221F" w:rsidRDefault="0040221F">
      <w:r>
        <w:continuationSeparator/>
      </w:r>
    </w:p>
  </w:footnote>
  <w:footnote w:id="1">
    <w:p w14:paraId="18B690A2" w14:textId="3EDC94FC" w:rsidR="00392354" w:rsidRDefault="00392354">
      <w:pPr>
        <w:pStyle w:val="FootnoteText"/>
      </w:pPr>
      <w:r>
        <w:rPr>
          <w:rStyle w:val="FootnoteReference"/>
        </w:rPr>
        <w:footnoteRef/>
      </w:r>
      <w:r>
        <w:t xml:space="preserve"> </w:t>
      </w:r>
      <w:hyperlink r:id="rId1" w:history="1">
        <w:r w:rsidRPr="004507AE">
          <w:rPr>
            <w:rStyle w:val="Hyperlink"/>
          </w:rPr>
          <w:t>https://www.gov.ie/en/consultation/853e0-statement-of-strategy-2023-2025-call-for-submissions/</w:t>
        </w:r>
      </w:hyperlink>
    </w:p>
  </w:footnote>
  <w:footnote w:id="2">
    <w:p w14:paraId="09A7835D" w14:textId="77777777" w:rsidR="00093154" w:rsidRPr="00550195" w:rsidRDefault="00093154" w:rsidP="0008415D">
      <w:pPr>
        <w:pStyle w:val="FootnoteText"/>
        <w:spacing w:after="0"/>
        <w:rPr>
          <w:sz w:val="20"/>
        </w:rPr>
      </w:pPr>
      <w:r w:rsidRPr="00550195">
        <w:rPr>
          <w:rStyle w:val="FootnoteReference"/>
          <w:rFonts w:ascii="Gill Sans MT" w:hAnsi="Gill Sans MT"/>
          <w:sz w:val="20"/>
        </w:rPr>
        <w:footnoteRef/>
      </w:r>
      <w:r w:rsidRPr="00550195">
        <w:rPr>
          <w:sz w:val="20"/>
        </w:rPr>
        <w:t xml:space="preserve"> </w:t>
      </w:r>
      <w:hyperlink r:id="rId2" w:history="1">
        <w:r w:rsidRPr="00550195">
          <w:rPr>
            <w:rStyle w:val="Hyperlink"/>
            <w:sz w:val="20"/>
            <w:u w:val="none"/>
          </w:rPr>
          <w:t>https://nda.ie/publications/participation-matters-guidelines-on-implementing-the-obligation-to-meaningfully-engage-with-disabled-people-in-public-decision-making</w:t>
        </w:r>
      </w:hyperlink>
    </w:p>
  </w:footnote>
  <w:footnote w:id="3">
    <w:p w14:paraId="7A674D24" w14:textId="77777777" w:rsidR="00811AB4" w:rsidRDefault="00811AB4" w:rsidP="0008415D">
      <w:pPr>
        <w:pStyle w:val="FootnoteText"/>
        <w:spacing w:after="0"/>
      </w:pPr>
      <w:r w:rsidRPr="0008415D">
        <w:rPr>
          <w:rStyle w:val="FootnoteReference"/>
          <w:rFonts w:ascii="Gill Sans MT" w:hAnsi="Gill Sans MT"/>
          <w:sz w:val="20"/>
        </w:rPr>
        <w:footnoteRef/>
      </w:r>
      <w:r w:rsidRPr="0008415D">
        <w:rPr>
          <w:sz w:val="20"/>
        </w:rPr>
        <w:t xml:space="preserve"> </w:t>
      </w:r>
      <w:hyperlink r:id="rId3" w:history="1">
        <w:r w:rsidRPr="0008415D">
          <w:rPr>
            <w:rStyle w:val="Hyperlink"/>
            <w:sz w:val="20"/>
          </w:rPr>
          <w:t>https://nda.ie/publications/nda-advice-paper-on-disability-language-and-terminology</w:t>
        </w:r>
      </w:hyperlink>
      <w:r>
        <w:t xml:space="preserve"> </w:t>
      </w:r>
    </w:p>
  </w:footnote>
  <w:footnote w:id="4">
    <w:p w14:paraId="1B16A316" w14:textId="194C11A8" w:rsidR="006820D0" w:rsidRPr="00763E04" w:rsidRDefault="006820D0" w:rsidP="006820D0">
      <w:pPr>
        <w:pStyle w:val="FootnoteText"/>
      </w:pPr>
      <w:r w:rsidRPr="00DD3F76">
        <w:rPr>
          <w:rStyle w:val="FootnoteReference"/>
        </w:rPr>
        <w:footnoteRef/>
      </w:r>
      <w:r w:rsidRPr="00DD3F76">
        <w:t xml:space="preserve"> </w:t>
      </w:r>
      <w:hyperlink r:id="rId4" w:history="1">
        <w:r w:rsidRPr="005926D7">
          <w:rPr>
            <w:rStyle w:val="Hyperlink"/>
          </w:rPr>
          <w:t>https://www.cwi.ie/</w:t>
        </w:r>
      </w:hyperlink>
    </w:p>
  </w:footnote>
  <w:footnote w:id="5">
    <w:p w14:paraId="7BD180E3" w14:textId="70EECCA9" w:rsidR="00403427" w:rsidRPr="00BF142E" w:rsidRDefault="00403427" w:rsidP="00BF142E">
      <w:pPr>
        <w:pStyle w:val="Heading2"/>
        <w:spacing w:after="0"/>
        <w:rPr>
          <w:rFonts w:cs="Times New Roman"/>
          <w:b w:val="0"/>
          <w:bCs w:val="0"/>
          <w:iCs w:val="0"/>
          <w:sz w:val="22"/>
          <w:szCs w:val="22"/>
        </w:rPr>
      </w:pPr>
      <w:r w:rsidRPr="00F70BD2">
        <w:rPr>
          <w:rStyle w:val="FootnoteReference"/>
          <w:rFonts w:asciiTheme="minorHAnsi" w:hAnsiTheme="minorHAnsi" w:cstheme="minorHAnsi"/>
          <w:szCs w:val="22"/>
        </w:rPr>
        <w:footnoteRef/>
      </w:r>
      <w:r w:rsidRPr="00F70BD2">
        <w:rPr>
          <w:rFonts w:asciiTheme="minorHAnsi" w:hAnsiTheme="minorHAnsi" w:cstheme="minorHAnsi"/>
          <w:sz w:val="22"/>
          <w:szCs w:val="22"/>
        </w:rPr>
        <w:t xml:space="preserve"> </w:t>
      </w:r>
      <w:r w:rsidRPr="00BF142E">
        <w:rPr>
          <w:rFonts w:asciiTheme="minorHAnsi" w:hAnsiTheme="minorHAnsi" w:cstheme="minorHAnsi"/>
          <w:b w:val="0"/>
          <w:sz w:val="22"/>
          <w:szCs w:val="22"/>
        </w:rPr>
        <w:t xml:space="preserve">NDA (2022) </w:t>
      </w:r>
      <w:r w:rsidRPr="00BF142E">
        <w:rPr>
          <w:rFonts w:asciiTheme="minorHAnsi" w:hAnsiTheme="minorHAnsi" w:cstheme="minorHAnsi"/>
          <w:b w:val="0"/>
          <w:iCs w:val="0"/>
          <w:color w:val="000000"/>
          <w:sz w:val="22"/>
          <w:szCs w:val="22"/>
          <w:lang w:eastAsia="en-IE"/>
        </w:rPr>
        <w:t xml:space="preserve">A Review of Approaches Used to Attain Societal Participation and Inclusion for Disabled People by Creating More Liveable Communities. </w:t>
      </w:r>
      <w:hyperlink r:id="rId5" w:history="1">
        <w:r w:rsidRPr="00BF142E">
          <w:rPr>
            <w:rStyle w:val="Hyperlink"/>
            <w:rFonts w:asciiTheme="minorHAnsi" w:hAnsiTheme="minorHAnsi" w:cstheme="minorHAnsi"/>
            <w:b w:val="0"/>
            <w:sz w:val="22"/>
            <w:szCs w:val="22"/>
          </w:rPr>
          <w:t>A review of approaches used to create liveable communities to attain full participation and inclusion for disabled people - National Disability Authority (nda.ie)</w:t>
        </w:r>
      </w:hyperlink>
    </w:p>
  </w:footnote>
  <w:footnote w:id="6">
    <w:p w14:paraId="7EFD659B" w14:textId="7B348302" w:rsidR="006820D0" w:rsidRPr="00254BFD" w:rsidRDefault="006820D0" w:rsidP="006820D0">
      <w:pPr>
        <w:pStyle w:val="FootnoteText"/>
      </w:pPr>
      <w:r w:rsidRPr="00763E04">
        <w:rPr>
          <w:rStyle w:val="FootnoteReference"/>
        </w:rPr>
        <w:footnoteRef/>
      </w:r>
      <w:r w:rsidRPr="00763E04">
        <w:t xml:space="preserve"> </w:t>
      </w:r>
      <w:r>
        <w:t xml:space="preserve">Department of Health (2021) </w:t>
      </w:r>
      <w:r w:rsidRPr="00CE3F61">
        <w:t>The HSE Disability Capacity Review to 2032</w:t>
      </w:r>
      <w:r>
        <w:t xml:space="preserve"> </w:t>
      </w:r>
      <w:hyperlink r:id="rId6" w:history="1">
        <w:r w:rsidRPr="005926D7">
          <w:rPr>
            <w:rStyle w:val="Hyperlink"/>
          </w:rPr>
          <w:t>https://www.gov.ie/en/publication/d3b2c-disability-capacity-review-to-2032-a-review-of-social-care-demand-and-capacity-requirements-to-2032/</w:t>
        </w:r>
      </w:hyperlink>
    </w:p>
  </w:footnote>
  <w:footnote w:id="7">
    <w:p w14:paraId="75FB1DCC" w14:textId="77777777" w:rsidR="00035A0D" w:rsidRDefault="00035A0D" w:rsidP="00035A0D">
      <w:pPr>
        <w:pStyle w:val="FootnoteText"/>
      </w:pPr>
      <w:r>
        <w:rPr>
          <w:rStyle w:val="FootnoteReference"/>
        </w:rPr>
        <w:footnoteRef/>
      </w:r>
      <w:r>
        <w:t xml:space="preserve"> </w:t>
      </w:r>
      <w:r w:rsidRPr="00474A73">
        <w:t xml:space="preserve">Rylands, M., O’Connor, R., Power, C (2015) Local Government Reform in Ireland: Implications for Rural Development and Community Engagement. The changing landscape of local and community development policy in Ireland: policy and practice </w:t>
      </w:r>
    </w:p>
    <w:p w14:paraId="3DB30189" w14:textId="77777777" w:rsidR="00035A0D" w:rsidRDefault="00F613B3" w:rsidP="00035A0D">
      <w:pPr>
        <w:pStyle w:val="FootnoteText"/>
      </w:pPr>
      <w:hyperlink r:id="rId7" w:history="1">
        <w:r w:rsidR="00035A0D" w:rsidRPr="001B0280">
          <w:rPr>
            <w:rStyle w:val="Hyperlink"/>
          </w:rPr>
          <w:t>https://cora.ucc.ie/bitstream/handle/10468/2732/The_Changing_Landscape_of_Local_and_Community_Development_in_Ireland_Policy_and_Practice-1.pdf?sequence=1&amp;isAllowed=y</w:t>
        </w:r>
      </w:hyperlink>
    </w:p>
  </w:footnote>
  <w:footnote w:id="8">
    <w:p w14:paraId="697DC4D4" w14:textId="77777777" w:rsidR="00254FFA" w:rsidRDefault="00254FFA" w:rsidP="00254FFA">
      <w:pPr>
        <w:pStyle w:val="FootnoteText"/>
      </w:pPr>
      <w:r>
        <w:rPr>
          <w:rStyle w:val="FootnoteReference"/>
        </w:rPr>
        <w:footnoteRef/>
      </w:r>
      <w:r>
        <w:t xml:space="preserve"> The Social Inclusion and Communities Unit in DRCD sent this information to the </w:t>
      </w:r>
      <w:r w:rsidRPr="00922D13">
        <w:t xml:space="preserve">Chief Executive </w:t>
      </w:r>
      <w:r>
        <w:t xml:space="preserve">of the LDCs (ILDN) at the end of Nov 2021. </w:t>
      </w:r>
    </w:p>
  </w:footnote>
  <w:footnote w:id="9">
    <w:p w14:paraId="7070FA51" w14:textId="1EB4540E" w:rsidR="005B1EE7" w:rsidRDefault="005B1EE7">
      <w:pPr>
        <w:pStyle w:val="FootnoteText"/>
      </w:pPr>
      <w:r>
        <w:rPr>
          <w:rStyle w:val="FootnoteReference"/>
        </w:rPr>
        <w:footnoteRef/>
      </w:r>
      <w:r>
        <w:t xml:space="preserve"> </w:t>
      </w:r>
      <w:r w:rsidRPr="005B1EE7">
        <w:t>https://nda.ie/publications/lockdowns-unlock-innovations-report</w:t>
      </w:r>
    </w:p>
  </w:footnote>
  <w:footnote w:id="10">
    <w:p w14:paraId="6BF58A6C" w14:textId="77777777" w:rsidR="00E13D2F" w:rsidRPr="00967948" w:rsidRDefault="00E13D2F" w:rsidP="00E13D2F">
      <w:pPr>
        <w:pStyle w:val="FootnoteText"/>
        <w:spacing w:after="80"/>
      </w:pPr>
      <w:r w:rsidRPr="00967948">
        <w:rPr>
          <w:rStyle w:val="FootnoteReference"/>
        </w:rPr>
        <w:footnoteRef/>
      </w:r>
      <w:r w:rsidRPr="00967948">
        <w:t xml:space="preserve"> Johansson, Gulliksen and Gustavsson, 2021.</w:t>
      </w:r>
    </w:p>
  </w:footnote>
  <w:footnote w:id="11">
    <w:p w14:paraId="0AB4F259" w14:textId="64EAA962" w:rsidR="009F2F0B" w:rsidRDefault="009F2F0B" w:rsidP="009F2F0B">
      <w:pPr>
        <w:pStyle w:val="FootnoteText"/>
        <w:spacing w:after="80"/>
      </w:pPr>
      <w:r w:rsidRPr="00617433">
        <w:rPr>
          <w:rStyle w:val="FootnoteReference"/>
        </w:rPr>
        <w:footnoteRef/>
      </w:r>
      <w:r w:rsidRPr="00617433">
        <w:t xml:space="preserve"> </w:t>
      </w:r>
      <w:hyperlink r:id="rId8" w:history="1">
        <w:r w:rsidR="00453C0C" w:rsidRPr="00B76257">
          <w:rPr>
            <w:rStyle w:val="Hyperlink"/>
          </w:rPr>
          <w:t>https://www.ibec.ie/connect-and-learn/media/2021/01/15/new-remote-work-strategy-a-welcome-and-timely-recognition-of-our-changing-workplaces</w:t>
        </w:r>
      </w:hyperlink>
    </w:p>
    <w:p w14:paraId="28019580" w14:textId="77777777" w:rsidR="00453C0C" w:rsidRPr="00617433" w:rsidRDefault="00453C0C" w:rsidP="009F2F0B">
      <w:pPr>
        <w:pStyle w:val="FootnoteText"/>
        <w:spacing w:after="80"/>
      </w:pPr>
    </w:p>
  </w:footnote>
  <w:footnote w:id="12">
    <w:p w14:paraId="7653B3BE" w14:textId="6F52F834" w:rsidR="00453C0C" w:rsidRDefault="00453C0C">
      <w:pPr>
        <w:pStyle w:val="FootnoteText"/>
      </w:pPr>
      <w:r>
        <w:rPr>
          <w:rStyle w:val="FootnoteReference"/>
        </w:rPr>
        <w:footnoteRef/>
      </w:r>
      <w:r>
        <w:t xml:space="preserve"> </w:t>
      </w:r>
      <w:hyperlink r:id="rId9" w:history="1">
        <w:r>
          <w:rPr>
            <w:rStyle w:val="Hyperlink"/>
          </w:rPr>
          <w:t>The Centre for Excellence in Universal Design | Centre for Excellence in Universal Design</w:t>
        </w:r>
      </w:hyperlink>
    </w:p>
  </w:footnote>
  <w:footnote w:id="13">
    <w:p w14:paraId="05B619CD" w14:textId="77777777" w:rsidR="00E13D2F" w:rsidRDefault="00E13D2F" w:rsidP="00E13D2F">
      <w:pPr>
        <w:pStyle w:val="FootnoteText"/>
      </w:pPr>
      <w:r>
        <w:rPr>
          <w:rStyle w:val="FootnoteReference"/>
        </w:rPr>
        <w:footnoteRef/>
      </w:r>
      <w:r>
        <w:t xml:space="preserve"> </w:t>
      </w:r>
      <w:hyperlink r:id="rId10" w:history="1">
        <w:r w:rsidRPr="00385AB7">
          <w:rPr>
            <w:rStyle w:val="Hyperlink"/>
          </w:rPr>
          <w:t>https://universaldesign.ie/built-environment/walkability-auditing/universal-design-walkability-audit-tool/</w:t>
        </w:r>
      </w:hyperlink>
      <w:r>
        <w:t xml:space="preserve"> </w:t>
      </w:r>
    </w:p>
  </w:footnote>
  <w:footnote w:id="14">
    <w:p w14:paraId="6675ACB1" w14:textId="73BB0DDD" w:rsidR="00DC392C" w:rsidRDefault="00DC392C">
      <w:pPr>
        <w:pStyle w:val="FootnoteText"/>
      </w:pPr>
      <w:r>
        <w:rPr>
          <w:rStyle w:val="FootnoteReference"/>
        </w:rPr>
        <w:footnoteRef/>
      </w:r>
      <w:r>
        <w:t xml:space="preserve"> </w:t>
      </w:r>
      <w:hyperlink r:id="rId11" w:history="1">
        <w:r w:rsidRPr="00FA20C1">
          <w:rPr>
            <w:rStyle w:val="Hyperlink"/>
          </w:rPr>
          <w:t>https://nda.ie/news/report-on-compliance-with-part-5-of-the-disability-act-2005-for-2021</w:t>
        </w:r>
      </w:hyperlink>
      <w:r>
        <w:t xml:space="preserve"> </w:t>
      </w:r>
    </w:p>
  </w:footnote>
  <w:footnote w:id="15">
    <w:p w14:paraId="5F4754A9" w14:textId="77777777" w:rsidR="006E1F8E" w:rsidRDefault="006E1F8E" w:rsidP="00914909">
      <w:pPr>
        <w:pStyle w:val="FootnoteText"/>
        <w:spacing w:after="0"/>
      </w:pPr>
      <w:r w:rsidRPr="00914909">
        <w:rPr>
          <w:rStyle w:val="FootnoteReference"/>
          <w:rFonts w:ascii="Gill Sans MT" w:hAnsi="Gill Sans MT"/>
          <w:sz w:val="20"/>
        </w:rPr>
        <w:footnoteRef/>
      </w:r>
      <w:r w:rsidRPr="00914909">
        <w:rPr>
          <w:sz w:val="20"/>
        </w:rPr>
        <w:t xml:space="preserve"> </w:t>
      </w:r>
      <w:hyperlink r:id="rId12" w:history="1">
        <w:r w:rsidRPr="00914909">
          <w:rPr>
            <w:rStyle w:val="Hyperlink"/>
            <w:sz w:val="20"/>
          </w:rPr>
          <w:t>https://nda.ie/publications/nda-annual-reports-on-compliance-with-part-5-of-the-disability-act</w:t>
        </w:r>
      </w:hyperlink>
    </w:p>
  </w:footnote>
  <w:footnote w:id="16">
    <w:p w14:paraId="4E87B6DA" w14:textId="77777777" w:rsidR="005D5A7F" w:rsidRPr="00914909" w:rsidRDefault="005D5A7F" w:rsidP="00914909">
      <w:pPr>
        <w:pStyle w:val="FootnoteText"/>
        <w:spacing w:after="0"/>
        <w:rPr>
          <w:sz w:val="20"/>
        </w:rPr>
      </w:pPr>
      <w:r w:rsidRPr="00914909">
        <w:rPr>
          <w:rStyle w:val="FootnoteReference"/>
          <w:rFonts w:ascii="Gill Sans MT" w:hAnsi="Gill Sans MT"/>
          <w:sz w:val="20"/>
        </w:rPr>
        <w:footnoteRef/>
      </w:r>
      <w:r w:rsidRPr="00914909">
        <w:rPr>
          <w:sz w:val="20"/>
        </w:rPr>
        <w:t xml:space="preserve"> </w:t>
      </w:r>
      <w:hyperlink r:id="rId13" w:history="1">
        <w:r w:rsidR="00DB1059" w:rsidRPr="00914909">
          <w:rPr>
            <w:rStyle w:val="Hyperlink"/>
            <w:sz w:val="20"/>
          </w:rPr>
          <w:t>Monitoring Report EU WAD Ireland 2021: NDA Report - National Disability Authority</w:t>
        </w:r>
      </w:hyperlink>
      <w:r w:rsidR="00DB1059" w:rsidRPr="00914909">
        <w:rPr>
          <w:sz w:val="20"/>
        </w:rPr>
        <w:t xml:space="preserve"> </w:t>
      </w:r>
    </w:p>
  </w:footnote>
  <w:footnote w:id="17">
    <w:p w14:paraId="477EB2C5" w14:textId="77777777" w:rsidR="001C12F9" w:rsidRPr="00744A27" w:rsidRDefault="001C12F9" w:rsidP="001C12F9">
      <w:pPr>
        <w:pStyle w:val="FootnoteText"/>
        <w:spacing w:after="0"/>
        <w:rPr>
          <w:sz w:val="20"/>
        </w:rPr>
      </w:pPr>
      <w:r w:rsidRPr="00744A27">
        <w:rPr>
          <w:rStyle w:val="FootnoteReference"/>
          <w:rFonts w:ascii="Gill Sans MT" w:hAnsi="Gill Sans MT"/>
          <w:sz w:val="20"/>
        </w:rPr>
        <w:footnoteRef/>
      </w:r>
      <w:r w:rsidRPr="00744A27">
        <w:rPr>
          <w:sz w:val="20"/>
        </w:rPr>
        <w:t xml:space="preserve"> </w:t>
      </w:r>
      <w:hyperlink r:id="rId14" w:history="1">
        <w:r w:rsidRPr="00744A27">
          <w:rPr>
            <w:rStyle w:val="Hyperlink"/>
            <w:sz w:val="20"/>
          </w:rPr>
          <w:t>NDA - Universal Design Public Service Toolkit - Foreword</w:t>
        </w:r>
      </w:hyperlink>
    </w:p>
  </w:footnote>
  <w:footnote w:id="18">
    <w:p w14:paraId="01DBB70F" w14:textId="72C4D669" w:rsidR="00A357F9" w:rsidRDefault="00A357F9">
      <w:pPr>
        <w:pStyle w:val="FootnoteText"/>
      </w:pPr>
      <w:r>
        <w:rPr>
          <w:rStyle w:val="FootnoteReference"/>
        </w:rPr>
        <w:footnoteRef/>
      </w:r>
      <w:r>
        <w:t xml:space="preserve"> </w:t>
      </w:r>
      <w:hyperlink r:id="rId15" w:history="1">
        <w:r w:rsidRPr="00E33BE3">
          <w:rPr>
            <w:rStyle w:val="Hyperlink"/>
          </w:rPr>
          <w:t>https://nda.ie/publications/an-operational-review-of-the-effectiveness-of-section-25-of-the-disability-act-2005-nda-report</w:t>
        </w:r>
      </w:hyperlink>
      <w:r>
        <w:t xml:space="preserve"> </w:t>
      </w:r>
    </w:p>
  </w:footnote>
  <w:footnote w:id="19">
    <w:p w14:paraId="629D06C8" w14:textId="77777777" w:rsidR="008A2296" w:rsidRPr="00520FEE" w:rsidRDefault="008A2296" w:rsidP="00A66340">
      <w:pPr>
        <w:pStyle w:val="FootnoteText"/>
        <w:spacing w:after="0"/>
        <w:rPr>
          <w:sz w:val="20"/>
        </w:rPr>
      </w:pPr>
      <w:r w:rsidRPr="00520FEE">
        <w:rPr>
          <w:rStyle w:val="FootnoteReference"/>
          <w:rFonts w:ascii="Gill Sans MT" w:hAnsi="Gill Sans MT"/>
          <w:sz w:val="20"/>
        </w:rPr>
        <w:footnoteRef/>
      </w:r>
      <w:r w:rsidRPr="00520FEE">
        <w:rPr>
          <w:sz w:val="20"/>
        </w:rPr>
        <w:t xml:space="preserve"> See Technical Annex 2 on the Public Body Survey</w:t>
      </w:r>
      <w:r w:rsidR="00425D4A" w:rsidRPr="00520FEE">
        <w:rPr>
          <w:sz w:val="20"/>
        </w:rPr>
        <w:t xml:space="preserve">: </w:t>
      </w:r>
      <w:hyperlink r:id="rId16" w:history="1">
        <w:r w:rsidRPr="00520FEE">
          <w:rPr>
            <w:rStyle w:val="Hyperlink"/>
            <w:sz w:val="20"/>
          </w:rPr>
          <w:t>Report on the Operation of the Irish Sign Language Act 2017 (December 2021) - National Disability Authority (nda.ie)</w:t>
        </w:r>
      </w:hyperlink>
      <w:r w:rsidRPr="00520FEE">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8239A0"/>
    <w:lvl w:ilvl="0">
      <w:start w:val="1"/>
      <w:numFmt w:val="bullet"/>
      <w:lvlText w:val=""/>
      <w:lvlJc w:val="left"/>
      <w:pPr>
        <w:tabs>
          <w:tab w:val="num" w:pos="360"/>
        </w:tabs>
        <w:ind w:left="360" w:hanging="360"/>
      </w:pPr>
      <w:rPr>
        <w:rFonts w:ascii="Symbol" w:hAnsi="Symbol" w:hint="default"/>
        <w:sz w:val="20"/>
        <w:szCs w:val="20"/>
      </w:rPr>
    </w:lvl>
  </w:abstractNum>
  <w:abstractNum w:abstractNumId="10" w15:restartNumberingAfterBreak="0">
    <w:nsid w:val="00C5248A"/>
    <w:multiLevelType w:val="hybridMultilevel"/>
    <w:tmpl w:val="1BD8A848"/>
    <w:lvl w:ilvl="0" w:tplc="1809000F">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1" w15:restartNumberingAfterBreak="0">
    <w:nsid w:val="00E501CE"/>
    <w:multiLevelType w:val="hybridMultilevel"/>
    <w:tmpl w:val="EEF255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3B546F0"/>
    <w:multiLevelType w:val="multilevel"/>
    <w:tmpl w:val="6318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C3917"/>
    <w:multiLevelType w:val="hybridMultilevel"/>
    <w:tmpl w:val="E766B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175BB4"/>
    <w:multiLevelType w:val="hybridMultilevel"/>
    <w:tmpl w:val="B178E4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6C7B11"/>
    <w:multiLevelType w:val="hybridMultilevel"/>
    <w:tmpl w:val="70365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0866D6"/>
    <w:multiLevelType w:val="hybridMultilevel"/>
    <w:tmpl w:val="FF12F5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223782"/>
    <w:multiLevelType w:val="hybridMultilevel"/>
    <w:tmpl w:val="582E6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2A439E"/>
    <w:multiLevelType w:val="hybridMultilevel"/>
    <w:tmpl w:val="8EA61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526C39"/>
    <w:multiLevelType w:val="hybridMultilevel"/>
    <w:tmpl w:val="27809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3F80A78"/>
    <w:multiLevelType w:val="hybridMultilevel"/>
    <w:tmpl w:val="BF0EFB36"/>
    <w:lvl w:ilvl="0" w:tplc="13FAE528">
      <w:start w:val="30"/>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212D1A"/>
    <w:multiLevelType w:val="multilevel"/>
    <w:tmpl w:val="FCEC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C7455"/>
    <w:multiLevelType w:val="hybridMultilevel"/>
    <w:tmpl w:val="548C16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A0A6F5B"/>
    <w:multiLevelType w:val="hybridMultilevel"/>
    <w:tmpl w:val="A3962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D0636A"/>
    <w:multiLevelType w:val="hybridMultilevel"/>
    <w:tmpl w:val="61D21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F495038"/>
    <w:multiLevelType w:val="hybridMultilevel"/>
    <w:tmpl w:val="E09421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0973AF9"/>
    <w:multiLevelType w:val="hybridMultilevel"/>
    <w:tmpl w:val="33BE4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39C28E5"/>
    <w:multiLevelType w:val="hybridMultilevel"/>
    <w:tmpl w:val="1BD41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7CA7761"/>
    <w:multiLevelType w:val="hybridMultilevel"/>
    <w:tmpl w:val="26CA88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C8739B1"/>
    <w:multiLevelType w:val="hybridMultilevel"/>
    <w:tmpl w:val="FA2AD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32047B"/>
    <w:multiLevelType w:val="hybridMultilevel"/>
    <w:tmpl w:val="2E5864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111EED"/>
    <w:multiLevelType w:val="hybridMultilevel"/>
    <w:tmpl w:val="B882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F7C04A2"/>
    <w:multiLevelType w:val="hybridMultilevel"/>
    <w:tmpl w:val="F732E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9841852">
    <w:abstractNumId w:val="9"/>
  </w:num>
  <w:num w:numId="2" w16cid:durableId="902718908">
    <w:abstractNumId w:val="9"/>
  </w:num>
  <w:num w:numId="3" w16cid:durableId="1289358513">
    <w:abstractNumId w:val="7"/>
  </w:num>
  <w:num w:numId="4" w16cid:durableId="951983341">
    <w:abstractNumId w:val="7"/>
  </w:num>
  <w:num w:numId="5" w16cid:durableId="1140853047">
    <w:abstractNumId w:val="6"/>
  </w:num>
  <w:num w:numId="6" w16cid:durableId="920720223">
    <w:abstractNumId w:val="6"/>
  </w:num>
  <w:num w:numId="7" w16cid:durableId="1498763182">
    <w:abstractNumId w:val="8"/>
  </w:num>
  <w:num w:numId="8" w16cid:durableId="1131242374">
    <w:abstractNumId w:val="8"/>
  </w:num>
  <w:num w:numId="9" w16cid:durableId="148711813">
    <w:abstractNumId w:val="3"/>
  </w:num>
  <w:num w:numId="10" w16cid:durableId="859123796">
    <w:abstractNumId w:val="3"/>
  </w:num>
  <w:num w:numId="11" w16cid:durableId="1162356073">
    <w:abstractNumId w:val="2"/>
  </w:num>
  <w:num w:numId="12" w16cid:durableId="1522667924">
    <w:abstractNumId w:val="2"/>
  </w:num>
  <w:num w:numId="13" w16cid:durableId="1940673671">
    <w:abstractNumId w:val="5"/>
  </w:num>
  <w:num w:numId="14" w16cid:durableId="11368">
    <w:abstractNumId w:val="4"/>
  </w:num>
  <w:num w:numId="15" w16cid:durableId="482699096">
    <w:abstractNumId w:val="1"/>
  </w:num>
  <w:num w:numId="16" w16cid:durableId="375129000">
    <w:abstractNumId w:val="0"/>
  </w:num>
  <w:num w:numId="17" w16cid:durableId="590773432">
    <w:abstractNumId w:val="14"/>
  </w:num>
  <w:num w:numId="18" w16cid:durableId="2076590035">
    <w:abstractNumId w:val="30"/>
  </w:num>
  <w:num w:numId="19" w16cid:durableId="1341200379">
    <w:abstractNumId w:val="15"/>
  </w:num>
  <w:num w:numId="20" w16cid:durableId="1104763007">
    <w:abstractNumId w:val="22"/>
  </w:num>
  <w:num w:numId="21" w16cid:durableId="1705472909">
    <w:abstractNumId w:val="32"/>
  </w:num>
  <w:num w:numId="22" w16cid:durableId="1495023991">
    <w:abstractNumId w:val="18"/>
  </w:num>
  <w:num w:numId="23" w16cid:durableId="1562331583">
    <w:abstractNumId w:val="20"/>
  </w:num>
  <w:num w:numId="24" w16cid:durableId="1897083755">
    <w:abstractNumId w:val="25"/>
  </w:num>
  <w:num w:numId="25" w16cid:durableId="1416711069">
    <w:abstractNumId w:val="19"/>
  </w:num>
  <w:num w:numId="26" w16cid:durableId="1099563246">
    <w:abstractNumId w:val="30"/>
  </w:num>
  <w:num w:numId="27" w16cid:durableId="1593660886">
    <w:abstractNumId w:val="21"/>
  </w:num>
  <w:num w:numId="28" w16cid:durableId="2058889603">
    <w:abstractNumId w:val="16"/>
  </w:num>
  <w:num w:numId="29" w16cid:durableId="1079059004">
    <w:abstractNumId w:val="29"/>
  </w:num>
  <w:num w:numId="30" w16cid:durableId="189340853">
    <w:abstractNumId w:val="26"/>
  </w:num>
  <w:num w:numId="31" w16cid:durableId="1822310676">
    <w:abstractNumId w:val="24"/>
  </w:num>
  <w:num w:numId="32" w16cid:durableId="433013200">
    <w:abstractNumId w:val="12"/>
  </w:num>
  <w:num w:numId="33" w16cid:durableId="392192823">
    <w:abstractNumId w:val="27"/>
  </w:num>
  <w:num w:numId="34" w16cid:durableId="602691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7582804">
    <w:abstractNumId w:val="11"/>
  </w:num>
  <w:num w:numId="36" w16cid:durableId="897011884">
    <w:abstractNumId w:val="28"/>
  </w:num>
  <w:num w:numId="37" w16cid:durableId="1065955486">
    <w:abstractNumId w:val="10"/>
  </w:num>
  <w:num w:numId="38" w16cid:durableId="1130978964">
    <w:abstractNumId w:val="31"/>
  </w:num>
  <w:num w:numId="39" w16cid:durableId="867839490">
    <w:abstractNumId w:val="13"/>
  </w:num>
  <w:num w:numId="40" w16cid:durableId="382103977">
    <w:abstractNumId w:val="17"/>
  </w:num>
  <w:num w:numId="41" w16cid:durableId="81878535">
    <w:abstractNumId w:val="23"/>
  </w:num>
  <w:num w:numId="42" w16cid:durableId="15797484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9A"/>
    <w:rsid w:val="00002FBF"/>
    <w:rsid w:val="00005D0C"/>
    <w:rsid w:val="00006D27"/>
    <w:rsid w:val="00006FB3"/>
    <w:rsid w:val="00010A08"/>
    <w:rsid w:val="0001171D"/>
    <w:rsid w:val="0001243D"/>
    <w:rsid w:val="0001426A"/>
    <w:rsid w:val="0001446D"/>
    <w:rsid w:val="0001616D"/>
    <w:rsid w:val="00016614"/>
    <w:rsid w:val="0001762E"/>
    <w:rsid w:val="000220CA"/>
    <w:rsid w:val="000228CA"/>
    <w:rsid w:val="00023FCE"/>
    <w:rsid w:val="0002440C"/>
    <w:rsid w:val="00024523"/>
    <w:rsid w:val="00026CE2"/>
    <w:rsid w:val="00027CB9"/>
    <w:rsid w:val="000324AA"/>
    <w:rsid w:val="00033FC1"/>
    <w:rsid w:val="0003508A"/>
    <w:rsid w:val="000352A7"/>
    <w:rsid w:val="00035A0D"/>
    <w:rsid w:val="00037521"/>
    <w:rsid w:val="0003760C"/>
    <w:rsid w:val="00042253"/>
    <w:rsid w:val="00042669"/>
    <w:rsid w:val="000433AD"/>
    <w:rsid w:val="00043EAC"/>
    <w:rsid w:val="00044295"/>
    <w:rsid w:val="0004487C"/>
    <w:rsid w:val="0004523F"/>
    <w:rsid w:val="000460B0"/>
    <w:rsid w:val="000479ED"/>
    <w:rsid w:val="00047CD3"/>
    <w:rsid w:val="00052B46"/>
    <w:rsid w:val="000532D4"/>
    <w:rsid w:val="00053DAE"/>
    <w:rsid w:val="000541C0"/>
    <w:rsid w:val="00055870"/>
    <w:rsid w:val="00060CC4"/>
    <w:rsid w:val="00060DEE"/>
    <w:rsid w:val="000616CD"/>
    <w:rsid w:val="0006179C"/>
    <w:rsid w:val="0006230F"/>
    <w:rsid w:val="000627B1"/>
    <w:rsid w:val="0006366A"/>
    <w:rsid w:val="00063708"/>
    <w:rsid w:val="0006463B"/>
    <w:rsid w:val="000646A7"/>
    <w:rsid w:val="00064EE2"/>
    <w:rsid w:val="000655BE"/>
    <w:rsid w:val="00066BA7"/>
    <w:rsid w:val="000714D8"/>
    <w:rsid w:val="00071B17"/>
    <w:rsid w:val="00074A84"/>
    <w:rsid w:val="00075120"/>
    <w:rsid w:val="00075E69"/>
    <w:rsid w:val="00081F59"/>
    <w:rsid w:val="000831F6"/>
    <w:rsid w:val="0008415D"/>
    <w:rsid w:val="00084885"/>
    <w:rsid w:val="00085194"/>
    <w:rsid w:val="00085FC1"/>
    <w:rsid w:val="000869CD"/>
    <w:rsid w:val="00086C7E"/>
    <w:rsid w:val="00091A0C"/>
    <w:rsid w:val="00092433"/>
    <w:rsid w:val="00093154"/>
    <w:rsid w:val="00094A83"/>
    <w:rsid w:val="00095E0B"/>
    <w:rsid w:val="000A0212"/>
    <w:rsid w:val="000A0B9E"/>
    <w:rsid w:val="000A133E"/>
    <w:rsid w:val="000A2112"/>
    <w:rsid w:val="000A3C85"/>
    <w:rsid w:val="000A517E"/>
    <w:rsid w:val="000B0E34"/>
    <w:rsid w:val="000B120A"/>
    <w:rsid w:val="000B25A4"/>
    <w:rsid w:val="000C0549"/>
    <w:rsid w:val="000C11E8"/>
    <w:rsid w:val="000C29E0"/>
    <w:rsid w:val="000C5578"/>
    <w:rsid w:val="000C5656"/>
    <w:rsid w:val="000C7B2A"/>
    <w:rsid w:val="000D1F5A"/>
    <w:rsid w:val="000D3921"/>
    <w:rsid w:val="000D4A98"/>
    <w:rsid w:val="000D76C6"/>
    <w:rsid w:val="000E13C8"/>
    <w:rsid w:val="000E1F50"/>
    <w:rsid w:val="000E2042"/>
    <w:rsid w:val="000E251E"/>
    <w:rsid w:val="000E3F15"/>
    <w:rsid w:val="000E68C2"/>
    <w:rsid w:val="000E7511"/>
    <w:rsid w:val="000E7BC0"/>
    <w:rsid w:val="000F03A4"/>
    <w:rsid w:val="000F3E0C"/>
    <w:rsid w:val="000F44B3"/>
    <w:rsid w:val="000F497C"/>
    <w:rsid w:val="000F4A39"/>
    <w:rsid w:val="000F4A77"/>
    <w:rsid w:val="000F4C58"/>
    <w:rsid w:val="000F527F"/>
    <w:rsid w:val="000F5B62"/>
    <w:rsid w:val="000F6A36"/>
    <w:rsid w:val="000F6B95"/>
    <w:rsid w:val="000F72E3"/>
    <w:rsid w:val="000F764E"/>
    <w:rsid w:val="00101AC4"/>
    <w:rsid w:val="00101E08"/>
    <w:rsid w:val="00105400"/>
    <w:rsid w:val="0011041D"/>
    <w:rsid w:val="00110FF6"/>
    <w:rsid w:val="001111DB"/>
    <w:rsid w:val="001117FB"/>
    <w:rsid w:val="001125F9"/>
    <w:rsid w:val="00114115"/>
    <w:rsid w:val="00121CAB"/>
    <w:rsid w:val="00123C48"/>
    <w:rsid w:val="00125FFD"/>
    <w:rsid w:val="001269E0"/>
    <w:rsid w:val="0013102E"/>
    <w:rsid w:val="00131537"/>
    <w:rsid w:val="00134370"/>
    <w:rsid w:val="001364B3"/>
    <w:rsid w:val="00136A06"/>
    <w:rsid w:val="0013743F"/>
    <w:rsid w:val="00137473"/>
    <w:rsid w:val="00140043"/>
    <w:rsid w:val="0014085C"/>
    <w:rsid w:val="001431FE"/>
    <w:rsid w:val="001432DC"/>
    <w:rsid w:val="001445D8"/>
    <w:rsid w:val="00144B36"/>
    <w:rsid w:val="00146D95"/>
    <w:rsid w:val="0015096D"/>
    <w:rsid w:val="00150BA9"/>
    <w:rsid w:val="00150D6F"/>
    <w:rsid w:val="00151294"/>
    <w:rsid w:val="00152900"/>
    <w:rsid w:val="00152AA5"/>
    <w:rsid w:val="00152C81"/>
    <w:rsid w:val="001600E4"/>
    <w:rsid w:val="0016033B"/>
    <w:rsid w:val="00160C5E"/>
    <w:rsid w:val="00161591"/>
    <w:rsid w:val="00163B31"/>
    <w:rsid w:val="00165672"/>
    <w:rsid w:val="00165A1E"/>
    <w:rsid w:val="00165E13"/>
    <w:rsid w:val="00166153"/>
    <w:rsid w:val="001673CB"/>
    <w:rsid w:val="0017308F"/>
    <w:rsid w:val="0017351E"/>
    <w:rsid w:val="00173E8F"/>
    <w:rsid w:val="001769E1"/>
    <w:rsid w:val="00177247"/>
    <w:rsid w:val="00181FE6"/>
    <w:rsid w:val="00184D55"/>
    <w:rsid w:val="00185B40"/>
    <w:rsid w:val="001870D6"/>
    <w:rsid w:val="00187425"/>
    <w:rsid w:val="00193607"/>
    <w:rsid w:val="00193ABD"/>
    <w:rsid w:val="00194174"/>
    <w:rsid w:val="00197AC9"/>
    <w:rsid w:val="001A0C5F"/>
    <w:rsid w:val="001A0F61"/>
    <w:rsid w:val="001B1096"/>
    <w:rsid w:val="001B2192"/>
    <w:rsid w:val="001B2560"/>
    <w:rsid w:val="001B26F7"/>
    <w:rsid w:val="001B3FC9"/>
    <w:rsid w:val="001B5810"/>
    <w:rsid w:val="001B5FBB"/>
    <w:rsid w:val="001B61CB"/>
    <w:rsid w:val="001B6752"/>
    <w:rsid w:val="001C03FA"/>
    <w:rsid w:val="001C12F9"/>
    <w:rsid w:val="001C16FD"/>
    <w:rsid w:val="001C1986"/>
    <w:rsid w:val="001C1A75"/>
    <w:rsid w:val="001C6570"/>
    <w:rsid w:val="001D08A6"/>
    <w:rsid w:val="001D0E54"/>
    <w:rsid w:val="001D17A3"/>
    <w:rsid w:val="001D32F8"/>
    <w:rsid w:val="001D4205"/>
    <w:rsid w:val="001D4B6E"/>
    <w:rsid w:val="001D6C2C"/>
    <w:rsid w:val="001E04D0"/>
    <w:rsid w:val="001E0590"/>
    <w:rsid w:val="001E1936"/>
    <w:rsid w:val="001E1E36"/>
    <w:rsid w:val="001E2640"/>
    <w:rsid w:val="001E536E"/>
    <w:rsid w:val="001E6557"/>
    <w:rsid w:val="001E6F68"/>
    <w:rsid w:val="001F2D27"/>
    <w:rsid w:val="001F394C"/>
    <w:rsid w:val="001F51F4"/>
    <w:rsid w:val="001F56F2"/>
    <w:rsid w:val="001F5D87"/>
    <w:rsid w:val="002016CD"/>
    <w:rsid w:val="002025C7"/>
    <w:rsid w:val="002048D1"/>
    <w:rsid w:val="002052F2"/>
    <w:rsid w:val="002108F4"/>
    <w:rsid w:val="00211ACF"/>
    <w:rsid w:val="00211BEB"/>
    <w:rsid w:val="002121A1"/>
    <w:rsid w:val="00212771"/>
    <w:rsid w:val="002134A3"/>
    <w:rsid w:val="002151D8"/>
    <w:rsid w:val="002158B4"/>
    <w:rsid w:val="00215919"/>
    <w:rsid w:val="00216425"/>
    <w:rsid w:val="002166C6"/>
    <w:rsid w:val="0022129F"/>
    <w:rsid w:val="00221761"/>
    <w:rsid w:val="00227C39"/>
    <w:rsid w:val="0023036E"/>
    <w:rsid w:val="00231563"/>
    <w:rsid w:val="00231963"/>
    <w:rsid w:val="00231BDA"/>
    <w:rsid w:val="002328BA"/>
    <w:rsid w:val="002334CE"/>
    <w:rsid w:val="00234BA3"/>
    <w:rsid w:val="002368F2"/>
    <w:rsid w:val="00236A02"/>
    <w:rsid w:val="00237E8A"/>
    <w:rsid w:val="00242EA4"/>
    <w:rsid w:val="00252CA7"/>
    <w:rsid w:val="00254BFD"/>
    <w:rsid w:val="00254FFA"/>
    <w:rsid w:val="002552FB"/>
    <w:rsid w:val="002558C8"/>
    <w:rsid w:val="0025595D"/>
    <w:rsid w:val="00256B49"/>
    <w:rsid w:val="002602C7"/>
    <w:rsid w:val="00264EF5"/>
    <w:rsid w:val="00264EFF"/>
    <w:rsid w:val="0026622C"/>
    <w:rsid w:val="002667A9"/>
    <w:rsid w:val="002677EE"/>
    <w:rsid w:val="002702C5"/>
    <w:rsid w:val="00271295"/>
    <w:rsid w:val="00275162"/>
    <w:rsid w:val="002755DD"/>
    <w:rsid w:val="00276CCD"/>
    <w:rsid w:val="002770A8"/>
    <w:rsid w:val="0027717A"/>
    <w:rsid w:val="00277374"/>
    <w:rsid w:val="0027765E"/>
    <w:rsid w:val="0027794D"/>
    <w:rsid w:val="00280073"/>
    <w:rsid w:val="00280846"/>
    <w:rsid w:val="00281DE2"/>
    <w:rsid w:val="00284606"/>
    <w:rsid w:val="00284E78"/>
    <w:rsid w:val="00284F5F"/>
    <w:rsid w:val="0028614B"/>
    <w:rsid w:val="00287B8E"/>
    <w:rsid w:val="00290617"/>
    <w:rsid w:val="00290F10"/>
    <w:rsid w:val="00291822"/>
    <w:rsid w:val="00295382"/>
    <w:rsid w:val="00297BD2"/>
    <w:rsid w:val="002A3FE3"/>
    <w:rsid w:val="002A4777"/>
    <w:rsid w:val="002A5038"/>
    <w:rsid w:val="002A6326"/>
    <w:rsid w:val="002B09F1"/>
    <w:rsid w:val="002B36F8"/>
    <w:rsid w:val="002B3A24"/>
    <w:rsid w:val="002B5BF4"/>
    <w:rsid w:val="002B5D3E"/>
    <w:rsid w:val="002C06E0"/>
    <w:rsid w:val="002C202C"/>
    <w:rsid w:val="002C3702"/>
    <w:rsid w:val="002C40C3"/>
    <w:rsid w:val="002C4FDD"/>
    <w:rsid w:val="002C6785"/>
    <w:rsid w:val="002D03ED"/>
    <w:rsid w:val="002D05B0"/>
    <w:rsid w:val="002D0E1A"/>
    <w:rsid w:val="002D214A"/>
    <w:rsid w:val="002D4420"/>
    <w:rsid w:val="002D51B4"/>
    <w:rsid w:val="002E1821"/>
    <w:rsid w:val="002E1848"/>
    <w:rsid w:val="002E1AB6"/>
    <w:rsid w:val="002E5AE0"/>
    <w:rsid w:val="002E68F4"/>
    <w:rsid w:val="002E6FF8"/>
    <w:rsid w:val="002F006B"/>
    <w:rsid w:val="002F7AA0"/>
    <w:rsid w:val="003019AE"/>
    <w:rsid w:val="00303E0B"/>
    <w:rsid w:val="00305924"/>
    <w:rsid w:val="00306A13"/>
    <w:rsid w:val="00306A50"/>
    <w:rsid w:val="00306E36"/>
    <w:rsid w:val="00307585"/>
    <w:rsid w:val="00321297"/>
    <w:rsid w:val="00322A31"/>
    <w:rsid w:val="00322D97"/>
    <w:rsid w:val="003233BA"/>
    <w:rsid w:val="00323741"/>
    <w:rsid w:val="00324DCB"/>
    <w:rsid w:val="00325A0D"/>
    <w:rsid w:val="00326AA8"/>
    <w:rsid w:val="00326EBD"/>
    <w:rsid w:val="00327993"/>
    <w:rsid w:val="00327FA9"/>
    <w:rsid w:val="0033125D"/>
    <w:rsid w:val="00334954"/>
    <w:rsid w:val="00334D68"/>
    <w:rsid w:val="00342EB2"/>
    <w:rsid w:val="003450FE"/>
    <w:rsid w:val="0034698C"/>
    <w:rsid w:val="00346D0C"/>
    <w:rsid w:val="00347440"/>
    <w:rsid w:val="0035022A"/>
    <w:rsid w:val="00353941"/>
    <w:rsid w:val="00354563"/>
    <w:rsid w:val="00354DD3"/>
    <w:rsid w:val="0035560B"/>
    <w:rsid w:val="003560E3"/>
    <w:rsid w:val="00360712"/>
    <w:rsid w:val="003639C9"/>
    <w:rsid w:val="00364DDE"/>
    <w:rsid w:val="003700BD"/>
    <w:rsid w:val="003716CB"/>
    <w:rsid w:val="003750B7"/>
    <w:rsid w:val="00376728"/>
    <w:rsid w:val="00382ABB"/>
    <w:rsid w:val="00392354"/>
    <w:rsid w:val="003926AF"/>
    <w:rsid w:val="00392C52"/>
    <w:rsid w:val="0039392F"/>
    <w:rsid w:val="00393CF3"/>
    <w:rsid w:val="003944A4"/>
    <w:rsid w:val="00395753"/>
    <w:rsid w:val="003A05CC"/>
    <w:rsid w:val="003A0AAE"/>
    <w:rsid w:val="003A39BD"/>
    <w:rsid w:val="003A44C8"/>
    <w:rsid w:val="003A4C08"/>
    <w:rsid w:val="003A7436"/>
    <w:rsid w:val="003B04E4"/>
    <w:rsid w:val="003B10EC"/>
    <w:rsid w:val="003B1749"/>
    <w:rsid w:val="003B2DEB"/>
    <w:rsid w:val="003B31B1"/>
    <w:rsid w:val="003B4891"/>
    <w:rsid w:val="003B4D63"/>
    <w:rsid w:val="003B57D5"/>
    <w:rsid w:val="003C3670"/>
    <w:rsid w:val="003C3D12"/>
    <w:rsid w:val="003C5008"/>
    <w:rsid w:val="003C5331"/>
    <w:rsid w:val="003C61E8"/>
    <w:rsid w:val="003C7A5A"/>
    <w:rsid w:val="003D0C37"/>
    <w:rsid w:val="003D2CF9"/>
    <w:rsid w:val="003D635E"/>
    <w:rsid w:val="003D6B4D"/>
    <w:rsid w:val="003D71FB"/>
    <w:rsid w:val="003D726B"/>
    <w:rsid w:val="003D7B65"/>
    <w:rsid w:val="003E6627"/>
    <w:rsid w:val="003F1334"/>
    <w:rsid w:val="003F2874"/>
    <w:rsid w:val="003F330A"/>
    <w:rsid w:val="003F360A"/>
    <w:rsid w:val="003F40BF"/>
    <w:rsid w:val="003F549D"/>
    <w:rsid w:val="003F5766"/>
    <w:rsid w:val="003F5B83"/>
    <w:rsid w:val="003F5F1B"/>
    <w:rsid w:val="004016B4"/>
    <w:rsid w:val="00401E40"/>
    <w:rsid w:val="00402126"/>
    <w:rsid w:val="0040221F"/>
    <w:rsid w:val="004023DD"/>
    <w:rsid w:val="00402C5C"/>
    <w:rsid w:val="00402FC2"/>
    <w:rsid w:val="00403427"/>
    <w:rsid w:val="00403EA5"/>
    <w:rsid w:val="00404C6C"/>
    <w:rsid w:val="0040522C"/>
    <w:rsid w:val="00407AAF"/>
    <w:rsid w:val="0041121C"/>
    <w:rsid w:val="00413A28"/>
    <w:rsid w:val="00413EC1"/>
    <w:rsid w:val="0041504B"/>
    <w:rsid w:val="00416087"/>
    <w:rsid w:val="00417ECF"/>
    <w:rsid w:val="00421222"/>
    <w:rsid w:val="0042232F"/>
    <w:rsid w:val="004228A9"/>
    <w:rsid w:val="00422F5D"/>
    <w:rsid w:val="00423573"/>
    <w:rsid w:val="0042403F"/>
    <w:rsid w:val="0042424D"/>
    <w:rsid w:val="00425D4A"/>
    <w:rsid w:val="00425E44"/>
    <w:rsid w:val="004262BB"/>
    <w:rsid w:val="004267D9"/>
    <w:rsid w:val="00426900"/>
    <w:rsid w:val="00426D76"/>
    <w:rsid w:val="00432A5D"/>
    <w:rsid w:val="00432C07"/>
    <w:rsid w:val="00435924"/>
    <w:rsid w:val="00435C21"/>
    <w:rsid w:val="00437014"/>
    <w:rsid w:val="004410EC"/>
    <w:rsid w:val="0044238B"/>
    <w:rsid w:val="004471A0"/>
    <w:rsid w:val="00447B6F"/>
    <w:rsid w:val="00447D14"/>
    <w:rsid w:val="00452FB7"/>
    <w:rsid w:val="00453C0C"/>
    <w:rsid w:val="00455BCD"/>
    <w:rsid w:val="00455C45"/>
    <w:rsid w:val="004571E9"/>
    <w:rsid w:val="00461717"/>
    <w:rsid w:val="00464444"/>
    <w:rsid w:val="00464C4C"/>
    <w:rsid w:val="0046563F"/>
    <w:rsid w:val="004667FC"/>
    <w:rsid w:val="00472699"/>
    <w:rsid w:val="0047682C"/>
    <w:rsid w:val="00482C65"/>
    <w:rsid w:val="00484455"/>
    <w:rsid w:val="00484E11"/>
    <w:rsid w:val="00485E63"/>
    <w:rsid w:val="00486698"/>
    <w:rsid w:val="00487252"/>
    <w:rsid w:val="004934C9"/>
    <w:rsid w:val="00495E13"/>
    <w:rsid w:val="004A0303"/>
    <w:rsid w:val="004A0DED"/>
    <w:rsid w:val="004A2592"/>
    <w:rsid w:val="004A2B86"/>
    <w:rsid w:val="004A32A6"/>
    <w:rsid w:val="004A3945"/>
    <w:rsid w:val="004A3EDA"/>
    <w:rsid w:val="004A6250"/>
    <w:rsid w:val="004B12E7"/>
    <w:rsid w:val="004B4B09"/>
    <w:rsid w:val="004B7565"/>
    <w:rsid w:val="004B758F"/>
    <w:rsid w:val="004B7884"/>
    <w:rsid w:val="004B7EDB"/>
    <w:rsid w:val="004C06E2"/>
    <w:rsid w:val="004C1881"/>
    <w:rsid w:val="004C3390"/>
    <w:rsid w:val="004C5836"/>
    <w:rsid w:val="004C7B16"/>
    <w:rsid w:val="004D277A"/>
    <w:rsid w:val="004D2D5E"/>
    <w:rsid w:val="004D45F6"/>
    <w:rsid w:val="004D563E"/>
    <w:rsid w:val="004E46FD"/>
    <w:rsid w:val="004E6FD1"/>
    <w:rsid w:val="004E7278"/>
    <w:rsid w:val="004F0B05"/>
    <w:rsid w:val="004F1301"/>
    <w:rsid w:val="004F4590"/>
    <w:rsid w:val="004F7208"/>
    <w:rsid w:val="004F7A5C"/>
    <w:rsid w:val="00503F27"/>
    <w:rsid w:val="00506BF7"/>
    <w:rsid w:val="0051203E"/>
    <w:rsid w:val="00512148"/>
    <w:rsid w:val="00513029"/>
    <w:rsid w:val="005130EF"/>
    <w:rsid w:val="0051336F"/>
    <w:rsid w:val="00515CEC"/>
    <w:rsid w:val="0052012D"/>
    <w:rsid w:val="005202D4"/>
    <w:rsid w:val="00520FEE"/>
    <w:rsid w:val="005237FB"/>
    <w:rsid w:val="00526872"/>
    <w:rsid w:val="005272C2"/>
    <w:rsid w:val="00530CD0"/>
    <w:rsid w:val="00531BE2"/>
    <w:rsid w:val="00534444"/>
    <w:rsid w:val="00534E43"/>
    <w:rsid w:val="00535160"/>
    <w:rsid w:val="00537596"/>
    <w:rsid w:val="00540956"/>
    <w:rsid w:val="00541F96"/>
    <w:rsid w:val="00544335"/>
    <w:rsid w:val="00544763"/>
    <w:rsid w:val="00544E8C"/>
    <w:rsid w:val="0054533C"/>
    <w:rsid w:val="0054637F"/>
    <w:rsid w:val="00547BD9"/>
    <w:rsid w:val="00550195"/>
    <w:rsid w:val="00551D87"/>
    <w:rsid w:val="00553FE1"/>
    <w:rsid w:val="00554C46"/>
    <w:rsid w:val="00554D71"/>
    <w:rsid w:val="005550EC"/>
    <w:rsid w:val="0056066E"/>
    <w:rsid w:val="005616D6"/>
    <w:rsid w:val="00561DB3"/>
    <w:rsid w:val="00566EDF"/>
    <w:rsid w:val="00567FA0"/>
    <w:rsid w:val="00571658"/>
    <w:rsid w:val="005726A8"/>
    <w:rsid w:val="0057523F"/>
    <w:rsid w:val="00575689"/>
    <w:rsid w:val="00577065"/>
    <w:rsid w:val="005778B8"/>
    <w:rsid w:val="00581CE2"/>
    <w:rsid w:val="00582974"/>
    <w:rsid w:val="00583B85"/>
    <w:rsid w:val="00585F6D"/>
    <w:rsid w:val="00586299"/>
    <w:rsid w:val="00591D3D"/>
    <w:rsid w:val="00592508"/>
    <w:rsid w:val="0059265D"/>
    <w:rsid w:val="005951F8"/>
    <w:rsid w:val="00596BD0"/>
    <w:rsid w:val="00597757"/>
    <w:rsid w:val="005A4A53"/>
    <w:rsid w:val="005A741F"/>
    <w:rsid w:val="005B1EE7"/>
    <w:rsid w:val="005B2F3B"/>
    <w:rsid w:val="005B33FF"/>
    <w:rsid w:val="005B3918"/>
    <w:rsid w:val="005B56A1"/>
    <w:rsid w:val="005B6BB9"/>
    <w:rsid w:val="005C0471"/>
    <w:rsid w:val="005C45EB"/>
    <w:rsid w:val="005C4E85"/>
    <w:rsid w:val="005C7C57"/>
    <w:rsid w:val="005C7D5C"/>
    <w:rsid w:val="005C7ED4"/>
    <w:rsid w:val="005D3252"/>
    <w:rsid w:val="005D46EE"/>
    <w:rsid w:val="005D5061"/>
    <w:rsid w:val="005D5A7F"/>
    <w:rsid w:val="005E00FF"/>
    <w:rsid w:val="005E06C3"/>
    <w:rsid w:val="005E091A"/>
    <w:rsid w:val="005E383C"/>
    <w:rsid w:val="005E3ED2"/>
    <w:rsid w:val="005E400E"/>
    <w:rsid w:val="005E4065"/>
    <w:rsid w:val="005F0260"/>
    <w:rsid w:val="00601535"/>
    <w:rsid w:val="00601C74"/>
    <w:rsid w:val="00602D3B"/>
    <w:rsid w:val="00603AE0"/>
    <w:rsid w:val="00603DA9"/>
    <w:rsid w:val="00604A0A"/>
    <w:rsid w:val="00606109"/>
    <w:rsid w:val="0060618F"/>
    <w:rsid w:val="0061017D"/>
    <w:rsid w:val="006109BB"/>
    <w:rsid w:val="00610E01"/>
    <w:rsid w:val="00613926"/>
    <w:rsid w:val="006144CC"/>
    <w:rsid w:val="00615244"/>
    <w:rsid w:val="006168DD"/>
    <w:rsid w:val="00617D22"/>
    <w:rsid w:val="00622C66"/>
    <w:rsid w:val="006243E1"/>
    <w:rsid w:val="00624667"/>
    <w:rsid w:val="006246A1"/>
    <w:rsid w:val="00625C7D"/>
    <w:rsid w:val="00634530"/>
    <w:rsid w:val="006349ED"/>
    <w:rsid w:val="00636540"/>
    <w:rsid w:val="00637530"/>
    <w:rsid w:val="0064265D"/>
    <w:rsid w:val="0064333C"/>
    <w:rsid w:val="00644039"/>
    <w:rsid w:val="00645075"/>
    <w:rsid w:val="006501C1"/>
    <w:rsid w:val="00650B53"/>
    <w:rsid w:val="00654757"/>
    <w:rsid w:val="00654E07"/>
    <w:rsid w:val="0065606A"/>
    <w:rsid w:val="00657095"/>
    <w:rsid w:val="00660EEB"/>
    <w:rsid w:val="00662613"/>
    <w:rsid w:val="00663E12"/>
    <w:rsid w:val="00664C26"/>
    <w:rsid w:val="0067068D"/>
    <w:rsid w:val="006745A3"/>
    <w:rsid w:val="006756BE"/>
    <w:rsid w:val="00680EE0"/>
    <w:rsid w:val="006820D0"/>
    <w:rsid w:val="00682A61"/>
    <w:rsid w:val="0068407C"/>
    <w:rsid w:val="006851EF"/>
    <w:rsid w:val="00690A09"/>
    <w:rsid w:val="00692706"/>
    <w:rsid w:val="00693BF4"/>
    <w:rsid w:val="00695709"/>
    <w:rsid w:val="006A3A30"/>
    <w:rsid w:val="006A3D25"/>
    <w:rsid w:val="006A3D65"/>
    <w:rsid w:val="006A3EED"/>
    <w:rsid w:val="006A5B41"/>
    <w:rsid w:val="006A6720"/>
    <w:rsid w:val="006A7662"/>
    <w:rsid w:val="006A7A83"/>
    <w:rsid w:val="006B31C4"/>
    <w:rsid w:val="006B48CE"/>
    <w:rsid w:val="006B4D2C"/>
    <w:rsid w:val="006B5EC4"/>
    <w:rsid w:val="006B6962"/>
    <w:rsid w:val="006B6B2D"/>
    <w:rsid w:val="006B79EC"/>
    <w:rsid w:val="006B7E07"/>
    <w:rsid w:val="006C289B"/>
    <w:rsid w:val="006C4719"/>
    <w:rsid w:val="006C489B"/>
    <w:rsid w:val="006C4A39"/>
    <w:rsid w:val="006C4FE6"/>
    <w:rsid w:val="006C6267"/>
    <w:rsid w:val="006C6E9A"/>
    <w:rsid w:val="006C73BE"/>
    <w:rsid w:val="006C7B4D"/>
    <w:rsid w:val="006D1490"/>
    <w:rsid w:val="006D38EB"/>
    <w:rsid w:val="006D47C9"/>
    <w:rsid w:val="006D501F"/>
    <w:rsid w:val="006D5136"/>
    <w:rsid w:val="006D6890"/>
    <w:rsid w:val="006E0750"/>
    <w:rsid w:val="006E0E99"/>
    <w:rsid w:val="006E1F8E"/>
    <w:rsid w:val="006E21BA"/>
    <w:rsid w:val="006E389A"/>
    <w:rsid w:val="006E5754"/>
    <w:rsid w:val="006E60A6"/>
    <w:rsid w:val="006E7FE0"/>
    <w:rsid w:val="006F18DE"/>
    <w:rsid w:val="006F263D"/>
    <w:rsid w:val="006F290D"/>
    <w:rsid w:val="006F3575"/>
    <w:rsid w:val="006F4D3B"/>
    <w:rsid w:val="006F700D"/>
    <w:rsid w:val="006F7960"/>
    <w:rsid w:val="007035B0"/>
    <w:rsid w:val="00703D2B"/>
    <w:rsid w:val="007040CF"/>
    <w:rsid w:val="00704396"/>
    <w:rsid w:val="007046A5"/>
    <w:rsid w:val="00706B29"/>
    <w:rsid w:val="00707E80"/>
    <w:rsid w:val="00707FAC"/>
    <w:rsid w:val="00707FD9"/>
    <w:rsid w:val="00710AE2"/>
    <w:rsid w:val="00710F02"/>
    <w:rsid w:val="00714758"/>
    <w:rsid w:val="00717ECF"/>
    <w:rsid w:val="0072018B"/>
    <w:rsid w:val="007204BA"/>
    <w:rsid w:val="00720A23"/>
    <w:rsid w:val="00721708"/>
    <w:rsid w:val="007233A8"/>
    <w:rsid w:val="0072671F"/>
    <w:rsid w:val="007269A8"/>
    <w:rsid w:val="00727EF2"/>
    <w:rsid w:val="007316CE"/>
    <w:rsid w:val="007350D1"/>
    <w:rsid w:val="007371A7"/>
    <w:rsid w:val="007377C6"/>
    <w:rsid w:val="007377F3"/>
    <w:rsid w:val="0074077B"/>
    <w:rsid w:val="00741924"/>
    <w:rsid w:val="00741F1C"/>
    <w:rsid w:val="00743383"/>
    <w:rsid w:val="00744A27"/>
    <w:rsid w:val="00746224"/>
    <w:rsid w:val="00746FDB"/>
    <w:rsid w:val="0074750A"/>
    <w:rsid w:val="007475C6"/>
    <w:rsid w:val="00750076"/>
    <w:rsid w:val="007506C4"/>
    <w:rsid w:val="007507B5"/>
    <w:rsid w:val="00754A49"/>
    <w:rsid w:val="007603BA"/>
    <w:rsid w:val="00760999"/>
    <w:rsid w:val="007646EB"/>
    <w:rsid w:val="0077028C"/>
    <w:rsid w:val="00770A94"/>
    <w:rsid w:val="00773A5A"/>
    <w:rsid w:val="00773DA5"/>
    <w:rsid w:val="00774B5B"/>
    <w:rsid w:val="00775F9D"/>
    <w:rsid w:val="00776A5C"/>
    <w:rsid w:val="00777A66"/>
    <w:rsid w:val="00782576"/>
    <w:rsid w:val="00782A01"/>
    <w:rsid w:val="00782D96"/>
    <w:rsid w:val="00783D0B"/>
    <w:rsid w:val="00783F7C"/>
    <w:rsid w:val="00784B4F"/>
    <w:rsid w:val="007859EA"/>
    <w:rsid w:val="00785CB1"/>
    <w:rsid w:val="00786535"/>
    <w:rsid w:val="00790246"/>
    <w:rsid w:val="007912AE"/>
    <w:rsid w:val="00792064"/>
    <w:rsid w:val="00793F28"/>
    <w:rsid w:val="0079545F"/>
    <w:rsid w:val="00795990"/>
    <w:rsid w:val="007976E3"/>
    <w:rsid w:val="00797BD3"/>
    <w:rsid w:val="007A142B"/>
    <w:rsid w:val="007A1FF1"/>
    <w:rsid w:val="007A6886"/>
    <w:rsid w:val="007B400B"/>
    <w:rsid w:val="007B5AD5"/>
    <w:rsid w:val="007B614A"/>
    <w:rsid w:val="007B64B1"/>
    <w:rsid w:val="007B75C1"/>
    <w:rsid w:val="007C06B3"/>
    <w:rsid w:val="007C1D90"/>
    <w:rsid w:val="007C334A"/>
    <w:rsid w:val="007C5CEB"/>
    <w:rsid w:val="007C6358"/>
    <w:rsid w:val="007C71E3"/>
    <w:rsid w:val="007D059F"/>
    <w:rsid w:val="007D0A35"/>
    <w:rsid w:val="007D11B4"/>
    <w:rsid w:val="007D5E76"/>
    <w:rsid w:val="007E086B"/>
    <w:rsid w:val="007E19F2"/>
    <w:rsid w:val="007E26A2"/>
    <w:rsid w:val="007E2FEA"/>
    <w:rsid w:val="007F0856"/>
    <w:rsid w:val="007F21A5"/>
    <w:rsid w:val="007F51EA"/>
    <w:rsid w:val="007F6AD5"/>
    <w:rsid w:val="007F7570"/>
    <w:rsid w:val="008008AA"/>
    <w:rsid w:val="00800D54"/>
    <w:rsid w:val="008010F7"/>
    <w:rsid w:val="00801394"/>
    <w:rsid w:val="00802665"/>
    <w:rsid w:val="00810FFC"/>
    <w:rsid w:val="00811AB4"/>
    <w:rsid w:val="008144B9"/>
    <w:rsid w:val="00814E94"/>
    <w:rsid w:val="00816048"/>
    <w:rsid w:val="00816598"/>
    <w:rsid w:val="00817D12"/>
    <w:rsid w:val="00817DAB"/>
    <w:rsid w:val="0082520D"/>
    <w:rsid w:val="00827D25"/>
    <w:rsid w:val="00830845"/>
    <w:rsid w:val="00831B84"/>
    <w:rsid w:val="00831FA1"/>
    <w:rsid w:val="00836F3A"/>
    <w:rsid w:val="008371D6"/>
    <w:rsid w:val="0083731D"/>
    <w:rsid w:val="00840B33"/>
    <w:rsid w:val="00842C44"/>
    <w:rsid w:val="00845440"/>
    <w:rsid w:val="00847D07"/>
    <w:rsid w:val="008505A5"/>
    <w:rsid w:val="008517AF"/>
    <w:rsid w:val="00856C07"/>
    <w:rsid w:val="00857A6D"/>
    <w:rsid w:val="00857F7C"/>
    <w:rsid w:val="00861889"/>
    <w:rsid w:val="00862942"/>
    <w:rsid w:val="00863A45"/>
    <w:rsid w:val="008657EE"/>
    <w:rsid w:val="00866459"/>
    <w:rsid w:val="00871927"/>
    <w:rsid w:val="00872A95"/>
    <w:rsid w:val="00872E83"/>
    <w:rsid w:val="0087376F"/>
    <w:rsid w:val="0087390F"/>
    <w:rsid w:val="00885BD8"/>
    <w:rsid w:val="00887693"/>
    <w:rsid w:val="00894724"/>
    <w:rsid w:val="00896F6B"/>
    <w:rsid w:val="008A1430"/>
    <w:rsid w:val="008A14B7"/>
    <w:rsid w:val="008A2296"/>
    <w:rsid w:val="008A5511"/>
    <w:rsid w:val="008A5D1A"/>
    <w:rsid w:val="008A5D26"/>
    <w:rsid w:val="008B06A4"/>
    <w:rsid w:val="008B0CA9"/>
    <w:rsid w:val="008B2A26"/>
    <w:rsid w:val="008B42FF"/>
    <w:rsid w:val="008B44AC"/>
    <w:rsid w:val="008B7273"/>
    <w:rsid w:val="008B7939"/>
    <w:rsid w:val="008C61E4"/>
    <w:rsid w:val="008C7721"/>
    <w:rsid w:val="008C7A9A"/>
    <w:rsid w:val="008D048F"/>
    <w:rsid w:val="008D0CF6"/>
    <w:rsid w:val="008D32B9"/>
    <w:rsid w:val="008D3A5E"/>
    <w:rsid w:val="008D6376"/>
    <w:rsid w:val="008D728A"/>
    <w:rsid w:val="008E0F84"/>
    <w:rsid w:val="008E147A"/>
    <w:rsid w:val="008E1EEE"/>
    <w:rsid w:val="008E2438"/>
    <w:rsid w:val="008E24A4"/>
    <w:rsid w:val="008E3809"/>
    <w:rsid w:val="008E7B4E"/>
    <w:rsid w:val="008F0281"/>
    <w:rsid w:val="008F29EC"/>
    <w:rsid w:val="008F5853"/>
    <w:rsid w:val="008F61F2"/>
    <w:rsid w:val="008F6E58"/>
    <w:rsid w:val="00902C5B"/>
    <w:rsid w:val="009033EF"/>
    <w:rsid w:val="00903590"/>
    <w:rsid w:val="009036F8"/>
    <w:rsid w:val="00903CDE"/>
    <w:rsid w:val="0091073C"/>
    <w:rsid w:val="00910EC8"/>
    <w:rsid w:val="00911AD8"/>
    <w:rsid w:val="00912399"/>
    <w:rsid w:val="00913638"/>
    <w:rsid w:val="00914909"/>
    <w:rsid w:val="00914F12"/>
    <w:rsid w:val="00917110"/>
    <w:rsid w:val="00920DB7"/>
    <w:rsid w:val="00922EEB"/>
    <w:rsid w:val="00923DC7"/>
    <w:rsid w:val="009272AC"/>
    <w:rsid w:val="00930242"/>
    <w:rsid w:val="0093313C"/>
    <w:rsid w:val="00934B05"/>
    <w:rsid w:val="00937C34"/>
    <w:rsid w:val="009436D6"/>
    <w:rsid w:val="00944EE1"/>
    <w:rsid w:val="0094595E"/>
    <w:rsid w:val="00950AD7"/>
    <w:rsid w:val="00952510"/>
    <w:rsid w:val="00952658"/>
    <w:rsid w:val="00953E5B"/>
    <w:rsid w:val="0095483D"/>
    <w:rsid w:val="0095589F"/>
    <w:rsid w:val="00955D2A"/>
    <w:rsid w:val="0095743E"/>
    <w:rsid w:val="0096055C"/>
    <w:rsid w:val="00963625"/>
    <w:rsid w:val="00963CF5"/>
    <w:rsid w:val="00966C30"/>
    <w:rsid w:val="00967EBD"/>
    <w:rsid w:val="009706FE"/>
    <w:rsid w:val="009719FD"/>
    <w:rsid w:val="00971C80"/>
    <w:rsid w:val="0097214C"/>
    <w:rsid w:val="00973B50"/>
    <w:rsid w:val="009754F6"/>
    <w:rsid w:val="00976C58"/>
    <w:rsid w:val="009802DC"/>
    <w:rsid w:val="009820E3"/>
    <w:rsid w:val="00982D84"/>
    <w:rsid w:val="009842F8"/>
    <w:rsid w:val="00984AB9"/>
    <w:rsid w:val="00985210"/>
    <w:rsid w:val="009862C1"/>
    <w:rsid w:val="009863CC"/>
    <w:rsid w:val="00986EE8"/>
    <w:rsid w:val="00987386"/>
    <w:rsid w:val="00990E88"/>
    <w:rsid w:val="009914A9"/>
    <w:rsid w:val="00994483"/>
    <w:rsid w:val="0099472B"/>
    <w:rsid w:val="009963D9"/>
    <w:rsid w:val="00996F76"/>
    <w:rsid w:val="009A12BE"/>
    <w:rsid w:val="009A2F55"/>
    <w:rsid w:val="009A3A4B"/>
    <w:rsid w:val="009A3A81"/>
    <w:rsid w:val="009A3B5D"/>
    <w:rsid w:val="009A661D"/>
    <w:rsid w:val="009A6C78"/>
    <w:rsid w:val="009B17C5"/>
    <w:rsid w:val="009B2890"/>
    <w:rsid w:val="009B371E"/>
    <w:rsid w:val="009B38D8"/>
    <w:rsid w:val="009B4106"/>
    <w:rsid w:val="009B52DC"/>
    <w:rsid w:val="009B5AB2"/>
    <w:rsid w:val="009B5C1D"/>
    <w:rsid w:val="009B772D"/>
    <w:rsid w:val="009C18E0"/>
    <w:rsid w:val="009C1F21"/>
    <w:rsid w:val="009C389B"/>
    <w:rsid w:val="009C3BD7"/>
    <w:rsid w:val="009C4D62"/>
    <w:rsid w:val="009C6032"/>
    <w:rsid w:val="009C7596"/>
    <w:rsid w:val="009D4098"/>
    <w:rsid w:val="009D6415"/>
    <w:rsid w:val="009E2559"/>
    <w:rsid w:val="009E3A46"/>
    <w:rsid w:val="009E5406"/>
    <w:rsid w:val="009F22B2"/>
    <w:rsid w:val="009F26C9"/>
    <w:rsid w:val="009F2F0B"/>
    <w:rsid w:val="009F6A72"/>
    <w:rsid w:val="00A00834"/>
    <w:rsid w:val="00A02CCE"/>
    <w:rsid w:val="00A04593"/>
    <w:rsid w:val="00A04D1C"/>
    <w:rsid w:val="00A05233"/>
    <w:rsid w:val="00A05270"/>
    <w:rsid w:val="00A06A84"/>
    <w:rsid w:val="00A075AF"/>
    <w:rsid w:val="00A10A75"/>
    <w:rsid w:val="00A10ADB"/>
    <w:rsid w:val="00A1195A"/>
    <w:rsid w:val="00A125E8"/>
    <w:rsid w:val="00A16EC3"/>
    <w:rsid w:val="00A2125D"/>
    <w:rsid w:val="00A2520E"/>
    <w:rsid w:val="00A26651"/>
    <w:rsid w:val="00A268FD"/>
    <w:rsid w:val="00A30C40"/>
    <w:rsid w:val="00A30C7F"/>
    <w:rsid w:val="00A33226"/>
    <w:rsid w:val="00A33CAA"/>
    <w:rsid w:val="00A357F9"/>
    <w:rsid w:val="00A36286"/>
    <w:rsid w:val="00A40944"/>
    <w:rsid w:val="00A41941"/>
    <w:rsid w:val="00A41E98"/>
    <w:rsid w:val="00A41F14"/>
    <w:rsid w:val="00A42E1D"/>
    <w:rsid w:val="00A51158"/>
    <w:rsid w:val="00A54BD7"/>
    <w:rsid w:val="00A54C20"/>
    <w:rsid w:val="00A54CA2"/>
    <w:rsid w:val="00A55EDA"/>
    <w:rsid w:val="00A56579"/>
    <w:rsid w:val="00A56666"/>
    <w:rsid w:val="00A572C8"/>
    <w:rsid w:val="00A62953"/>
    <w:rsid w:val="00A64A2E"/>
    <w:rsid w:val="00A64B90"/>
    <w:rsid w:val="00A65C73"/>
    <w:rsid w:val="00A66340"/>
    <w:rsid w:val="00A665B8"/>
    <w:rsid w:val="00A67E0A"/>
    <w:rsid w:val="00A67F47"/>
    <w:rsid w:val="00A70AFA"/>
    <w:rsid w:val="00A72B1D"/>
    <w:rsid w:val="00A73204"/>
    <w:rsid w:val="00A73687"/>
    <w:rsid w:val="00A75E6A"/>
    <w:rsid w:val="00A775AC"/>
    <w:rsid w:val="00A80100"/>
    <w:rsid w:val="00A8250E"/>
    <w:rsid w:val="00A8294B"/>
    <w:rsid w:val="00A84034"/>
    <w:rsid w:val="00A8447C"/>
    <w:rsid w:val="00A84E60"/>
    <w:rsid w:val="00A85118"/>
    <w:rsid w:val="00A85159"/>
    <w:rsid w:val="00A87591"/>
    <w:rsid w:val="00A87721"/>
    <w:rsid w:val="00A91986"/>
    <w:rsid w:val="00A92A08"/>
    <w:rsid w:val="00A93069"/>
    <w:rsid w:val="00A94A28"/>
    <w:rsid w:val="00A94CBE"/>
    <w:rsid w:val="00A95C0E"/>
    <w:rsid w:val="00A96F78"/>
    <w:rsid w:val="00A97D23"/>
    <w:rsid w:val="00AA1D59"/>
    <w:rsid w:val="00AA307E"/>
    <w:rsid w:val="00AA339A"/>
    <w:rsid w:val="00AA5C6A"/>
    <w:rsid w:val="00AA6CCE"/>
    <w:rsid w:val="00AA740C"/>
    <w:rsid w:val="00AB0C67"/>
    <w:rsid w:val="00AB0CC0"/>
    <w:rsid w:val="00AB484D"/>
    <w:rsid w:val="00AB5546"/>
    <w:rsid w:val="00AB681C"/>
    <w:rsid w:val="00AB72B4"/>
    <w:rsid w:val="00AB7303"/>
    <w:rsid w:val="00AC19B9"/>
    <w:rsid w:val="00AC231B"/>
    <w:rsid w:val="00AC3455"/>
    <w:rsid w:val="00AC3922"/>
    <w:rsid w:val="00AD4A51"/>
    <w:rsid w:val="00AD6380"/>
    <w:rsid w:val="00AD79DB"/>
    <w:rsid w:val="00AD7ADC"/>
    <w:rsid w:val="00AE036D"/>
    <w:rsid w:val="00AE0F9C"/>
    <w:rsid w:val="00AE2F88"/>
    <w:rsid w:val="00AE43F2"/>
    <w:rsid w:val="00AE4C13"/>
    <w:rsid w:val="00AE7F0B"/>
    <w:rsid w:val="00AF0003"/>
    <w:rsid w:val="00AF1735"/>
    <w:rsid w:val="00AF685E"/>
    <w:rsid w:val="00B002DB"/>
    <w:rsid w:val="00B00BC5"/>
    <w:rsid w:val="00B00F97"/>
    <w:rsid w:val="00B01F07"/>
    <w:rsid w:val="00B04BAE"/>
    <w:rsid w:val="00B063E2"/>
    <w:rsid w:val="00B12620"/>
    <w:rsid w:val="00B12854"/>
    <w:rsid w:val="00B1298D"/>
    <w:rsid w:val="00B12F09"/>
    <w:rsid w:val="00B13431"/>
    <w:rsid w:val="00B13A9E"/>
    <w:rsid w:val="00B14008"/>
    <w:rsid w:val="00B14618"/>
    <w:rsid w:val="00B2056C"/>
    <w:rsid w:val="00B21262"/>
    <w:rsid w:val="00B23E81"/>
    <w:rsid w:val="00B26CEA"/>
    <w:rsid w:val="00B30288"/>
    <w:rsid w:val="00B32EA0"/>
    <w:rsid w:val="00B34E14"/>
    <w:rsid w:val="00B40997"/>
    <w:rsid w:val="00B412D2"/>
    <w:rsid w:val="00B42C10"/>
    <w:rsid w:val="00B42D6A"/>
    <w:rsid w:val="00B45EA8"/>
    <w:rsid w:val="00B45FDC"/>
    <w:rsid w:val="00B468DA"/>
    <w:rsid w:val="00B4695D"/>
    <w:rsid w:val="00B47636"/>
    <w:rsid w:val="00B479AA"/>
    <w:rsid w:val="00B47D23"/>
    <w:rsid w:val="00B50E39"/>
    <w:rsid w:val="00B52A51"/>
    <w:rsid w:val="00B5323E"/>
    <w:rsid w:val="00B53A01"/>
    <w:rsid w:val="00B53A5A"/>
    <w:rsid w:val="00B5756B"/>
    <w:rsid w:val="00B60687"/>
    <w:rsid w:val="00B60BF3"/>
    <w:rsid w:val="00B616A9"/>
    <w:rsid w:val="00B616D2"/>
    <w:rsid w:val="00B6200F"/>
    <w:rsid w:val="00B63B43"/>
    <w:rsid w:val="00B64364"/>
    <w:rsid w:val="00B64418"/>
    <w:rsid w:val="00B65FDC"/>
    <w:rsid w:val="00B66A74"/>
    <w:rsid w:val="00B67125"/>
    <w:rsid w:val="00B675AE"/>
    <w:rsid w:val="00B74204"/>
    <w:rsid w:val="00B74BD3"/>
    <w:rsid w:val="00B76547"/>
    <w:rsid w:val="00B76B65"/>
    <w:rsid w:val="00B770A8"/>
    <w:rsid w:val="00B8048C"/>
    <w:rsid w:val="00B817B0"/>
    <w:rsid w:val="00B83D7A"/>
    <w:rsid w:val="00B84850"/>
    <w:rsid w:val="00B85D18"/>
    <w:rsid w:val="00B85EF6"/>
    <w:rsid w:val="00B8616C"/>
    <w:rsid w:val="00B8690F"/>
    <w:rsid w:val="00B86D43"/>
    <w:rsid w:val="00B86EDB"/>
    <w:rsid w:val="00B91FB4"/>
    <w:rsid w:val="00B92385"/>
    <w:rsid w:val="00B93918"/>
    <w:rsid w:val="00B94A64"/>
    <w:rsid w:val="00B97F75"/>
    <w:rsid w:val="00BA2579"/>
    <w:rsid w:val="00BA2AAF"/>
    <w:rsid w:val="00BA4149"/>
    <w:rsid w:val="00BA4638"/>
    <w:rsid w:val="00BA469E"/>
    <w:rsid w:val="00BA550D"/>
    <w:rsid w:val="00BA58C1"/>
    <w:rsid w:val="00BA676B"/>
    <w:rsid w:val="00BB00D5"/>
    <w:rsid w:val="00BB1B1D"/>
    <w:rsid w:val="00BB3BD1"/>
    <w:rsid w:val="00BB405D"/>
    <w:rsid w:val="00BB41CD"/>
    <w:rsid w:val="00BB435F"/>
    <w:rsid w:val="00BC05D1"/>
    <w:rsid w:val="00BC3890"/>
    <w:rsid w:val="00BC4FDB"/>
    <w:rsid w:val="00BC5355"/>
    <w:rsid w:val="00BC5674"/>
    <w:rsid w:val="00BC6AF9"/>
    <w:rsid w:val="00BC74C2"/>
    <w:rsid w:val="00BD007C"/>
    <w:rsid w:val="00BD0365"/>
    <w:rsid w:val="00BD30DF"/>
    <w:rsid w:val="00BD5011"/>
    <w:rsid w:val="00BD58E9"/>
    <w:rsid w:val="00BD7403"/>
    <w:rsid w:val="00BE270D"/>
    <w:rsid w:val="00BE3DCC"/>
    <w:rsid w:val="00BE42CF"/>
    <w:rsid w:val="00BE4C3E"/>
    <w:rsid w:val="00BE5FA8"/>
    <w:rsid w:val="00BE60B0"/>
    <w:rsid w:val="00BE7B3F"/>
    <w:rsid w:val="00BF05F5"/>
    <w:rsid w:val="00BF0E0B"/>
    <w:rsid w:val="00BF142E"/>
    <w:rsid w:val="00BF2D26"/>
    <w:rsid w:val="00BF3C30"/>
    <w:rsid w:val="00BF4AC9"/>
    <w:rsid w:val="00BF7EF6"/>
    <w:rsid w:val="00C01AB0"/>
    <w:rsid w:val="00C03613"/>
    <w:rsid w:val="00C03FC5"/>
    <w:rsid w:val="00C04A17"/>
    <w:rsid w:val="00C05398"/>
    <w:rsid w:val="00C06020"/>
    <w:rsid w:val="00C0666E"/>
    <w:rsid w:val="00C117CB"/>
    <w:rsid w:val="00C12C2B"/>
    <w:rsid w:val="00C13242"/>
    <w:rsid w:val="00C13388"/>
    <w:rsid w:val="00C1521D"/>
    <w:rsid w:val="00C154AE"/>
    <w:rsid w:val="00C1553A"/>
    <w:rsid w:val="00C2240D"/>
    <w:rsid w:val="00C2518B"/>
    <w:rsid w:val="00C2601A"/>
    <w:rsid w:val="00C261A9"/>
    <w:rsid w:val="00C37698"/>
    <w:rsid w:val="00C409D3"/>
    <w:rsid w:val="00C40C3E"/>
    <w:rsid w:val="00C4322B"/>
    <w:rsid w:val="00C4684C"/>
    <w:rsid w:val="00C46DB9"/>
    <w:rsid w:val="00C47269"/>
    <w:rsid w:val="00C506F6"/>
    <w:rsid w:val="00C5107B"/>
    <w:rsid w:val="00C523A1"/>
    <w:rsid w:val="00C5388F"/>
    <w:rsid w:val="00C552EA"/>
    <w:rsid w:val="00C56852"/>
    <w:rsid w:val="00C57B45"/>
    <w:rsid w:val="00C608B0"/>
    <w:rsid w:val="00C67E5B"/>
    <w:rsid w:val="00C71031"/>
    <w:rsid w:val="00C72409"/>
    <w:rsid w:val="00C7298E"/>
    <w:rsid w:val="00C75F6B"/>
    <w:rsid w:val="00C83F41"/>
    <w:rsid w:val="00C862AE"/>
    <w:rsid w:val="00C867C9"/>
    <w:rsid w:val="00C9222C"/>
    <w:rsid w:val="00C930CD"/>
    <w:rsid w:val="00C957A0"/>
    <w:rsid w:val="00C95B97"/>
    <w:rsid w:val="00C9685F"/>
    <w:rsid w:val="00CA1AE7"/>
    <w:rsid w:val="00CA2DB6"/>
    <w:rsid w:val="00CB08F8"/>
    <w:rsid w:val="00CB17DE"/>
    <w:rsid w:val="00CB1E77"/>
    <w:rsid w:val="00CB39D9"/>
    <w:rsid w:val="00CC055E"/>
    <w:rsid w:val="00CC33B2"/>
    <w:rsid w:val="00CC5953"/>
    <w:rsid w:val="00CC66C8"/>
    <w:rsid w:val="00CD1785"/>
    <w:rsid w:val="00CD1E54"/>
    <w:rsid w:val="00CD5CD9"/>
    <w:rsid w:val="00CD78E8"/>
    <w:rsid w:val="00CE47EB"/>
    <w:rsid w:val="00CE535C"/>
    <w:rsid w:val="00CE5B34"/>
    <w:rsid w:val="00CE700F"/>
    <w:rsid w:val="00CF1A54"/>
    <w:rsid w:val="00CF3214"/>
    <w:rsid w:val="00CF430D"/>
    <w:rsid w:val="00CF4DEF"/>
    <w:rsid w:val="00D003D9"/>
    <w:rsid w:val="00D009DF"/>
    <w:rsid w:val="00D01899"/>
    <w:rsid w:val="00D0273E"/>
    <w:rsid w:val="00D0394E"/>
    <w:rsid w:val="00D04508"/>
    <w:rsid w:val="00D04908"/>
    <w:rsid w:val="00D058C3"/>
    <w:rsid w:val="00D066A0"/>
    <w:rsid w:val="00D06F6B"/>
    <w:rsid w:val="00D13399"/>
    <w:rsid w:val="00D13DEB"/>
    <w:rsid w:val="00D2342A"/>
    <w:rsid w:val="00D24FBD"/>
    <w:rsid w:val="00D264B6"/>
    <w:rsid w:val="00D27043"/>
    <w:rsid w:val="00D30A29"/>
    <w:rsid w:val="00D319A4"/>
    <w:rsid w:val="00D3210A"/>
    <w:rsid w:val="00D3317D"/>
    <w:rsid w:val="00D36F82"/>
    <w:rsid w:val="00D40810"/>
    <w:rsid w:val="00D46085"/>
    <w:rsid w:val="00D524D2"/>
    <w:rsid w:val="00D5289A"/>
    <w:rsid w:val="00D56DEB"/>
    <w:rsid w:val="00D61734"/>
    <w:rsid w:val="00D61A82"/>
    <w:rsid w:val="00D648AD"/>
    <w:rsid w:val="00D6538D"/>
    <w:rsid w:val="00D70522"/>
    <w:rsid w:val="00D7155B"/>
    <w:rsid w:val="00D71E70"/>
    <w:rsid w:val="00D74A36"/>
    <w:rsid w:val="00D77089"/>
    <w:rsid w:val="00D80560"/>
    <w:rsid w:val="00D80B18"/>
    <w:rsid w:val="00D814E5"/>
    <w:rsid w:val="00D8166E"/>
    <w:rsid w:val="00D81E9F"/>
    <w:rsid w:val="00D83306"/>
    <w:rsid w:val="00D83854"/>
    <w:rsid w:val="00D85BAA"/>
    <w:rsid w:val="00D91198"/>
    <w:rsid w:val="00D91603"/>
    <w:rsid w:val="00D91956"/>
    <w:rsid w:val="00D94215"/>
    <w:rsid w:val="00D9523F"/>
    <w:rsid w:val="00D95864"/>
    <w:rsid w:val="00D97F5D"/>
    <w:rsid w:val="00DA1AC3"/>
    <w:rsid w:val="00DA298B"/>
    <w:rsid w:val="00DA3558"/>
    <w:rsid w:val="00DA4271"/>
    <w:rsid w:val="00DA5D81"/>
    <w:rsid w:val="00DA6D3C"/>
    <w:rsid w:val="00DB1059"/>
    <w:rsid w:val="00DB11B6"/>
    <w:rsid w:val="00DB1A60"/>
    <w:rsid w:val="00DB2046"/>
    <w:rsid w:val="00DC02F0"/>
    <w:rsid w:val="00DC392C"/>
    <w:rsid w:val="00DC5E42"/>
    <w:rsid w:val="00DD10F8"/>
    <w:rsid w:val="00DD3016"/>
    <w:rsid w:val="00DE2C4A"/>
    <w:rsid w:val="00DE386A"/>
    <w:rsid w:val="00DE38A4"/>
    <w:rsid w:val="00DF00F3"/>
    <w:rsid w:val="00DF0DD5"/>
    <w:rsid w:val="00DF32A7"/>
    <w:rsid w:val="00DF6747"/>
    <w:rsid w:val="00E008B4"/>
    <w:rsid w:val="00E01E22"/>
    <w:rsid w:val="00E03C90"/>
    <w:rsid w:val="00E04BC8"/>
    <w:rsid w:val="00E060D2"/>
    <w:rsid w:val="00E0653E"/>
    <w:rsid w:val="00E0676A"/>
    <w:rsid w:val="00E06FDB"/>
    <w:rsid w:val="00E10AC8"/>
    <w:rsid w:val="00E10C2E"/>
    <w:rsid w:val="00E122E4"/>
    <w:rsid w:val="00E130A3"/>
    <w:rsid w:val="00E1359B"/>
    <w:rsid w:val="00E13936"/>
    <w:rsid w:val="00E13D2F"/>
    <w:rsid w:val="00E1621B"/>
    <w:rsid w:val="00E1685E"/>
    <w:rsid w:val="00E1730B"/>
    <w:rsid w:val="00E17C6D"/>
    <w:rsid w:val="00E21434"/>
    <w:rsid w:val="00E21686"/>
    <w:rsid w:val="00E233AE"/>
    <w:rsid w:val="00E269A2"/>
    <w:rsid w:val="00E3034F"/>
    <w:rsid w:val="00E30A7B"/>
    <w:rsid w:val="00E3375C"/>
    <w:rsid w:val="00E36793"/>
    <w:rsid w:val="00E378B3"/>
    <w:rsid w:val="00E37B5E"/>
    <w:rsid w:val="00E37BC9"/>
    <w:rsid w:val="00E407D9"/>
    <w:rsid w:val="00E4183A"/>
    <w:rsid w:val="00E44FD4"/>
    <w:rsid w:val="00E46576"/>
    <w:rsid w:val="00E50E38"/>
    <w:rsid w:val="00E54876"/>
    <w:rsid w:val="00E54C5A"/>
    <w:rsid w:val="00E5541F"/>
    <w:rsid w:val="00E55801"/>
    <w:rsid w:val="00E57614"/>
    <w:rsid w:val="00E576CF"/>
    <w:rsid w:val="00E628B0"/>
    <w:rsid w:val="00E6308D"/>
    <w:rsid w:val="00E6467A"/>
    <w:rsid w:val="00E6609A"/>
    <w:rsid w:val="00E67E44"/>
    <w:rsid w:val="00E72988"/>
    <w:rsid w:val="00E73998"/>
    <w:rsid w:val="00E746AC"/>
    <w:rsid w:val="00E74CAD"/>
    <w:rsid w:val="00E74F08"/>
    <w:rsid w:val="00E80749"/>
    <w:rsid w:val="00E81DE3"/>
    <w:rsid w:val="00E82D79"/>
    <w:rsid w:val="00E82FF0"/>
    <w:rsid w:val="00E863F9"/>
    <w:rsid w:val="00E92B70"/>
    <w:rsid w:val="00E93724"/>
    <w:rsid w:val="00E963DB"/>
    <w:rsid w:val="00E96936"/>
    <w:rsid w:val="00E96DE6"/>
    <w:rsid w:val="00EA1046"/>
    <w:rsid w:val="00EA362F"/>
    <w:rsid w:val="00EA3700"/>
    <w:rsid w:val="00EA50EA"/>
    <w:rsid w:val="00EA580C"/>
    <w:rsid w:val="00EA61D2"/>
    <w:rsid w:val="00EB2497"/>
    <w:rsid w:val="00EB3E73"/>
    <w:rsid w:val="00EB4384"/>
    <w:rsid w:val="00EC0377"/>
    <w:rsid w:val="00EC2ADB"/>
    <w:rsid w:val="00ED0568"/>
    <w:rsid w:val="00ED0B9E"/>
    <w:rsid w:val="00ED0FD5"/>
    <w:rsid w:val="00ED2629"/>
    <w:rsid w:val="00ED295B"/>
    <w:rsid w:val="00ED65B9"/>
    <w:rsid w:val="00ED6768"/>
    <w:rsid w:val="00ED6E91"/>
    <w:rsid w:val="00ED7F2E"/>
    <w:rsid w:val="00ED7F67"/>
    <w:rsid w:val="00EE21BA"/>
    <w:rsid w:val="00EE2F98"/>
    <w:rsid w:val="00EE3F67"/>
    <w:rsid w:val="00EE5852"/>
    <w:rsid w:val="00EE5A02"/>
    <w:rsid w:val="00EE6A43"/>
    <w:rsid w:val="00EE6CA8"/>
    <w:rsid w:val="00EE7E1A"/>
    <w:rsid w:val="00EF11F5"/>
    <w:rsid w:val="00EF1F1C"/>
    <w:rsid w:val="00EF23BE"/>
    <w:rsid w:val="00EF5778"/>
    <w:rsid w:val="00EF5DE6"/>
    <w:rsid w:val="00EF662E"/>
    <w:rsid w:val="00F0240B"/>
    <w:rsid w:val="00F03522"/>
    <w:rsid w:val="00F0718B"/>
    <w:rsid w:val="00F118D8"/>
    <w:rsid w:val="00F11D32"/>
    <w:rsid w:val="00F151D6"/>
    <w:rsid w:val="00F17067"/>
    <w:rsid w:val="00F17665"/>
    <w:rsid w:val="00F20F5D"/>
    <w:rsid w:val="00F22161"/>
    <w:rsid w:val="00F226B1"/>
    <w:rsid w:val="00F22BBF"/>
    <w:rsid w:val="00F249B4"/>
    <w:rsid w:val="00F24DC3"/>
    <w:rsid w:val="00F2746C"/>
    <w:rsid w:val="00F30EA8"/>
    <w:rsid w:val="00F32111"/>
    <w:rsid w:val="00F32210"/>
    <w:rsid w:val="00F32BCB"/>
    <w:rsid w:val="00F34877"/>
    <w:rsid w:val="00F351D6"/>
    <w:rsid w:val="00F402CA"/>
    <w:rsid w:val="00F42474"/>
    <w:rsid w:val="00F4304C"/>
    <w:rsid w:val="00F433CC"/>
    <w:rsid w:val="00F442DB"/>
    <w:rsid w:val="00F44BFD"/>
    <w:rsid w:val="00F4676C"/>
    <w:rsid w:val="00F5430A"/>
    <w:rsid w:val="00F54D56"/>
    <w:rsid w:val="00F55168"/>
    <w:rsid w:val="00F56D7B"/>
    <w:rsid w:val="00F57DF3"/>
    <w:rsid w:val="00F60E4C"/>
    <w:rsid w:val="00F613B3"/>
    <w:rsid w:val="00F6320E"/>
    <w:rsid w:val="00F643D8"/>
    <w:rsid w:val="00F64C29"/>
    <w:rsid w:val="00F65171"/>
    <w:rsid w:val="00F658F8"/>
    <w:rsid w:val="00F70BD2"/>
    <w:rsid w:val="00F70D77"/>
    <w:rsid w:val="00F732E9"/>
    <w:rsid w:val="00F73AE1"/>
    <w:rsid w:val="00F750BE"/>
    <w:rsid w:val="00F759C7"/>
    <w:rsid w:val="00F76CBB"/>
    <w:rsid w:val="00F80B8D"/>
    <w:rsid w:val="00F83545"/>
    <w:rsid w:val="00F8431A"/>
    <w:rsid w:val="00F97284"/>
    <w:rsid w:val="00FA030B"/>
    <w:rsid w:val="00FA0F95"/>
    <w:rsid w:val="00FA54B2"/>
    <w:rsid w:val="00FA5D16"/>
    <w:rsid w:val="00FA7876"/>
    <w:rsid w:val="00FB012E"/>
    <w:rsid w:val="00FB0B6E"/>
    <w:rsid w:val="00FB2FE5"/>
    <w:rsid w:val="00FB3718"/>
    <w:rsid w:val="00FB4614"/>
    <w:rsid w:val="00FB47B7"/>
    <w:rsid w:val="00FB5011"/>
    <w:rsid w:val="00FB61B6"/>
    <w:rsid w:val="00FB6E6A"/>
    <w:rsid w:val="00FC021C"/>
    <w:rsid w:val="00FC57D7"/>
    <w:rsid w:val="00FC6C49"/>
    <w:rsid w:val="00FD07F9"/>
    <w:rsid w:val="00FD1990"/>
    <w:rsid w:val="00FD394C"/>
    <w:rsid w:val="00FD7B6A"/>
    <w:rsid w:val="00FE01D1"/>
    <w:rsid w:val="00FE1E73"/>
    <w:rsid w:val="00FE43E9"/>
    <w:rsid w:val="00FE5972"/>
    <w:rsid w:val="00FE6BB1"/>
    <w:rsid w:val="00FF2AF4"/>
    <w:rsid w:val="00FF31B7"/>
    <w:rsid w:val="00FF39C5"/>
    <w:rsid w:val="00FF47F3"/>
    <w:rsid w:val="00FF62CF"/>
    <w:rsid w:val="00FF6B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54E44"/>
  <w15:chartTrackingRefBased/>
  <w15:docId w15:val="{73294A16-3896-4EC2-9ABB-7AE84C2C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618"/>
    <w:pPr>
      <w:spacing w:after="240"/>
    </w:pPr>
    <w:rPr>
      <w:rFonts w:ascii="Gill Sans MT" w:eastAsia="Times New Roman" w:hAnsi="Gill Sans MT"/>
      <w:sz w:val="26"/>
      <w:szCs w:val="24"/>
      <w:lang w:eastAsia="en-US"/>
    </w:rPr>
  </w:style>
  <w:style w:type="paragraph" w:styleId="Heading1">
    <w:name w:val="heading 1"/>
    <w:basedOn w:val="Normal"/>
    <w:next w:val="Normal"/>
    <w:qFormat/>
    <w:rsid w:val="00B14618"/>
    <w:pPr>
      <w:keepNext/>
      <w:pBdr>
        <w:top w:val="single" w:sz="4" w:space="4" w:color="auto"/>
        <w:left w:val="single" w:sz="4" w:space="2" w:color="auto"/>
        <w:bottom w:val="single" w:sz="4" w:space="4" w:color="auto"/>
        <w:right w:val="single" w:sz="4" w:space="4" w:color="auto"/>
      </w:pBdr>
      <w:spacing w:before="360"/>
      <w:ind w:left="-284"/>
      <w:outlineLvl w:val="0"/>
    </w:pPr>
    <w:rPr>
      <w:rFonts w:cs="Arial"/>
      <w:b/>
      <w:bCs/>
      <w:kern w:val="32"/>
      <w:sz w:val="32"/>
      <w:szCs w:val="32"/>
    </w:rPr>
  </w:style>
  <w:style w:type="paragraph" w:styleId="Heading2">
    <w:name w:val="heading 2"/>
    <w:basedOn w:val="Normal"/>
    <w:next w:val="Normal"/>
    <w:link w:val="Heading2Char"/>
    <w:uiPriority w:val="9"/>
    <w:qFormat/>
    <w:rsid w:val="00B14618"/>
    <w:pPr>
      <w:keepNext/>
      <w:spacing w:after="60"/>
      <w:outlineLvl w:val="1"/>
    </w:pPr>
    <w:rPr>
      <w:rFonts w:cs="Arial Bold"/>
      <w:b/>
      <w:bCs/>
      <w:iCs/>
      <w:sz w:val="28"/>
      <w:szCs w:val="28"/>
    </w:rPr>
  </w:style>
  <w:style w:type="paragraph" w:styleId="Heading3">
    <w:name w:val="heading 3"/>
    <w:basedOn w:val="Normal"/>
    <w:next w:val="Normal"/>
    <w:link w:val="Heading3Char"/>
    <w:qFormat/>
    <w:rsid w:val="00B14618"/>
    <w:pPr>
      <w:keepNext/>
      <w:spacing w:after="0"/>
      <w:outlineLvl w:val="2"/>
    </w:pPr>
    <w:rPr>
      <w:rFonts w:cs="Arial Bold"/>
      <w:b/>
      <w:bCs/>
    </w:rPr>
  </w:style>
  <w:style w:type="paragraph" w:styleId="Heading4">
    <w:name w:val="heading 4"/>
    <w:basedOn w:val="Normal"/>
    <w:next w:val="Normal"/>
    <w:link w:val="Heading4Char"/>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rsid w:val="00F351D6"/>
    <w:pPr>
      <w:keepNext/>
      <w:keepLines/>
      <w:spacing w:before="24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uiPriority w:val="20"/>
    <w:qFormat/>
    <w:rsid w:val="00B14618"/>
    <w:rPr>
      <w:rFonts w:ascii="Gill Sans MT" w:hAnsi="Gill Sans MT"/>
      <w:i/>
    </w:rPr>
  </w:style>
  <w:style w:type="character" w:styleId="FollowedHyperlink">
    <w:name w:val="FollowedHyperlink"/>
    <w:rPr>
      <w:color w:val="800080"/>
      <w:u w:val="single"/>
    </w:rPr>
  </w:style>
  <w:style w:type="paragraph" w:styleId="Footer">
    <w:name w:val="footer"/>
    <w:basedOn w:val="Normal"/>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basedOn w:val="Normal"/>
    <w:link w:val="ListBulletChar"/>
    <w:p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aliases w:val="5_G,Footnote Text Char2 Char1,Footnote Text Char Char1 Char1,Footnote Text Char1 Char Char Char,Footnote Text Char Char Char Char Char,Footnote Text Char1 Char1 Char,Footnote Text Char Char Char1 Char,Footnote Text Char1"/>
    <w:basedOn w:val="Normal"/>
    <w:link w:val="FootnoteTextChar"/>
    <w:uiPriority w:val="99"/>
    <w:qFormat/>
    <w:rsid w:val="00287B8E"/>
    <w:pPr>
      <w:spacing w:after="120"/>
    </w:pPr>
    <w:rPr>
      <w:sz w:val="22"/>
      <w:szCs w:val="20"/>
    </w:rPr>
  </w:style>
  <w:style w:type="paragraph" w:styleId="TOC2">
    <w:name w:val="toc 2"/>
    <w:basedOn w:val="Normal"/>
    <w:next w:val="Normal"/>
    <w:autoRedefine/>
    <w:uiPriority w:val="39"/>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uiPriority w:val="22"/>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paragraph" w:customStyle="1" w:styleId="Default">
    <w:name w:val="Default"/>
    <w:rsid w:val="00E6609A"/>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484455"/>
    <w:pPr>
      <w:ind w:left="720"/>
      <w:contextualSpacing/>
    </w:pPr>
    <w:rPr>
      <w:rFonts w:ascii="Gill Sans" w:hAnsi="Gill Sans"/>
    </w:rPr>
  </w:style>
  <w:style w:type="paragraph" w:styleId="NormalWeb">
    <w:name w:val="Normal (Web)"/>
    <w:basedOn w:val="Normal"/>
    <w:uiPriority w:val="99"/>
    <w:unhideWhenUsed/>
    <w:rsid w:val="007269A8"/>
    <w:pPr>
      <w:spacing w:before="100" w:beforeAutospacing="1" w:after="100" w:afterAutospacing="1"/>
    </w:pPr>
    <w:rPr>
      <w:rFonts w:ascii="Times New Roman" w:hAnsi="Times New Roman"/>
      <w:sz w:val="24"/>
      <w:lang w:eastAsia="en-IE"/>
    </w:rPr>
  </w:style>
  <w:style w:type="character" w:styleId="CommentReference">
    <w:name w:val="annotation reference"/>
    <w:basedOn w:val="DefaultParagraphFont"/>
    <w:rsid w:val="00F17665"/>
    <w:rPr>
      <w:sz w:val="16"/>
      <w:szCs w:val="16"/>
    </w:rPr>
  </w:style>
  <w:style w:type="paragraph" w:styleId="BalloonText">
    <w:name w:val="Balloon Text"/>
    <w:basedOn w:val="Normal"/>
    <w:link w:val="BalloonTextChar"/>
    <w:rsid w:val="00F17665"/>
    <w:pPr>
      <w:spacing w:after="0"/>
    </w:pPr>
    <w:rPr>
      <w:rFonts w:ascii="Segoe UI" w:hAnsi="Segoe UI" w:cs="Segoe UI"/>
      <w:sz w:val="18"/>
      <w:szCs w:val="18"/>
    </w:rPr>
  </w:style>
  <w:style w:type="character" w:customStyle="1" w:styleId="BalloonTextChar">
    <w:name w:val="Balloon Text Char"/>
    <w:basedOn w:val="DefaultParagraphFont"/>
    <w:link w:val="BalloonText"/>
    <w:rsid w:val="00F17665"/>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rsid w:val="001B6752"/>
    <w:rPr>
      <w:rFonts w:ascii="Gill Sans MT" w:hAnsi="Gill Sans MT"/>
      <w:b/>
      <w:bCs/>
      <w:szCs w:val="20"/>
      <w:lang w:val="en-IE"/>
    </w:rPr>
  </w:style>
  <w:style w:type="character" w:customStyle="1" w:styleId="CommentSubjectChar">
    <w:name w:val="Comment Subject Char"/>
    <w:basedOn w:val="CommentTextChar"/>
    <w:link w:val="CommentSubject"/>
    <w:rsid w:val="001B6752"/>
    <w:rPr>
      <w:rFonts w:ascii="Gill Sans MT" w:eastAsia="Times New Roman" w:hAnsi="Gill Sans MT"/>
      <w:b/>
      <w:bCs/>
      <w:szCs w:val="24"/>
      <w:lang w:eastAsia="en-US"/>
    </w:rPr>
  </w:style>
  <w:style w:type="paragraph" w:styleId="Revision">
    <w:name w:val="Revision"/>
    <w:hidden/>
    <w:uiPriority w:val="99"/>
    <w:semiHidden/>
    <w:rsid w:val="001B61CB"/>
    <w:rPr>
      <w:rFonts w:ascii="Gill Sans MT" w:eastAsia="Times New Roman" w:hAnsi="Gill Sans MT"/>
      <w:sz w:val="26"/>
      <w:szCs w:val="24"/>
      <w:lang w:eastAsia="en-US"/>
    </w:rPr>
  </w:style>
  <w:style w:type="character" w:customStyle="1" w:styleId="FootnoteTextChar">
    <w:name w:val="Footnote Text Char"/>
    <w:aliases w:val="5_G Char,Footnote Text Char2 Char1 Char,Footnote Text Char Char1 Char1 Char,Footnote Text Char1 Char Char Char Char,Footnote Text Char Char Char Char Char Char,Footnote Text Char1 Char1 Char Char,Footnote Text Char1 Char"/>
    <w:link w:val="FootnoteText"/>
    <w:uiPriority w:val="99"/>
    <w:rsid w:val="0096055C"/>
    <w:rPr>
      <w:rFonts w:ascii="Gill Sans MT" w:eastAsia="Times New Roman" w:hAnsi="Gill Sans MT"/>
      <w:sz w:val="22"/>
      <w:lang w:eastAsia="en-US"/>
    </w:rPr>
  </w:style>
  <w:style w:type="character" w:customStyle="1" w:styleId="ListBulletChar">
    <w:name w:val="List Bullet Char"/>
    <w:link w:val="ListBullet"/>
    <w:rsid w:val="00EE3F67"/>
    <w:rPr>
      <w:rFonts w:ascii="Gill Sans MT" w:eastAsia="Times New Roman" w:hAnsi="Gill Sans MT"/>
      <w:sz w:val="26"/>
      <w:szCs w:val="24"/>
      <w:lang w:eastAsia="en-US"/>
    </w:rPr>
  </w:style>
  <w:style w:type="character" w:customStyle="1" w:styleId="Heading4Char">
    <w:name w:val="Heading 4 Char"/>
    <w:basedOn w:val="DefaultParagraphFont"/>
    <w:link w:val="Heading4"/>
    <w:rsid w:val="006820D0"/>
    <w:rPr>
      <w:rFonts w:ascii="Gill Sans MT" w:eastAsia="Times New Roman" w:hAnsi="Gill Sans MT"/>
      <w:b/>
      <w:bCs/>
      <w:color w:val="333333"/>
      <w:sz w:val="26"/>
      <w:szCs w:val="24"/>
      <w:lang w:eastAsia="en-US"/>
    </w:rPr>
  </w:style>
  <w:style w:type="paragraph" w:styleId="TOCHeading">
    <w:name w:val="TOC Heading"/>
    <w:basedOn w:val="Heading1"/>
    <w:next w:val="Normal"/>
    <w:uiPriority w:val="39"/>
    <w:unhideWhenUsed/>
    <w:qFormat/>
    <w:rsid w:val="00783D0B"/>
    <w:pPr>
      <w:keepLines/>
      <w:pBdr>
        <w:top w:val="none" w:sz="0" w:space="0" w:color="auto"/>
        <w:left w:val="none" w:sz="0" w:space="0" w:color="auto"/>
        <w:bottom w:val="none" w:sz="0" w:space="0" w:color="auto"/>
        <w:right w:val="none" w:sz="0" w:space="0" w:color="auto"/>
      </w:pBdr>
      <w:spacing w:before="240" w:after="0" w:line="259" w:lineRule="auto"/>
      <w:ind w:left="0"/>
      <w:outlineLvl w:val="9"/>
    </w:pPr>
    <w:rPr>
      <w:rFonts w:asciiTheme="majorHAnsi" w:eastAsiaTheme="majorEastAsia" w:hAnsiTheme="majorHAnsi" w:cstheme="majorBidi"/>
      <w:b w:val="0"/>
      <w:bCs w:val="0"/>
      <w:color w:val="2E74B5" w:themeColor="accent1" w:themeShade="BF"/>
      <w:kern w:val="0"/>
      <w:lang w:val="en-US"/>
    </w:rPr>
  </w:style>
  <w:style w:type="character" w:customStyle="1" w:styleId="Heading2Char">
    <w:name w:val="Heading 2 Char"/>
    <w:basedOn w:val="DefaultParagraphFont"/>
    <w:link w:val="Heading2"/>
    <w:uiPriority w:val="9"/>
    <w:rsid w:val="008E1EEE"/>
    <w:rPr>
      <w:rFonts w:ascii="Gill Sans MT" w:eastAsia="Times New Roman" w:hAnsi="Gill Sans MT" w:cs="Arial Bold"/>
      <w:b/>
      <w:bCs/>
      <w:iCs/>
      <w:sz w:val="28"/>
      <w:szCs w:val="28"/>
      <w:lang w:eastAsia="en-US"/>
    </w:rPr>
  </w:style>
  <w:style w:type="character" w:customStyle="1" w:styleId="Heading3Char">
    <w:name w:val="Heading 3 Char"/>
    <w:basedOn w:val="DefaultParagraphFont"/>
    <w:link w:val="Heading3"/>
    <w:rsid w:val="00CA1AE7"/>
    <w:rPr>
      <w:rFonts w:ascii="Gill Sans MT" w:eastAsia="Times New Roman" w:hAnsi="Gill Sans MT" w:cs="Arial Bold"/>
      <w:b/>
      <w:bCs/>
      <w:sz w:val="26"/>
      <w:szCs w:val="24"/>
      <w:lang w:eastAsia="en-US"/>
    </w:rPr>
  </w:style>
  <w:style w:type="character" w:styleId="UnresolvedMention">
    <w:name w:val="Unresolved Mention"/>
    <w:basedOn w:val="DefaultParagraphFont"/>
    <w:uiPriority w:val="99"/>
    <w:semiHidden/>
    <w:unhideWhenUsed/>
    <w:rsid w:val="0039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7127">
      <w:bodyDiv w:val="1"/>
      <w:marLeft w:val="0"/>
      <w:marRight w:val="0"/>
      <w:marTop w:val="0"/>
      <w:marBottom w:val="0"/>
      <w:divBdr>
        <w:top w:val="none" w:sz="0" w:space="0" w:color="auto"/>
        <w:left w:val="none" w:sz="0" w:space="0" w:color="auto"/>
        <w:bottom w:val="none" w:sz="0" w:space="0" w:color="auto"/>
        <w:right w:val="none" w:sz="0" w:space="0" w:color="auto"/>
      </w:divBdr>
    </w:div>
    <w:div w:id="379791427">
      <w:bodyDiv w:val="1"/>
      <w:marLeft w:val="0"/>
      <w:marRight w:val="0"/>
      <w:marTop w:val="0"/>
      <w:marBottom w:val="0"/>
      <w:divBdr>
        <w:top w:val="none" w:sz="0" w:space="0" w:color="auto"/>
        <w:left w:val="none" w:sz="0" w:space="0" w:color="auto"/>
        <w:bottom w:val="none" w:sz="0" w:space="0" w:color="auto"/>
        <w:right w:val="none" w:sz="0" w:space="0" w:color="auto"/>
      </w:divBdr>
    </w:div>
    <w:div w:id="415322610">
      <w:bodyDiv w:val="1"/>
      <w:marLeft w:val="0"/>
      <w:marRight w:val="0"/>
      <w:marTop w:val="0"/>
      <w:marBottom w:val="0"/>
      <w:divBdr>
        <w:top w:val="none" w:sz="0" w:space="0" w:color="auto"/>
        <w:left w:val="none" w:sz="0" w:space="0" w:color="auto"/>
        <w:bottom w:val="none" w:sz="0" w:space="0" w:color="auto"/>
        <w:right w:val="none" w:sz="0" w:space="0" w:color="auto"/>
      </w:divBdr>
    </w:div>
    <w:div w:id="475804720">
      <w:bodyDiv w:val="1"/>
      <w:marLeft w:val="0"/>
      <w:marRight w:val="0"/>
      <w:marTop w:val="0"/>
      <w:marBottom w:val="0"/>
      <w:divBdr>
        <w:top w:val="none" w:sz="0" w:space="0" w:color="auto"/>
        <w:left w:val="none" w:sz="0" w:space="0" w:color="auto"/>
        <w:bottom w:val="none" w:sz="0" w:space="0" w:color="auto"/>
        <w:right w:val="none" w:sz="0" w:space="0" w:color="auto"/>
      </w:divBdr>
    </w:div>
    <w:div w:id="836506714">
      <w:bodyDiv w:val="1"/>
      <w:marLeft w:val="0"/>
      <w:marRight w:val="0"/>
      <w:marTop w:val="0"/>
      <w:marBottom w:val="0"/>
      <w:divBdr>
        <w:top w:val="none" w:sz="0" w:space="0" w:color="auto"/>
        <w:left w:val="none" w:sz="0" w:space="0" w:color="auto"/>
        <w:bottom w:val="none" w:sz="0" w:space="0" w:color="auto"/>
        <w:right w:val="none" w:sz="0" w:space="0" w:color="auto"/>
      </w:divBdr>
    </w:div>
    <w:div w:id="887298986">
      <w:bodyDiv w:val="1"/>
      <w:marLeft w:val="0"/>
      <w:marRight w:val="0"/>
      <w:marTop w:val="0"/>
      <w:marBottom w:val="0"/>
      <w:divBdr>
        <w:top w:val="none" w:sz="0" w:space="0" w:color="auto"/>
        <w:left w:val="none" w:sz="0" w:space="0" w:color="auto"/>
        <w:bottom w:val="none" w:sz="0" w:space="0" w:color="auto"/>
        <w:right w:val="none" w:sz="0" w:space="0" w:color="auto"/>
      </w:divBdr>
    </w:div>
    <w:div w:id="907377434">
      <w:bodyDiv w:val="1"/>
      <w:marLeft w:val="0"/>
      <w:marRight w:val="0"/>
      <w:marTop w:val="0"/>
      <w:marBottom w:val="0"/>
      <w:divBdr>
        <w:top w:val="none" w:sz="0" w:space="0" w:color="auto"/>
        <w:left w:val="none" w:sz="0" w:space="0" w:color="auto"/>
        <w:bottom w:val="none" w:sz="0" w:space="0" w:color="auto"/>
        <w:right w:val="none" w:sz="0" w:space="0" w:color="auto"/>
      </w:divBdr>
    </w:div>
    <w:div w:id="936446634">
      <w:bodyDiv w:val="1"/>
      <w:marLeft w:val="0"/>
      <w:marRight w:val="0"/>
      <w:marTop w:val="0"/>
      <w:marBottom w:val="0"/>
      <w:divBdr>
        <w:top w:val="none" w:sz="0" w:space="0" w:color="auto"/>
        <w:left w:val="none" w:sz="0" w:space="0" w:color="auto"/>
        <w:bottom w:val="none" w:sz="0" w:space="0" w:color="auto"/>
        <w:right w:val="none" w:sz="0" w:space="0" w:color="auto"/>
      </w:divBdr>
    </w:div>
    <w:div w:id="1164934217">
      <w:bodyDiv w:val="1"/>
      <w:marLeft w:val="0"/>
      <w:marRight w:val="0"/>
      <w:marTop w:val="0"/>
      <w:marBottom w:val="0"/>
      <w:divBdr>
        <w:top w:val="none" w:sz="0" w:space="0" w:color="auto"/>
        <w:left w:val="none" w:sz="0" w:space="0" w:color="auto"/>
        <w:bottom w:val="none" w:sz="0" w:space="0" w:color="auto"/>
        <w:right w:val="none" w:sz="0" w:space="0" w:color="auto"/>
      </w:divBdr>
    </w:div>
    <w:div w:id="1181553007">
      <w:bodyDiv w:val="1"/>
      <w:marLeft w:val="0"/>
      <w:marRight w:val="0"/>
      <w:marTop w:val="0"/>
      <w:marBottom w:val="0"/>
      <w:divBdr>
        <w:top w:val="none" w:sz="0" w:space="0" w:color="auto"/>
        <w:left w:val="none" w:sz="0" w:space="0" w:color="auto"/>
        <w:bottom w:val="none" w:sz="0" w:space="0" w:color="auto"/>
        <w:right w:val="none" w:sz="0" w:space="0" w:color="auto"/>
      </w:divBdr>
    </w:div>
    <w:div w:id="1396470694">
      <w:bodyDiv w:val="1"/>
      <w:marLeft w:val="0"/>
      <w:marRight w:val="0"/>
      <w:marTop w:val="0"/>
      <w:marBottom w:val="0"/>
      <w:divBdr>
        <w:top w:val="none" w:sz="0" w:space="0" w:color="auto"/>
        <w:left w:val="none" w:sz="0" w:space="0" w:color="auto"/>
        <w:bottom w:val="none" w:sz="0" w:space="0" w:color="auto"/>
        <w:right w:val="none" w:sz="0" w:space="0" w:color="auto"/>
      </w:divBdr>
    </w:div>
    <w:div w:id="1623920715">
      <w:bodyDiv w:val="1"/>
      <w:marLeft w:val="0"/>
      <w:marRight w:val="0"/>
      <w:marTop w:val="0"/>
      <w:marBottom w:val="0"/>
      <w:divBdr>
        <w:top w:val="none" w:sz="0" w:space="0" w:color="auto"/>
        <w:left w:val="none" w:sz="0" w:space="0" w:color="auto"/>
        <w:bottom w:val="none" w:sz="0" w:space="0" w:color="auto"/>
        <w:right w:val="none" w:sz="0" w:space="0" w:color="auto"/>
      </w:divBdr>
    </w:div>
    <w:div w:id="1665815464">
      <w:bodyDiv w:val="1"/>
      <w:marLeft w:val="0"/>
      <w:marRight w:val="0"/>
      <w:marTop w:val="0"/>
      <w:marBottom w:val="0"/>
      <w:divBdr>
        <w:top w:val="none" w:sz="0" w:space="0" w:color="auto"/>
        <w:left w:val="none" w:sz="0" w:space="0" w:color="auto"/>
        <w:bottom w:val="none" w:sz="0" w:space="0" w:color="auto"/>
        <w:right w:val="none" w:sz="0" w:space="0" w:color="auto"/>
      </w:divBdr>
    </w:div>
    <w:div w:id="1694185634">
      <w:bodyDiv w:val="1"/>
      <w:marLeft w:val="0"/>
      <w:marRight w:val="0"/>
      <w:marTop w:val="0"/>
      <w:marBottom w:val="0"/>
      <w:divBdr>
        <w:top w:val="none" w:sz="0" w:space="0" w:color="auto"/>
        <w:left w:val="none" w:sz="0" w:space="0" w:color="auto"/>
        <w:bottom w:val="none" w:sz="0" w:space="0" w:color="auto"/>
        <w:right w:val="none" w:sz="0" w:space="0" w:color="auto"/>
      </w:divBdr>
    </w:div>
    <w:div w:id="1713731623">
      <w:bodyDiv w:val="1"/>
      <w:marLeft w:val="0"/>
      <w:marRight w:val="0"/>
      <w:marTop w:val="0"/>
      <w:marBottom w:val="0"/>
      <w:divBdr>
        <w:top w:val="none" w:sz="0" w:space="0" w:color="auto"/>
        <w:left w:val="none" w:sz="0" w:space="0" w:color="auto"/>
        <w:bottom w:val="none" w:sz="0" w:space="0" w:color="auto"/>
        <w:right w:val="none" w:sz="0" w:space="0" w:color="auto"/>
      </w:divBdr>
    </w:div>
    <w:div w:id="1762943630">
      <w:bodyDiv w:val="1"/>
      <w:marLeft w:val="0"/>
      <w:marRight w:val="0"/>
      <w:marTop w:val="0"/>
      <w:marBottom w:val="0"/>
      <w:divBdr>
        <w:top w:val="none" w:sz="0" w:space="0" w:color="auto"/>
        <w:left w:val="none" w:sz="0" w:space="0" w:color="auto"/>
        <w:bottom w:val="none" w:sz="0" w:space="0" w:color="auto"/>
        <w:right w:val="none" w:sz="0" w:space="0" w:color="auto"/>
      </w:divBdr>
    </w:div>
    <w:div w:id="1837529788">
      <w:bodyDiv w:val="1"/>
      <w:marLeft w:val="0"/>
      <w:marRight w:val="0"/>
      <w:marTop w:val="0"/>
      <w:marBottom w:val="0"/>
      <w:divBdr>
        <w:top w:val="none" w:sz="0" w:space="0" w:color="auto"/>
        <w:left w:val="none" w:sz="0" w:space="0" w:color="auto"/>
        <w:bottom w:val="none" w:sz="0" w:space="0" w:color="auto"/>
        <w:right w:val="none" w:sz="0" w:space="0" w:color="auto"/>
      </w:divBdr>
    </w:div>
    <w:div w:id="1904365648">
      <w:bodyDiv w:val="1"/>
      <w:marLeft w:val="0"/>
      <w:marRight w:val="0"/>
      <w:marTop w:val="0"/>
      <w:marBottom w:val="0"/>
      <w:divBdr>
        <w:top w:val="none" w:sz="0" w:space="0" w:color="auto"/>
        <w:left w:val="none" w:sz="0" w:space="0" w:color="auto"/>
        <w:bottom w:val="none" w:sz="0" w:space="0" w:color="auto"/>
        <w:right w:val="none" w:sz="0" w:space="0" w:color="auto"/>
      </w:divBdr>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546869075">
          <w:marLeft w:val="0"/>
          <w:marRight w:val="0"/>
          <w:marTop w:val="0"/>
          <w:marBottom w:val="0"/>
          <w:divBdr>
            <w:top w:val="none" w:sz="0" w:space="0" w:color="auto"/>
            <w:left w:val="none" w:sz="0" w:space="0" w:color="auto"/>
            <w:bottom w:val="none" w:sz="0" w:space="0" w:color="auto"/>
            <w:right w:val="none" w:sz="0" w:space="0" w:color="auto"/>
          </w:divBdr>
          <w:divsChild>
            <w:div w:id="472261830">
              <w:marLeft w:val="-225"/>
              <w:marRight w:val="-225"/>
              <w:marTop w:val="0"/>
              <w:marBottom w:val="0"/>
              <w:divBdr>
                <w:top w:val="none" w:sz="0" w:space="0" w:color="auto"/>
                <w:left w:val="none" w:sz="0" w:space="0" w:color="auto"/>
                <w:bottom w:val="none" w:sz="0" w:space="0" w:color="auto"/>
                <w:right w:val="none" w:sz="0" w:space="0" w:color="auto"/>
              </w:divBdr>
            </w:div>
          </w:divsChild>
        </w:div>
        <w:div w:id="1630358555">
          <w:marLeft w:val="0"/>
          <w:marRight w:val="0"/>
          <w:marTop w:val="0"/>
          <w:marBottom w:val="0"/>
          <w:divBdr>
            <w:top w:val="none" w:sz="0" w:space="0" w:color="auto"/>
            <w:left w:val="none" w:sz="0" w:space="0" w:color="auto"/>
            <w:bottom w:val="none" w:sz="0" w:space="0" w:color="auto"/>
            <w:right w:val="none" w:sz="0" w:space="0" w:color="auto"/>
          </w:divBdr>
          <w:divsChild>
            <w:div w:id="2044624387">
              <w:marLeft w:val="-225"/>
              <w:marRight w:val="-225"/>
              <w:marTop w:val="0"/>
              <w:marBottom w:val="0"/>
              <w:divBdr>
                <w:top w:val="none" w:sz="0" w:space="0" w:color="auto"/>
                <w:left w:val="none" w:sz="0" w:space="0" w:color="auto"/>
                <w:bottom w:val="none" w:sz="0" w:space="0" w:color="auto"/>
                <w:right w:val="none" w:sz="0" w:space="0" w:color="auto"/>
              </w:divBdr>
            </w:div>
          </w:divsChild>
        </w:div>
        <w:div w:id="1807091165">
          <w:marLeft w:val="0"/>
          <w:marRight w:val="0"/>
          <w:marTop w:val="0"/>
          <w:marBottom w:val="0"/>
          <w:divBdr>
            <w:top w:val="none" w:sz="0" w:space="0" w:color="auto"/>
            <w:left w:val="none" w:sz="0" w:space="0" w:color="auto"/>
            <w:bottom w:val="none" w:sz="0" w:space="0" w:color="auto"/>
            <w:right w:val="none" w:sz="0" w:space="0" w:color="auto"/>
          </w:divBdr>
          <w:divsChild>
            <w:div w:id="14758768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491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monitoring-report-eu-wad-ireland-2021-nda-report" TargetMode="External"/><Relationship Id="rId5" Type="http://schemas.openxmlformats.org/officeDocument/2006/relationships/webSettings" Target="webSettings.xml"/><Relationship Id="rId10" Type="http://schemas.openxmlformats.org/officeDocument/2006/relationships/hyperlink" Target="https://nda.ie/monitoring/eu-web-accessibility-directive/accessibility-statements" TargetMode="External"/><Relationship Id="rId4" Type="http://schemas.openxmlformats.org/officeDocument/2006/relationships/settings" Target="settings.xml"/><Relationship Id="rId9" Type="http://schemas.openxmlformats.org/officeDocument/2006/relationships/hyperlink" Target="https://nda.ie/monitoring/eu-web-accessibility-directive/eu-web-accessibility-directive-monitoring-repor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bec.ie/connect-and-learn/media/2021/01/15/new-remote-work-strategy-a-welcome-and-timely-recognition-of-our-changing-workplaces" TargetMode="External"/><Relationship Id="rId13" Type="http://schemas.openxmlformats.org/officeDocument/2006/relationships/hyperlink" Target="https://nda.ie/publications/monitoring-report-eu-wad-ireland-2021-nda-report" TargetMode="External"/><Relationship Id="rId3" Type="http://schemas.openxmlformats.org/officeDocument/2006/relationships/hyperlink" Target="https://nda.ie/publications/nda-advice-paper-on-disability-language-and-terminology" TargetMode="External"/><Relationship Id="rId7" Type="http://schemas.openxmlformats.org/officeDocument/2006/relationships/hyperlink" Target="https://cora.ucc.ie/bitstream/handle/10468/2732/The_Changing_Landscape_of_Local_and_Community_Development_in_Ireland_Policy_and_Practice-1.pdf?sequence=1&amp;isAllowed=y" TargetMode="External"/><Relationship Id="rId12" Type="http://schemas.openxmlformats.org/officeDocument/2006/relationships/hyperlink" Target="https://nda.ie/publications/nda-annual-reports-on-compliance-with-part-5-of-the-disability-act" TargetMode="External"/><Relationship Id="rId2" Type="http://schemas.openxmlformats.org/officeDocument/2006/relationships/hyperlink" Target="https://nda.ie/publications/participation-matters-guidelines-on-implementing-the-obligation-to-meaningfully-engage-with-disabled-people-in-public-decision-making" TargetMode="External"/><Relationship Id="rId16" Type="http://schemas.openxmlformats.org/officeDocument/2006/relationships/hyperlink" Target="https://nda.ie/publications/report-on-the-operation-of-the-irish-sign-language-act-2017-december-2021" TargetMode="External"/><Relationship Id="rId1" Type="http://schemas.openxmlformats.org/officeDocument/2006/relationships/hyperlink" Target="https://www.gov.ie/en/consultation/853e0-statement-of-strategy-2023-2025-call-for-submissions/" TargetMode="External"/><Relationship Id="rId6" Type="http://schemas.openxmlformats.org/officeDocument/2006/relationships/hyperlink" Target="https://www.gov.ie/en/publication/d3b2c-disability-capacity-review-to-2032-a-review-of-social-care-demand-and-capacity-requirements-to-2032/" TargetMode="External"/><Relationship Id="rId11" Type="http://schemas.openxmlformats.org/officeDocument/2006/relationships/hyperlink" Target="https://nda.ie/news/report-on-compliance-with-part-5-of-the-disability-act-2005-for-2021" TargetMode="External"/><Relationship Id="rId5" Type="http://schemas.openxmlformats.org/officeDocument/2006/relationships/hyperlink" Target="https://nda.ie/publications/a-review-of-approaches-used-to-create-livable-communities-to-attain-full-participation-and-inclusion-for-disabled-people" TargetMode="External"/><Relationship Id="rId15" Type="http://schemas.openxmlformats.org/officeDocument/2006/relationships/hyperlink" Target="https://nda.ie/publications/an-operational-review-of-the-effectiveness-of-section-25-of-the-disability-act-2005-nda-report" TargetMode="External"/><Relationship Id="rId10" Type="http://schemas.openxmlformats.org/officeDocument/2006/relationships/hyperlink" Target="https://universaldesign.ie/built-environment/walkability-auditing/universal-design-walkability-audit-tool/" TargetMode="External"/><Relationship Id="rId4" Type="http://schemas.openxmlformats.org/officeDocument/2006/relationships/hyperlink" Target="https://www.cwi.ie/" TargetMode="External"/><Relationship Id="rId9" Type="http://schemas.openxmlformats.org/officeDocument/2006/relationships/hyperlink" Target="https://universaldesign.ie/" TargetMode="External"/><Relationship Id="rId14" Type="http://schemas.openxmlformats.org/officeDocument/2006/relationships/hyperlink" Target="http://publicservice.universaldesig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6967D-5DA5-4DF3-9DDB-5BFCA39A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0</TotalTime>
  <Pages>13</Pages>
  <Words>3775</Words>
  <Characters>22271</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 Brennan</dc:creator>
  <cp:keywords/>
  <cp:lastModifiedBy>Heather O'Leary (NDA)</cp:lastModifiedBy>
  <cp:revision>4</cp:revision>
  <cp:lastPrinted>2023-02-14T12:06:00Z</cp:lastPrinted>
  <dcterms:created xsi:type="dcterms:W3CDTF">2023-03-06T15:35:00Z</dcterms:created>
  <dcterms:modified xsi:type="dcterms:W3CDTF">2023-08-14T12:51:00Z</dcterms:modified>
</cp:coreProperties>
</file>