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7190" w14:textId="5AF9D622" w:rsidR="00F0425A" w:rsidRDefault="00F0425A" w:rsidP="00F0425A">
      <w:pPr>
        <w:pStyle w:val="Title"/>
        <w:spacing w:after="240"/>
      </w:pPr>
      <w:r>
        <w:rPr>
          <w:noProof/>
          <w:lang w:eastAsia="en-IE"/>
        </w:rPr>
        <w:drawing>
          <wp:inline distT="0" distB="0" distL="0" distR="0" wp14:anchorId="7FED9F78" wp14:editId="5A0BC05E">
            <wp:extent cx="2520696" cy="1801368"/>
            <wp:effectExtent l="0" t="0" r="0" b="8890"/>
            <wp:docPr id="1" name="Picture 1" descr="Colour Logo"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514C58A4" w14:textId="3742C8F1" w:rsidR="00E6609A" w:rsidRPr="009C1F21" w:rsidRDefault="00E6609A" w:rsidP="00E3375C">
      <w:pPr>
        <w:pStyle w:val="Title"/>
      </w:pPr>
      <w:r w:rsidRPr="009C1F21">
        <w:t xml:space="preserve">NDA Submission on Statement of Strategy </w:t>
      </w:r>
      <w:r w:rsidR="006D38EB" w:rsidRPr="009C1F21">
        <w:t>202</w:t>
      </w:r>
      <w:r w:rsidR="00F0425A">
        <w:t>4</w:t>
      </w:r>
      <w:r w:rsidR="006D38EB" w:rsidRPr="009C1F21">
        <w:t xml:space="preserve"> – 2026 </w:t>
      </w:r>
      <w:r w:rsidRPr="009C1F21">
        <w:t xml:space="preserve">for Department of </w:t>
      </w:r>
      <w:r w:rsidR="00F0425A">
        <w:t>Justice</w:t>
      </w:r>
      <w:r w:rsidR="00F0425A">
        <w:rPr>
          <w:rStyle w:val="FootnoteReference"/>
        </w:rPr>
        <w:footnoteReference w:id="1"/>
      </w:r>
    </w:p>
    <w:p w14:paraId="78F17167" w14:textId="50686DD4" w:rsidR="00E3375C" w:rsidRPr="009C1F21" w:rsidRDefault="00F93175" w:rsidP="00E3375C">
      <w:r>
        <w:t>October</w:t>
      </w:r>
      <w:r w:rsidR="00E3375C" w:rsidRPr="009C1F21">
        <w:t xml:space="preserve"> 2023</w:t>
      </w:r>
    </w:p>
    <w:p w14:paraId="619876D9" w14:textId="77777777" w:rsidR="009C3BD7" w:rsidRPr="009C1F21" w:rsidRDefault="002D05B0" w:rsidP="009C3BD7">
      <w:pPr>
        <w:pStyle w:val="Heading1"/>
      </w:pPr>
      <w:r w:rsidRPr="009C1F21">
        <w:t>Introduction</w:t>
      </w:r>
    </w:p>
    <w:p w14:paraId="31145B8B" w14:textId="27452C6B" w:rsidR="00E6609A" w:rsidRPr="009C1F21" w:rsidRDefault="00E6609A" w:rsidP="00E6609A">
      <w:pPr>
        <w:pStyle w:val="Default"/>
        <w:rPr>
          <w:color w:val="auto"/>
          <w:sz w:val="26"/>
          <w:szCs w:val="26"/>
        </w:rPr>
      </w:pPr>
      <w:r w:rsidRPr="009C1F21">
        <w:rPr>
          <w:color w:val="auto"/>
          <w:sz w:val="26"/>
          <w:szCs w:val="26"/>
        </w:rPr>
        <w:t>The National Disability Authority (NDA) is the independent statutory body with a duty to provide information and evidence-informed advice to Government and officials in the public sector on disability matters, and to promote Universal Design. Th</w:t>
      </w:r>
      <w:r w:rsidR="00E5541F" w:rsidRPr="009C1F21">
        <w:rPr>
          <w:color w:val="auto"/>
          <w:sz w:val="26"/>
          <w:szCs w:val="26"/>
        </w:rPr>
        <w:t>is</w:t>
      </w:r>
      <w:r w:rsidRPr="009C1F21">
        <w:rPr>
          <w:color w:val="auto"/>
          <w:sz w:val="26"/>
          <w:szCs w:val="26"/>
        </w:rPr>
        <w:t xml:space="preserve"> </w:t>
      </w:r>
      <w:r w:rsidR="00E5541F" w:rsidRPr="009C1F21">
        <w:rPr>
          <w:color w:val="auto"/>
          <w:sz w:val="26"/>
          <w:szCs w:val="26"/>
        </w:rPr>
        <w:t>s</w:t>
      </w:r>
      <w:r w:rsidR="00C7298E" w:rsidRPr="009C1F21">
        <w:rPr>
          <w:color w:val="auto"/>
          <w:sz w:val="26"/>
          <w:szCs w:val="26"/>
        </w:rPr>
        <w:t xml:space="preserve">ubmission </w:t>
      </w:r>
      <w:r w:rsidR="00E5541F" w:rsidRPr="009C1F21">
        <w:rPr>
          <w:color w:val="auto"/>
          <w:sz w:val="26"/>
          <w:szCs w:val="26"/>
        </w:rPr>
        <w:t>on the</w:t>
      </w:r>
      <w:r w:rsidR="00C7298E" w:rsidRPr="009C1F21">
        <w:rPr>
          <w:color w:val="auto"/>
          <w:sz w:val="26"/>
          <w:szCs w:val="26"/>
        </w:rPr>
        <w:t xml:space="preserve"> </w:t>
      </w:r>
      <w:r w:rsidR="00EA1046" w:rsidRPr="009C1F21">
        <w:rPr>
          <w:color w:val="auto"/>
          <w:sz w:val="26"/>
          <w:szCs w:val="26"/>
        </w:rPr>
        <w:t>Statement</w:t>
      </w:r>
      <w:r w:rsidR="00C7298E" w:rsidRPr="009C1F21">
        <w:rPr>
          <w:color w:val="auto"/>
          <w:sz w:val="26"/>
          <w:szCs w:val="26"/>
        </w:rPr>
        <w:t xml:space="preserve"> of Strategy 202</w:t>
      </w:r>
      <w:r w:rsidR="00F0425A">
        <w:rPr>
          <w:color w:val="auto"/>
          <w:sz w:val="26"/>
          <w:szCs w:val="26"/>
        </w:rPr>
        <w:t>4</w:t>
      </w:r>
      <w:r w:rsidR="00C7298E" w:rsidRPr="009C1F21">
        <w:rPr>
          <w:color w:val="auto"/>
          <w:sz w:val="26"/>
          <w:szCs w:val="26"/>
        </w:rPr>
        <w:t xml:space="preserve"> - 2026</w:t>
      </w:r>
      <w:r w:rsidRPr="009C1F21">
        <w:rPr>
          <w:color w:val="auto"/>
          <w:sz w:val="26"/>
          <w:szCs w:val="26"/>
        </w:rPr>
        <w:t xml:space="preserve"> address</w:t>
      </w:r>
      <w:r w:rsidR="00894724" w:rsidRPr="009C1F21">
        <w:rPr>
          <w:color w:val="auto"/>
          <w:sz w:val="26"/>
          <w:szCs w:val="26"/>
        </w:rPr>
        <w:t>es</w:t>
      </w:r>
      <w:r w:rsidRPr="009C1F21">
        <w:rPr>
          <w:color w:val="auto"/>
          <w:sz w:val="26"/>
          <w:szCs w:val="26"/>
        </w:rPr>
        <w:t xml:space="preserve"> issues related to </w:t>
      </w:r>
      <w:r w:rsidR="00EA1046" w:rsidRPr="009C1F21">
        <w:rPr>
          <w:color w:val="auto"/>
          <w:sz w:val="26"/>
          <w:szCs w:val="26"/>
        </w:rPr>
        <w:t>this</w:t>
      </w:r>
      <w:r w:rsidR="00326AA8" w:rsidRPr="009C1F21">
        <w:rPr>
          <w:color w:val="auto"/>
          <w:sz w:val="26"/>
          <w:szCs w:val="26"/>
        </w:rPr>
        <w:t xml:space="preserve"> d</w:t>
      </w:r>
      <w:r w:rsidRPr="009C1F21">
        <w:rPr>
          <w:color w:val="auto"/>
          <w:sz w:val="26"/>
          <w:szCs w:val="26"/>
        </w:rPr>
        <w:t xml:space="preserve">epartment’s remit which fall within the NDA’s competencies and expertise. </w:t>
      </w:r>
    </w:p>
    <w:p w14:paraId="7508AEDF" w14:textId="77777777" w:rsidR="00E6609A" w:rsidRPr="009C1F21" w:rsidRDefault="00E6609A" w:rsidP="00E6609A">
      <w:pPr>
        <w:pStyle w:val="Default"/>
        <w:rPr>
          <w:color w:val="auto"/>
          <w:sz w:val="26"/>
          <w:szCs w:val="26"/>
        </w:rPr>
      </w:pPr>
    </w:p>
    <w:p w14:paraId="48AA2435" w14:textId="30CB6455" w:rsidR="00D6538D" w:rsidRPr="009C1F21" w:rsidRDefault="00B6200F" w:rsidP="007233A8">
      <w:pPr>
        <w:pStyle w:val="Default"/>
        <w:rPr>
          <w:color w:val="auto"/>
          <w:sz w:val="26"/>
          <w:szCs w:val="26"/>
        </w:rPr>
      </w:pPr>
      <w:r w:rsidRPr="009C1F21">
        <w:rPr>
          <w:color w:val="auto"/>
          <w:sz w:val="26"/>
          <w:szCs w:val="26"/>
        </w:rPr>
        <w:t xml:space="preserve">The NDA recommends that the Department of </w:t>
      </w:r>
      <w:r w:rsidR="00F0425A">
        <w:rPr>
          <w:color w:val="auto"/>
          <w:sz w:val="26"/>
          <w:szCs w:val="26"/>
        </w:rPr>
        <w:t>Justice</w:t>
      </w:r>
      <w:r w:rsidRPr="009C1F21">
        <w:rPr>
          <w:color w:val="auto"/>
          <w:sz w:val="26"/>
          <w:szCs w:val="26"/>
        </w:rPr>
        <w:t xml:space="preserve"> </w:t>
      </w:r>
      <w:r w:rsidR="00F03522" w:rsidRPr="009C1F21">
        <w:rPr>
          <w:color w:val="auto"/>
          <w:sz w:val="26"/>
          <w:szCs w:val="26"/>
        </w:rPr>
        <w:t>include</w:t>
      </w:r>
      <w:r w:rsidR="00A36286" w:rsidRPr="009C1F21">
        <w:rPr>
          <w:color w:val="auto"/>
          <w:sz w:val="26"/>
          <w:szCs w:val="26"/>
        </w:rPr>
        <w:t xml:space="preserve"> clear commitments in this new Statement of Strategy </w:t>
      </w:r>
      <w:proofErr w:type="gramStart"/>
      <w:r w:rsidR="00A36286" w:rsidRPr="009C1F21">
        <w:rPr>
          <w:color w:val="auto"/>
          <w:sz w:val="26"/>
          <w:szCs w:val="26"/>
        </w:rPr>
        <w:t>with regard to</w:t>
      </w:r>
      <w:proofErr w:type="gramEnd"/>
      <w:r w:rsidR="00A36286" w:rsidRPr="009C1F21">
        <w:rPr>
          <w:color w:val="auto"/>
          <w:sz w:val="26"/>
          <w:szCs w:val="26"/>
        </w:rPr>
        <w:t xml:space="preserve"> how services and supports within its remit will be provided to members of the public with disabilities. </w:t>
      </w:r>
      <w:r w:rsidR="00CD1785" w:rsidRPr="009C1F21">
        <w:rPr>
          <w:color w:val="auto"/>
          <w:sz w:val="26"/>
          <w:szCs w:val="26"/>
        </w:rPr>
        <w:t>A clear statement confirming the</w:t>
      </w:r>
      <w:r w:rsidR="00567FA0" w:rsidRPr="009C1F21">
        <w:rPr>
          <w:color w:val="auto"/>
          <w:sz w:val="26"/>
          <w:szCs w:val="26"/>
        </w:rPr>
        <w:t xml:space="preserve"> Government</w:t>
      </w:r>
      <w:r w:rsidR="00CD1785" w:rsidRPr="009C1F21">
        <w:rPr>
          <w:color w:val="auto"/>
          <w:sz w:val="26"/>
          <w:szCs w:val="26"/>
        </w:rPr>
        <w:t>’s</w:t>
      </w:r>
      <w:r w:rsidR="00567FA0" w:rsidRPr="009C1F21">
        <w:rPr>
          <w:color w:val="auto"/>
          <w:sz w:val="26"/>
          <w:szCs w:val="26"/>
        </w:rPr>
        <w:t xml:space="preserve"> policy of ‘mainstreaming’ </w:t>
      </w:r>
      <w:r w:rsidR="00085194" w:rsidRPr="009C1F21">
        <w:rPr>
          <w:color w:val="auto"/>
          <w:sz w:val="26"/>
          <w:szCs w:val="26"/>
        </w:rPr>
        <w:t>and referencing</w:t>
      </w:r>
      <w:r w:rsidR="00CD1785" w:rsidRPr="009C1F21">
        <w:rPr>
          <w:color w:val="auto"/>
          <w:sz w:val="26"/>
          <w:szCs w:val="26"/>
        </w:rPr>
        <w:t xml:space="preserve"> how </w:t>
      </w:r>
      <w:r w:rsidR="00644039" w:rsidRPr="009C1F21">
        <w:rPr>
          <w:color w:val="auto"/>
          <w:sz w:val="26"/>
          <w:szCs w:val="26"/>
        </w:rPr>
        <w:t xml:space="preserve">the Department of </w:t>
      </w:r>
      <w:r w:rsidR="0000492E">
        <w:rPr>
          <w:color w:val="auto"/>
          <w:sz w:val="26"/>
          <w:szCs w:val="26"/>
        </w:rPr>
        <w:t>Justice</w:t>
      </w:r>
      <w:r w:rsidR="00CD1785" w:rsidRPr="009C1F21">
        <w:rPr>
          <w:color w:val="auto"/>
          <w:sz w:val="26"/>
          <w:szCs w:val="26"/>
        </w:rPr>
        <w:t xml:space="preserve"> will </w:t>
      </w:r>
      <w:r w:rsidR="00567FA0" w:rsidRPr="009C1F21">
        <w:rPr>
          <w:color w:val="auto"/>
          <w:sz w:val="26"/>
          <w:szCs w:val="26"/>
        </w:rPr>
        <w:t>recognise and meet the needs of disabled persons when delivering services</w:t>
      </w:r>
      <w:r w:rsidR="00CD1785" w:rsidRPr="009C1F21">
        <w:rPr>
          <w:color w:val="auto"/>
          <w:sz w:val="26"/>
          <w:szCs w:val="26"/>
        </w:rPr>
        <w:t xml:space="preserve"> is a useful approach</w:t>
      </w:r>
      <w:r w:rsidR="00567FA0" w:rsidRPr="009C1F21">
        <w:rPr>
          <w:color w:val="auto"/>
          <w:sz w:val="26"/>
          <w:szCs w:val="26"/>
        </w:rPr>
        <w:t xml:space="preserve">. This </w:t>
      </w:r>
      <w:r w:rsidR="00CD1785" w:rsidRPr="009C1F21">
        <w:rPr>
          <w:color w:val="auto"/>
          <w:sz w:val="26"/>
          <w:szCs w:val="26"/>
        </w:rPr>
        <w:t>will require</w:t>
      </w:r>
      <w:r w:rsidR="005E091A" w:rsidRPr="009C1F21">
        <w:rPr>
          <w:color w:val="auto"/>
          <w:sz w:val="26"/>
          <w:szCs w:val="26"/>
        </w:rPr>
        <w:t xml:space="preserve"> the d</w:t>
      </w:r>
      <w:r w:rsidR="00567FA0" w:rsidRPr="009C1F21">
        <w:rPr>
          <w:color w:val="auto"/>
          <w:sz w:val="26"/>
          <w:szCs w:val="26"/>
        </w:rPr>
        <w:t xml:space="preserve">epartment to disability-proof the policies and supports it provides, thereby also ensuring that the Department of </w:t>
      </w:r>
      <w:r w:rsidR="00AE79A0">
        <w:rPr>
          <w:color w:val="auto"/>
          <w:sz w:val="26"/>
          <w:szCs w:val="26"/>
        </w:rPr>
        <w:t>Justice</w:t>
      </w:r>
      <w:r w:rsidR="00567FA0" w:rsidRPr="009C1F21">
        <w:rPr>
          <w:color w:val="auto"/>
          <w:sz w:val="26"/>
          <w:szCs w:val="26"/>
        </w:rPr>
        <w:t xml:space="preserve"> is playing its part in the delivery of the State’s commitments under the United Nations Convention on the Rights of Persons with Disabilities (UNCRPD).</w:t>
      </w:r>
    </w:p>
    <w:p w14:paraId="423BE8AF" w14:textId="77777777" w:rsidR="00E73998" w:rsidRPr="009C1F21" w:rsidRDefault="00E73998" w:rsidP="00151294">
      <w:pPr>
        <w:pStyle w:val="Heading2"/>
        <w:rPr>
          <w:rFonts w:eastAsia="SimSun"/>
          <w:lang w:eastAsia="en-IE"/>
        </w:rPr>
      </w:pPr>
      <w:r w:rsidRPr="009C1F21">
        <w:rPr>
          <w:rFonts w:eastAsia="SimSun"/>
          <w:lang w:eastAsia="en-IE"/>
        </w:rPr>
        <w:lastRenderedPageBreak/>
        <w:t xml:space="preserve">Policy </w:t>
      </w:r>
      <w:r w:rsidR="007976E3" w:rsidRPr="009C1F21">
        <w:rPr>
          <w:rFonts w:eastAsia="SimSun"/>
          <w:lang w:eastAsia="en-IE"/>
        </w:rPr>
        <w:t>Commitments</w:t>
      </w:r>
    </w:p>
    <w:p w14:paraId="0F5A5CD7" w14:textId="797FD784" w:rsidR="0026622C" w:rsidRDefault="004346A0" w:rsidP="007233A8">
      <w:pPr>
        <w:pStyle w:val="Default"/>
        <w:rPr>
          <w:color w:val="auto"/>
          <w:sz w:val="26"/>
          <w:szCs w:val="26"/>
        </w:rPr>
      </w:pPr>
      <w:r>
        <w:rPr>
          <w:color w:val="auto"/>
          <w:sz w:val="26"/>
          <w:szCs w:val="26"/>
        </w:rPr>
        <w:t>The National Disability Inclusion Strategy ended at the end of 202</w:t>
      </w:r>
      <w:r w:rsidR="004D6CAC">
        <w:rPr>
          <w:color w:val="auto"/>
          <w:sz w:val="26"/>
          <w:szCs w:val="26"/>
        </w:rPr>
        <w:t>2</w:t>
      </w:r>
      <w:r>
        <w:rPr>
          <w:color w:val="auto"/>
          <w:sz w:val="26"/>
          <w:szCs w:val="26"/>
        </w:rPr>
        <w:t xml:space="preserve">. </w:t>
      </w:r>
      <w:r w:rsidR="00AA339A" w:rsidRPr="009C1F21">
        <w:rPr>
          <w:color w:val="auto"/>
          <w:sz w:val="26"/>
          <w:szCs w:val="26"/>
        </w:rPr>
        <w:t xml:space="preserve">A </w:t>
      </w:r>
      <w:r>
        <w:rPr>
          <w:color w:val="auto"/>
          <w:sz w:val="26"/>
          <w:szCs w:val="26"/>
        </w:rPr>
        <w:t>successor strategy</w:t>
      </w:r>
      <w:r w:rsidR="00AA339A" w:rsidRPr="009C1F21">
        <w:rPr>
          <w:color w:val="auto"/>
          <w:sz w:val="26"/>
          <w:szCs w:val="26"/>
        </w:rPr>
        <w:t xml:space="preserve"> is to be developed during 2023</w:t>
      </w:r>
      <w:r w:rsidR="00A36286" w:rsidRPr="009C1F21">
        <w:rPr>
          <w:color w:val="auto"/>
          <w:sz w:val="26"/>
          <w:szCs w:val="26"/>
        </w:rPr>
        <w:t xml:space="preserve">. While the development of the Strategy will be coordinated by the Department of Children, Equality, Disability, Integration and Youth, there will be obligations and actions for all government departments and across the public sector, </w:t>
      </w:r>
      <w:proofErr w:type="gramStart"/>
      <w:r w:rsidR="00A36286" w:rsidRPr="009C1F21">
        <w:rPr>
          <w:color w:val="auto"/>
          <w:sz w:val="26"/>
          <w:szCs w:val="26"/>
        </w:rPr>
        <w:t>in order to</w:t>
      </w:r>
      <w:proofErr w:type="gramEnd"/>
      <w:r w:rsidR="00A36286" w:rsidRPr="009C1F21">
        <w:rPr>
          <w:color w:val="auto"/>
          <w:sz w:val="26"/>
          <w:szCs w:val="26"/>
        </w:rPr>
        <w:t xml:space="preserve"> ensure the rights of persons with disabiliti</w:t>
      </w:r>
      <w:r w:rsidR="00D01899" w:rsidRPr="009C1F21">
        <w:rPr>
          <w:color w:val="auto"/>
          <w:sz w:val="26"/>
          <w:szCs w:val="26"/>
        </w:rPr>
        <w:t xml:space="preserve">es are recognised and realised. </w:t>
      </w:r>
      <w:r w:rsidR="00AA339A" w:rsidRPr="009C1F21">
        <w:rPr>
          <w:color w:val="auto"/>
          <w:sz w:val="26"/>
          <w:szCs w:val="26"/>
        </w:rPr>
        <w:t xml:space="preserve">Articles of the UNCRPD that are particularly relevant to the Department of </w:t>
      </w:r>
      <w:r w:rsidR="00AE79A0">
        <w:rPr>
          <w:color w:val="auto"/>
          <w:sz w:val="26"/>
          <w:szCs w:val="26"/>
        </w:rPr>
        <w:t>Justice</w:t>
      </w:r>
      <w:r w:rsidR="00AA339A" w:rsidRPr="009C1F21">
        <w:rPr>
          <w:color w:val="auto"/>
          <w:sz w:val="26"/>
          <w:szCs w:val="26"/>
        </w:rPr>
        <w:t xml:space="preserve"> </w:t>
      </w:r>
      <w:proofErr w:type="gramStart"/>
      <w:r w:rsidR="00305924" w:rsidRPr="009C1F21">
        <w:rPr>
          <w:color w:val="auto"/>
          <w:sz w:val="26"/>
          <w:szCs w:val="26"/>
        </w:rPr>
        <w:t>include;</w:t>
      </w:r>
      <w:proofErr w:type="gramEnd"/>
    </w:p>
    <w:p w14:paraId="4C51A2C2" w14:textId="77777777" w:rsidR="004346A0" w:rsidRPr="009C1F21" w:rsidRDefault="004346A0" w:rsidP="007233A8">
      <w:pPr>
        <w:pStyle w:val="Default"/>
        <w:rPr>
          <w:color w:val="auto"/>
          <w:sz w:val="26"/>
          <w:szCs w:val="26"/>
        </w:rPr>
      </w:pPr>
    </w:p>
    <w:p w14:paraId="18A860BA" w14:textId="56871C2B" w:rsidR="0026622C" w:rsidRPr="009C1F21" w:rsidRDefault="002667A9" w:rsidP="0026622C">
      <w:pPr>
        <w:pStyle w:val="ListParagraph"/>
        <w:numPr>
          <w:ilvl w:val="0"/>
          <w:numId w:val="25"/>
        </w:numPr>
        <w:spacing w:after="0"/>
        <w:rPr>
          <w:szCs w:val="26"/>
        </w:rPr>
      </w:pPr>
      <w:r w:rsidRPr="009C1F21">
        <w:rPr>
          <w:szCs w:val="26"/>
        </w:rPr>
        <w:t xml:space="preserve">Article </w:t>
      </w:r>
      <w:r w:rsidR="00AE79A0">
        <w:rPr>
          <w:szCs w:val="26"/>
        </w:rPr>
        <w:t xml:space="preserve">5 </w:t>
      </w:r>
      <w:r w:rsidR="00AE79A0">
        <w:rPr>
          <w:szCs w:val="26"/>
        </w:rPr>
        <w:tab/>
        <w:t>Equality and non-discrimination</w:t>
      </w:r>
      <w:r w:rsidRPr="009C1F21">
        <w:rPr>
          <w:szCs w:val="26"/>
        </w:rPr>
        <w:t xml:space="preserve"> </w:t>
      </w:r>
    </w:p>
    <w:p w14:paraId="0E937107" w14:textId="1CBF47F7" w:rsidR="0026622C" w:rsidRPr="009C1F21" w:rsidRDefault="00B86D43" w:rsidP="0026622C">
      <w:pPr>
        <w:pStyle w:val="ListParagraph"/>
        <w:numPr>
          <w:ilvl w:val="0"/>
          <w:numId w:val="25"/>
        </w:numPr>
        <w:spacing w:after="0"/>
        <w:rPr>
          <w:szCs w:val="26"/>
        </w:rPr>
      </w:pPr>
      <w:r w:rsidRPr="009C1F21">
        <w:rPr>
          <w:szCs w:val="26"/>
        </w:rPr>
        <w:t xml:space="preserve">Article </w:t>
      </w:r>
      <w:r w:rsidR="00AE79A0">
        <w:rPr>
          <w:szCs w:val="26"/>
        </w:rPr>
        <w:t xml:space="preserve">6 </w:t>
      </w:r>
      <w:r w:rsidR="00AE79A0">
        <w:rPr>
          <w:szCs w:val="26"/>
        </w:rPr>
        <w:tab/>
        <w:t>Women with disabilities</w:t>
      </w:r>
    </w:p>
    <w:p w14:paraId="3DC72EB1" w14:textId="71C0CF77" w:rsidR="00AE79A0" w:rsidRDefault="002667A9" w:rsidP="0026622C">
      <w:pPr>
        <w:pStyle w:val="ListParagraph"/>
        <w:numPr>
          <w:ilvl w:val="0"/>
          <w:numId w:val="25"/>
        </w:numPr>
        <w:spacing w:after="0"/>
        <w:rPr>
          <w:szCs w:val="26"/>
        </w:rPr>
      </w:pPr>
      <w:r w:rsidRPr="009C1F21">
        <w:rPr>
          <w:szCs w:val="26"/>
        </w:rPr>
        <w:t>Article 1</w:t>
      </w:r>
      <w:r w:rsidR="00AE79A0">
        <w:rPr>
          <w:szCs w:val="26"/>
        </w:rPr>
        <w:t>2</w:t>
      </w:r>
      <w:r w:rsidR="00AE79A0">
        <w:rPr>
          <w:szCs w:val="26"/>
        </w:rPr>
        <w:tab/>
        <w:t>Equality recognition before the law</w:t>
      </w:r>
    </w:p>
    <w:p w14:paraId="665291C5" w14:textId="6C548D04" w:rsidR="00AE79A0" w:rsidRDefault="00AE79A0" w:rsidP="0026622C">
      <w:pPr>
        <w:pStyle w:val="ListParagraph"/>
        <w:numPr>
          <w:ilvl w:val="0"/>
          <w:numId w:val="25"/>
        </w:numPr>
        <w:spacing w:after="0"/>
        <w:rPr>
          <w:szCs w:val="26"/>
        </w:rPr>
      </w:pPr>
      <w:r>
        <w:rPr>
          <w:szCs w:val="26"/>
        </w:rPr>
        <w:t>Article 13</w:t>
      </w:r>
      <w:r>
        <w:rPr>
          <w:szCs w:val="26"/>
        </w:rPr>
        <w:tab/>
        <w:t>Access to Justice</w:t>
      </w:r>
    </w:p>
    <w:p w14:paraId="7249534A" w14:textId="290E4A45" w:rsidR="00AE79A0" w:rsidRDefault="00AE79A0" w:rsidP="0026622C">
      <w:pPr>
        <w:pStyle w:val="ListParagraph"/>
        <w:numPr>
          <w:ilvl w:val="0"/>
          <w:numId w:val="25"/>
        </w:numPr>
        <w:spacing w:after="0"/>
        <w:rPr>
          <w:szCs w:val="26"/>
        </w:rPr>
      </w:pPr>
      <w:r>
        <w:rPr>
          <w:szCs w:val="26"/>
        </w:rPr>
        <w:t>Article 14</w:t>
      </w:r>
      <w:r>
        <w:rPr>
          <w:szCs w:val="26"/>
        </w:rPr>
        <w:tab/>
        <w:t>Liberty and Security of Persons</w:t>
      </w:r>
    </w:p>
    <w:p w14:paraId="4963C886" w14:textId="320BEE4E" w:rsidR="002667A9" w:rsidRDefault="00AE79A0" w:rsidP="0026622C">
      <w:pPr>
        <w:pStyle w:val="ListParagraph"/>
        <w:numPr>
          <w:ilvl w:val="0"/>
          <w:numId w:val="25"/>
        </w:numPr>
        <w:spacing w:after="0"/>
        <w:rPr>
          <w:szCs w:val="26"/>
        </w:rPr>
      </w:pPr>
      <w:r>
        <w:rPr>
          <w:szCs w:val="26"/>
        </w:rPr>
        <w:t>Article 15</w:t>
      </w:r>
      <w:r w:rsidR="002667A9" w:rsidRPr="009C1F21">
        <w:rPr>
          <w:szCs w:val="26"/>
        </w:rPr>
        <w:t xml:space="preserve"> </w:t>
      </w:r>
      <w:r>
        <w:rPr>
          <w:szCs w:val="26"/>
        </w:rPr>
        <w:tab/>
        <w:t xml:space="preserve">Freedom from torture or cruel, </w:t>
      </w:r>
      <w:proofErr w:type="gramStart"/>
      <w:r>
        <w:rPr>
          <w:szCs w:val="26"/>
        </w:rPr>
        <w:t>inhuman</w:t>
      </w:r>
      <w:proofErr w:type="gramEnd"/>
      <w:r>
        <w:rPr>
          <w:szCs w:val="26"/>
        </w:rPr>
        <w:t xml:space="preserve"> or degrading treatment of punishment</w:t>
      </w:r>
    </w:p>
    <w:p w14:paraId="0EC1FFCE" w14:textId="6AD83BB5" w:rsidR="00AE79A0" w:rsidRDefault="00AE79A0" w:rsidP="0026622C">
      <w:pPr>
        <w:pStyle w:val="ListParagraph"/>
        <w:numPr>
          <w:ilvl w:val="0"/>
          <w:numId w:val="25"/>
        </w:numPr>
        <w:spacing w:after="0"/>
        <w:rPr>
          <w:szCs w:val="26"/>
        </w:rPr>
      </w:pPr>
      <w:r>
        <w:rPr>
          <w:szCs w:val="26"/>
        </w:rPr>
        <w:t>Article 16</w:t>
      </w:r>
      <w:r>
        <w:rPr>
          <w:szCs w:val="26"/>
        </w:rPr>
        <w:tab/>
        <w:t>Freedom from exploitation violence and abuse</w:t>
      </w:r>
    </w:p>
    <w:p w14:paraId="04FC1FCA" w14:textId="4E0BD887" w:rsidR="00AE79A0" w:rsidRDefault="00AE79A0" w:rsidP="0026622C">
      <w:pPr>
        <w:pStyle w:val="ListParagraph"/>
        <w:numPr>
          <w:ilvl w:val="0"/>
          <w:numId w:val="25"/>
        </w:numPr>
        <w:spacing w:after="0"/>
        <w:rPr>
          <w:szCs w:val="26"/>
        </w:rPr>
      </w:pPr>
      <w:r>
        <w:rPr>
          <w:szCs w:val="26"/>
        </w:rPr>
        <w:t>Article 17</w:t>
      </w:r>
      <w:r>
        <w:rPr>
          <w:szCs w:val="26"/>
        </w:rPr>
        <w:tab/>
        <w:t>Protecting the integrity of the person</w:t>
      </w:r>
    </w:p>
    <w:p w14:paraId="600A0A13" w14:textId="50708FAB" w:rsidR="00AE79A0" w:rsidRDefault="00AE79A0" w:rsidP="0026622C">
      <w:pPr>
        <w:pStyle w:val="ListParagraph"/>
        <w:numPr>
          <w:ilvl w:val="0"/>
          <w:numId w:val="25"/>
        </w:numPr>
        <w:spacing w:after="0"/>
        <w:rPr>
          <w:szCs w:val="26"/>
        </w:rPr>
      </w:pPr>
      <w:r>
        <w:rPr>
          <w:szCs w:val="26"/>
        </w:rPr>
        <w:t>Article 18</w:t>
      </w:r>
      <w:r>
        <w:rPr>
          <w:szCs w:val="26"/>
        </w:rPr>
        <w:tab/>
        <w:t>Liberty of movement and nationality</w:t>
      </w:r>
    </w:p>
    <w:p w14:paraId="033DC019" w14:textId="05D4DA3D" w:rsidR="00AE79A0" w:rsidRDefault="00AE79A0" w:rsidP="00AE79A0">
      <w:pPr>
        <w:spacing w:after="0"/>
        <w:rPr>
          <w:szCs w:val="26"/>
        </w:rPr>
      </w:pPr>
    </w:p>
    <w:p w14:paraId="51C502F7" w14:textId="01C59196" w:rsidR="003400EB" w:rsidRDefault="003400EB" w:rsidP="00AE79A0">
      <w:pPr>
        <w:spacing w:after="0"/>
        <w:rPr>
          <w:szCs w:val="26"/>
        </w:rPr>
      </w:pPr>
      <w:r>
        <w:rPr>
          <w:szCs w:val="26"/>
        </w:rPr>
        <w:t xml:space="preserve">It will be important that the Department of Justice </w:t>
      </w:r>
      <w:r w:rsidR="004346A0">
        <w:rPr>
          <w:szCs w:val="26"/>
        </w:rPr>
        <w:t xml:space="preserve">fully engage in the development of a new cross government strategy. </w:t>
      </w:r>
    </w:p>
    <w:p w14:paraId="14109240" w14:textId="77777777" w:rsidR="00D61734" w:rsidRPr="009C1F21" w:rsidRDefault="00D61734" w:rsidP="002667A9">
      <w:pPr>
        <w:spacing w:after="0"/>
        <w:rPr>
          <w:szCs w:val="26"/>
        </w:rPr>
      </w:pPr>
    </w:p>
    <w:p w14:paraId="5AC7655C" w14:textId="77777777" w:rsidR="00A26651" w:rsidRPr="009C1F21" w:rsidRDefault="00A26651" w:rsidP="00234BA3">
      <w:pPr>
        <w:pStyle w:val="Heading2"/>
        <w:rPr>
          <w:rFonts w:eastAsia="SimSun"/>
          <w:lang w:eastAsia="en-IE"/>
        </w:rPr>
      </w:pPr>
      <w:r w:rsidRPr="009C1F21">
        <w:rPr>
          <w:rFonts w:eastAsia="SimSun"/>
          <w:lang w:eastAsia="en-IE"/>
        </w:rPr>
        <w:t>Participation and Engagement</w:t>
      </w:r>
    </w:p>
    <w:p w14:paraId="2E885888" w14:textId="679900BC" w:rsidR="00811AB4" w:rsidRPr="009C1F21" w:rsidRDefault="0004523F" w:rsidP="00EE2F98">
      <w:pPr>
        <w:spacing w:after="0"/>
        <w:rPr>
          <w:rFonts w:eastAsia="SimSun" w:cs="Gill Sans MT"/>
          <w:szCs w:val="26"/>
          <w:lang w:eastAsia="en-IE"/>
        </w:rPr>
      </w:pPr>
      <w:r w:rsidRPr="009C1F21">
        <w:rPr>
          <w:rFonts w:eastAsia="SimSun" w:cs="Gill Sans MT"/>
          <w:szCs w:val="26"/>
          <w:lang w:eastAsia="en-IE"/>
        </w:rPr>
        <w:t xml:space="preserve">The </w:t>
      </w:r>
      <w:r w:rsidR="00C03FC5" w:rsidRPr="009C1F21">
        <w:rPr>
          <w:rFonts w:eastAsia="SimSun" w:cs="Gill Sans MT"/>
          <w:szCs w:val="26"/>
          <w:lang w:eastAsia="en-IE"/>
        </w:rPr>
        <w:t>UNCRPD</w:t>
      </w:r>
      <w:r w:rsidR="00A36286" w:rsidRPr="009C1F21">
        <w:rPr>
          <w:rFonts w:eastAsia="SimSun" w:cs="Gill Sans MT"/>
          <w:szCs w:val="26"/>
          <w:lang w:eastAsia="en-IE"/>
        </w:rPr>
        <w:t xml:space="preserve"> also</w:t>
      </w:r>
      <w:r w:rsidR="00C03FC5" w:rsidRPr="009C1F21">
        <w:rPr>
          <w:rFonts w:eastAsia="SimSun" w:cs="Gill Sans MT"/>
          <w:szCs w:val="26"/>
          <w:lang w:eastAsia="en-IE"/>
        </w:rPr>
        <w:t xml:space="preserve"> places an obligation on s</w:t>
      </w:r>
      <w:r w:rsidRPr="009C1F21">
        <w:rPr>
          <w:rFonts w:eastAsia="SimSun" w:cs="Gill Sans MT"/>
          <w:szCs w:val="26"/>
          <w:lang w:eastAsia="en-IE"/>
        </w:rPr>
        <w:t xml:space="preserve">tates to ensure that people with disabilities are included in policy development and decision-making. </w:t>
      </w:r>
      <w:r w:rsidR="009863CC" w:rsidRPr="009C1F21">
        <w:rPr>
          <w:rFonts w:eastAsia="SimSun" w:cs="Gill Sans MT"/>
          <w:szCs w:val="26"/>
          <w:lang w:eastAsia="en-IE"/>
        </w:rPr>
        <w:t xml:space="preserve">The </w:t>
      </w:r>
      <w:r w:rsidR="008E24A4" w:rsidRPr="009C1F21">
        <w:rPr>
          <w:rFonts w:eastAsia="SimSun" w:cs="Gill Sans MT"/>
          <w:szCs w:val="26"/>
          <w:lang w:eastAsia="en-IE"/>
        </w:rPr>
        <w:t>NDA welcome</w:t>
      </w:r>
      <w:r w:rsidR="007B64B1" w:rsidRPr="009C1F21">
        <w:rPr>
          <w:rFonts w:eastAsia="SimSun" w:cs="Gill Sans MT"/>
          <w:szCs w:val="26"/>
          <w:lang w:eastAsia="en-IE"/>
        </w:rPr>
        <w:t>s</w:t>
      </w:r>
      <w:r w:rsidR="00811AB4" w:rsidRPr="009C1F21">
        <w:rPr>
          <w:rFonts w:eastAsia="SimSun" w:cs="Gill Sans MT"/>
          <w:szCs w:val="26"/>
          <w:lang w:eastAsia="en-IE"/>
        </w:rPr>
        <w:t xml:space="preserve"> the department’s consultation with stakeholders, including </w:t>
      </w:r>
      <w:r w:rsidR="00B34E14" w:rsidRPr="009C1F21">
        <w:rPr>
          <w:rFonts w:eastAsia="SimSun" w:cs="Gill Sans MT"/>
          <w:szCs w:val="26"/>
          <w:lang w:eastAsia="en-IE"/>
        </w:rPr>
        <w:t>Disabled Persons</w:t>
      </w:r>
      <w:r w:rsidR="00D74A36" w:rsidRPr="009C1F21">
        <w:rPr>
          <w:rFonts w:eastAsia="SimSun" w:cs="Gill Sans MT"/>
          <w:szCs w:val="26"/>
          <w:lang w:eastAsia="en-IE"/>
        </w:rPr>
        <w:t>’</w:t>
      </w:r>
      <w:r w:rsidR="00B34E14" w:rsidRPr="009C1F21">
        <w:rPr>
          <w:rFonts w:eastAsia="SimSun" w:cs="Gill Sans MT"/>
          <w:szCs w:val="26"/>
          <w:lang w:eastAsia="en-IE"/>
        </w:rPr>
        <w:t xml:space="preserve"> Organisations (DPOs),</w:t>
      </w:r>
      <w:r w:rsidR="00811AB4" w:rsidRPr="009C1F21">
        <w:rPr>
          <w:rFonts w:eastAsia="SimSun" w:cs="Gill Sans MT"/>
          <w:szCs w:val="26"/>
          <w:lang w:eastAsia="en-IE"/>
        </w:rPr>
        <w:t xml:space="preserve"> through its Disability Consultative Committee</w:t>
      </w:r>
      <w:r w:rsidR="0021771D">
        <w:rPr>
          <w:rFonts w:eastAsia="SimSun" w:cs="Gill Sans MT"/>
          <w:szCs w:val="26"/>
          <w:lang w:eastAsia="en-IE"/>
        </w:rPr>
        <w:t xml:space="preserve"> which was active when the National Disability Inclusion Strategy was in progress</w:t>
      </w:r>
      <w:r w:rsidR="004346A0">
        <w:rPr>
          <w:rFonts w:eastAsia="SimSun" w:cs="Gill Sans MT"/>
          <w:szCs w:val="26"/>
          <w:lang w:eastAsia="en-IE"/>
        </w:rPr>
        <w:t>. The NDA</w:t>
      </w:r>
      <w:r w:rsidR="00A36286" w:rsidRPr="009C1F21">
        <w:rPr>
          <w:rFonts w:eastAsia="SimSun" w:cs="Gill Sans MT"/>
          <w:szCs w:val="26"/>
          <w:lang w:eastAsia="en-IE"/>
        </w:rPr>
        <w:t xml:space="preserve"> advises that meaningful engagement and participation should feature throughout the lifetime of the next Statement of Strat</w:t>
      </w:r>
      <w:r w:rsidR="00A26651" w:rsidRPr="009C1F21">
        <w:rPr>
          <w:rFonts w:eastAsia="SimSun" w:cs="Gill Sans MT"/>
          <w:szCs w:val="26"/>
          <w:lang w:eastAsia="en-IE"/>
        </w:rPr>
        <w:t xml:space="preserve">egy, so that policy interventions planned and delivered </w:t>
      </w:r>
      <w:r w:rsidR="00866459" w:rsidRPr="009C1F21">
        <w:rPr>
          <w:rFonts w:eastAsia="SimSun" w:cs="Gill Sans MT"/>
          <w:szCs w:val="26"/>
          <w:lang w:eastAsia="en-IE"/>
        </w:rPr>
        <w:t>by the d</w:t>
      </w:r>
      <w:r w:rsidR="00A26651" w:rsidRPr="009C1F21">
        <w:rPr>
          <w:rFonts w:eastAsia="SimSun" w:cs="Gill Sans MT"/>
          <w:szCs w:val="26"/>
          <w:lang w:eastAsia="en-IE"/>
        </w:rPr>
        <w:t xml:space="preserve">epartment are disability-proofed from the outset. </w:t>
      </w:r>
      <w:r w:rsidR="00A95C0E" w:rsidRPr="009C1F21">
        <w:rPr>
          <w:rFonts w:eastAsia="SimSun" w:cs="Gill Sans MT"/>
          <w:szCs w:val="26"/>
          <w:lang w:eastAsia="en-IE"/>
        </w:rPr>
        <w:t>T</w:t>
      </w:r>
      <w:r w:rsidR="00A26651" w:rsidRPr="009C1F21">
        <w:rPr>
          <w:rFonts w:eastAsia="SimSun" w:cs="Gill Sans MT"/>
          <w:szCs w:val="26"/>
          <w:lang w:eastAsia="en-IE"/>
        </w:rPr>
        <w:t>he NDA</w:t>
      </w:r>
      <w:r w:rsidR="00B13A9E" w:rsidRPr="009C1F21">
        <w:rPr>
          <w:rFonts w:eastAsia="SimSun" w:cs="Gill Sans MT"/>
          <w:szCs w:val="26"/>
          <w:lang w:eastAsia="en-IE"/>
        </w:rPr>
        <w:t xml:space="preserve"> </w:t>
      </w:r>
      <w:r w:rsidR="00093154" w:rsidRPr="009C1F21">
        <w:rPr>
          <w:rFonts w:eastAsia="SimSun" w:cs="Gill Sans MT"/>
          <w:szCs w:val="26"/>
          <w:lang w:eastAsia="en-IE"/>
        </w:rPr>
        <w:t xml:space="preserve">published </w:t>
      </w:r>
      <w:r w:rsidR="00AB681C" w:rsidRPr="009C1F21">
        <w:rPr>
          <w:rFonts w:eastAsia="SimSun" w:cs="Gill Sans MT"/>
          <w:szCs w:val="26"/>
          <w:lang w:eastAsia="en-IE"/>
        </w:rPr>
        <w:t>‘Participation Matters: Guidelines on implementing the obligation to meaningfully engage with disabled people in public decision making’</w:t>
      </w:r>
      <w:r w:rsidR="00591D3D" w:rsidRPr="009C1F21">
        <w:rPr>
          <w:rFonts w:eastAsia="SimSun" w:cs="Gill Sans MT"/>
          <w:szCs w:val="26"/>
          <w:lang w:eastAsia="en-IE"/>
        </w:rPr>
        <w:t xml:space="preserve"> </w:t>
      </w:r>
      <w:r w:rsidR="00A95C0E" w:rsidRPr="009C1F21">
        <w:rPr>
          <w:rFonts w:eastAsia="SimSun" w:cs="Gill Sans MT"/>
          <w:szCs w:val="26"/>
          <w:lang w:eastAsia="en-IE"/>
        </w:rPr>
        <w:t xml:space="preserve">in 2022 </w:t>
      </w:r>
      <w:r w:rsidR="00A26651" w:rsidRPr="009C1F21">
        <w:rPr>
          <w:rFonts w:eastAsia="SimSun" w:cs="Gill Sans MT"/>
          <w:szCs w:val="26"/>
          <w:lang w:eastAsia="en-IE"/>
        </w:rPr>
        <w:t xml:space="preserve">to support public bodies in achieving meaningful engagement with disabled people, especially through their representative </w:t>
      </w:r>
      <w:r w:rsidR="00F20F5D" w:rsidRPr="009C1F21">
        <w:rPr>
          <w:rFonts w:eastAsia="SimSun" w:cs="Gill Sans MT"/>
          <w:szCs w:val="26"/>
          <w:lang w:eastAsia="en-IE"/>
        </w:rPr>
        <w:t>DPOs</w:t>
      </w:r>
      <w:r w:rsidR="00591D3D" w:rsidRPr="009C1F21">
        <w:rPr>
          <w:rFonts w:eastAsia="SimSun" w:cs="Gill Sans MT"/>
          <w:szCs w:val="26"/>
          <w:lang w:eastAsia="en-IE"/>
        </w:rPr>
        <w:t>.</w:t>
      </w:r>
      <w:r w:rsidR="00093154" w:rsidRPr="009C1F21">
        <w:rPr>
          <w:rStyle w:val="FootnoteReference"/>
          <w:rFonts w:eastAsia="SimSun" w:cs="Gill Sans MT"/>
          <w:szCs w:val="26"/>
          <w:lang w:eastAsia="en-IE"/>
        </w:rPr>
        <w:footnoteReference w:id="2"/>
      </w:r>
      <w:r w:rsidR="00EE2F98" w:rsidRPr="009C1F21">
        <w:rPr>
          <w:rFonts w:eastAsia="SimSun" w:cs="Gill Sans MT"/>
          <w:szCs w:val="26"/>
          <w:lang w:eastAsia="en-IE"/>
        </w:rPr>
        <w:t xml:space="preserve"> </w:t>
      </w:r>
      <w:r w:rsidR="00811AB4" w:rsidRPr="009C1F21">
        <w:rPr>
          <w:rFonts w:eastAsia="SimSun" w:cs="Gill Sans MT"/>
          <w:szCs w:val="26"/>
          <w:lang w:eastAsia="en-IE"/>
        </w:rPr>
        <w:t xml:space="preserve">The NDA also produced </w:t>
      </w:r>
      <w:r w:rsidR="00FF2AF4" w:rsidRPr="009C1F21">
        <w:rPr>
          <w:rFonts w:eastAsia="SimSun" w:cs="Gill Sans MT"/>
          <w:szCs w:val="26"/>
          <w:lang w:eastAsia="en-IE"/>
        </w:rPr>
        <w:t>an ‘Advice Paper</w:t>
      </w:r>
      <w:r w:rsidR="00811AB4" w:rsidRPr="009C1F21">
        <w:rPr>
          <w:rFonts w:eastAsia="SimSun" w:cs="Gill Sans MT"/>
          <w:szCs w:val="26"/>
          <w:lang w:eastAsia="en-IE"/>
        </w:rPr>
        <w:t xml:space="preserve"> on Disability Language and </w:t>
      </w:r>
      <w:r w:rsidR="00811AB4" w:rsidRPr="009C1F21">
        <w:rPr>
          <w:rFonts w:eastAsia="SimSun" w:cs="Gill Sans MT"/>
          <w:szCs w:val="26"/>
          <w:lang w:eastAsia="en-IE"/>
        </w:rPr>
        <w:lastRenderedPageBreak/>
        <w:t>Terminology</w:t>
      </w:r>
      <w:r w:rsidR="00FF2AF4" w:rsidRPr="009C1F21">
        <w:rPr>
          <w:rFonts w:eastAsia="SimSun" w:cs="Gill Sans MT"/>
          <w:szCs w:val="26"/>
          <w:lang w:eastAsia="en-IE"/>
        </w:rPr>
        <w:t>’</w:t>
      </w:r>
      <w:r w:rsidR="00811AB4" w:rsidRPr="009C1F21">
        <w:rPr>
          <w:rFonts w:eastAsia="SimSun" w:cs="Gill Sans MT"/>
          <w:szCs w:val="26"/>
          <w:lang w:eastAsia="en-IE"/>
        </w:rPr>
        <w:t xml:space="preserve"> which is intended as a practical guide for departments and public bodies on the use of language about disability.</w:t>
      </w:r>
      <w:r w:rsidR="00811AB4" w:rsidRPr="009C1F21">
        <w:rPr>
          <w:rStyle w:val="FootnoteReference"/>
          <w:rFonts w:eastAsia="SimSun" w:cs="Gill Sans MT"/>
          <w:szCs w:val="26"/>
          <w:lang w:eastAsia="en-IE"/>
        </w:rPr>
        <w:footnoteReference w:id="3"/>
      </w:r>
      <w:r w:rsidR="00811AB4" w:rsidRPr="009C1F21">
        <w:rPr>
          <w:rFonts w:eastAsia="SimSun" w:cs="Gill Sans MT"/>
          <w:szCs w:val="26"/>
          <w:lang w:eastAsia="en-IE"/>
        </w:rPr>
        <w:t xml:space="preserve"> </w:t>
      </w:r>
    </w:p>
    <w:p w14:paraId="3FB938A4" w14:textId="77777777" w:rsidR="00347440" w:rsidRPr="009C1F21" w:rsidRDefault="00347440" w:rsidP="002667A9">
      <w:pPr>
        <w:spacing w:after="0"/>
        <w:rPr>
          <w:szCs w:val="26"/>
        </w:rPr>
      </w:pPr>
    </w:p>
    <w:p w14:paraId="3FBEC03F" w14:textId="77777777" w:rsidR="002667A9" w:rsidRPr="009C1F21" w:rsidRDefault="00ED0B9E" w:rsidP="00544763">
      <w:pPr>
        <w:pStyle w:val="Heading3"/>
      </w:pPr>
      <w:r w:rsidRPr="009C1F21">
        <w:t>Crossc</w:t>
      </w:r>
      <w:r w:rsidR="00FF47F3" w:rsidRPr="009C1F21">
        <w:t>utting S</w:t>
      </w:r>
      <w:r w:rsidR="0064333C" w:rsidRPr="009C1F21">
        <w:t>trategies</w:t>
      </w:r>
      <w:r w:rsidR="00550195" w:rsidRPr="009C1F21">
        <w:t xml:space="preserve"> and W</w:t>
      </w:r>
      <w:r w:rsidR="00D27043" w:rsidRPr="009C1F21">
        <w:t>orking</w:t>
      </w:r>
    </w:p>
    <w:p w14:paraId="13E21478" w14:textId="63E7FB1F" w:rsidR="0004523F" w:rsidRPr="009C1F21" w:rsidRDefault="00D27043" w:rsidP="00FF62CF">
      <w:pPr>
        <w:pStyle w:val="Default"/>
        <w:rPr>
          <w:color w:val="auto"/>
          <w:sz w:val="26"/>
          <w:szCs w:val="26"/>
        </w:rPr>
      </w:pPr>
      <w:r w:rsidRPr="009C1F21">
        <w:rPr>
          <w:color w:val="auto"/>
          <w:sz w:val="26"/>
          <w:szCs w:val="26"/>
        </w:rPr>
        <w:t>Consideration of some of the key issues set out within the UNCRPD Articles identified above will re</w:t>
      </w:r>
      <w:r w:rsidR="00E122E4" w:rsidRPr="009C1F21">
        <w:rPr>
          <w:color w:val="auto"/>
          <w:sz w:val="26"/>
          <w:szCs w:val="26"/>
        </w:rPr>
        <w:t>quire input from more than one d</w:t>
      </w:r>
      <w:r w:rsidRPr="009C1F21">
        <w:rPr>
          <w:color w:val="auto"/>
          <w:sz w:val="26"/>
          <w:szCs w:val="26"/>
        </w:rPr>
        <w:t xml:space="preserve">epartment, and the NDA looks forward to </w:t>
      </w:r>
      <w:proofErr w:type="gramStart"/>
      <w:r w:rsidR="00137473" w:rsidRPr="009C1F21">
        <w:rPr>
          <w:color w:val="auto"/>
          <w:sz w:val="26"/>
          <w:szCs w:val="26"/>
        </w:rPr>
        <w:t>continued</w:t>
      </w:r>
      <w:proofErr w:type="gramEnd"/>
      <w:r w:rsidRPr="009C1F21">
        <w:rPr>
          <w:color w:val="auto"/>
          <w:sz w:val="26"/>
          <w:szCs w:val="26"/>
        </w:rPr>
        <w:t xml:space="preserve"> collaborative working across government in the lifetime of this Statement of Strategy. One route</w:t>
      </w:r>
      <w:r w:rsidR="00802665" w:rsidRPr="009C1F21">
        <w:rPr>
          <w:color w:val="auto"/>
          <w:sz w:val="26"/>
          <w:szCs w:val="26"/>
        </w:rPr>
        <w:t xml:space="preserve"> to underpinning this approach</w:t>
      </w:r>
      <w:r w:rsidRPr="009C1F21">
        <w:rPr>
          <w:color w:val="auto"/>
          <w:sz w:val="26"/>
          <w:szCs w:val="26"/>
        </w:rPr>
        <w:t xml:space="preserve"> is to ensure </w:t>
      </w:r>
      <w:r w:rsidR="00484455" w:rsidRPr="009C1F21">
        <w:rPr>
          <w:color w:val="auto"/>
          <w:sz w:val="26"/>
          <w:szCs w:val="26"/>
        </w:rPr>
        <w:t>that</w:t>
      </w:r>
      <w:r w:rsidR="00C4684C" w:rsidRPr="009C1F21">
        <w:rPr>
          <w:color w:val="auto"/>
          <w:sz w:val="26"/>
          <w:szCs w:val="26"/>
        </w:rPr>
        <w:t xml:space="preserve"> commitments in relation to disability </w:t>
      </w:r>
      <w:r w:rsidR="00984AB9" w:rsidRPr="009C1F21">
        <w:rPr>
          <w:color w:val="auto"/>
          <w:sz w:val="26"/>
          <w:szCs w:val="26"/>
        </w:rPr>
        <w:t xml:space="preserve">are </w:t>
      </w:r>
      <w:r w:rsidR="00C4684C" w:rsidRPr="009C1F21">
        <w:rPr>
          <w:color w:val="auto"/>
          <w:sz w:val="26"/>
          <w:szCs w:val="26"/>
        </w:rPr>
        <w:t>articulated in</w:t>
      </w:r>
      <w:r w:rsidR="00484455" w:rsidRPr="009C1F21">
        <w:rPr>
          <w:color w:val="auto"/>
          <w:sz w:val="26"/>
          <w:szCs w:val="26"/>
        </w:rPr>
        <w:t xml:space="preserve"> this Statement of Strategy and </w:t>
      </w:r>
      <w:r w:rsidR="00A33226" w:rsidRPr="009C1F21">
        <w:rPr>
          <w:color w:val="auto"/>
          <w:sz w:val="26"/>
          <w:szCs w:val="26"/>
        </w:rPr>
        <w:t>that</w:t>
      </w:r>
      <w:r w:rsidR="00484455" w:rsidRPr="009C1F21">
        <w:rPr>
          <w:color w:val="auto"/>
          <w:sz w:val="26"/>
          <w:szCs w:val="26"/>
        </w:rPr>
        <w:t xml:space="preserve"> annualised bu</w:t>
      </w:r>
      <w:r w:rsidR="00FA5D16" w:rsidRPr="009C1F21">
        <w:rPr>
          <w:color w:val="auto"/>
          <w:sz w:val="26"/>
          <w:szCs w:val="26"/>
        </w:rPr>
        <w:t>siness plans of your d</w:t>
      </w:r>
      <w:r w:rsidR="00484455" w:rsidRPr="009C1F21">
        <w:rPr>
          <w:color w:val="auto"/>
          <w:sz w:val="26"/>
          <w:szCs w:val="26"/>
        </w:rPr>
        <w:t>epartment are aligned with other crosscutting strategies</w:t>
      </w:r>
      <w:r w:rsidR="00FF62CF" w:rsidRPr="009C1F21">
        <w:rPr>
          <w:color w:val="auto"/>
          <w:sz w:val="26"/>
          <w:szCs w:val="26"/>
        </w:rPr>
        <w:t xml:space="preserve"> and national polici</w:t>
      </w:r>
      <w:r w:rsidR="0021771D">
        <w:rPr>
          <w:color w:val="auto"/>
          <w:sz w:val="26"/>
          <w:szCs w:val="26"/>
        </w:rPr>
        <w:t>es that are of relevance</w:t>
      </w:r>
      <w:r w:rsidR="00276CCD" w:rsidRPr="009C1F21">
        <w:rPr>
          <w:color w:val="auto"/>
          <w:sz w:val="26"/>
          <w:szCs w:val="26"/>
        </w:rPr>
        <w:t xml:space="preserve">. </w:t>
      </w:r>
    </w:p>
    <w:p w14:paraId="6338026E" w14:textId="77777777" w:rsidR="000F03A4" w:rsidRPr="009C1F21" w:rsidRDefault="000F03A4" w:rsidP="000F03A4">
      <w:pPr>
        <w:spacing w:after="0"/>
        <w:rPr>
          <w:rFonts w:eastAsia="SimSun" w:cs="Gill Sans MT"/>
          <w:szCs w:val="26"/>
          <w:lang w:eastAsia="en-IE"/>
        </w:rPr>
      </w:pPr>
    </w:p>
    <w:p w14:paraId="76C210B2" w14:textId="77777777" w:rsidR="00A80100" w:rsidRPr="009C1F21" w:rsidRDefault="0002440C" w:rsidP="00F32210">
      <w:pPr>
        <w:rPr>
          <w:szCs w:val="26"/>
        </w:rPr>
      </w:pPr>
      <w:r w:rsidRPr="009C1F21">
        <w:rPr>
          <w:szCs w:val="26"/>
        </w:rPr>
        <w:t xml:space="preserve">The </w:t>
      </w:r>
      <w:r w:rsidR="00A80100" w:rsidRPr="009C1F21">
        <w:rPr>
          <w:szCs w:val="26"/>
        </w:rPr>
        <w:t>NDA would like to take this opportunity to highlight the following key areas of focus relevant to your department</w:t>
      </w:r>
      <w:r w:rsidR="00C4684C" w:rsidRPr="009C1F21">
        <w:rPr>
          <w:szCs w:val="26"/>
        </w:rPr>
        <w:t>, which we suggest could be incorporated within this new Statement of Strategy</w:t>
      </w:r>
      <w:r w:rsidR="00A80100" w:rsidRPr="009C1F21">
        <w:rPr>
          <w:szCs w:val="26"/>
        </w:rPr>
        <w:t xml:space="preserve"> and has organised them under the following </w:t>
      </w:r>
      <w:r w:rsidR="00E93724" w:rsidRPr="009C1F21">
        <w:rPr>
          <w:szCs w:val="26"/>
        </w:rPr>
        <w:t xml:space="preserve">two </w:t>
      </w:r>
      <w:proofErr w:type="gramStart"/>
      <w:r w:rsidR="00276CCD" w:rsidRPr="009C1F21">
        <w:rPr>
          <w:szCs w:val="26"/>
        </w:rPr>
        <w:t>headings;</w:t>
      </w:r>
      <w:proofErr w:type="gramEnd"/>
      <w:r w:rsidR="00A80100" w:rsidRPr="009C1F21">
        <w:rPr>
          <w:szCs w:val="26"/>
        </w:rPr>
        <w:t xml:space="preserve"> </w:t>
      </w:r>
    </w:p>
    <w:p w14:paraId="0E077B99" w14:textId="52361A50" w:rsidR="00FC57D7" w:rsidRPr="009C1F21" w:rsidRDefault="00FC57D7" w:rsidP="0021771D">
      <w:pPr>
        <w:pStyle w:val="ListBullet"/>
        <w:numPr>
          <w:ilvl w:val="0"/>
          <w:numId w:val="42"/>
        </w:numPr>
      </w:pPr>
      <w:r w:rsidRPr="009C1F21">
        <w:t>Issues</w:t>
      </w:r>
      <w:r w:rsidR="009B2890" w:rsidRPr="009C1F21">
        <w:t xml:space="preserve"> of importance to</w:t>
      </w:r>
      <w:r w:rsidRPr="009C1F21">
        <w:t xml:space="preserve"> </w:t>
      </w:r>
      <w:r w:rsidR="0021771D">
        <w:t>Justice</w:t>
      </w:r>
      <w:r w:rsidRPr="009C1F21">
        <w:t xml:space="preserve"> </w:t>
      </w:r>
    </w:p>
    <w:p w14:paraId="501D44AB" w14:textId="77777777" w:rsidR="009B2890" w:rsidRPr="009C1F21" w:rsidRDefault="00A80100" w:rsidP="0021771D">
      <w:pPr>
        <w:pStyle w:val="ListBullet"/>
        <w:numPr>
          <w:ilvl w:val="0"/>
          <w:numId w:val="42"/>
        </w:numPr>
      </w:pPr>
      <w:r w:rsidRPr="009C1F21">
        <w:t>Statutory Obligations</w:t>
      </w:r>
    </w:p>
    <w:p w14:paraId="0DE034C8" w14:textId="42516A3E" w:rsidR="00E80749" w:rsidRPr="009C1F21" w:rsidRDefault="00E80749" w:rsidP="00F4676C">
      <w:pPr>
        <w:pStyle w:val="Heading1"/>
      </w:pPr>
      <w:r w:rsidRPr="009C1F21">
        <w:t xml:space="preserve">Key issues of importance to </w:t>
      </w:r>
      <w:r w:rsidR="0021771D">
        <w:t>Justice</w:t>
      </w:r>
      <w:r w:rsidRPr="009C1F21">
        <w:t xml:space="preserve"> </w:t>
      </w:r>
    </w:p>
    <w:p w14:paraId="1C1C7EBA" w14:textId="67C853B6" w:rsidR="0046564F" w:rsidRDefault="0046564F" w:rsidP="009B2890">
      <w:pPr>
        <w:pStyle w:val="Heading2"/>
        <w:rPr>
          <w:rFonts w:eastAsia="SimSun"/>
          <w:lang w:eastAsia="en-IE"/>
        </w:rPr>
      </w:pPr>
      <w:r>
        <w:rPr>
          <w:rFonts w:eastAsia="SimSun"/>
          <w:lang w:eastAsia="en-IE"/>
        </w:rPr>
        <w:t>Assisted Decision Making Capacity (Amendment) Act, 2022</w:t>
      </w:r>
    </w:p>
    <w:p w14:paraId="6072EEF9" w14:textId="77777777" w:rsidR="0046564F" w:rsidRDefault="0046564F" w:rsidP="0046564F">
      <w:pPr>
        <w:rPr>
          <w:rFonts w:eastAsia="SimSun"/>
          <w:lang w:eastAsia="en-IE"/>
        </w:rPr>
      </w:pPr>
      <w:r>
        <w:rPr>
          <w:rFonts w:eastAsia="SimSun"/>
          <w:lang w:eastAsia="en-IE"/>
        </w:rPr>
        <w:t xml:space="preserve">The enactment of the ADMA Act in April 2023 will lead to a significant change in the workings of the Justice system. A mind set change will be required to shift from a ‘best interests’ approach to a ‘will and preference’ approach. The changes in how capacity is assessed will also lead to significant changes. While these changes will take some time to bed in it is important that there is oversight to ensure that there is learning across the system and that the underlying </w:t>
      </w:r>
      <w:proofErr w:type="gramStart"/>
      <w:r>
        <w:rPr>
          <w:rFonts w:eastAsia="SimSun"/>
          <w:lang w:eastAsia="en-IE"/>
        </w:rPr>
        <w:t>principles</w:t>
      </w:r>
      <w:proofErr w:type="gramEnd"/>
      <w:r>
        <w:rPr>
          <w:rFonts w:eastAsia="SimSun"/>
          <w:lang w:eastAsia="en-IE"/>
        </w:rPr>
        <w:t xml:space="preserve"> of this legislation is adhered to. The NDA are undertaking research to examine the experiences of Wards of Court before and after leaving the wardship system and hope that the information obtained will be inform further improvements in the justice system. </w:t>
      </w:r>
    </w:p>
    <w:p w14:paraId="4F032D51" w14:textId="77777777" w:rsidR="0046564F" w:rsidRDefault="0046564F" w:rsidP="003400EB">
      <w:pPr>
        <w:pStyle w:val="Heading2"/>
        <w:rPr>
          <w:rFonts w:eastAsia="SimSun"/>
          <w:lang w:eastAsia="en-IE"/>
        </w:rPr>
      </w:pPr>
      <w:r>
        <w:rPr>
          <w:rFonts w:eastAsia="SimSun"/>
          <w:lang w:eastAsia="en-IE"/>
        </w:rPr>
        <w:t>Intermediaries</w:t>
      </w:r>
    </w:p>
    <w:p w14:paraId="0B404E14" w14:textId="5F31AA4D" w:rsidR="0046564F" w:rsidRPr="0046564F" w:rsidRDefault="0046564F" w:rsidP="0046564F">
      <w:pPr>
        <w:rPr>
          <w:rFonts w:eastAsia="SimSun"/>
          <w:lang w:eastAsia="en-IE"/>
        </w:rPr>
      </w:pPr>
      <w:r>
        <w:rPr>
          <w:rFonts w:eastAsia="SimSun"/>
          <w:lang w:eastAsia="en-IE"/>
        </w:rPr>
        <w:t xml:space="preserve">The NDA welcomes the establishment of a </w:t>
      </w:r>
      <w:r w:rsidR="003400EB">
        <w:rPr>
          <w:rFonts w:eastAsia="SimSun"/>
          <w:lang w:eastAsia="en-IE"/>
        </w:rPr>
        <w:t xml:space="preserve">Professional Diploma in Intermediary Studies and had previously shared an advice paper with the Department on this </w:t>
      </w:r>
      <w:r w:rsidR="003400EB">
        <w:rPr>
          <w:rFonts w:eastAsia="SimSun"/>
          <w:lang w:eastAsia="en-IE"/>
        </w:rPr>
        <w:lastRenderedPageBreak/>
        <w:t>issue.</w:t>
      </w:r>
      <w:r w:rsidR="003400EB">
        <w:rPr>
          <w:rStyle w:val="FootnoteReference"/>
          <w:rFonts w:eastAsia="SimSun"/>
          <w:lang w:eastAsia="en-IE"/>
        </w:rPr>
        <w:footnoteReference w:id="4"/>
      </w:r>
      <w:r w:rsidR="003400EB">
        <w:rPr>
          <w:rFonts w:eastAsia="SimSun"/>
          <w:lang w:eastAsia="en-IE"/>
        </w:rPr>
        <w:t xml:space="preserve"> It will be important that once intermediaries start working in the courts system that this is </w:t>
      </w:r>
      <w:proofErr w:type="gramStart"/>
      <w:r w:rsidR="003400EB">
        <w:rPr>
          <w:rFonts w:eastAsia="SimSun"/>
          <w:lang w:eastAsia="en-IE"/>
        </w:rPr>
        <w:t>evaluated</w:t>
      </w:r>
      <w:proofErr w:type="gramEnd"/>
      <w:r w:rsidR="003400EB">
        <w:rPr>
          <w:rFonts w:eastAsia="SimSun"/>
          <w:lang w:eastAsia="en-IE"/>
        </w:rPr>
        <w:t xml:space="preserve"> and any challenges identified and addressed early to ensure the success of this innovation. </w:t>
      </w:r>
    </w:p>
    <w:p w14:paraId="776C39AB" w14:textId="24DBB787" w:rsidR="00EE7E1A" w:rsidRPr="009C1F21" w:rsidRDefault="00EE7E1A" w:rsidP="009B2890">
      <w:pPr>
        <w:pStyle w:val="Heading2"/>
        <w:rPr>
          <w:rFonts w:eastAsia="SimSun"/>
          <w:lang w:eastAsia="en-IE"/>
        </w:rPr>
      </w:pPr>
      <w:r w:rsidRPr="009C1F21">
        <w:rPr>
          <w:rFonts w:eastAsia="SimSun"/>
          <w:lang w:eastAsia="en-IE"/>
        </w:rPr>
        <w:t>Cost of Disability</w:t>
      </w:r>
    </w:p>
    <w:p w14:paraId="0DED4D16" w14:textId="6462296A" w:rsidR="00010A08" w:rsidRPr="009C1F21" w:rsidRDefault="006B5EC4" w:rsidP="00741924">
      <w:pPr>
        <w:spacing w:after="0"/>
        <w:rPr>
          <w:rFonts w:eastAsia="SimSun" w:cs="Gill Sans MT"/>
          <w:szCs w:val="26"/>
          <w:lang w:eastAsia="en-IE"/>
        </w:rPr>
      </w:pPr>
      <w:r w:rsidRPr="009C1F21">
        <w:rPr>
          <w:rFonts w:eastAsia="SimSun" w:cs="Gill Sans MT"/>
          <w:szCs w:val="26"/>
          <w:lang w:eastAsia="en-IE"/>
        </w:rPr>
        <w:t xml:space="preserve">The </w:t>
      </w:r>
      <w:r w:rsidR="002702C5" w:rsidRPr="009C1F21">
        <w:rPr>
          <w:rFonts w:eastAsia="SimSun" w:cs="Gill Sans MT"/>
          <w:szCs w:val="26"/>
          <w:lang w:eastAsia="en-IE"/>
        </w:rPr>
        <w:t xml:space="preserve">Cost of Disability </w:t>
      </w:r>
      <w:r w:rsidRPr="009C1F21">
        <w:rPr>
          <w:rFonts w:eastAsia="SimSun" w:cs="Gill Sans MT"/>
          <w:szCs w:val="26"/>
          <w:lang w:eastAsia="en-IE"/>
        </w:rPr>
        <w:t xml:space="preserve">research report </w:t>
      </w:r>
      <w:r w:rsidR="002702C5" w:rsidRPr="009C1F21">
        <w:rPr>
          <w:rFonts w:eastAsia="SimSun" w:cs="Gill Sans MT"/>
          <w:szCs w:val="26"/>
          <w:lang w:eastAsia="en-IE"/>
        </w:rPr>
        <w:t xml:space="preserve">by </w:t>
      </w:r>
      <w:proofErr w:type="spellStart"/>
      <w:r w:rsidR="002702C5" w:rsidRPr="009C1F21">
        <w:rPr>
          <w:rFonts w:eastAsia="SimSun" w:cs="Gill Sans MT"/>
          <w:szCs w:val="26"/>
          <w:lang w:eastAsia="en-IE"/>
        </w:rPr>
        <w:t>Indecon</w:t>
      </w:r>
      <w:proofErr w:type="spellEnd"/>
      <w:r w:rsidRPr="009C1F21">
        <w:rPr>
          <w:rFonts w:eastAsia="SimSun" w:cs="Gill Sans MT"/>
          <w:szCs w:val="26"/>
          <w:lang w:eastAsia="en-IE"/>
        </w:rPr>
        <w:t xml:space="preserve"> </w:t>
      </w:r>
      <w:r w:rsidR="0046564F">
        <w:rPr>
          <w:rFonts w:eastAsia="SimSun" w:cs="Gill Sans MT"/>
          <w:szCs w:val="26"/>
          <w:lang w:eastAsia="en-IE"/>
        </w:rPr>
        <w:t xml:space="preserve">consultants, commissioned by the Department of Social Protection, </w:t>
      </w:r>
      <w:r w:rsidR="001431FE" w:rsidRPr="009C1F21">
        <w:rPr>
          <w:rFonts w:eastAsia="SimSun" w:cs="Gill Sans MT"/>
          <w:szCs w:val="26"/>
          <w:lang w:eastAsia="en-IE"/>
        </w:rPr>
        <w:t>found that</w:t>
      </w:r>
      <w:r w:rsidR="00592508" w:rsidRPr="009C1F21">
        <w:rPr>
          <w:rFonts w:eastAsia="SimSun" w:cs="Gill Sans MT"/>
          <w:szCs w:val="26"/>
          <w:lang w:eastAsia="en-IE"/>
        </w:rPr>
        <w:t xml:space="preserve"> </w:t>
      </w:r>
      <w:r w:rsidRPr="009C1F21">
        <w:rPr>
          <w:rFonts w:eastAsia="SimSun" w:cs="Gill Sans MT"/>
          <w:szCs w:val="26"/>
          <w:lang w:eastAsia="en-IE"/>
        </w:rPr>
        <w:t>t</w:t>
      </w:r>
      <w:r w:rsidR="00EE7E1A" w:rsidRPr="009C1F21">
        <w:rPr>
          <w:rFonts w:eastAsia="SimSun" w:cs="Gill Sans MT"/>
          <w:szCs w:val="26"/>
          <w:lang w:eastAsia="en-IE"/>
        </w:rPr>
        <w:t>he financial cost of disability</w:t>
      </w:r>
      <w:r w:rsidR="0041504B" w:rsidRPr="009C1F21">
        <w:rPr>
          <w:rFonts w:eastAsia="SimSun" w:cs="Gill Sans MT"/>
          <w:szCs w:val="26"/>
          <w:lang w:eastAsia="en-IE"/>
        </w:rPr>
        <w:t xml:space="preserve"> can be significant</w:t>
      </w:r>
      <w:r w:rsidR="00EE7E1A" w:rsidRPr="009C1F21">
        <w:rPr>
          <w:rFonts w:eastAsia="SimSun" w:cs="Gill Sans MT"/>
          <w:szCs w:val="26"/>
          <w:lang w:eastAsia="en-IE"/>
        </w:rPr>
        <w:t xml:space="preserve"> </w:t>
      </w:r>
      <w:r w:rsidR="00AB72B4" w:rsidRPr="009C1F21">
        <w:rPr>
          <w:rFonts w:eastAsia="SimSun" w:cs="Gill Sans MT"/>
          <w:szCs w:val="26"/>
          <w:lang w:eastAsia="en-IE"/>
        </w:rPr>
        <w:t>and varies</w:t>
      </w:r>
      <w:r w:rsidR="00EE7E1A" w:rsidRPr="009C1F21">
        <w:rPr>
          <w:rFonts w:eastAsia="SimSun" w:cs="Gill Sans MT"/>
          <w:szCs w:val="26"/>
          <w:lang w:eastAsia="en-IE"/>
        </w:rPr>
        <w:t xml:space="preserve"> from person to person, depending on </w:t>
      </w:r>
      <w:r w:rsidR="005550EC" w:rsidRPr="009C1F21">
        <w:rPr>
          <w:rFonts w:eastAsia="SimSun" w:cs="Gill Sans MT"/>
          <w:szCs w:val="26"/>
          <w:lang w:eastAsia="en-IE"/>
        </w:rPr>
        <w:t xml:space="preserve">the </w:t>
      </w:r>
      <w:r w:rsidR="008D3A5E" w:rsidRPr="009C1F21">
        <w:rPr>
          <w:rFonts w:eastAsia="SimSun" w:cs="Gill Sans MT"/>
          <w:szCs w:val="26"/>
          <w:lang w:eastAsia="en-IE"/>
        </w:rPr>
        <w:t>type</w:t>
      </w:r>
      <w:r w:rsidR="00EE7E1A" w:rsidRPr="009C1F21">
        <w:rPr>
          <w:rFonts w:eastAsia="SimSun" w:cs="Gill Sans MT"/>
          <w:szCs w:val="26"/>
          <w:lang w:eastAsia="en-IE"/>
        </w:rPr>
        <w:t xml:space="preserve"> and severity of disability</w:t>
      </w:r>
      <w:r w:rsidR="00F30EA8" w:rsidRPr="009C1F21">
        <w:rPr>
          <w:rFonts w:eastAsia="SimSun" w:cs="Gill Sans MT"/>
          <w:szCs w:val="26"/>
          <w:lang w:eastAsia="en-IE"/>
        </w:rPr>
        <w:t>, meaning that a one-size-fits-all approach is not</w:t>
      </w:r>
      <w:r w:rsidR="00512148" w:rsidRPr="009C1F21">
        <w:rPr>
          <w:rFonts w:eastAsia="SimSun" w:cs="Gill Sans MT"/>
          <w:szCs w:val="26"/>
          <w:lang w:eastAsia="en-IE"/>
        </w:rPr>
        <w:t xml:space="preserve"> always</w:t>
      </w:r>
      <w:r w:rsidR="00F30EA8" w:rsidRPr="009C1F21">
        <w:rPr>
          <w:rFonts w:eastAsia="SimSun" w:cs="Gill Sans MT"/>
          <w:szCs w:val="26"/>
          <w:lang w:eastAsia="en-IE"/>
        </w:rPr>
        <w:t xml:space="preserve"> appropriate</w:t>
      </w:r>
      <w:r w:rsidR="00EE7E1A" w:rsidRPr="009C1F21">
        <w:rPr>
          <w:rFonts w:eastAsia="SimSun" w:cs="Gill Sans MT"/>
          <w:szCs w:val="26"/>
          <w:lang w:eastAsia="en-IE"/>
        </w:rPr>
        <w:t>.</w:t>
      </w:r>
      <w:r w:rsidR="00817DAB" w:rsidRPr="009C1F21">
        <w:rPr>
          <w:rStyle w:val="FootnoteReference"/>
          <w:rFonts w:ascii="Gill Sans MT" w:eastAsia="SimSun" w:hAnsi="Gill Sans MT" w:cs="Gill Sans MT"/>
          <w:sz w:val="26"/>
          <w:szCs w:val="26"/>
          <w:lang w:eastAsia="en-IE"/>
        </w:rPr>
        <w:footnoteReference w:id="5"/>
      </w:r>
      <w:r w:rsidR="0041504B" w:rsidRPr="009C1F21">
        <w:rPr>
          <w:lang w:eastAsia="en-IE"/>
        </w:rPr>
        <w:t xml:space="preserve"> </w:t>
      </w:r>
      <w:r w:rsidR="0046564F">
        <w:rPr>
          <w:rFonts w:eastAsia="SimSun" w:cs="Gill Sans MT"/>
          <w:szCs w:val="26"/>
          <w:lang w:eastAsia="en-IE"/>
        </w:rPr>
        <w:t>Full</w:t>
      </w:r>
      <w:r w:rsidR="00592508" w:rsidRPr="009C1F21">
        <w:rPr>
          <w:rFonts w:eastAsia="SimSun" w:cs="Gill Sans MT"/>
          <w:szCs w:val="26"/>
          <w:lang w:eastAsia="en-IE"/>
        </w:rPr>
        <w:t xml:space="preserve"> implementation of the </w:t>
      </w:r>
      <w:r w:rsidR="00A93069" w:rsidRPr="009C1F21">
        <w:rPr>
          <w:rFonts w:eastAsia="SimSun" w:cs="Gill Sans MT"/>
          <w:szCs w:val="26"/>
          <w:lang w:eastAsia="en-IE"/>
        </w:rPr>
        <w:t>report</w:t>
      </w:r>
      <w:r w:rsidR="00592508" w:rsidRPr="009C1F21">
        <w:rPr>
          <w:rFonts w:eastAsia="SimSun" w:cs="Gill Sans MT"/>
          <w:szCs w:val="26"/>
          <w:lang w:eastAsia="en-IE"/>
        </w:rPr>
        <w:t xml:space="preserve"> recommendation</w:t>
      </w:r>
      <w:r w:rsidR="00E06FDB" w:rsidRPr="009C1F21">
        <w:rPr>
          <w:rFonts w:eastAsia="SimSun" w:cs="Gill Sans MT"/>
          <w:szCs w:val="26"/>
          <w:lang w:eastAsia="en-IE"/>
        </w:rPr>
        <w:t>s</w:t>
      </w:r>
      <w:r w:rsidR="00592508" w:rsidRPr="009C1F21">
        <w:rPr>
          <w:rFonts w:eastAsia="SimSun" w:cs="Gill Sans MT"/>
          <w:szCs w:val="26"/>
          <w:lang w:eastAsia="en-IE"/>
        </w:rPr>
        <w:t xml:space="preserve"> </w:t>
      </w:r>
      <w:r w:rsidR="0046564F">
        <w:rPr>
          <w:rFonts w:eastAsia="SimSun" w:cs="Gill Sans MT"/>
          <w:szCs w:val="26"/>
          <w:lang w:eastAsia="en-IE"/>
        </w:rPr>
        <w:t>is</w:t>
      </w:r>
      <w:r w:rsidR="00592508" w:rsidRPr="009C1F21">
        <w:rPr>
          <w:rFonts w:eastAsia="SimSun" w:cs="Gill Sans MT"/>
          <w:szCs w:val="26"/>
          <w:lang w:eastAsia="en-IE"/>
        </w:rPr>
        <w:t xml:space="preserve"> a cross </w:t>
      </w:r>
      <w:r w:rsidR="007D5E76" w:rsidRPr="009C1F21">
        <w:rPr>
          <w:rFonts w:eastAsia="SimSun" w:cs="Gill Sans MT"/>
          <w:szCs w:val="26"/>
          <w:lang w:eastAsia="en-IE"/>
        </w:rPr>
        <w:t>departmental</w:t>
      </w:r>
      <w:r w:rsidR="00592508" w:rsidRPr="009C1F21">
        <w:rPr>
          <w:rFonts w:eastAsia="SimSun" w:cs="Gill Sans MT"/>
          <w:szCs w:val="26"/>
          <w:lang w:eastAsia="en-IE"/>
        </w:rPr>
        <w:t xml:space="preserve"> undertaking</w:t>
      </w:r>
      <w:r w:rsidR="0046564F">
        <w:rPr>
          <w:rFonts w:eastAsia="SimSun" w:cs="Gill Sans MT"/>
          <w:szCs w:val="26"/>
          <w:lang w:eastAsia="en-IE"/>
        </w:rPr>
        <w:t xml:space="preserve">. The NDA advises that the Department of Justice disability proof any policies or procedures introduced to ensure that they are considering the cost of disability. For example, there may be opportunities to look at eligibility requirements for access to free legal aid and other costs related to accessing the legal system. </w:t>
      </w:r>
    </w:p>
    <w:p w14:paraId="63B2F120" w14:textId="77777777" w:rsidR="00741924" w:rsidRPr="009C1F21" w:rsidRDefault="00741924" w:rsidP="00741924">
      <w:pPr>
        <w:spacing w:after="0"/>
        <w:rPr>
          <w:rFonts w:eastAsia="SimSun" w:cs="Gill Sans MT"/>
          <w:szCs w:val="26"/>
          <w:lang w:eastAsia="en-IE"/>
        </w:rPr>
      </w:pPr>
    </w:p>
    <w:p w14:paraId="62D931F0" w14:textId="77777777" w:rsidR="00FC57D7" w:rsidRPr="009C1F21" w:rsidRDefault="008B7273" w:rsidP="00FC57D7">
      <w:pPr>
        <w:pStyle w:val="Heading2"/>
      </w:pPr>
      <w:r w:rsidRPr="009C1F21">
        <w:t>Disability D</w:t>
      </w:r>
      <w:r w:rsidR="00FC57D7" w:rsidRPr="009C1F21">
        <w:t>ata</w:t>
      </w:r>
    </w:p>
    <w:p w14:paraId="415DB1CF" w14:textId="7CEDDAAF" w:rsidR="00FC57D7" w:rsidRDefault="00FC57D7" w:rsidP="00EE7E1A">
      <w:pPr>
        <w:rPr>
          <w:szCs w:val="26"/>
        </w:rPr>
      </w:pPr>
      <w:r w:rsidRPr="009C1F21">
        <w:rPr>
          <w:szCs w:val="26"/>
        </w:rPr>
        <w:t xml:space="preserve">During 2023 it is intended that the Equality Data Strategy will be </w:t>
      </w:r>
      <w:proofErr w:type="gramStart"/>
      <w:r w:rsidRPr="009C1F21">
        <w:rPr>
          <w:szCs w:val="26"/>
        </w:rPr>
        <w:t>finalised</w:t>
      </w:r>
      <w:proofErr w:type="gramEnd"/>
      <w:r w:rsidRPr="009C1F21">
        <w:rPr>
          <w:szCs w:val="26"/>
        </w:rPr>
        <w:t xml:space="preserve"> and implementation will begin. This strategy supports the ‘collect once use often’ approach and will recommend using data linking as much as possible. </w:t>
      </w:r>
      <w:r w:rsidR="00E93724" w:rsidRPr="009C1F21">
        <w:rPr>
          <w:szCs w:val="26"/>
        </w:rPr>
        <w:t xml:space="preserve">Linking of various administrative databases </w:t>
      </w:r>
      <w:r w:rsidR="0051336F" w:rsidRPr="009C1F21">
        <w:rPr>
          <w:szCs w:val="26"/>
        </w:rPr>
        <w:t>facilitates more in</w:t>
      </w:r>
      <w:r w:rsidR="00663E12" w:rsidRPr="009C1F21">
        <w:rPr>
          <w:szCs w:val="26"/>
        </w:rPr>
        <w:t>-</w:t>
      </w:r>
      <w:r w:rsidR="0051336F" w:rsidRPr="009C1F21">
        <w:rPr>
          <w:szCs w:val="26"/>
        </w:rPr>
        <w:t xml:space="preserve">depth data analysis to inform policy. The Equality Data Strategy </w:t>
      </w:r>
      <w:r w:rsidR="006A64CD">
        <w:rPr>
          <w:szCs w:val="26"/>
        </w:rPr>
        <w:t>promotes</w:t>
      </w:r>
      <w:r w:rsidRPr="009C1F21">
        <w:rPr>
          <w:szCs w:val="26"/>
        </w:rPr>
        <w:t xml:space="preserve"> data disaggregation, data linking</w:t>
      </w:r>
      <w:r w:rsidR="00663E12" w:rsidRPr="009C1F21">
        <w:rPr>
          <w:szCs w:val="26"/>
        </w:rPr>
        <w:t>, using more standard</w:t>
      </w:r>
      <w:r w:rsidR="003B04E4" w:rsidRPr="009C1F21">
        <w:rPr>
          <w:szCs w:val="26"/>
        </w:rPr>
        <w:t>ised</w:t>
      </w:r>
      <w:r w:rsidR="00663E12" w:rsidRPr="009C1F21">
        <w:rPr>
          <w:szCs w:val="26"/>
        </w:rPr>
        <w:t xml:space="preserve"> approach</w:t>
      </w:r>
      <w:r w:rsidR="0051336F" w:rsidRPr="009C1F21">
        <w:rPr>
          <w:szCs w:val="26"/>
        </w:rPr>
        <w:t xml:space="preserve"> in relation to indicators and targets,</w:t>
      </w:r>
      <w:r w:rsidRPr="009C1F21">
        <w:rPr>
          <w:szCs w:val="26"/>
        </w:rPr>
        <w:t xml:space="preserve"> and identifying and addressing data gaps. </w:t>
      </w:r>
    </w:p>
    <w:p w14:paraId="1E1A4B14" w14:textId="6CA44298" w:rsidR="002B0DE6" w:rsidRDefault="002B0DE6" w:rsidP="00EE7E1A">
      <w:r>
        <w:t xml:space="preserve">NDA suggests that research could be progressed by the Department in a </w:t>
      </w:r>
      <w:proofErr w:type="spellStart"/>
      <w:r>
        <w:t>numberof</w:t>
      </w:r>
      <w:proofErr w:type="spellEnd"/>
      <w:r>
        <w:t xml:space="preserve"> areas including the prevalence of disability among prisoners or those in the probation system, the prevalence of disability among domestic violence and other violent crime victims, and experiences of disabled people in interacting with the justice system. </w:t>
      </w:r>
    </w:p>
    <w:p w14:paraId="486ED39D" w14:textId="60245380" w:rsidR="002B0DE6" w:rsidRPr="002B0DE6" w:rsidRDefault="002B0DE6" w:rsidP="00EE7E1A">
      <w:r>
        <w:rPr>
          <w:szCs w:val="26"/>
        </w:rPr>
        <w:t xml:space="preserve">The NDA would welcome if the Statement of Strategy included a commitment to continue to strengthen data collection, address data gaps and enhance the collection of data that allows analysis of intersectionality, specifically disability with other equality grounds. </w:t>
      </w:r>
      <w:r>
        <w:t xml:space="preserve">NDA are willing to </w:t>
      </w:r>
      <w:proofErr w:type="spellStart"/>
      <w:r>
        <w:t>provided</w:t>
      </w:r>
      <w:proofErr w:type="spellEnd"/>
      <w:r>
        <w:t xml:space="preserve"> guidance on any of these issues.</w:t>
      </w:r>
    </w:p>
    <w:p w14:paraId="427B2213" w14:textId="77777777" w:rsidR="00134370" w:rsidRPr="009C1F21" w:rsidRDefault="00E72988" w:rsidP="00326EBD">
      <w:pPr>
        <w:pStyle w:val="Heading1"/>
        <w:ind w:left="0"/>
        <w:rPr>
          <w:rFonts w:eastAsia="SimSun"/>
          <w:lang w:eastAsia="en-IE"/>
        </w:rPr>
      </w:pPr>
      <w:r w:rsidRPr="009C1F21">
        <w:rPr>
          <w:rFonts w:eastAsia="SimSun"/>
          <w:lang w:eastAsia="en-IE"/>
        </w:rPr>
        <w:lastRenderedPageBreak/>
        <w:t>Statutory</w:t>
      </w:r>
      <w:r w:rsidR="00134370" w:rsidRPr="009C1F21">
        <w:rPr>
          <w:rFonts w:eastAsia="SimSun"/>
          <w:lang w:eastAsia="en-IE"/>
        </w:rPr>
        <w:t xml:space="preserve"> Obligations</w:t>
      </w:r>
    </w:p>
    <w:p w14:paraId="08D6FE82" w14:textId="77777777" w:rsidR="00E92B70" w:rsidRPr="009C1F21" w:rsidRDefault="00E92B70" w:rsidP="00E92B70">
      <w:pPr>
        <w:pStyle w:val="Heading2"/>
        <w:rPr>
          <w:rFonts w:eastAsia="SimSun"/>
          <w:lang w:eastAsia="en-IE"/>
        </w:rPr>
      </w:pPr>
      <w:r w:rsidRPr="009C1F21">
        <w:rPr>
          <w:rFonts w:eastAsia="SimSun"/>
          <w:lang w:eastAsia="en-IE"/>
        </w:rPr>
        <w:t xml:space="preserve">Compliance with Part </w:t>
      </w:r>
      <w:r w:rsidR="00703D2B" w:rsidRPr="009C1F21">
        <w:rPr>
          <w:rFonts w:eastAsia="SimSun"/>
          <w:lang w:eastAsia="en-IE"/>
        </w:rPr>
        <w:t xml:space="preserve">5 </w:t>
      </w:r>
      <w:r w:rsidR="00E37B5E" w:rsidRPr="009C1F21">
        <w:rPr>
          <w:rFonts w:eastAsia="SimSun"/>
          <w:lang w:eastAsia="en-IE"/>
        </w:rPr>
        <w:t>of the Disability Act 2005</w:t>
      </w:r>
    </w:p>
    <w:p w14:paraId="3AEE7F45" w14:textId="33349D84" w:rsidR="00F17665" w:rsidRPr="009C1F21" w:rsidRDefault="002D4420" w:rsidP="00F17665">
      <w:pPr>
        <w:autoSpaceDE w:val="0"/>
        <w:autoSpaceDN w:val="0"/>
        <w:adjustRightInd w:val="0"/>
        <w:spacing w:after="0"/>
        <w:rPr>
          <w:rFonts w:eastAsia="SimSun" w:cs="Arial"/>
          <w:szCs w:val="26"/>
          <w:lang w:eastAsia="en-IE"/>
        </w:rPr>
      </w:pPr>
      <w:r w:rsidRPr="009C1F21">
        <w:rPr>
          <w:rFonts w:eastAsia="SimSun" w:cs="Arial"/>
          <w:szCs w:val="26"/>
          <w:lang w:eastAsia="en-IE"/>
        </w:rPr>
        <w:t>Part 5</w:t>
      </w:r>
      <w:r w:rsidR="00E13936" w:rsidRPr="009C1F21">
        <w:rPr>
          <w:rFonts w:eastAsia="SimSun" w:cs="Arial"/>
          <w:szCs w:val="26"/>
          <w:lang w:eastAsia="en-IE"/>
        </w:rPr>
        <w:t xml:space="preserve"> of the Disability Act 2005 details the obligations public bodies </w:t>
      </w:r>
      <w:proofErr w:type="gramStart"/>
      <w:r w:rsidR="00E13936" w:rsidRPr="009C1F21">
        <w:rPr>
          <w:rFonts w:eastAsia="SimSun" w:cs="Arial"/>
          <w:szCs w:val="26"/>
          <w:lang w:eastAsia="en-IE"/>
        </w:rPr>
        <w:t>have to</w:t>
      </w:r>
      <w:proofErr w:type="gramEnd"/>
      <w:r w:rsidR="00E13936" w:rsidRPr="009C1F21">
        <w:rPr>
          <w:rFonts w:eastAsia="SimSun" w:cs="Arial"/>
          <w:szCs w:val="26"/>
          <w:lang w:eastAsia="en-IE"/>
        </w:rPr>
        <w:t xml:space="preserve"> promote and support the employmen</w:t>
      </w:r>
      <w:r w:rsidR="00554D71" w:rsidRPr="009C1F21">
        <w:rPr>
          <w:rFonts w:eastAsia="SimSun" w:cs="Arial"/>
          <w:szCs w:val="26"/>
          <w:lang w:eastAsia="en-IE"/>
        </w:rPr>
        <w:t xml:space="preserve">t of persons with disabilities. </w:t>
      </w:r>
      <w:r w:rsidR="00F17665" w:rsidRPr="009C1F21">
        <w:rPr>
          <w:rFonts w:eastAsia="SimSun" w:cs="Gill Sans MT"/>
          <w:szCs w:val="26"/>
          <w:lang w:eastAsia="en-IE"/>
        </w:rPr>
        <w:t>The NDA is ple</w:t>
      </w:r>
      <w:r w:rsidR="006E60A6" w:rsidRPr="009C1F21">
        <w:rPr>
          <w:rFonts w:eastAsia="SimSun" w:cs="Gill Sans MT"/>
          <w:szCs w:val="26"/>
          <w:lang w:eastAsia="en-IE"/>
        </w:rPr>
        <w:t>ased to note the record of the d</w:t>
      </w:r>
      <w:r w:rsidR="00F17665" w:rsidRPr="009C1F21">
        <w:rPr>
          <w:rFonts w:eastAsia="SimSun" w:cs="Gill Sans MT"/>
          <w:szCs w:val="26"/>
          <w:lang w:eastAsia="en-IE"/>
        </w:rPr>
        <w:t xml:space="preserve">epartment in relation to the employment of persons </w:t>
      </w:r>
      <w:r w:rsidR="00395753" w:rsidRPr="009C1F21">
        <w:rPr>
          <w:rFonts w:eastAsia="SimSun" w:cs="Gill Sans MT"/>
          <w:szCs w:val="26"/>
          <w:lang w:eastAsia="en-IE"/>
        </w:rPr>
        <w:t>with disabilities,</w:t>
      </w:r>
      <w:r w:rsidR="002E1848" w:rsidRPr="009C1F21">
        <w:rPr>
          <w:rFonts w:eastAsia="SimSun" w:cs="Gill Sans MT"/>
          <w:szCs w:val="26"/>
          <w:lang w:eastAsia="en-IE"/>
        </w:rPr>
        <w:t xml:space="preserve"> achieving </w:t>
      </w:r>
      <w:r w:rsidR="0021771D">
        <w:rPr>
          <w:rFonts w:eastAsia="SimSun" w:cs="Gill Sans MT"/>
          <w:szCs w:val="26"/>
          <w:lang w:eastAsia="en-IE"/>
        </w:rPr>
        <w:t>8.9</w:t>
      </w:r>
      <w:r w:rsidR="002E1848" w:rsidRPr="009C1F21">
        <w:rPr>
          <w:rFonts w:eastAsia="SimSun" w:cs="Gill Sans MT"/>
          <w:szCs w:val="26"/>
          <w:lang w:eastAsia="en-IE"/>
        </w:rPr>
        <w:t>% in 2021. In addition</w:t>
      </w:r>
      <w:r w:rsidR="0021771D">
        <w:rPr>
          <w:rFonts w:eastAsia="SimSun" w:cs="Gill Sans MT"/>
          <w:szCs w:val="26"/>
          <w:lang w:eastAsia="en-IE"/>
        </w:rPr>
        <w:t>,</w:t>
      </w:r>
      <w:r w:rsidR="002E1848" w:rsidRPr="009C1F21">
        <w:rPr>
          <w:rFonts w:eastAsia="SimSun" w:cs="Gill Sans MT"/>
          <w:szCs w:val="26"/>
          <w:lang w:eastAsia="en-IE"/>
        </w:rPr>
        <w:t xml:space="preserve"> </w:t>
      </w:r>
      <w:r w:rsidR="00414348">
        <w:rPr>
          <w:rFonts w:eastAsia="SimSun" w:cs="Gill Sans MT"/>
          <w:szCs w:val="26"/>
          <w:lang w:eastAsia="en-IE"/>
        </w:rPr>
        <w:t xml:space="preserve">nine of the 12 </w:t>
      </w:r>
      <w:r w:rsidR="002E1848" w:rsidRPr="009C1F21">
        <w:rPr>
          <w:rFonts w:eastAsia="SimSun" w:cs="Gill Sans MT"/>
          <w:szCs w:val="26"/>
          <w:lang w:eastAsia="en-IE"/>
        </w:rPr>
        <w:t xml:space="preserve">public bodies under </w:t>
      </w:r>
      <w:r w:rsidR="00353941" w:rsidRPr="009C1F21">
        <w:rPr>
          <w:rFonts w:eastAsia="SimSun" w:cs="Gill Sans MT"/>
          <w:szCs w:val="26"/>
          <w:lang w:eastAsia="en-IE"/>
        </w:rPr>
        <w:t xml:space="preserve">the </w:t>
      </w:r>
      <w:r w:rsidR="002D0E1A" w:rsidRPr="009C1F21">
        <w:rPr>
          <w:rFonts w:eastAsia="SimSun" w:cs="Gill Sans MT"/>
          <w:szCs w:val="26"/>
          <w:lang w:eastAsia="en-IE"/>
        </w:rPr>
        <w:t xml:space="preserve">aegis of the </w:t>
      </w:r>
      <w:r w:rsidR="00353941" w:rsidRPr="009C1F21">
        <w:rPr>
          <w:rFonts w:eastAsia="SimSun" w:cs="Gill Sans MT"/>
          <w:szCs w:val="26"/>
          <w:lang w:eastAsia="en-IE"/>
        </w:rPr>
        <w:t>d</w:t>
      </w:r>
      <w:r w:rsidR="002D0E1A" w:rsidRPr="009C1F21">
        <w:rPr>
          <w:rFonts w:eastAsia="SimSun" w:cs="Gill Sans MT"/>
          <w:szCs w:val="26"/>
          <w:lang w:eastAsia="en-IE"/>
        </w:rPr>
        <w:t xml:space="preserve">epartment </w:t>
      </w:r>
      <w:r w:rsidR="002E1848" w:rsidRPr="009C1F21">
        <w:rPr>
          <w:rFonts w:eastAsia="SimSun" w:cs="Gill Sans MT"/>
          <w:szCs w:val="26"/>
          <w:lang w:eastAsia="en-IE"/>
        </w:rPr>
        <w:t>also exceeded the minimum 3% target. It</w:t>
      </w:r>
      <w:r w:rsidR="00F17665" w:rsidRPr="009C1F21">
        <w:rPr>
          <w:rFonts w:eastAsia="SimSun" w:cs="Gill Sans MT"/>
          <w:szCs w:val="26"/>
          <w:lang w:eastAsia="en-IE"/>
        </w:rPr>
        <w:t xml:space="preserve"> </w:t>
      </w:r>
      <w:r w:rsidR="00395753" w:rsidRPr="009C1F21">
        <w:rPr>
          <w:rFonts w:eastAsia="SimSun" w:cs="Gill Sans MT"/>
          <w:szCs w:val="26"/>
          <w:lang w:eastAsia="en-IE"/>
        </w:rPr>
        <w:t xml:space="preserve">is </w:t>
      </w:r>
      <w:r w:rsidR="00F17665" w:rsidRPr="009C1F21">
        <w:rPr>
          <w:rFonts w:eastAsia="SimSun" w:cs="Gill Sans MT"/>
          <w:szCs w:val="26"/>
          <w:lang w:eastAsia="en-IE"/>
        </w:rPr>
        <w:t>important to continue maintaining compliance with Part 5 of the Disability A</w:t>
      </w:r>
      <w:r w:rsidR="006144CC" w:rsidRPr="009C1F21">
        <w:rPr>
          <w:rFonts w:eastAsia="SimSun" w:cs="Gill Sans MT"/>
          <w:szCs w:val="26"/>
          <w:lang w:eastAsia="en-IE"/>
        </w:rPr>
        <w:t xml:space="preserve">ct as a key focus of </w:t>
      </w:r>
      <w:r w:rsidR="00703D2B" w:rsidRPr="009C1F21">
        <w:rPr>
          <w:rFonts w:eastAsia="SimSun" w:cs="Gill Sans MT"/>
          <w:szCs w:val="26"/>
          <w:lang w:eastAsia="en-IE"/>
        </w:rPr>
        <w:t xml:space="preserve">the </w:t>
      </w:r>
      <w:r w:rsidR="006144CC" w:rsidRPr="009C1F21">
        <w:rPr>
          <w:rFonts w:eastAsia="SimSun" w:cs="Gill Sans MT"/>
          <w:szCs w:val="26"/>
          <w:lang w:eastAsia="en-IE"/>
        </w:rPr>
        <w:t>d</w:t>
      </w:r>
      <w:r w:rsidR="00F17665" w:rsidRPr="009C1F21">
        <w:rPr>
          <w:rFonts w:eastAsia="SimSun" w:cs="Gill Sans MT"/>
          <w:szCs w:val="26"/>
          <w:lang w:eastAsia="en-IE"/>
        </w:rPr>
        <w:t>epartment's HR strategy</w:t>
      </w:r>
      <w:r w:rsidR="00AD79DB" w:rsidRPr="009C1F21">
        <w:rPr>
          <w:rFonts w:eastAsia="SimSun" w:cs="Gill Sans MT"/>
          <w:szCs w:val="26"/>
          <w:lang w:eastAsia="en-IE"/>
        </w:rPr>
        <w:t xml:space="preserve"> and articulati</w:t>
      </w:r>
      <w:r w:rsidR="003A4C08" w:rsidRPr="009C1F21">
        <w:rPr>
          <w:rFonts w:eastAsia="SimSun" w:cs="Gill Sans MT"/>
          <w:szCs w:val="26"/>
          <w:lang w:eastAsia="en-IE"/>
        </w:rPr>
        <w:t>ng a commitment to same in the d</w:t>
      </w:r>
      <w:r w:rsidR="00AD79DB" w:rsidRPr="009C1F21">
        <w:rPr>
          <w:rFonts w:eastAsia="SimSun" w:cs="Gill Sans MT"/>
          <w:szCs w:val="26"/>
          <w:lang w:eastAsia="en-IE"/>
        </w:rPr>
        <w:t xml:space="preserve">epartment’s overall </w:t>
      </w:r>
      <w:r w:rsidR="00663E12" w:rsidRPr="009C1F21">
        <w:rPr>
          <w:rFonts w:eastAsia="SimSun" w:cs="Gill Sans MT"/>
          <w:szCs w:val="26"/>
          <w:lang w:eastAsia="en-IE"/>
        </w:rPr>
        <w:t>Statement</w:t>
      </w:r>
      <w:r w:rsidR="00AD79DB" w:rsidRPr="009C1F21">
        <w:rPr>
          <w:rFonts w:eastAsia="SimSun" w:cs="Gill Sans MT"/>
          <w:szCs w:val="26"/>
          <w:lang w:eastAsia="en-IE"/>
        </w:rPr>
        <w:t xml:space="preserve"> of Str</w:t>
      </w:r>
      <w:r w:rsidR="00F22161" w:rsidRPr="009C1F21">
        <w:rPr>
          <w:rFonts w:eastAsia="SimSun" w:cs="Gill Sans MT"/>
          <w:szCs w:val="26"/>
          <w:lang w:eastAsia="en-IE"/>
        </w:rPr>
        <w:t>ategy can also demonstrate the d</w:t>
      </w:r>
      <w:r w:rsidR="00AD79DB" w:rsidRPr="009C1F21">
        <w:rPr>
          <w:rFonts w:eastAsia="SimSun" w:cs="Gill Sans MT"/>
          <w:szCs w:val="26"/>
          <w:lang w:eastAsia="en-IE"/>
        </w:rPr>
        <w:t>epartment’s standing as an employer invested in equality, diversity and inclusion (EDI)</w:t>
      </w:r>
      <w:r w:rsidR="00F17665" w:rsidRPr="009C1F21">
        <w:rPr>
          <w:rFonts w:eastAsia="SimSun" w:cs="Gill Sans MT"/>
          <w:szCs w:val="26"/>
          <w:lang w:eastAsia="en-IE"/>
        </w:rPr>
        <w:t>.</w:t>
      </w:r>
      <w:r w:rsidR="006E1F8E" w:rsidRPr="009C1F21">
        <w:rPr>
          <w:rStyle w:val="FootnoteReference"/>
          <w:rFonts w:eastAsia="SimSun" w:cs="Gill Sans MT"/>
          <w:szCs w:val="26"/>
          <w:lang w:eastAsia="en-IE"/>
        </w:rPr>
        <w:footnoteReference w:id="6"/>
      </w:r>
      <w:r w:rsidR="00F17665" w:rsidRPr="009C1F21">
        <w:rPr>
          <w:rFonts w:eastAsia="SimSun" w:cs="Gill Sans MT"/>
          <w:szCs w:val="26"/>
          <w:lang w:eastAsia="en-IE"/>
        </w:rPr>
        <w:t xml:space="preserve"> </w:t>
      </w:r>
      <w:r w:rsidR="004D6CAC">
        <w:rPr>
          <w:rFonts w:eastAsia="SimSun" w:cs="Gill Sans MT"/>
          <w:szCs w:val="26"/>
          <w:lang w:eastAsia="en-IE"/>
        </w:rPr>
        <w:t>T</w:t>
      </w:r>
      <w:r w:rsidR="002E1848" w:rsidRPr="009C1F21">
        <w:rPr>
          <w:rFonts w:eastAsia="SimSun" w:cs="Gill Sans MT"/>
          <w:szCs w:val="26"/>
          <w:lang w:eastAsia="en-IE"/>
        </w:rPr>
        <w:t>he Assisted Decision Making (Capacity) (Amendment) Act 2022 increase</w:t>
      </w:r>
      <w:r w:rsidR="00414348">
        <w:rPr>
          <w:rFonts w:eastAsia="SimSun" w:cs="Gill Sans MT"/>
          <w:szCs w:val="26"/>
          <w:lang w:eastAsia="en-IE"/>
        </w:rPr>
        <w:t>s</w:t>
      </w:r>
      <w:r w:rsidR="002E1848" w:rsidRPr="009C1F21">
        <w:rPr>
          <w:rFonts w:eastAsia="SimSun" w:cs="Gill Sans MT"/>
          <w:szCs w:val="26"/>
          <w:lang w:eastAsia="en-IE"/>
        </w:rPr>
        <w:t xml:space="preserve"> the minimum target from 3% to </w:t>
      </w:r>
      <w:r w:rsidR="004D6CAC">
        <w:rPr>
          <w:rFonts w:eastAsia="SimSun" w:cs="Gill Sans MT"/>
          <w:szCs w:val="26"/>
          <w:lang w:eastAsia="en-IE"/>
        </w:rPr>
        <w:t xml:space="preserve">4.5% in 2024 and </w:t>
      </w:r>
      <w:r w:rsidR="002E1848" w:rsidRPr="009C1F21">
        <w:rPr>
          <w:rFonts w:eastAsia="SimSun" w:cs="Gill Sans MT"/>
          <w:szCs w:val="26"/>
          <w:lang w:eastAsia="en-IE"/>
        </w:rPr>
        <w:t xml:space="preserve">6% by 2025. </w:t>
      </w:r>
    </w:p>
    <w:p w14:paraId="6A953CD3" w14:textId="77777777" w:rsidR="00BB00D5" w:rsidRPr="009C1F21" w:rsidRDefault="00BB00D5" w:rsidP="00BB00D5">
      <w:pPr>
        <w:spacing w:after="0"/>
        <w:rPr>
          <w:sz w:val="28"/>
          <w:szCs w:val="16"/>
        </w:rPr>
      </w:pPr>
    </w:p>
    <w:p w14:paraId="7A4B64C8" w14:textId="77777777" w:rsidR="008D6376" w:rsidRPr="009C1F21" w:rsidRDefault="008D6376" w:rsidP="00E92B70">
      <w:pPr>
        <w:pStyle w:val="Heading2"/>
        <w:rPr>
          <w:rFonts w:eastAsia="SimSun"/>
          <w:lang w:eastAsia="en-IE"/>
        </w:rPr>
      </w:pPr>
      <w:r w:rsidRPr="009C1F21">
        <w:rPr>
          <w:rFonts w:eastAsia="SimSun"/>
          <w:lang w:eastAsia="en-IE"/>
        </w:rPr>
        <w:t xml:space="preserve">EU Web </w:t>
      </w:r>
      <w:r w:rsidR="00271295" w:rsidRPr="009C1F21">
        <w:rPr>
          <w:rFonts w:eastAsia="SimSun"/>
          <w:lang w:eastAsia="en-IE"/>
        </w:rPr>
        <w:t>Accessibility</w:t>
      </w:r>
      <w:r w:rsidRPr="009C1F21">
        <w:rPr>
          <w:rFonts w:eastAsia="SimSun"/>
          <w:lang w:eastAsia="en-IE"/>
        </w:rPr>
        <w:t xml:space="preserve"> Obligations </w:t>
      </w:r>
    </w:p>
    <w:p w14:paraId="237B34A9" w14:textId="3976179E" w:rsidR="002B0DE6" w:rsidRDefault="002B0DE6" w:rsidP="002B0DE6">
      <w:pPr>
        <w:pStyle w:val="NormalWeb"/>
        <w:spacing w:before="0" w:beforeAutospacing="0" w:after="0" w:afterAutospacing="0"/>
        <w:rPr>
          <w:rFonts w:ascii="Gill Sans MT" w:hAnsi="Gill Sans MT"/>
          <w:sz w:val="26"/>
          <w:szCs w:val="26"/>
        </w:rPr>
      </w:pPr>
      <w:r>
        <w:rPr>
          <w:rFonts w:ascii="Gill Sans MT" w:hAnsi="Gill Sans MT"/>
          <w:sz w:val="26"/>
          <w:szCs w:val="26"/>
        </w:rPr>
        <w:t xml:space="preserve">The </w:t>
      </w:r>
      <w:hyperlink r:id="rId9" w:history="1">
        <w:r>
          <w:rPr>
            <w:rStyle w:val="Hyperlink"/>
            <w:rFonts w:ascii="Gill Sans MT" w:hAnsi="Gill Sans MT"/>
            <w:sz w:val="26"/>
            <w:szCs w:val="26"/>
          </w:rPr>
          <w:t>EU Web Accessibility Directive</w:t>
        </w:r>
      </w:hyperlink>
      <w:r>
        <w:rPr>
          <w:rFonts w:ascii="Gill Sans MT" w:hAnsi="Gill Sans MT"/>
          <w:sz w:val="26"/>
          <w:szCs w:val="26"/>
        </w:rPr>
        <w:t xml:space="preserve">, which came into force in September 2020, requires Member States to ensure that websites and mobile applications of public sector bodies are fully accessible to persons with disabilities and comply with the harmonised standard EN 310 549 (v3.2.1). The Directive further requires public bodies to maintain an </w:t>
      </w:r>
      <w:hyperlink r:id="rId10" w:history="1">
        <w:r>
          <w:rPr>
            <w:rStyle w:val="Hyperlink"/>
            <w:rFonts w:ascii="Gill Sans MT" w:hAnsi="Gill Sans MT"/>
            <w:sz w:val="26"/>
            <w:szCs w:val="26"/>
          </w:rPr>
          <w:t>Accessibility Statement</w:t>
        </w:r>
      </w:hyperlink>
      <w:r>
        <w:rPr>
          <w:rFonts w:ascii="Gill Sans MT" w:hAnsi="Gill Sans MT"/>
          <w:sz w:val="26"/>
          <w:szCs w:val="26"/>
        </w:rPr>
        <w:t xml:space="preserve"> in a prominent location on all its websites.  This must include a clear feedback mechanism for users to ask for assistance with inaccessible content and features as well as the statutory complaints mechanism through which a person can make a formal complaint about the website’s accessibility in-line with the Disability Act 2005 or the Equal Status Act 2000-2015, whichever so applies. The National Disability Authority is named in Irish Regulations as the National Monitoring Body for the purposes of monitoring compliance with and reporting on the EU Web Accessibility Directive. The NDA has submitted </w:t>
      </w:r>
      <w:hyperlink r:id="rId11" w:history="1">
        <w:r>
          <w:rPr>
            <w:rStyle w:val="Hyperlink"/>
            <w:rFonts w:ascii="Gill Sans MT" w:hAnsi="Gill Sans MT"/>
            <w:sz w:val="26"/>
            <w:szCs w:val="26"/>
          </w:rPr>
          <w:t>two monitoring reports</w:t>
        </w:r>
      </w:hyperlink>
      <w:r>
        <w:rPr>
          <w:rFonts w:ascii="Gill Sans MT" w:hAnsi="Gill Sans MT"/>
          <w:sz w:val="26"/>
          <w:szCs w:val="26"/>
        </w:rPr>
        <w:t xml:space="preserve"> to the European Commission in December 2011 and 2022 in this regard.</w:t>
      </w:r>
    </w:p>
    <w:p w14:paraId="3ACE5581" w14:textId="3A41DB32" w:rsidR="002B0DE6" w:rsidRDefault="002B0DE6" w:rsidP="002B0DE6">
      <w:pPr>
        <w:pStyle w:val="NormalWeb"/>
        <w:rPr>
          <w:rFonts w:ascii="Gill Sans MT" w:hAnsi="Gill Sans MT"/>
          <w:sz w:val="26"/>
          <w:szCs w:val="26"/>
        </w:rPr>
      </w:pPr>
      <w:r>
        <w:rPr>
          <w:rFonts w:ascii="Gill Sans MT" w:hAnsi="Gill Sans MT"/>
          <w:sz w:val="26"/>
          <w:szCs w:val="26"/>
        </w:rPr>
        <w:t>In 2023, NDA conducted Simplified (automated) Reviews on the Department’s web presence on GOV.ie as well as</w:t>
      </w:r>
      <w:r w:rsidR="00A14C4B">
        <w:rPr>
          <w:rFonts w:ascii="Gill Sans MT" w:hAnsi="Gill Sans MT"/>
          <w:sz w:val="26"/>
          <w:szCs w:val="26"/>
        </w:rPr>
        <w:t xml:space="preserve"> for two</w:t>
      </w:r>
      <w:r>
        <w:rPr>
          <w:rFonts w:ascii="Gill Sans MT" w:hAnsi="Gill Sans MT"/>
          <w:sz w:val="26"/>
          <w:szCs w:val="26"/>
        </w:rPr>
        <w:t xml:space="preserve"> agencies “International Protection Appeals Tribunal” and “International Protection Office” whose websites the department manages. NDA has issued Notice of Monitoring to the department and its agencies so to provide the monitoring results and guidance on remediating the errors identified and improving compliance with the Directive.  </w:t>
      </w:r>
    </w:p>
    <w:p w14:paraId="18B2F734" w14:textId="4971DF3E" w:rsidR="002B0DE6" w:rsidRDefault="002B0DE6" w:rsidP="002B0DE6">
      <w:pPr>
        <w:pStyle w:val="NormalWeb"/>
        <w:rPr>
          <w:rFonts w:ascii="Gill Sans MT" w:hAnsi="Gill Sans MT"/>
          <w:sz w:val="26"/>
          <w:szCs w:val="26"/>
        </w:rPr>
      </w:pPr>
      <w:r>
        <w:rPr>
          <w:rFonts w:ascii="Gill Sans MT" w:hAnsi="Gill Sans MT"/>
          <w:sz w:val="26"/>
          <w:szCs w:val="26"/>
        </w:rPr>
        <w:lastRenderedPageBreak/>
        <w:t>The Department has engaged positively with NDA.  However</w:t>
      </w:r>
      <w:r w:rsidR="00A14C4B">
        <w:rPr>
          <w:rFonts w:ascii="Gill Sans MT" w:hAnsi="Gill Sans MT"/>
          <w:sz w:val="26"/>
          <w:szCs w:val="26"/>
        </w:rPr>
        <w:t>,</w:t>
      </w:r>
      <w:r>
        <w:rPr>
          <w:rFonts w:ascii="Gill Sans MT" w:hAnsi="Gill Sans MT"/>
          <w:sz w:val="26"/>
          <w:szCs w:val="26"/>
        </w:rPr>
        <w:t xml:space="preserve"> NDA’s monitoring data shows that there have been no improvements in the compliance of the PDF published by the Department on GOV.ie.</w:t>
      </w:r>
      <w:r w:rsidR="00A14C4B">
        <w:rPr>
          <w:rFonts w:ascii="Gill Sans MT" w:hAnsi="Gill Sans MT"/>
          <w:sz w:val="26"/>
          <w:szCs w:val="26"/>
        </w:rPr>
        <w:t xml:space="preserve"> </w:t>
      </w:r>
      <w:r>
        <w:rPr>
          <w:rFonts w:ascii="Gill Sans MT" w:hAnsi="Gill Sans MT"/>
          <w:sz w:val="26"/>
          <w:szCs w:val="26"/>
        </w:rPr>
        <w:t>The websites of the two agencies named above have shown no improvement in compliance since monitoring began.</w:t>
      </w:r>
    </w:p>
    <w:p w14:paraId="24C2485B" w14:textId="77777777" w:rsidR="002B0DE6" w:rsidRDefault="002B0DE6" w:rsidP="002B0DE6">
      <w:pPr>
        <w:pStyle w:val="NormalWeb"/>
        <w:rPr>
          <w:rFonts w:ascii="Gill Sans MT" w:hAnsi="Gill Sans MT"/>
          <w:sz w:val="26"/>
          <w:szCs w:val="26"/>
        </w:rPr>
      </w:pPr>
      <w:r>
        <w:rPr>
          <w:rFonts w:ascii="Gill Sans MT" w:hAnsi="Gill Sans MT"/>
          <w:sz w:val="26"/>
          <w:szCs w:val="26"/>
        </w:rPr>
        <w:t xml:space="preserve">NDA recommends that the Department’s officials with responsibility for its content on GOV.ie as well as the websites of agencies under its aegis engage with NDA to develop a systematic and comprehensive approach to improving the accessibility of all websites it currently manages.  NDA will continue to monitor these websites and the websites of other agencies under the Department’s aegis into the future.  </w:t>
      </w:r>
    </w:p>
    <w:p w14:paraId="4C5E82F4" w14:textId="652ECD6A" w:rsidR="002B0DE6" w:rsidRPr="002B0DE6" w:rsidRDefault="002B0DE6" w:rsidP="002B0DE6">
      <w:pPr>
        <w:rPr>
          <w:szCs w:val="26"/>
        </w:rPr>
      </w:pPr>
      <w:r w:rsidRPr="002B0DE6">
        <w:rPr>
          <w:szCs w:val="26"/>
        </w:rPr>
        <w:t xml:space="preserve">The NDA recommends that the Department articulates its statutory obligation to ensure all its websites, comply with the EU Web Accessibility Directive, in the Statement of Strategy. The department should encourage the agencies under its remit to take further steps to improve their compliance with the Directive.  </w:t>
      </w:r>
    </w:p>
    <w:p w14:paraId="0EE272FE" w14:textId="3C4EA736" w:rsidR="002B0DE6" w:rsidRPr="002B0DE6" w:rsidRDefault="002B0DE6" w:rsidP="002B0DE6">
      <w:pPr>
        <w:rPr>
          <w:szCs w:val="26"/>
        </w:rPr>
      </w:pPr>
      <w:r w:rsidRPr="002B0DE6">
        <w:rPr>
          <w:szCs w:val="26"/>
        </w:rPr>
        <w:t>The NDA recommends that this obligation and an action plan to address access issues is referenced in relevant strategic objectives and that the Statement of Strategy itself is published in a fully accessible PDF.</w:t>
      </w:r>
    </w:p>
    <w:p w14:paraId="507CBD77" w14:textId="77777777" w:rsidR="0027765E" w:rsidRPr="009C1F21" w:rsidRDefault="0027765E" w:rsidP="0027765E">
      <w:pPr>
        <w:pStyle w:val="Heading2"/>
        <w:rPr>
          <w:lang w:eastAsia="en-IE"/>
        </w:rPr>
      </w:pPr>
      <w:r w:rsidRPr="009C1F21">
        <w:rPr>
          <w:lang w:eastAsia="en-IE"/>
        </w:rPr>
        <w:t>Compliance with Part 3 of Disability Act 2005</w:t>
      </w:r>
    </w:p>
    <w:p w14:paraId="197A87D5" w14:textId="308E354D" w:rsidR="00054918" w:rsidRDefault="00054918" w:rsidP="00054918">
      <w:pPr>
        <w:rPr>
          <w:rFonts w:ascii="Calibri" w:hAnsi="Calibri"/>
          <w:sz w:val="22"/>
          <w:szCs w:val="22"/>
          <w:lang w:eastAsia="en-IE"/>
        </w:rPr>
      </w:pPr>
      <w:r>
        <w:rPr>
          <w:lang w:eastAsia="en-IE"/>
        </w:rPr>
        <w:t xml:space="preserve">Part 3 of the Disability Act details obligations public bodies </w:t>
      </w:r>
      <w:proofErr w:type="gramStart"/>
      <w:r>
        <w:rPr>
          <w:lang w:eastAsia="en-IE"/>
        </w:rPr>
        <w:t>have to</w:t>
      </w:r>
      <w:proofErr w:type="gramEnd"/>
      <w:r>
        <w:rPr>
          <w:lang w:eastAsia="en-IE"/>
        </w:rPr>
        <w:t xml:space="preserve"> ensure that information and service are accessible to persons with disabilities. Where practical and appropriate, public bodies should ensure that services provided to disabled persons and persons without disabilities are integrated. The Centre for Excellence in Universal Design at the NDA developed a Customer Communications Toolkit for Services to the Public, which provides guidance for public servants on how to communicate with the public using the simplest and clearest language possible and to ensure that all services are accessible and meet the diverse needs of all customers.</w:t>
      </w:r>
      <w:r>
        <w:rPr>
          <w:rStyle w:val="FootnoteReference"/>
          <w:lang w:eastAsia="en-IE"/>
        </w:rPr>
        <w:t xml:space="preserve"> </w:t>
      </w:r>
    </w:p>
    <w:p w14:paraId="4C76488C" w14:textId="370D0D8F" w:rsidR="00054918" w:rsidRDefault="00054918" w:rsidP="00054918">
      <w:pPr>
        <w:rPr>
          <w:lang w:eastAsia="en-IE"/>
        </w:rPr>
      </w:pPr>
      <w:r>
        <w:rPr>
          <w:lang w:eastAsia="en-IE"/>
        </w:rPr>
        <w:t>Earlier this year the NDA forwarded the findings of the Part 3 Monitoring Report to the Secretary General of the Department of Justice, which contains the results of a desk</w:t>
      </w:r>
      <w:r w:rsidR="00A14C4B">
        <w:rPr>
          <w:lang w:eastAsia="en-IE"/>
        </w:rPr>
        <w:t>-</w:t>
      </w:r>
      <w:r>
        <w:rPr>
          <w:lang w:eastAsia="en-IE"/>
        </w:rPr>
        <w:t xml:space="preserve">based exercise, assessing the websites of public bodies as defined by Part 3 of the Disability Act. Initial findings showed </w:t>
      </w:r>
      <w:r w:rsidR="004D6CAC">
        <w:rPr>
          <w:lang w:eastAsia="en-IE"/>
        </w:rPr>
        <w:t>that out</w:t>
      </w:r>
      <w:r>
        <w:rPr>
          <w:lang w:eastAsia="en-IE"/>
        </w:rPr>
        <w:t xml:space="preserve"> of 29 public bodies under the aegis of the Department, there were 7 public bodies (24.1%) that met all criteria of the standard indicator regarding Section 26(2) - Access Officers. This was below the average (33.9%) of public bodies overall. However, the NDA provided Departments and public bodies with </w:t>
      </w:r>
      <w:r w:rsidR="004D6CAC">
        <w:rPr>
          <w:lang w:eastAsia="en-IE"/>
        </w:rPr>
        <w:t>time to</w:t>
      </w:r>
      <w:r>
        <w:rPr>
          <w:lang w:eastAsia="en-IE"/>
        </w:rPr>
        <w:t xml:space="preserve"> revert with updated information and amendments before final publication of the report. </w:t>
      </w:r>
    </w:p>
    <w:p w14:paraId="0E0A668F" w14:textId="0ACDEE22" w:rsidR="00054918" w:rsidRDefault="00054918" w:rsidP="00054918">
      <w:pPr>
        <w:rPr>
          <w:lang w:eastAsia="en-IE"/>
        </w:rPr>
      </w:pPr>
      <w:r>
        <w:rPr>
          <w:lang w:eastAsia="en-IE"/>
        </w:rPr>
        <w:lastRenderedPageBreak/>
        <w:t>Following this exercise</w:t>
      </w:r>
      <w:r w:rsidR="00A14C4B">
        <w:rPr>
          <w:lang w:eastAsia="en-IE"/>
        </w:rPr>
        <w:t>,</w:t>
      </w:r>
      <w:r>
        <w:rPr>
          <w:lang w:eastAsia="en-IE"/>
        </w:rPr>
        <w:t xml:space="preserve"> the Department of Justice informed NDA of some changes to public bodies under its aegis which resulted in an amended total of 26 public bodies under the Department’s aegis. Of these 26 public bodies, 25 (96.2%) promoted the appointment of an Access Officer on their public websites all 25 of these public bodies had contact details available. Of these 25 public bodies 23 (92%) provide communication channels which would facilitate both spoken and written communication. Therefore, out of 26 public bodies under the aegis of the Department, there were 23 (88.5%) that met all criteria of the indicator regarding Section 26(2) - Access Officers.</w:t>
      </w:r>
    </w:p>
    <w:p w14:paraId="55B5F0B3" w14:textId="77777777" w:rsidR="00054918" w:rsidRDefault="00054918" w:rsidP="00054918">
      <w:pPr>
        <w:rPr>
          <w:lang w:eastAsia="en-IE"/>
        </w:rPr>
      </w:pPr>
      <w:r>
        <w:rPr>
          <w:lang w:eastAsia="en-IE"/>
        </w:rPr>
        <w:t>This represents a great improvement within the Department, however there is still room for more improvements to be made. The NDA also wishes to commend the establishment of an Access Officer Network undertaken by the Department of Justice. The NDA look forward to continued work on the recommendations detailed in the report, to ensure best practice is followed, and in assisting public bodies who do not meet this indicator to address gaps.</w:t>
      </w:r>
    </w:p>
    <w:p w14:paraId="52AC7461" w14:textId="77777777" w:rsidR="00582974" w:rsidRPr="009C1F21" w:rsidRDefault="00582974" w:rsidP="00582974">
      <w:pPr>
        <w:pStyle w:val="Heading2"/>
        <w:rPr>
          <w:lang w:eastAsia="en-IE"/>
        </w:rPr>
      </w:pPr>
      <w:r w:rsidRPr="009C1F21">
        <w:rPr>
          <w:lang w:eastAsia="en-IE"/>
        </w:rPr>
        <w:t>Requirement for Accessible Public Buildings under Section 25 of the Disability Act 2005</w:t>
      </w:r>
    </w:p>
    <w:p w14:paraId="3CF99218" w14:textId="77777777" w:rsidR="00B479AA" w:rsidRPr="009C1F21" w:rsidRDefault="00A10ADB" w:rsidP="0068407C">
      <w:pPr>
        <w:spacing w:after="0"/>
        <w:rPr>
          <w:rFonts w:eastAsiaTheme="minorHAnsi"/>
          <w:sz w:val="28"/>
          <w:szCs w:val="28"/>
        </w:rPr>
      </w:pPr>
      <w:r w:rsidRPr="009C1F21">
        <w:rPr>
          <w:rFonts w:eastAsia="SimSun" w:cs="Gill Sans MT"/>
          <w:szCs w:val="26"/>
          <w:lang w:eastAsia="en-IE"/>
        </w:rPr>
        <w:t>Section 25 of the Disability Act requires all departments and public bodies to ensure that the parts of their buildings wh</w:t>
      </w:r>
      <w:r w:rsidR="00582974" w:rsidRPr="009C1F21">
        <w:rPr>
          <w:rFonts w:eastAsia="SimSun" w:cs="Gill Sans MT"/>
          <w:szCs w:val="26"/>
          <w:lang w:eastAsia="en-IE"/>
        </w:rPr>
        <w:t>ich are ac</w:t>
      </w:r>
      <w:r w:rsidR="006C6E9A" w:rsidRPr="009C1F21">
        <w:rPr>
          <w:rFonts w:eastAsia="SimSun" w:cs="Gill Sans MT"/>
          <w:szCs w:val="26"/>
          <w:lang w:eastAsia="en-IE"/>
        </w:rPr>
        <w:t>cesse</w:t>
      </w:r>
      <w:r w:rsidR="001125F9" w:rsidRPr="009C1F21">
        <w:rPr>
          <w:rFonts w:eastAsia="SimSun" w:cs="Gill Sans MT"/>
          <w:szCs w:val="26"/>
          <w:lang w:eastAsia="en-IE"/>
        </w:rPr>
        <w:t xml:space="preserve">d by the public, </w:t>
      </w:r>
      <w:r w:rsidR="003D0C37" w:rsidRPr="009C1F21">
        <w:rPr>
          <w:rFonts w:eastAsia="SimSun" w:cs="Gill Sans MT"/>
          <w:szCs w:val="26"/>
          <w:lang w:eastAsia="en-IE"/>
        </w:rPr>
        <w:t>apart from heritage sites,</w:t>
      </w:r>
      <w:r w:rsidRPr="009C1F21">
        <w:rPr>
          <w:rFonts w:eastAsia="SimSun" w:cs="Gill Sans MT"/>
          <w:szCs w:val="26"/>
          <w:lang w:eastAsia="en-IE"/>
        </w:rPr>
        <w:t xml:space="preserve"> are brought into compliance with Part M of the building regulations, which deals with </w:t>
      </w:r>
      <w:r w:rsidR="004E46FD" w:rsidRPr="009C1F21">
        <w:rPr>
          <w:rFonts w:eastAsia="SimSun" w:cs="Gill Sans MT"/>
          <w:szCs w:val="26"/>
          <w:lang w:eastAsia="en-IE"/>
        </w:rPr>
        <w:t>access</w:t>
      </w:r>
      <w:r w:rsidR="00582974" w:rsidRPr="009C1F21">
        <w:rPr>
          <w:rFonts w:eastAsia="SimSun" w:cs="Gill Sans MT"/>
          <w:szCs w:val="26"/>
          <w:lang w:eastAsia="en-IE"/>
        </w:rPr>
        <w:t xml:space="preserve"> and use</w:t>
      </w:r>
      <w:r w:rsidRPr="009C1F21">
        <w:rPr>
          <w:rFonts w:eastAsia="SimSun" w:cs="Gill Sans MT"/>
          <w:szCs w:val="26"/>
          <w:lang w:eastAsia="en-IE"/>
        </w:rPr>
        <w:t xml:space="preserve">. </w:t>
      </w:r>
      <w:r w:rsidR="00B479AA" w:rsidRPr="009C1F21">
        <w:rPr>
          <w:rFonts w:eastAsia="SimSun" w:cs="Gill Sans MT"/>
          <w:szCs w:val="26"/>
          <w:lang w:eastAsia="en-IE"/>
        </w:rPr>
        <w:t xml:space="preserve">The requirement is to upgrade older public buildings so that they comply with Part M, within a ten-year </w:t>
      </w:r>
      <w:proofErr w:type="gramStart"/>
      <w:r w:rsidR="00B479AA" w:rsidRPr="009C1F21">
        <w:rPr>
          <w:rFonts w:eastAsia="SimSun" w:cs="Gill Sans MT"/>
          <w:szCs w:val="26"/>
          <w:lang w:eastAsia="en-IE"/>
        </w:rPr>
        <w:t>time-frame</w:t>
      </w:r>
      <w:proofErr w:type="gramEnd"/>
      <w:r w:rsidR="00B479AA" w:rsidRPr="009C1F21">
        <w:rPr>
          <w:rFonts w:eastAsia="SimSun" w:cs="Gill Sans MT"/>
          <w:szCs w:val="26"/>
          <w:lang w:eastAsia="en-IE"/>
        </w:rPr>
        <w:t xml:space="preserve"> of any amendment to part M. Part M 2</w:t>
      </w:r>
      <w:r w:rsidR="004A3945" w:rsidRPr="009C1F21">
        <w:rPr>
          <w:rFonts w:eastAsia="SimSun" w:cs="Gill Sans MT"/>
          <w:szCs w:val="26"/>
          <w:lang w:eastAsia="en-IE"/>
        </w:rPr>
        <w:t>010 commenced on 1 January 2012 and</w:t>
      </w:r>
      <w:r w:rsidR="00B479AA" w:rsidRPr="009C1F21">
        <w:rPr>
          <w:rFonts w:eastAsia="SimSun" w:cs="Gill Sans MT"/>
          <w:szCs w:val="26"/>
          <w:lang w:eastAsia="en-IE"/>
        </w:rPr>
        <w:t xml:space="preserve"> was </w:t>
      </w:r>
      <w:r w:rsidR="00C47269" w:rsidRPr="009C1F21">
        <w:rPr>
          <w:rFonts w:eastAsia="SimSun" w:cs="Gill Sans MT"/>
          <w:szCs w:val="26"/>
          <w:lang w:eastAsia="en-IE"/>
        </w:rPr>
        <w:t xml:space="preserve">subsequently </w:t>
      </w:r>
      <w:r w:rsidR="00B479AA" w:rsidRPr="009C1F21">
        <w:rPr>
          <w:rFonts w:eastAsia="SimSun" w:cs="Gill Sans MT"/>
          <w:szCs w:val="26"/>
          <w:lang w:eastAsia="en-IE"/>
        </w:rPr>
        <w:t>reviewed and replaced again with Part M 2022, which commenced on 1 January 2023. Under Section 25 therefore, public bodies are required to bring their public buildings into compliance with Part M 2010 by 1st January 2022 and P</w:t>
      </w:r>
      <w:r w:rsidR="00C47269" w:rsidRPr="009C1F21">
        <w:rPr>
          <w:rFonts w:eastAsia="SimSun" w:cs="Gill Sans MT"/>
          <w:szCs w:val="26"/>
          <w:lang w:eastAsia="en-IE"/>
        </w:rPr>
        <w:t>art M 2022 by 1st January 2033</w:t>
      </w:r>
      <w:r w:rsidR="00B479AA" w:rsidRPr="009C1F21">
        <w:rPr>
          <w:rFonts w:eastAsia="SimSun" w:cs="Gill Sans MT"/>
          <w:szCs w:val="26"/>
          <w:lang w:eastAsia="en-IE"/>
        </w:rPr>
        <w:t>. The new requirements under Part M 2</w:t>
      </w:r>
      <w:r w:rsidR="0095589F" w:rsidRPr="009C1F21">
        <w:rPr>
          <w:rFonts w:eastAsia="SimSun" w:cs="Gill Sans MT"/>
          <w:szCs w:val="26"/>
          <w:lang w:eastAsia="en-IE"/>
        </w:rPr>
        <w:t>022 relate to the provision of c</w:t>
      </w:r>
      <w:r w:rsidR="00291822" w:rsidRPr="009C1F21">
        <w:rPr>
          <w:rFonts w:eastAsia="SimSun" w:cs="Gill Sans MT"/>
          <w:szCs w:val="26"/>
          <w:lang w:eastAsia="en-IE"/>
        </w:rPr>
        <w:t>hanging p</w:t>
      </w:r>
      <w:r w:rsidR="00B479AA" w:rsidRPr="009C1F21">
        <w:rPr>
          <w:rFonts w:eastAsia="SimSun" w:cs="Gill Sans MT"/>
          <w:szCs w:val="26"/>
          <w:lang w:eastAsia="en-IE"/>
        </w:rPr>
        <w:t>laces toilets.</w:t>
      </w:r>
    </w:p>
    <w:p w14:paraId="4D6668ED" w14:textId="77777777" w:rsidR="00582974" w:rsidRPr="009C1F21" w:rsidRDefault="00582974" w:rsidP="00A10ADB">
      <w:pPr>
        <w:autoSpaceDE w:val="0"/>
        <w:autoSpaceDN w:val="0"/>
        <w:adjustRightInd w:val="0"/>
        <w:spacing w:after="0"/>
        <w:rPr>
          <w:rFonts w:eastAsia="SimSun" w:cs="Gill Sans MT"/>
          <w:szCs w:val="26"/>
          <w:lang w:eastAsia="en-IE"/>
        </w:rPr>
      </w:pPr>
    </w:p>
    <w:p w14:paraId="6CD42D81" w14:textId="4A6F9747" w:rsidR="00B64418" w:rsidRPr="009C1F21" w:rsidRDefault="00A10ADB" w:rsidP="0068407C">
      <w:pPr>
        <w:autoSpaceDE w:val="0"/>
        <w:autoSpaceDN w:val="0"/>
        <w:adjustRightInd w:val="0"/>
        <w:spacing w:after="0"/>
        <w:rPr>
          <w:rFonts w:eastAsia="SimSun" w:cs="Gill Sans MT"/>
          <w:szCs w:val="26"/>
          <w:lang w:eastAsia="en-IE"/>
        </w:rPr>
      </w:pPr>
      <w:r w:rsidRPr="009C1F21">
        <w:rPr>
          <w:rFonts w:eastAsia="SimSun" w:cs="Gill Sans MT"/>
          <w:szCs w:val="26"/>
          <w:lang w:eastAsia="en-IE"/>
        </w:rPr>
        <w:t xml:space="preserve">The NDA </w:t>
      </w:r>
      <w:r w:rsidR="00A56579" w:rsidRPr="009C1F21">
        <w:rPr>
          <w:rFonts w:eastAsia="SimSun" w:cs="Gill Sans MT"/>
          <w:szCs w:val="26"/>
          <w:lang w:eastAsia="en-IE"/>
        </w:rPr>
        <w:t>advise</w:t>
      </w:r>
      <w:r w:rsidRPr="009C1F21">
        <w:rPr>
          <w:rFonts w:eastAsia="SimSun" w:cs="Gill Sans MT"/>
          <w:szCs w:val="26"/>
          <w:lang w:eastAsia="en-IE"/>
        </w:rPr>
        <w:t xml:space="preserve"> that each department and agency should develop an action plan including access audits, planned improvements works, timeframes for implementation and earmarked funding, to work towards achieving compliance with these legal obligations. This may involve engaging with other authorities as appropriate, including for example, the OPW. We also advise that compliance with Section 25 should be factored into performance framework agreements with agencies as a governance matter to comply with legal du</w:t>
      </w:r>
      <w:r w:rsidR="00BC3890" w:rsidRPr="009C1F21">
        <w:rPr>
          <w:rFonts w:eastAsia="SimSun" w:cs="Gill Sans MT"/>
          <w:szCs w:val="26"/>
          <w:lang w:eastAsia="en-IE"/>
        </w:rPr>
        <w:t xml:space="preserve">ties. </w:t>
      </w:r>
      <w:r w:rsidR="00BA676B" w:rsidRPr="009C1F21">
        <w:rPr>
          <w:rFonts w:eastAsia="SimSun" w:cs="Gill Sans MT"/>
          <w:szCs w:val="26"/>
          <w:lang w:eastAsia="en-IE"/>
        </w:rPr>
        <w:t>The NDA recommend</w:t>
      </w:r>
      <w:r w:rsidR="00E36793" w:rsidRPr="009C1F21">
        <w:rPr>
          <w:rFonts w:eastAsia="SimSun" w:cs="Gill Sans MT"/>
          <w:szCs w:val="26"/>
          <w:lang w:eastAsia="en-IE"/>
        </w:rPr>
        <w:t>s</w:t>
      </w:r>
      <w:r w:rsidR="00BA676B" w:rsidRPr="009C1F21">
        <w:rPr>
          <w:rFonts w:eastAsia="SimSun" w:cs="Gill Sans MT"/>
          <w:szCs w:val="26"/>
          <w:lang w:eastAsia="en-IE"/>
        </w:rPr>
        <w:t xml:space="preserve"> that </w:t>
      </w:r>
      <w:r w:rsidR="001E0590" w:rsidRPr="009C1F21">
        <w:rPr>
          <w:rFonts w:eastAsia="SimSun" w:cs="Gill Sans MT"/>
          <w:szCs w:val="26"/>
          <w:lang w:eastAsia="en-IE"/>
        </w:rPr>
        <w:t>the department</w:t>
      </w:r>
      <w:r w:rsidR="00BA676B" w:rsidRPr="009C1F21">
        <w:rPr>
          <w:rFonts w:eastAsia="SimSun" w:cs="Gill Sans MT"/>
          <w:szCs w:val="26"/>
          <w:lang w:eastAsia="en-IE"/>
        </w:rPr>
        <w:t xml:space="preserve"> </w:t>
      </w:r>
      <w:r w:rsidR="00B64418" w:rsidRPr="009C1F21">
        <w:rPr>
          <w:rFonts w:eastAsia="SimSun" w:cs="Gill Sans MT"/>
          <w:szCs w:val="26"/>
          <w:lang w:eastAsia="en-IE"/>
        </w:rPr>
        <w:t>develops a plan to implement Section 25 recommendations in buildings within its remit, including public bu</w:t>
      </w:r>
      <w:r w:rsidR="00E44FD4" w:rsidRPr="009C1F21">
        <w:rPr>
          <w:rFonts w:eastAsia="SimSun" w:cs="Gill Sans MT"/>
          <w:szCs w:val="26"/>
          <w:lang w:eastAsia="en-IE"/>
        </w:rPr>
        <w:t xml:space="preserve">ildings such as </w:t>
      </w:r>
      <w:r w:rsidR="007A48F1">
        <w:rPr>
          <w:rFonts w:eastAsia="SimSun" w:cs="Gill Sans MT"/>
          <w:szCs w:val="26"/>
          <w:lang w:eastAsia="en-IE"/>
        </w:rPr>
        <w:t>court houses</w:t>
      </w:r>
      <w:r w:rsidR="00E44FD4" w:rsidRPr="009C1F21">
        <w:rPr>
          <w:rFonts w:eastAsia="SimSun" w:cs="Gill Sans MT"/>
          <w:szCs w:val="26"/>
          <w:lang w:eastAsia="en-IE"/>
        </w:rPr>
        <w:t xml:space="preserve">, </w:t>
      </w:r>
      <w:r w:rsidR="00B64418" w:rsidRPr="009C1F21">
        <w:rPr>
          <w:rFonts w:eastAsia="SimSun" w:cs="Gill Sans MT"/>
          <w:szCs w:val="26"/>
          <w:lang w:eastAsia="en-IE"/>
        </w:rPr>
        <w:t xml:space="preserve">and that this commitment is </w:t>
      </w:r>
      <w:r w:rsidR="00D56DEB" w:rsidRPr="009C1F21">
        <w:rPr>
          <w:rFonts w:eastAsia="SimSun" w:cs="Gill Sans MT"/>
          <w:szCs w:val="26"/>
          <w:lang w:eastAsia="en-IE"/>
        </w:rPr>
        <w:t xml:space="preserve">clearly </w:t>
      </w:r>
      <w:r w:rsidR="00B64418" w:rsidRPr="009C1F21">
        <w:rPr>
          <w:rFonts w:eastAsia="SimSun" w:cs="Gill Sans MT"/>
          <w:szCs w:val="26"/>
          <w:lang w:eastAsia="en-IE"/>
        </w:rPr>
        <w:t xml:space="preserve">articulated in the Statement of Strategy. </w:t>
      </w:r>
      <w:r w:rsidR="007A48F1">
        <w:rPr>
          <w:rFonts w:eastAsia="SimSun" w:cs="Gill Sans MT"/>
          <w:szCs w:val="26"/>
          <w:lang w:eastAsia="en-IE"/>
        </w:rPr>
        <w:t xml:space="preserve">The NDA acknowledges that some older court houses may come under the remit of the Code of Practice for Heritage Sites. This Code allows for </w:t>
      </w:r>
      <w:r w:rsidR="007A48F1">
        <w:rPr>
          <w:rFonts w:eastAsia="SimSun" w:cs="Gill Sans MT"/>
          <w:szCs w:val="26"/>
          <w:lang w:eastAsia="en-IE"/>
        </w:rPr>
        <w:lastRenderedPageBreak/>
        <w:t xml:space="preserve">adaptations to make the building accessible once certain conditions are complied with and plans should also be put in place to make these buildings accessible where possible. </w:t>
      </w:r>
    </w:p>
    <w:p w14:paraId="22E28CCD" w14:textId="77777777" w:rsidR="0068407C" w:rsidRPr="009C1F21" w:rsidRDefault="0068407C" w:rsidP="0068407C">
      <w:pPr>
        <w:autoSpaceDE w:val="0"/>
        <w:autoSpaceDN w:val="0"/>
        <w:adjustRightInd w:val="0"/>
        <w:spacing w:after="0"/>
        <w:rPr>
          <w:rFonts w:eastAsia="SimSun" w:cs="Gill Sans MT"/>
          <w:szCs w:val="26"/>
          <w:lang w:eastAsia="en-IE"/>
        </w:rPr>
      </w:pPr>
    </w:p>
    <w:p w14:paraId="68404D57" w14:textId="3E2D454A" w:rsidR="00A97D23" w:rsidRPr="009C1F21" w:rsidRDefault="00C261A9" w:rsidP="00A10ADB">
      <w:pPr>
        <w:autoSpaceDE w:val="0"/>
        <w:autoSpaceDN w:val="0"/>
        <w:adjustRightInd w:val="0"/>
        <w:spacing w:after="0"/>
        <w:rPr>
          <w:rFonts w:eastAsia="SimSun" w:cs="Gill Sans MT"/>
          <w:szCs w:val="26"/>
          <w:lang w:eastAsia="en-IE"/>
        </w:rPr>
      </w:pPr>
      <w:r w:rsidRPr="009C1F21">
        <w:rPr>
          <w:rFonts w:eastAsia="SimSun" w:cs="Gill Sans MT"/>
          <w:szCs w:val="26"/>
          <w:lang w:eastAsia="en-IE"/>
        </w:rPr>
        <w:t>An Operational Review of the Effectiveness of Section 25 of the Disability Act 2005 was published by the NDA in 2019 providing guidance on how public bodies can comply with Section 25.</w:t>
      </w:r>
      <w:r w:rsidRPr="009C1F21">
        <w:rPr>
          <w:sz w:val="28"/>
          <w:szCs w:val="28"/>
          <w:lang w:eastAsia="en-IE"/>
        </w:rPr>
        <w:t xml:space="preserve"> </w:t>
      </w:r>
      <w:r w:rsidR="00FC6C49" w:rsidRPr="009C1F21">
        <w:rPr>
          <w:rFonts w:eastAsia="SimSun" w:cs="Gill Sans MT"/>
          <w:szCs w:val="26"/>
          <w:lang w:eastAsia="en-IE"/>
        </w:rPr>
        <w:t>Under Part 3 of the Disability Act</w:t>
      </w:r>
      <w:r w:rsidR="002B0DE6">
        <w:rPr>
          <w:rFonts w:eastAsia="SimSun" w:cs="Gill Sans MT"/>
          <w:szCs w:val="26"/>
          <w:lang w:eastAsia="en-IE"/>
        </w:rPr>
        <w:t>. T</w:t>
      </w:r>
      <w:r w:rsidR="00FC6C49" w:rsidRPr="009C1F21">
        <w:rPr>
          <w:rFonts w:eastAsia="SimSun" w:cs="Gill Sans MT"/>
          <w:szCs w:val="26"/>
          <w:lang w:eastAsia="en-IE"/>
        </w:rPr>
        <w:t xml:space="preserve">he </w:t>
      </w:r>
      <w:r w:rsidR="00A97D23" w:rsidRPr="009C1F21">
        <w:rPr>
          <w:rFonts w:eastAsia="SimSun" w:cs="Gill Sans MT"/>
          <w:szCs w:val="26"/>
          <w:lang w:eastAsia="en-IE"/>
        </w:rPr>
        <w:t xml:space="preserve">NDA </w:t>
      </w:r>
      <w:r w:rsidR="00FC6C49" w:rsidRPr="009C1F21">
        <w:rPr>
          <w:rFonts w:eastAsia="SimSun" w:cs="Gill Sans MT"/>
          <w:szCs w:val="26"/>
          <w:lang w:eastAsia="en-IE"/>
        </w:rPr>
        <w:t xml:space="preserve">is </w:t>
      </w:r>
      <w:r w:rsidR="00A97D23" w:rsidRPr="009C1F21">
        <w:rPr>
          <w:rFonts w:eastAsia="SimSun" w:cs="Gill Sans MT"/>
          <w:szCs w:val="26"/>
          <w:lang w:eastAsia="en-IE"/>
        </w:rPr>
        <w:t xml:space="preserve">developing a </w:t>
      </w:r>
      <w:r w:rsidR="00FC6C49" w:rsidRPr="009C1F21">
        <w:rPr>
          <w:rFonts w:eastAsia="SimSun" w:cs="Gill Sans MT"/>
          <w:szCs w:val="26"/>
          <w:lang w:eastAsia="en-IE"/>
        </w:rPr>
        <w:t xml:space="preserve">statutory </w:t>
      </w:r>
      <w:r w:rsidR="00A97D23" w:rsidRPr="009C1F21">
        <w:rPr>
          <w:rFonts w:eastAsia="SimSun" w:cs="Gill Sans MT"/>
          <w:szCs w:val="26"/>
          <w:lang w:eastAsia="en-IE"/>
        </w:rPr>
        <w:t>Code of Practice on Accessible</w:t>
      </w:r>
      <w:r w:rsidRPr="009C1F21">
        <w:rPr>
          <w:rFonts w:eastAsia="SimSun" w:cs="Gill Sans MT"/>
          <w:szCs w:val="26"/>
          <w:lang w:eastAsia="en-IE"/>
        </w:rPr>
        <w:t xml:space="preserve"> Public</w:t>
      </w:r>
      <w:r w:rsidR="00A97D23" w:rsidRPr="009C1F21">
        <w:rPr>
          <w:rFonts w:eastAsia="SimSun" w:cs="Gill Sans MT"/>
          <w:szCs w:val="26"/>
          <w:lang w:eastAsia="en-IE"/>
        </w:rPr>
        <w:t xml:space="preserve"> Buildings </w:t>
      </w:r>
      <w:r w:rsidR="00FC6C49" w:rsidRPr="009C1F21">
        <w:rPr>
          <w:rFonts w:eastAsia="SimSun" w:cs="Gill Sans MT"/>
          <w:szCs w:val="26"/>
          <w:lang w:eastAsia="en-IE"/>
        </w:rPr>
        <w:t>at the request of the Minister</w:t>
      </w:r>
      <w:r w:rsidR="0068407C" w:rsidRPr="009C1F21">
        <w:rPr>
          <w:rFonts w:eastAsia="SimSun" w:cs="Gill Sans MT"/>
          <w:szCs w:val="26"/>
          <w:lang w:eastAsia="en-IE"/>
        </w:rPr>
        <w:t>, informed by the findings of the Operational Review</w:t>
      </w:r>
      <w:r w:rsidR="00FC6C49" w:rsidRPr="009C1F21">
        <w:rPr>
          <w:rFonts w:eastAsia="SimSun" w:cs="Gill Sans MT"/>
          <w:szCs w:val="26"/>
          <w:lang w:eastAsia="en-IE"/>
        </w:rPr>
        <w:t xml:space="preserve">. When completed, the NDA will have a role to monitor compliance with </w:t>
      </w:r>
      <w:r w:rsidR="00746FDB" w:rsidRPr="009C1F21">
        <w:rPr>
          <w:rFonts w:eastAsia="SimSun" w:cs="Gill Sans MT"/>
          <w:szCs w:val="26"/>
          <w:lang w:eastAsia="en-IE"/>
        </w:rPr>
        <w:t>same, and to provide advice to d</w:t>
      </w:r>
      <w:r w:rsidR="00FC6C49" w:rsidRPr="009C1F21">
        <w:rPr>
          <w:rFonts w:eastAsia="SimSun" w:cs="Gill Sans MT"/>
          <w:szCs w:val="26"/>
          <w:lang w:eastAsia="en-IE"/>
        </w:rPr>
        <w:t xml:space="preserve">epartments on areas requiring further action or focus. </w:t>
      </w:r>
      <w:r w:rsidR="002B0DE6">
        <w:rPr>
          <w:rFonts w:eastAsia="SimSun" w:cs="Gill Sans MT"/>
          <w:szCs w:val="26"/>
          <w:lang w:eastAsia="en-IE"/>
        </w:rPr>
        <w:t>We anticipate submitting the Code to the Minister by year end.</w:t>
      </w:r>
    </w:p>
    <w:p w14:paraId="05E3FDA4" w14:textId="77777777" w:rsidR="00A10ADB" w:rsidRPr="009C1F21" w:rsidRDefault="00A10ADB" w:rsidP="003D7B65">
      <w:pPr>
        <w:pStyle w:val="NormalWeb"/>
        <w:spacing w:before="0" w:beforeAutospacing="0" w:after="0" w:afterAutospacing="0"/>
        <w:rPr>
          <w:rFonts w:ascii="Gill Sans MT" w:hAnsi="Gill Sans MT"/>
        </w:rPr>
      </w:pPr>
    </w:p>
    <w:p w14:paraId="168639CC" w14:textId="77777777" w:rsidR="0001762E" w:rsidRPr="009C1F21" w:rsidRDefault="0001762E" w:rsidP="009B2890">
      <w:pPr>
        <w:pStyle w:val="Heading2"/>
        <w:rPr>
          <w:rFonts w:eastAsia="SimSun"/>
          <w:lang w:eastAsia="en-IE"/>
        </w:rPr>
      </w:pPr>
      <w:r w:rsidRPr="009C1F21">
        <w:rPr>
          <w:rFonts w:eastAsia="SimSun"/>
          <w:lang w:eastAsia="en-IE"/>
        </w:rPr>
        <w:t xml:space="preserve">Irish Sign Language Act </w:t>
      </w:r>
    </w:p>
    <w:p w14:paraId="36DE63A7" w14:textId="25AF7056" w:rsidR="00AD4A51" w:rsidRDefault="006B48CE" w:rsidP="00AD4A51">
      <w:pPr>
        <w:spacing w:after="0"/>
        <w:rPr>
          <w:szCs w:val="26"/>
        </w:rPr>
      </w:pPr>
      <w:r w:rsidRPr="009C1F21">
        <w:rPr>
          <w:szCs w:val="26"/>
        </w:rPr>
        <w:t xml:space="preserve">The Irish Sign Language Act 2017, which recognises the right of ISL users to use ISL as their native language, and to develop and preserve it, was enacted in December 2020. This Act places a statutory duty on all public bodies to do all that is reasonable to provide ISL users with free ISL interpretation when availing of or seeking to access statutory entitlements and services provided by or under statute. </w:t>
      </w:r>
      <w:r w:rsidR="005C45EB" w:rsidRPr="009C1F21">
        <w:rPr>
          <w:szCs w:val="26"/>
        </w:rPr>
        <w:t xml:space="preserve">The </w:t>
      </w:r>
      <w:r w:rsidR="00327993" w:rsidRPr="009C1F21">
        <w:rPr>
          <w:szCs w:val="26"/>
        </w:rPr>
        <w:t xml:space="preserve">NDA </w:t>
      </w:r>
      <w:r w:rsidR="006453C8">
        <w:rPr>
          <w:szCs w:val="26"/>
        </w:rPr>
        <w:t>notes</w:t>
      </w:r>
      <w:r w:rsidR="00327993" w:rsidRPr="009C1F21">
        <w:rPr>
          <w:szCs w:val="26"/>
        </w:rPr>
        <w:t xml:space="preserve"> that in the report on the operation of the Act</w:t>
      </w:r>
      <w:r w:rsidR="006A64CD">
        <w:rPr>
          <w:szCs w:val="26"/>
        </w:rPr>
        <w:t xml:space="preserve"> (conducted by the NDA)</w:t>
      </w:r>
      <w:r w:rsidR="009E5406" w:rsidRPr="009C1F21">
        <w:rPr>
          <w:szCs w:val="26"/>
        </w:rPr>
        <w:t>,</w:t>
      </w:r>
      <w:r w:rsidR="00327993" w:rsidRPr="009C1F21">
        <w:rPr>
          <w:szCs w:val="26"/>
        </w:rPr>
        <w:t xml:space="preserve"> the Department of </w:t>
      </w:r>
      <w:r w:rsidR="006453C8">
        <w:rPr>
          <w:szCs w:val="26"/>
        </w:rPr>
        <w:t>Justice</w:t>
      </w:r>
      <w:r w:rsidR="00327993" w:rsidRPr="009C1F21">
        <w:rPr>
          <w:szCs w:val="26"/>
        </w:rPr>
        <w:t xml:space="preserve"> had assessed themselves as </w:t>
      </w:r>
      <w:r w:rsidR="006453C8">
        <w:rPr>
          <w:szCs w:val="26"/>
        </w:rPr>
        <w:t xml:space="preserve">partially </w:t>
      </w:r>
      <w:r w:rsidR="00327993" w:rsidRPr="009C1F21">
        <w:rPr>
          <w:szCs w:val="26"/>
        </w:rPr>
        <w:t>compliant with the Act.</w:t>
      </w:r>
      <w:r w:rsidR="008A2296" w:rsidRPr="009C1F21">
        <w:rPr>
          <w:rStyle w:val="FootnoteReference"/>
          <w:rFonts w:ascii="Gill Sans MT" w:hAnsi="Gill Sans MT"/>
          <w:sz w:val="26"/>
          <w:szCs w:val="26"/>
        </w:rPr>
        <w:footnoteReference w:id="7"/>
      </w:r>
      <w:r w:rsidR="00327993" w:rsidRPr="009C1F21">
        <w:rPr>
          <w:szCs w:val="26"/>
        </w:rPr>
        <w:t xml:space="preserve"> Public bodes under the </w:t>
      </w:r>
      <w:r w:rsidR="009B2890" w:rsidRPr="009C1F21">
        <w:rPr>
          <w:szCs w:val="26"/>
        </w:rPr>
        <w:t>aegis</w:t>
      </w:r>
      <w:r w:rsidR="00327993" w:rsidRPr="009C1F21">
        <w:rPr>
          <w:szCs w:val="26"/>
        </w:rPr>
        <w:t xml:space="preserve"> of </w:t>
      </w:r>
      <w:r w:rsidR="009E5406" w:rsidRPr="009C1F21">
        <w:rPr>
          <w:szCs w:val="26"/>
        </w:rPr>
        <w:t>the department</w:t>
      </w:r>
      <w:r w:rsidR="00327993" w:rsidRPr="009C1F21">
        <w:rPr>
          <w:szCs w:val="26"/>
        </w:rPr>
        <w:t xml:space="preserve"> self</w:t>
      </w:r>
      <w:r w:rsidR="00FC6C49" w:rsidRPr="009C1F21">
        <w:rPr>
          <w:szCs w:val="26"/>
        </w:rPr>
        <w:t>-</w:t>
      </w:r>
      <w:r w:rsidR="00327993" w:rsidRPr="009C1F21">
        <w:rPr>
          <w:szCs w:val="26"/>
        </w:rPr>
        <w:t>assessed as either compliant</w:t>
      </w:r>
      <w:r w:rsidR="006453C8">
        <w:rPr>
          <w:szCs w:val="26"/>
        </w:rPr>
        <w:t xml:space="preserve"> (n=8),</w:t>
      </w:r>
      <w:r w:rsidR="00327993" w:rsidRPr="009C1F21">
        <w:rPr>
          <w:szCs w:val="26"/>
        </w:rPr>
        <w:t xml:space="preserve"> partially compliant</w:t>
      </w:r>
      <w:r w:rsidR="006453C8">
        <w:rPr>
          <w:szCs w:val="26"/>
        </w:rPr>
        <w:t xml:space="preserve"> (n=5) or not compliant (n=4)</w:t>
      </w:r>
      <w:r w:rsidR="00327993" w:rsidRPr="009C1F21">
        <w:rPr>
          <w:szCs w:val="26"/>
        </w:rPr>
        <w:t xml:space="preserve">. </w:t>
      </w:r>
      <w:r w:rsidR="006453C8">
        <w:rPr>
          <w:szCs w:val="26"/>
        </w:rPr>
        <w:t xml:space="preserve">NDA would be keen to see action taken to ensure compliance. </w:t>
      </w:r>
    </w:p>
    <w:p w14:paraId="5DDA244F" w14:textId="77777777" w:rsidR="006453C8" w:rsidRPr="006453C8" w:rsidRDefault="006453C8" w:rsidP="00AD4A51">
      <w:pPr>
        <w:spacing w:after="0"/>
        <w:rPr>
          <w:szCs w:val="26"/>
        </w:rPr>
      </w:pPr>
    </w:p>
    <w:p w14:paraId="0B0CDABD" w14:textId="5D2CBE0A" w:rsidR="006A64CD" w:rsidRDefault="008A2296" w:rsidP="006A64CD">
      <w:r w:rsidRPr="009C1F21">
        <w:rPr>
          <w:szCs w:val="26"/>
        </w:rPr>
        <w:t>The report on the operation of the ISL Act</w:t>
      </w:r>
      <w:r w:rsidR="006A64CD">
        <w:rPr>
          <w:szCs w:val="26"/>
        </w:rPr>
        <w:t>, in relation to Section 4 of the Act on the use of ISL in legal proceedings,</w:t>
      </w:r>
      <w:r w:rsidRPr="009C1F21">
        <w:rPr>
          <w:szCs w:val="26"/>
        </w:rPr>
        <w:t xml:space="preserve"> </w:t>
      </w:r>
      <w:r w:rsidR="006A64CD">
        <w:t>found that there is a need for information and awareness raising in relation to ISL interpretation, for clarity on eligibility for access to an ISL interpreter (in certain court contexts such as the Coroners Court) and for the publication of procedures for ISL users to access interpreters in the civil courts. The NDA did not make specific any recommendations under Section 4, instead advising that the above issues should be addressed through the more general recommendations that apply to all public bodies under Section 6 of the Act. These recommendations note the need to incorporate the specific context of the courts in implementation, for example, in establishing procedures and the provision of information.</w:t>
      </w:r>
    </w:p>
    <w:p w14:paraId="05C8ADB2" w14:textId="77777777" w:rsidR="006B48CE" w:rsidRPr="009C1F21" w:rsidRDefault="00327993" w:rsidP="00836F3A">
      <w:pPr>
        <w:pStyle w:val="Heading1"/>
      </w:pPr>
      <w:r w:rsidRPr="009C1F21">
        <w:lastRenderedPageBreak/>
        <w:t>Conclusion</w:t>
      </w:r>
    </w:p>
    <w:p w14:paraId="7EBC408E" w14:textId="50351ACB" w:rsidR="00284E78" w:rsidRPr="009C1F21" w:rsidRDefault="005B33FF" w:rsidP="00B66A74">
      <w:pPr>
        <w:pStyle w:val="NormalWeb"/>
        <w:spacing w:before="0" w:beforeAutospacing="0" w:after="0" w:afterAutospacing="0"/>
        <w:rPr>
          <w:rFonts w:ascii="Gill Sans MT" w:hAnsi="Gill Sans MT"/>
          <w:sz w:val="26"/>
          <w:szCs w:val="26"/>
          <w:lang w:eastAsia="en-US"/>
        </w:rPr>
      </w:pPr>
      <w:r w:rsidRPr="009C1F21">
        <w:rPr>
          <w:rFonts w:ascii="Gill Sans MT" w:hAnsi="Gill Sans MT"/>
          <w:sz w:val="26"/>
          <w:szCs w:val="26"/>
          <w:lang w:eastAsia="en-US"/>
        </w:rPr>
        <w:t xml:space="preserve">The </w:t>
      </w:r>
      <w:r w:rsidR="00327993" w:rsidRPr="009C1F21">
        <w:rPr>
          <w:rFonts w:ascii="Gill Sans MT" w:hAnsi="Gill Sans MT"/>
          <w:sz w:val="26"/>
          <w:szCs w:val="26"/>
          <w:lang w:eastAsia="en-US"/>
        </w:rPr>
        <w:t xml:space="preserve">NDA </w:t>
      </w:r>
      <w:r w:rsidR="00FC6C49" w:rsidRPr="009C1F21">
        <w:rPr>
          <w:rFonts w:ascii="Gill Sans MT" w:hAnsi="Gill Sans MT"/>
          <w:sz w:val="26"/>
          <w:szCs w:val="26"/>
          <w:lang w:eastAsia="en-US"/>
        </w:rPr>
        <w:t xml:space="preserve">would be </w:t>
      </w:r>
      <w:r w:rsidR="00327993" w:rsidRPr="009C1F21">
        <w:rPr>
          <w:rFonts w:ascii="Gill Sans MT" w:hAnsi="Gill Sans MT"/>
          <w:sz w:val="26"/>
          <w:szCs w:val="26"/>
          <w:lang w:eastAsia="en-US"/>
        </w:rPr>
        <w:t xml:space="preserve">happy to engage with officials from </w:t>
      </w:r>
      <w:r w:rsidR="00FC6C49" w:rsidRPr="009C1F21">
        <w:rPr>
          <w:rFonts w:ascii="Gill Sans MT" w:hAnsi="Gill Sans MT"/>
          <w:sz w:val="26"/>
          <w:szCs w:val="26"/>
          <w:lang w:eastAsia="en-US"/>
        </w:rPr>
        <w:t xml:space="preserve">the Department of </w:t>
      </w:r>
      <w:r w:rsidR="006A64CD">
        <w:rPr>
          <w:rFonts w:ascii="Gill Sans MT" w:hAnsi="Gill Sans MT"/>
          <w:sz w:val="26"/>
          <w:szCs w:val="26"/>
          <w:lang w:eastAsia="en-US"/>
        </w:rPr>
        <w:t>Justice</w:t>
      </w:r>
      <w:r w:rsidR="00FC6C49" w:rsidRPr="009C1F21">
        <w:rPr>
          <w:rFonts w:ascii="Gill Sans MT" w:hAnsi="Gill Sans MT"/>
          <w:sz w:val="26"/>
          <w:szCs w:val="26"/>
          <w:lang w:eastAsia="en-US"/>
        </w:rPr>
        <w:t xml:space="preserve"> </w:t>
      </w:r>
      <w:r w:rsidR="00327993" w:rsidRPr="009C1F21">
        <w:rPr>
          <w:rFonts w:ascii="Gill Sans MT" w:hAnsi="Gill Sans MT"/>
          <w:sz w:val="26"/>
          <w:szCs w:val="26"/>
          <w:lang w:eastAsia="en-US"/>
        </w:rPr>
        <w:t>on any of the points raised in this submission</w:t>
      </w:r>
      <w:r w:rsidR="006A64CD">
        <w:rPr>
          <w:rFonts w:ascii="Gill Sans MT" w:hAnsi="Gill Sans MT"/>
          <w:sz w:val="26"/>
          <w:szCs w:val="26"/>
          <w:lang w:eastAsia="en-US"/>
        </w:rPr>
        <w:t>.</w:t>
      </w:r>
    </w:p>
    <w:p w14:paraId="17057EF3" w14:textId="77777777" w:rsidR="00B66A74" w:rsidRPr="009C1F21" w:rsidRDefault="00B66A74" w:rsidP="00B66A74">
      <w:pPr>
        <w:pStyle w:val="NormalWeb"/>
        <w:spacing w:before="0" w:beforeAutospacing="0" w:after="0" w:afterAutospacing="0"/>
        <w:rPr>
          <w:rFonts w:ascii="Gill Sans MT" w:hAnsi="Gill Sans MT"/>
          <w:sz w:val="26"/>
          <w:szCs w:val="26"/>
          <w:lang w:eastAsia="en-US"/>
        </w:rPr>
      </w:pPr>
    </w:p>
    <w:p w14:paraId="48E3F164" w14:textId="5B67FEE5" w:rsidR="00863A45" w:rsidRPr="009C1F21" w:rsidRDefault="00E46576" w:rsidP="00281DE2">
      <w:pPr>
        <w:pStyle w:val="Heading2"/>
        <w:rPr>
          <w:rFonts w:eastAsia="SimSun"/>
          <w:lang w:eastAsia="en-IE"/>
        </w:rPr>
      </w:pPr>
      <w:r>
        <w:rPr>
          <w:rFonts w:eastAsia="SimSun"/>
          <w:lang w:eastAsia="en-IE"/>
        </w:rPr>
        <w:t xml:space="preserve">Summary of </w:t>
      </w:r>
      <w:r w:rsidR="00281DE2" w:rsidRPr="009C1F21">
        <w:rPr>
          <w:rFonts w:eastAsia="SimSun"/>
          <w:lang w:eastAsia="en-IE"/>
        </w:rPr>
        <w:t xml:space="preserve">Key Recommendations </w:t>
      </w:r>
      <w:r w:rsidR="005E3ED2" w:rsidRPr="009C1F21">
        <w:rPr>
          <w:rFonts w:eastAsia="SimSun"/>
          <w:lang w:eastAsia="en-IE"/>
        </w:rPr>
        <w:t>to the Department</w:t>
      </w:r>
    </w:p>
    <w:p w14:paraId="0D265DCA" w14:textId="0F5F4057" w:rsidR="00C12C2B" w:rsidRDefault="00C12C2B" w:rsidP="0095483D">
      <w:pPr>
        <w:rPr>
          <w:rFonts w:eastAsia="SimSun"/>
          <w:lang w:eastAsia="en-IE"/>
        </w:rPr>
      </w:pPr>
      <w:r w:rsidRPr="009C1F21">
        <w:rPr>
          <w:rFonts w:eastAsia="SimSun"/>
          <w:lang w:eastAsia="en-IE"/>
        </w:rPr>
        <w:t xml:space="preserve">The NDA advise that the Department of Social Protection include the following </w:t>
      </w:r>
      <w:r w:rsidR="009C1F21" w:rsidRPr="009C1F21">
        <w:rPr>
          <w:rFonts w:eastAsia="SimSun"/>
          <w:lang w:eastAsia="en-IE"/>
        </w:rPr>
        <w:t xml:space="preserve">clear commitments </w:t>
      </w:r>
      <w:r w:rsidR="003B31B1" w:rsidRPr="009C1F21">
        <w:rPr>
          <w:rFonts w:eastAsia="SimSun"/>
          <w:lang w:eastAsia="en-IE"/>
        </w:rPr>
        <w:t>in the Statement of S</w:t>
      </w:r>
      <w:r w:rsidR="009C1F21" w:rsidRPr="009C1F21">
        <w:rPr>
          <w:rFonts w:eastAsia="SimSun"/>
          <w:lang w:eastAsia="en-IE"/>
        </w:rPr>
        <w:t>trategy</w:t>
      </w:r>
      <w:r w:rsidR="00C01AB0">
        <w:rPr>
          <w:rFonts w:eastAsia="SimSun"/>
          <w:lang w:eastAsia="en-IE"/>
        </w:rPr>
        <w:t xml:space="preserve"> 2023 - </w:t>
      </w:r>
      <w:proofErr w:type="gramStart"/>
      <w:r w:rsidR="00C01AB0">
        <w:rPr>
          <w:rFonts w:eastAsia="SimSun"/>
          <w:lang w:eastAsia="en-IE"/>
        </w:rPr>
        <w:t>2026</w:t>
      </w:r>
      <w:r w:rsidRPr="009C1F21">
        <w:rPr>
          <w:rFonts w:eastAsia="SimSun"/>
          <w:lang w:eastAsia="en-IE"/>
        </w:rPr>
        <w:t>;</w:t>
      </w:r>
      <w:proofErr w:type="gramEnd"/>
    </w:p>
    <w:p w14:paraId="02545539" w14:textId="69C8082A" w:rsidR="004346A0" w:rsidRDefault="004346A0" w:rsidP="002B0DE6">
      <w:pPr>
        <w:pStyle w:val="ListParagraph"/>
        <w:numPr>
          <w:ilvl w:val="0"/>
          <w:numId w:val="43"/>
        </w:numPr>
        <w:spacing w:after="0"/>
        <w:rPr>
          <w:rFonts w:eastAsia="SimSun"/>
          <w:lang w:eastAsia="en-IE"/>
        </w:rPr>
      </w:pPr>
      <w:r>
        <w:rPr>
          <w:rFonts w:eastAsia="SimSun"/>
          <w:lang w:eastAsia="en-IE"/>
        </w:rPr>
        <w:t xml:space="preserve">Engage with the development </w:t>
      </w:r>
      <w:r w:rsidR="009F28CA">
        <w:rPr>
          <w:rFonts w:eastAsia="SimSun"/>
          <w:lang w:eastAsia="en-IE"/>
        </w:rPr>
        <w:t>of new</w:t>
      </w:r>
      <w:r>
        <w:rPr>
          <w:rFonts w:eastAsia="SimSun"/>
          <w:lang w:eastAsia="en-IE"/>
        </w:rPr>
        <w:t xml:space="preserve"> national disability strategy</w:t>
      </w:r>
    </w:p>
    <w:p w14:paraId="614DE137" w14:textId="0DA4B22E" w:rsidR="004346A0" w:rsidRDefault="004346A0" w:rsidP="002B0DE6">
      <w:pPr>
        <w:pStyle w:val="ListParagraph"/>
        <w:numPr>
          <w:ilvl w:val="0"/>
          <w:numId w:val="43"/>
        </w:numPr>
        <w:spacing w:after="0"/>
        <w:rPr>
          <w:rFonts w:eastAsia="SimSun"/>
          <w:lang w:eastAsia="en-IE"/>
        </w:rPr>
      </w:pPr>
      <w:r>
        <w:rPr>
          <w:rFonts w:eastAsia="SimSun"/>
          <w:lang w:eastAsia="en-IE"/>
        </w:rPr>
        <w:t>Continue meaningful engagement with disabled people</w:t>
      </w:r>
    </w:p>
    <w:p w14:paraId="1AD105FF" w14:textId="7023F404" w:rsidR="003400EB" w:rsidRPr="003400EB" w:rsidRDefault="003400EB" w:rsidP="002B0DE6">
      <w:pPr>
        <w:pStyle w:val="ListParagraph"/>
        <w:numPr>
          <w:ilvl w:val="0"/>
          <w:numId w:val="43"/>
        </w:numPr>
        <w:spacing w:after="0"/>
        <w:rPr>
          <w:rFonts w:eastAsia="SimSun"/>
          <w:lang w:eastAsia="en-IE"/>
        </w:rPr>
      </w:pPr>
      <w:r w:rsidRPr="003400EB">
        <w:rPr>
          <w:rFonts w:eastAsia="SimSun"/>
          <w:lang w:eastAsia="en-IE"/>
        </w:rPr>
        <w:t xml:space="preserve">Support the mindset change required for full implementation of the ADMA </w:t>
      </w:r>
    </w:p>
    <w:p w14:paraId="63C7A9B3" w14:textId="7253FAFF" w:rsidR="003400EB" w:rsidRPr="003400EB" w:rsidRDefault="003400EB" w:rsidP="002B0DE6">
      <w:pPr>
        <w:pStyle w:val="ListParagraph"/>
        <w:numPr>
          <w:ilvl w:val="0"/>
          <w:numId w:val="43"/>
        </w:numPr>
        <w:spacing w:after="0"/>
        <w:rPr>
          <w:rFonts w:eastAsia="SimSun"/>
          <w:lang w:eastAsia="en-IE"/>
        </w:rPr>
      </w:pPr>
      <w:r w:rsidRPr="003400EB">
        <w:rPr>
          <w:rFonts w:eastAsia="SimSun"/>
          <w:lang w:eastAsia="en-IE"/>
        </w:rPr>
        <w:t>Ensure the Intermediaries innovation is evaluated with challenges identified and addressed</w:t>
      </w:r>
    </w:p>
    <w:p w14:paraId="70A54BE3" w14:textId="5B8A4D63" w:rsidR="003400EB" w:rsidRPr="003400EB" w:rsidRDefault="003400EB" w:rsidP="002B0DE6">
      <w:pPr>
        <w:pStyle w:val="ListParagraph"/>
        <w:numPr>
          <w:ilvl w:val="0"/>
          <w:numId w:val="43"/>
        </w:numPr>
        <w:spacing w:after="0"/>
        <w:rPr>
          <w:rFonts w:eastAsia="SimSun"/>
          <w:lang w:eastAsia="en-IE"/>
        </w:rPr>
      </w:pPr>
      <w:r w:rsidRPr="003400EB">
        <w:rPr>
          <w:rFonts w:eastAsia="SimSun"/>
          <w:lang w:eastAsia="en-IE"/>
        </w:rPr>
        <w:t>Disability proof policies and procedures to ensure they are taking account of the cost of disability</w:t>
      </w:r>
    </w:p>
    <w:p w14:paraId="54340074" w14:textId="77002D8F" w:rsidR="003400EB" w:rsidRPr="003400EB" w:rsidRDefault="003400EB" w:rsidP="002B0DE6">
      <w:pPr>
        <w:pStyle w:val="ListParagraph"/>
        <w:numPr>
          <w:ilvl w:val="0"/>
          <w:numId w:val="43"/>
        </w:numPr>
        <w:spacing w:after="0"/>
        <w:rPr>
          <w:rFonts w:eastAsia="SimSun"/>
          <w:lang w:eastAsia="en-IE"/>
        </w:rPr>
      </w:pPr>
      <w:r w:rsidRPr="003400EB">
        <w:rPr>
          <w:rFonts w:eastAsia="SimSun"/>
          <w:lang w:eastAsia="en-IE"/>
        </w:rPr>
        <w:t>Continue to strengthen</w:t>
      </w:r>
      <w:r w:rsidR="002B0DE6">
        <w:rPr>
          <w:rFonts w:eastAsia="SimSun"/>
          <w:lang w:eastAsia="en-IE"/>
        </w:rPr>
        <w:t xml:space="preserve"> research and</w:t>
      </w:r>
      <w:r w:rsidRPr="003400EB">
        <w:rPr>
          <w:rFonts w:eastAsia="SimSun"/>
          <w:lang w:eastAsia="en-IE"/>
        </w:rPr>
        <w:t xml:space="preserve"> data collection and address data gaps</w:t>
      </w:r>
    </w:p>
    <w:p w14:paraId="2D995E22" w14:textId="2E55370E" w:rsidR="00AE036D" w:rsidRPr="00EE3F67" w:rsidRDefault="000D1F5A" w:rsidP="002B0DE6">
      <w:pPr>
        <w:pStyle w:val="ListBullet"/>
        <w:numPr>
          <w:ilvl w:val="0"/>
          <w:numId w:val="38"/>
        </w:numPr>
        <w:spacing w:before="0" w:after="0"/>
        <w:rPr>
          <w:rFonts w:ascii="Gill Sans" w:hAnsi="Gill Sans"/>
          <w:lang w:val="en-GB" w:eastAsia="en-GB"/>
        </w:rPr>
      </w:pPr>
      <w:r>
        <w:rPr>
          <w:rFonts w:ascii="Gill Sans" w:hAnsi="Gill Sans"/>
          <w:lang w:val="en-GB" w:eastAsia="en-GB"/>
        </w:rPr>
        <w:t>Maintaining</w:t>
      </w:r>
      <w:r w:rsidR="00AE036D" w:rsidRPr="00EE3F67">
        <w:rPr>
          <w:rFonts w:ascii="Gill Sans" w:hAnsi="Gill Sans"/>
          <w:lang w:val="en-GB" w:eastAsia="en-GB"/>
        </w:rPr>
        <w:t xml:space="preserve"> compliance with Part 5 of the Disability Act as a key focus of the department's HR strategy </w:t>
      </w:r>
    </w:p>
    <w:p w14:paraId="6FBD083A" w14:textId="167932E1" w:rsidR="00281DE2" w:rsidRPr="00EE3F67" w:rsidRDefault="004346A0" w:rsidP="002B0DE6">
      <w:pPr>
        <w:pStyle w:val="ListBullet"/>
        <w:numPr>
          <w:ilvl w:val="0"/>
          <w:numId w:val="38"/>
        </w:numPr>
        <w:spacing w:before="0" w:after="0"/>
        <w:rPr>
          <w:rFonts w:ascii="Gill Sans" w:hAnsi="Gill Sans"/>
          <w:lang w:val="en-GB" w:eastAsia="en-GB"/>
        </w:rPr>
      </w:pPr>
      <w:r>
        <w:rPr>
          <w:rFonts w:ascii="Gill Sans" w:hAnsi="Gill Sans"/>
          <w:lang w:val="en-GB" w:eastAsia="en-GB"/>
        </w:rPr>
        <w:t>Work towards compliance</w:t>
      </w:r>
      <w:r w:rsidR="00E67E44" w:rsidRPr="00EE3F67">
        <w:rPr>
          <w:rFonts w:ascii="Gill Sans" w:hAnsi="Gill Sans"/>
          <w:lang w:val="en-GB" w:eastAsia="en-GB"/>
        </w:rPr>
        <w:t xml:space="preserve"> o</w:t>
      </w:r>
      <w:r w:rsidR="00281DE2" w:rsidRPr="00EE3F67">
        <w:rPr>
          <w:rFonts w:ascii="Gill Sans" w:hAnsi="Gill Sans"/>
          <w:lang w:val="en-GB" w:eastAsia="en-GB"/>
        </w:rPr>
        <w:t>bligation</w:t>
      </w:r>
      <w:r w:rsidR="00AE036D" w:rsidRPr="00EE3F67">
        <w:rPr>
          <w:rFonts w:ascii="Gill Sans" w:hAnsi="Gill Sans"/>
          <w:lang w:val="en-GB" w:eastAsia="en-GB"/>
        </w:rPr>
        <w:t xml:space="preserve">s </w:t>
      </w:r>
      <w:r w:rsidR="004F7A5C" w:rsidRPr="00EE3F67">
        <w:rPr>
          <w:rFonts w:ascii="Gill Sans" w:hAnsi="Gill Sans"/>
          <w:lang w:val="en-GB" w:eastAsia="en-GB"/>
        </w:rPr>
        <w:t xml:space="preserve">of the department </w:t>
      </w:r>
      <w:r w:rsidR="00AE036D" w:rsidRPr="00EE3F67">
        <w:rPr>
          <w:rFonts w:ascii="Gill Sans" w:hAnsi="Gill Sans"/>
          <w:lang w:val="en-GB" w:eastAsia="en-GB"/>
        </w:rPr>
        <w:t>under the EU Web Accessibility Directive</w:t>
      </w:r>
      <w:r w:rsidR="00281DE2" w:rsidRPr="00EE3F67">
        <w:rPr>
          <w:rFonts w:ascii="Gill Sans" w:hAnsi="Gill Sans"/>
          <w:lang w:val="en-GB" w:eastAsia="en-GB"/>
        </w:rPr>
        <w:t xml:space="preserve"> and an action plan to address access issues</w:t>
      </w:r>
      <w:r w:rsidR="00E55801">
        <w:rPr>
          <w:rFonts w:ascii="Gill Sans" w:hAnsi="Gill Sans"/>
          <w:lang w:val="en-GB" w:eastAsia="en-GB"/>
        </w:rPr>
        <w:t xml:space="preserve">, </w:t>
      </w:r>
      <w:r w:rsidR="00281DE2" w:rsidRPr="00EE3F67">
        <w:rPr>
          <w:rFonts w:ascii="Gill Sans" w:hAnsi="Gill Sans"/>
          <w:lang w:val="en-GB" w:eastAsia="en-GB"/>
        </w:rPr>
        <w:t>and that the Statement of Strategy itself is published in a fully accessible PDF</w:t>
      </w:r>
    </w:p>
    <w:p w14:paraId="41F19D05" w14:textId="4CE8E503" w:rsidR="009A3A4B" w:rsidRPr="00EE3F67" w:rsidRDefault="00A8294B" w:rsidP="002B0DE6">
      <w:pPr>
        <w:pStyle w:val="ListBullet"/>
        <w:numPr>
          <w:ilvl w:val="0"/>
          <w:numId w:val="41"/>
        </w:numPr>
        <w:spacing w:before="0" w:after="0"/>
        <w:rPr>
          <w:rFonts w:ascii="Gill Sans" w:hAnsi="Gill Sans"/>
          <w:lang w:val="en-GB" w:eastAsia="en-GB"/>
        </w:rPr>
      </w:pPr>
      <w:r w:rsidRPr="00EE3F67">
        <w:rPr>
          <w:rFonts w:ascii="Gill Sans" w:hAnsi="Gill Sans"/>
          <w:lang w:val="en-GB" w:eastAsia="en-GB"/>
        </w:rPr>
        <w:t>Continued</w:t>
      </w:r>
      <w:r w:rsidR="00066BA7" w:rsidRPr="00EE3F67">
        <w:rPr>
          <w:rFonts w:ascii="Gill Sans" w:hAnsi="Gill Sans"/>
          <w:lang w:val="en-GB" w:eastAsia="en-GB"/>
        </w:rPr>
        <w:t xml:space="preserve"> work on </w:t>
      </w:r>
      <w:r w:rsidR="00F83545" w:rsidRPr="00EE3F67">
        <w:rPr>
          <w:rFonts w:ascii="Gill Sans" w:hAnsi="Gill Sans"/>
          <w:lang w:val="en-GB" w:eastAsia="en-GB"/>
        </w:rPr>
        <w:t>the implementation</w:t>
      </w:r>
      <w:r w:rsidR="00066BA7" w:rsidRPr="00EE3F67">
        <w:rPr>
          <w:rFonts w:ascii="Gill Sans" w:hAnsi="Gill Sans"/>
          <w:lang w:val="en-GB" w:eastAsia="en-GB"/>
        </w:rPr>
        <w:t xml:space="preserve"> </w:t>
      </w:r>
      <w:r w:rsidR="001432DC">
        <w:rPr>
          <w:rFonts w:ascii="Gill Sans" w:hAnsi="Gill Sans"/>
          <w:lang w:val="en-GB" w:eastAsia="en-GB"/>
        </w:rPr>
        <w:t xml:space="preserve">of </w:t>
      </w:r>
      <w:r w:rsidR="00066BA7" w:rsidRPr="00EE3F67">
        <w:rPr>
          <w:rFonts w:ascii="Gill Sans" w:hAnsi="Gill Sans"/>
          <w:lang w:val="en-GB" w:eastAsia="en-GB"/>
        </w:rPr>
        <w:t xml:space="preserve">the </w:t>
      </w:r>
      <w:r w:rsidR="00C0666E" w:rsidRPr="00EE3F67">
        <w:rPr>
          <w:rFonts w:ascii="Gill Sans" w:hAnsi="Gill Sans"/>
          <w:lang w:val="en-GB" w:eastAsia="en-GB"/>
        </w:rPr>
        <w:t>recommendations</w:t>
      </w:r>
      <w:r w:rsidR="00066BA7" w:rsidRPr="00EE3F67">
        <w:rPr>
          <w:rFonts w:ascii="Gill Sans" w:hAnsi="Gill Sans"/>
          <w:lang w:val="en-GB" w:eastAsia="en-GB"/>
        </w:rPr>
        <w:t xml:space="preserve"> of the Part 3 Monitoring Report</w:t>
      </w:r>
      <w:r w:rsidR="0022129F" w:rsidRPr="00EE3F67">
        <w:rPr>
          <w:rFonts w:ascii="Gill Sans" w:hAnsi="Gill Sans"/>
          <w:lang w:val="en-GB" w:eastAsia="en-GB"/>
        </w:rPr>
        <w:t>,</w:t>
      </w:r>
      <w:r w:rsidR="00066BA7" w:rsidRPr="00EE3F67">
        <w:rPr>
          <w:rFonts w:ascii="Gill Sans" w:hAnsi="Gill Sans"/>
          <w:lang w:val="en-GB" w:eastAsia="en-GB"/>
        </w:rPr>
        <w:t xml:space="preserve"> </w:t>
      </w:r>
      <w:r w:rsidR="002D03ED" w:rsidRPr="00EE3F67">
        <w:rPr>
          <w:rFonts w:ascii="Gill Sans" w:hAnsi="Gill Sans"/>
          <w:lang w:val="en-GB" w:eastAsia="en-GB"/>
        </w:rPr>
        <w:t xml:space="preserve">in </w:t>
      </w:r>
      <w:r w:rsidR="00C0666E" w:rsidRPr="00EE3F67">
        <w:rPr>
          <w:rFonts w:ascii="Gill Sans" w:hAnsi="Gill Sans"/>
          <w:lang w:val="en-GB" w:eastAsia="en-GB"/>
        </w:rPr>
        <w:t>assisting</w:t>
      </w:r>
      <w:r w:rsidR="002D03ED" w:rsidRPr="00EE3F67">
        <w:rPr>
          <w:rFonts w:ascii="Gill Sans" w:hAnsi="Gill Sans"/>
          <w:lang w:val="en-GB" w:eastAsia="en-GB"/>
        </w:rPr>
        <w:t xml:space="preserve"> public bodies under the aegis of the department who do not meet their requirements</w:t>
      </w:r>
    </w:p>
    <w:p w14:paraId="6D219DB5" w14:textId="1DA68A38" w:rsidR="00281DE2" w:rsidRPr="00EE3F67" w:rsidRDefault="00ED0568" w:rsidP="002B0DE6">
      <w:pPr>
        <w:pStyle w:val="ListBullet"/>
        <w:numPr>
          <w:ilvl w:val="0"/>
          <w:numId w:val="40"/>
        </w:numPr>
        <w:spacing w:before="0" w:after="0"/>
        <w:rPr>
          <w:rFonts w:ascii="Gill Sans" w:hAnsi="Gill Sans"/>
          <w:lang w:val="en-GB" w:eastAsia="en-GB"/>
        </w:rPr>
      </w:pPr>
      <w:r w:rsidRPr="00EE3F67">
        <w:rPr>
          <w:rFonts w:ascii="Gill Sans" w:hAnsi="Gill Sans"/>
          <w:lang w:val="en-GB" w:eastAsia="en-GB"/>
        </w:rPr>
        <w:t>M</w:t>
      </w:r>
      <w:r w:rsidR="00AE036D" w:rsidRPr="00EE3F67">
        <w:rPr>
          <w:rFonts w:ascii="Gill Sans" w:hAnsi="Gill Sans"/>
          <w:lang w:val="en-GB" w:eastAsia="en-GB"/>
        </w:rPr>
        <w:t>aintaining compliance</w:t>
      </w:r>
      <w:r w:rsidR="008D0CF6">
        <w:rPr>
          <w:rFonts w:ascii="Gill Sans" w:hAnsi="Gill Sans"/>
          <w:lang w:val="en-GB" w:eastAsia="en-GB"/>
        </w:rPr>
        <w:t xml:space="preserve"> u</w:t>
      </w:r>
      <w:r w:rsidR="00B616A9" w:rsidRPr="00EE3F67">
        <w:rPr>
          <w:rFonts w:ascii="Gill Sans" w:hAnsi="Gill Sans"/>
          <w:lang w:val="en-GB" w:eastAsia="en-GB"/>
        </w:rPr>
        <w:t xml:space="preserve">nder </w:t>
      </w:r>
      <w:r w:rsidR="00281DE2" w:rsidRPr="00EE3F67">
        <w:rPr>
          <w:rFonts w:ascii="Gill Sans" w:hAnsi="Gill Sans"/>
          <w:lang w:val="en-GB" w:eastAsia="en-GB"/>
        </w:rPr>
        <w:t>Section 25</w:t>
      </w:r>
      <w:r w:rsidR="00645075" w:rsidRPr="00EE3F67">
        <w:rPr>
          <w:rFonts w:ascii="Gill Sans" w:hAnsi="Gill Sans"/>
          <w:lang w:val="en-GB" w:eastAsia="en-GB"/>
        </w:rPr>
        <w:t xml:space="preserve"> of the Disability Act</w:t>
      </w:r>
      <w:r w:rsidR="00281DE2" w:rsidRPr="00EE3F67">
        <w:rPr>
          <w:rFonts w:ascii="Gill Sans" w:hAnsi="Gill Sans"/>
          <w:lang w:val="en-GB" w:eastAsia="en-GB"/>
        </w:rPr>
        <w:t xml:space="preserve">, </w:t>
      </w:r>
      <w:r w:rsidR="000655BE" w:rsidRPr="00EE3F67">
        <w:rPr>
          <w:rFonts w:ascii="Gill Sans" w:hAnsi="Gill Sans"/>
          <w:lang w:val="en-GB" w:eastAsia="en-GB"/>
        </w:rPr>
        <w:t xml:space="preserve">requiring all </w:t>
      </w:r>
      <w:r w:rsidR="00281DE2" w:rsidRPr="00EE3F67">
        <w:rPr>
          <w:rFonts w:ascii="Gill Sans" w:hAnsi="Gill Sans"/>
          <w:lang w:val="en-GB" w:eastAsia="en-GB"/>
        </w:rPr>
        <w:t>public bodies to bring their public buildings into compliance with Part M Part M 2022 by 1st January 2033</w:t>
      </w:r>
      <w:r w:rsidR="00554C46" w:rsidRPr="00EE3F67">
        <w:rPr>
          <w:rFonts w:ascii="Gill Sans" w:hAnsi="Gill Sans"/>
          <w:lang w:val="en-GB" w:eastAsia="en-GB"/>
        </w:rPr>
        <w:t xml:space="preserve">, including the </w:t>
      </w:r>
      <w:r w:rsidR="00281DE2" w:rsidRPr="00EE3F67">
        <w:rPr>
          <w:rFonts w:ascii="Gill Sans" w:hAnsi="Gill Sans"/>
          <w:lang w:val="en-GB" w:eastAsia="en-GB"/>
        </w:rPr>
        <w:t xml:space="preserve">new requirements under Part M 2022 </w:t>
      </w:r>
      <w:r w:rsidR="00306A13" w:rsidRPr="00EE3F67">
        <w:rPr>
          <w:rFonts w:ascii="Gill Sans" w:hAnsi="Gill Sans"/>
          <w:lang w:val="en-GB" w:eastAsia="en-GB"/>
        </w:rPr>
        <w:t>in relation</w:t>
      </w:r>
      <w:r w:rsidR="00281DE2" w:rsidRPr="00EE3F67">
        <w:rPr>
          <w:rFonts w:ascii="Gill Sans" w:hAnsi="Gill Sans"/>
          <w:lang w:val="en-GB" w:eastAsia="en-GB"/>
        </w:rPr>
        <w:t xml:space="preserve"> to the provision of changing places toilets</w:t>
      </w:r>
    </w:p>
    <w:p w14:paraId="55B3FB7F" w14:textId="19114FED" w:rsidR="006745A3" w:rsidRPr="00EE3F67" w:rsidRDefault="006A64CD" w:rsidP="002B0DE6">
      <w:pPr>
        <w:pStyle w:val="ListBullet"/>
        <w:numPr>
          <w:ilvl w:val="0"/>
          <w:numId w:val="39"/>
        </w:numPr>
        <w:spacing w:before="0" w:after="0"/>
        <w:rPr>
          <w:rFonts w:ascii="Gill Sans" w:hAnsi="Gill Sans"/>
          <w:lang w:val="en-GB" w:eastAsia="en-GB"/>
        </w:rPr>
      </w:pPr>
      <w:r>
        <w:rPr>
          <w:rFonts w:ascii="Gill Sans" w:hAnsi="Gill Sans"/>
          <w:lang w:val="en-GB" w:eastAsia="en-GB"/>
        </w:rPr>
        <w:t xml:space="preserve">Implement recommendations in relation the operation of the ISL Act and take actions to ensure that the Department and its aegis bodies are compliant with its implementation </w:t>
      </w:r>
    </w:p>
    <w:sectPr w:rsidR="006745A3" w:rsidRPr="00EE3F67">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CD8E" w14:textId="77777777" w:rsidR="0040221F" w:rsidRDefault="0040221F">
      <w:r>
        <w:separator/>
      </w:r>
    </w:p>
  </w:endnote>
  <w:endnote w:type="continuationSeparator" w:id="0">
    <w:p w14:paraId="2008E685" w14:textId="77777777" w:rsidR="0040221F" w:rsidRDefault="0040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522" w14:textId="5B861B13" w:rsidR="009C4D62" w:rsidRDefault="009C4D62">
    <w:pPr>
      <w:pStyle w:val="Footer"/>
    </w:pPr>
    <w:r>
      <w:tab/>
    </w:r>
    <w:r>
      <w:tab/>
    </w:r>
    <w:r>
      <w:fldChar w:fldCharType="begin"/>
    </w:r>
    <w:r>
      <w:instrText xml:space="preserve"> PAGE  \* Arabic  \* MERGEFORMAT </w:instrText>
    </w:r>
    <w:r>
      <w:fldChar w:fldCharType="separate"/>
    </w:r>
    <w:r w:rsidR="003639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D461" w14:textId="77777777" w:rsidR="0040221F" w:rsidRDefault="0040221F">
      <w:r>
        <w:separator/>
      </w:r>
    </w:p>
  </w:footnote>
  <w:footnote w:type="continuationSeparator" w:id="0">
    <w:p w14:paraId="04D5C0CE" w14:textId="77777777" w:rsidR="0040221F" w:rsidRDefault="0040221F">
      <w:r>
        <w:continuationSeparator/>
      </w:r>
    </w:p>
  </w:footnote>
  <w:footnote w:id="1">
    <w:p w14:paraId="27B46211" w14:textId="3CE96591" w:rsidR="00F0425A" w:rsidRDefault="00F0425A" w:rsidP="00F0425A">
      <w:r>
        <w:rPr>
          <w:rStyle w:val="FootnoteReference"/>
        </w:rPr>
        <w:footnoteRef/>
      </w:r>
      <w:r w:rsidRPr="00F93175">
        <w:rPr>
          <w:sz w:val="22"/>
          <w:szCs w:val="22"/>
        </w:rPr>
        <w:t xml:space="preserve"> </w:t>
      </w:r>
      <w:hyperlink r:id="rId1" w:history="1">
        <w:r w:rsidRPr="00F93175">
          <w:rPr>
            <w:rStyle w:val="Hyperlink"/>
            <w:sz w:val="22"/>
            <w:szCs w:val="22"/>
          </w:rPr>
          <w:t>gov.ie - Public consultation on the development of the Department of Justice Statement of Strategy 2024 -2026 (www.gov.ie)</w:t>
        </w:r>
      </w:hyperlink>
    </w:p>
  </w:footnote>
  <w:footnote w:id="2">
    <w:p w14:paraId="09A7835D" w14:textId="77777777" w:rsidR="00093154" w:rsidRPr="00550195" w:rsidRDefault="00093154" w:rsidP="0008415D">
      <w:pPr>
        <w:pStyle w:val="FootnoteText"/>
        <w:spacing w:after="0"/>
        <w:rPr>
          <w:sz w:val="20"/>
        </w:rPr>
      </w:pPr>
      <w:r w:rsidRPr="00550195">
        <w:rPr>
          <w:rStyle w:val="FootnoteReference"/>
          <w:rFonts w:ascii="Gill Sans MT" w:hAnsi="Gill Sans MT"/>
          <w:sz w:val="20"/>
        </w:rPr>
        <w:footnoteRef/>
      </w:r>
      <w:r w:rsidRPr="00550195">
        <w:rPr>
          <w:sz w:val="20"/>
        </w:rPr>
        <w:t xml:space="preserve"> </w:t>
      </w:r>
      <w:hyperlink r:id="rId2" w:history="1">
        <w:r w:rsidRPr="00550195">
          <w:rPr>
            <w:rStyle w:val="Hyperlink"/>
            <w:sz w:val="20"/>
            <w:u w:val="none"/>
          </w:rPr>
          <w:t>https://nda.ie/publications/participation-matters-guidelines-on-implementing-the-obligation-to-meaningfully-engage-with-disabled-people-in-public-decision-making</w:t>
        </w:r>
      </w:hyperlink>
    </w:p>
  </w:footnote>
  <w:footnote w:id="3">
    <w:p w14:paraId="7A674D24" w14:textId="77777777" w:rsidR="00811AB4" w:rsidRDefault="00811AB4" w:rsidP="0008415D">
      <w:pPr>
        <w:pStyle w:val="FootnoteText"/>
        <w:spacing w:after="0"/>
      </w:pPr>
      <w:r w:rsidRPr="0008415D">
        <w:rPr>
          <w:rStyle w:val="FootnoteReference"/>
          <w:rFonts w:ascii="Gill Sans MT" w:hAnsi="Gill Sans MT"/>
          <w:sz w:val="20"/>
        </w:rPr>
        <w:footnoteRef/>
      </w:r>
      <w:r w:rsidRPr="0008415D">
        <w:rPr>
          <w:sz w:val="20"/>
        </w:rPr>
        <w:t xml:space="preserve"> </w:t>
      </w:r>
      <w:hyperlink r:id="rId3" w:history="1">
        <w:r w:rsidRPr="0008415D">
          <w:rPr>
            <w:rStyle w:val="Hyperlink"/>
            <w:sz w:val="20"/>
          </w:rPr>
          <w:t>https://nda.ie/publications/nda-advice-paper-on-disability-language-and-terminology</w:t>
        </w:r>
      </w:hyperlink>
      <w:r>
        <w:t xml:space="preserve"> </w:t>
      </w:r>
    </w:p>
  </w:footnote>
  <w:footnote w:id="4">
    <w:p w14:paraId="3C89DC64" w14:textId="6CD62819" w:rsidR="003400EB" w:rsidRDefault="003400EB">
      <w:pPr>
        <w:pStyle w:val="FootnoteText"/>
      </w:pPr>
      <w:r>
        <w:rPr>
          <w:rStyle w:val="FootnoteReference"/>
        </w:rPr>
        <w:footnoteRef/>
      </w:r>
      <w:r>
        <w:t xml:space="preserve"> </w:t>
      </w:r>
      <w:hyperlink r:id="rId4" w:history="1">
        <w:r>
          <w:rPr>
            <w:rStyle w:val="Hyperlink"/>
          </w:rPr>
          <w:t>The Use of intermediaries in the Irish justice system - National Disability Authority (nda.ie)</w:t>
        </w:r>
      </w:hyperlink>
      <w:r>
        <w:t xml:space="preserve"> </w:t>
      </w:r>
    </w:p>
  </w:footnote>
  <w:footnote w:id="5">
    <w:p w14:paraId="3A48D23B" w14:textId="77777777" w:rsidR="00817DAB" w:rsidRPr="00817DAB" w:rsidRDefault="00817DAB" w:rsidP="00817DAB">
      <w:pPr>
        <w:pStyle w:val="FootnoteText"/>
        <w:spacing w:after="0"/>
        <w:rPr>
          <w:sz w:val="20"/>
        </w:rPr>
      </w:pPr>
      <w:r w:rsidRPr="00817DAB">
        <w:rPr>
          <w:rStyle w:val="FootnoteReference"/>
          <w:rFonts w:ascii="Gill Sans MT" w:hAnsi="Gill Sans MT"/>
          <w:sz w:val="20"/>
        </w:rPr>
        <w:footnoteRef/>
      </w:r>
      <w:r w:rsidRPr="00817DAB">
        <w:rPr>
          <w:sz w:val="20"/>
        </w:rPr>
        <w:t xml:space="preserve"> </w:t>
      </w:r>
      <w:hyperlink r:id="rId5" w:history="1">
        <w:r w:rsidRPr="00817DAB">
          <w:rPr>
            <w:rStyle w:val="Hyperlink"/>
            <w:sz w:val="20"/>
          </w:rPr>
          <w:t>gov.ie - The Cost of Disability in Ireland – Research Report (www.gov.ie)</w:t>
        </w:r>
      </w:hyperlink>
    </w:p>
  </w:footnote>
  <w:footnote w:id="6">
    <w:p w14:paraId="5F4754A9" w14:textId="77777777" w:rsidR="006E1F8E" w:rsidRDefault="006E1F8E" w:rsidP="00914909">
      <w:pPr>
        <w:pStyle w:val="FootnoteText"/>
        <w:spacing w:after="0"/>
      </w:pPr>
      <w:r w:rsidRPr="00914909">
        <w:rPr>
          <w:rStyle w:val="FootnoteReference"/>
          <w:rFonts w:ascii="Gill Sans MT" w:hAnsi="Gill Sans MT"/>
          <w:sz w:val="20"/>
        </w:rPr>
        <w:footnoteRef/>
      </w:r>
      <w:r w:rsidRPr="00914909">
        <w:rPr>
          <w:sz w:val="20"/>
        </w:rPr>
        <w:t xml:space="preserve"> </w:t>
      </w:r>
      <w:hyperlink r:id="rId6" w:history="1">
        <w:r w:rsidRPr="00914909">
          <w:rPr>
            <w:rStyle w:val="Hyperlink"/>
            <w:sz w:val="20"/>
          </w:rPr>
          <w:t>https://nda.ie/publications/nda-annual-reports-on-compliance-with-part-5-of-the-disability-act</w:t>
        </w:r>
      </w:hyperlink>
    </w:p>
  </w:footnote>
  <w:footnote w:id="7">
    <w:p w14:paraId="629D06C8" w14:textId="77777777" w:rsidR="008A2296" w:rsidRPr="00520FEE" w:rsidRDefault="008A2296" w:rsidP="00A66340">
      <w:pPr>
        <w:pStyle w:val="FootnoteText"/>
        <w:spacing w:after="0"/>
        <w:rPr>
          <w:sz w:val="20"/>
        </w:rPr>
      </w:pPr>
      <w:r w:rsidRPr="00520FEE">
        <w:rPr>
          <w:rStyle w:val="FootnoteReference"/>
          <w:rFonts w:ascii="Gill Sans MT" w:hAnsi="Gill Sans MT"/>
          <w:sz w:val="20"/>
        </w:rPr>
        <w:footnoteRef/>
      </w:r>
      <w:r w:rsidRPr="00520FEE">
        <w:rPr>
          <w:sz w:val="20"/>
        </w:rPr>
        <w:t xml:space="preserve"> See Technical Annex 2 on the Public Body Survey</w:t>
      </w:r>
      <w:r w:rsidR="00425D4A" w:rsidRPr="00520FEE">
        <w:rPr>
          <w:sz w:val="20"/>
        </w:rPr>
        <w:t xml:space="preserve">: </w:t>
      </w:r>
      <w:hyperlink r:id="rId7" w:history="1">
        <w:r w:rsidRPr="00520FEE">
          <w:rPr>
            <w:rStyle w:val="Hyperlink"/>
            <w:sz w:val="20"/>
          </w:rPr>
          <w:t>Report on the Operation of the Irish Sign Language Act 2017 (December 2021) - National Disability Authority (nda.ie)</w:t>
        </w:r>
      </w:hyperlink>
      <w:r w:rsidRPr="00520FEE">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lvlText w:val=""/>
      <w:lvlJc w:val="left"/>
      <w:pPr>
        <w:tabs>
          <w:tab w:val="num" w:pos="360"/>
        </w:tabs>
        <w:ind w:left="360" w:hanging="360"/>
      </w:pPr>
      <w:rPr>
        <w:rFonts w:ascii="Symbol" w:hAnsi="Symbol" w:hint="default"/>
        <w:sz w:val="20"/>
        <w:szCs w:val="20"/>
      </w:rPr>
    </w:lvl>
  </w:abstractNum>
  <w:abstractNum w:abstractNumId="10" w15:restartNumberingAfterBreak="0">
    <w:nsid w:val="00C5248A"/>
    <w:multiLevelType w:val="hybridMultilevel"/>
    <w:tmpl w:val="1BD8A848"/>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1" w15:restartNumberingAfterBreak="0">
    <w:nsid w:val="00E501CE"/>
    <w:multiLevelType w:val="hybridMultilevel"/>
    <w:tmpl w:val="EEF255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7585CF2"/>
    <w:multiLevelType w:val="hybridMultilevel"/>
    <w:tmpl w:val="DE82A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B126F5F"/>
    <w:multiLevelType w:val="hybridMultilevel"/>
    <w:tmpl w:val="C2C6D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3B546F0"/>
    <w:multiLevelType w:val="multilevel"/>
    <w:tmpl w:val="631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C3917"/>
    <w:multiLevelType w:val="hybridMultilevel"/>
    <w:tmpl w:val="E766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175BB4"/>
    <w:multiLevelType w:val="hybridMultilevel"/>
    <w:tmpl w:val="B178E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6C7B11"/>
    <w:multiLevelType w:val="hybridMultilevel"/>
    <w:tmpl w:val="703653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0866D6"/>
    <w:multiLevelType w:val="hybridMultilevel"/>
    <w:tmpl w:val="FF12F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223782"/>
    <w:multiLevelType w:val="hybridMultilevel"/>
    <w:tmpl w:val="582E6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2A439E"/>
    <w:multiLevelType w:val="hybridMultilevel"/>
    <w:tmpl w:val="8EA61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526C39"/>
    <w:multiLevelType w:val="hybridMultilevel"/>
    <w:tmpl w:val="2780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F80A78"/>
    <w:multiLevelType w:val="hybridMultilevel"/>
    <w:tmpl w:val="BF0EFB36"/>
    <w:lvl w:ilvl="0" w:tplc="13FAE528">
      <w:start w:val="3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12D1A"/>
    <w:multiLevelType w:val="multilevel"/>
    <w:tmpl w:val="FCEC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C7455"/>
    <w:multiLevelType w:val="hybridMultilevel"/>
    <w:tmpl w:val="548C1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0A6F5B"/>
    <w:multiLevelType w:val="hybridMultilevel"/>
    <w:tmpl w:val="A3962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D0636A"/>
    <w:multiLevelType w:val="hybridMultilevel"/>
    <w:tmpl w:val="61D21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495038"/>
    <w:multiLevelType w:val="hybridMultilevel"/>
    <w:tmpl w:val="E09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73AF9"/>
    <w:multiLevelType w:val="hybridMultilevel"/>
    <w:tmpl w:val="33BE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9C28E5"/>
    <w:multiLevelType w:val="hybridMultilevel"/>
    <w:tmpl w:val="1BD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CA7761"/>
    <w:multiLevelType w:val="hybridMultilevel"/>
    <w:tmpl w:val="26CA88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8739B1"/>
    <w:multiLevelType w:val="hybridMultilevel"/>
    <w:tmpl w:val="FA2AD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32047B"/>
    <w:multiLevelType w:val="hybridMultilevel"/>
    <w:tmpl w:val="2E5864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111EED"/>
    <w:multiLevelType w:val="hybridMultilevel"/>
    <w:tmpl w:val="B882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7C04A2"/>
    <w:multiLevelType w:val="hybridMultilevel"/>
    <w:tmpl w:val="F732E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45849242">
    <w:abstractNumId w:val="9"/>
  </w:num>
  <w:num w:numId="2" w16cid:durableId="998188729">
    <w:abstractNumId w:val="9"/>
  </w:num>
  <w:num w:numId="3" w16cid:durableId="948775542">
    <w:abstractNumId w:val="7"/>
  </w:num>
  <w:num w:numId="4" w16cid:durableId="712386407">
    <w:abstractNumId w:val="7"/>
  </w:num>
  <w:num w:numId="5" w16cid:durableId="871919412">
    <w:abstractNumId w:val="6"/>
  </w:num>
  <w:num w:numId="6" w16cid:durableId="1657100385">
    <w:abstractNumId w:val="6"/>
  </w:num>
  <w:num w:numId="7" w16cid:durableId="1315060251">
    <w:abstractNumId w:val="8"/>
  </w:num>
  <w:num w:numId="8" w16cid:durableId="112135546">
    <w:abstractNumId w:val="8"/>
  </w:num>
  <w:num w:numId="9" w16cid:durableId="1101872016">
    <w:abstractNumId w:val="3"/>
  </w:num>
  <w:num w:numId="10" w16cid:durableId="408966297">
    <w:abstractNumId w:val="3"/>
  </w:num>
  <w:num w:numId="11" w16cid:durableId="2128771533">
    <w:abstractNumId w:val="2"/>
  </w:num>
  <w:num w:numId="12" w16cid:durableId="84150591">
    <w:abstractNumId w:val="2"/>
  </w:num>
  <w:num w:numId="13" w16cid:durableId="1037699287">
    <w:abstractNumId w:val="5"/>
  </w:num>
  <w:num w:numId="14" w16cid:durableId="522477160">
    <w:abstractNumId w:val="4"/>
  </w:num>
  <w:num w:numId="15" w16cid:durableId="818306766">
    <w:abstractNumId w:val="1"/>
  </w:num>
  <w:num w:numId="16" w16cid:durableId="1243292598">
    <w:abstractNumId w:val="0"/>
  </w:num>
  <w:num w:numId="17" w16cid:durableId="612323411">
    <w:abstractNumId w:val="16"/>
  </w:num>
  <w:num w:numId="18" w16cid:durableId="360010296">
    <w:abstractNumId w:val="32"/>
  </w:num>
  <w:num w:numId="19" w16cid:durableId="456681523">
    <w:abstractNumId w:val="17"/>
  </w:num>
  <w:num w:numId="20" w16cid:durableId="981694008">
    <w:abstractNumId w:val="24"/>
  </w:num>
  <w:num w:numId="21" w16cid:durableId="1422606704">
    <w:abstractNumId w:val="34"/>
  </w:num>
  <w:num w:numId="22" w16cid:durableId="801774675">
    <w:abstractNumId w:val="20"/>
  </w:num>
  <w:num w:numId="23" w16cid:durableId="1530800497">
    <w:abstractNumId w:val="22"/>
  </w:num>
  <w:num w:numId="24" w16cid:durableId="431702409">
    <w:abstractNumId w:val="27"/>
  </w:num>
  <w:num w:numId="25" w16cid:durableId="459420040">
    <w:abstractNumId w:val="21"/>
  </w:num>
  <w:num w:numId="26" w16cid:durableId="1828475703">
    <w:abstractNumId w:val="32"/>
  </w:num>
  <w:num w:numId="27" w16cid:durableId="231816377">
    <w:abstractNumId w:val="23"/>
  </w:num>
  <w:num w:numId="28" w16cid:durableId="671567096">
    <w:abstractNumId w:val="18"/>
  </w:num>
  <w:num w:numId="29" w16cid:durableId="169563946">
    <w:abstractNumId w:val="31"/>
  </w:num>
  <w:num w:numId="30" w16cid:durableId="1873180878">
    <w:abstractNumId w:val="28"/>
  </w:num>
  <w:num w:numId="31" w16cid:durableId="845873644">
    <w:abstractNumId w:val="26"/>
  </w:num>
  <w:num w:numId="32" w16cid:durableId="1502313442">
    <w:abstractNumId w:val="14"/>
  </w:num>
  <w:num w:numId="33" w16cid:durableId="248004444">
    <w:abstractNumId w:val="29"/>
  </w:num>
  <w:num w:numId="34" w16cid:durableId="1290239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1628547">
    <w:abstractNumId w:val="11"/>
  </w:num>
  <w:num w:numId="36" w16cid:durableId="929506097">
    <w:abstractNumId w:val="30"/>
  </w:num>
  <w:num w:numId="37" w16cid:durableId="1722974006">
    <w:abstractNumId w:val="10"/>
  </w:num>
  <w:num w:numId="38" w16cid:durableId="198519111">
    <w:abstractNumId w:val="33"/>
  </w:num>
  <w:num w:numId="39" w16cid:durableId="99647389">
    <w:abstractNumId w:val="15"/>
  </w:num>
  <w:num w:numId="40" w16cid:durableId="170607631">
    <w:abstractNumId w:val="19"/>
  </w:num>
  <w:num w:numId="41" w16cid:durableId="41292165">
    <w:abstractNumId w:val="25"/>
  </w:num>
  <w:num w:numId="42" w16cid:durableId="1165321839">
    <w:abstractNumId w:val="12"/>
  </w:num>
  <w:num w:numId="43" w16cid:durableId="2119790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9A"/>
    <w:rsid w:val="0000492E"/>
    <w:rsid w:val="00005D0C"/>
    <w:rsid w:val="00006D27"/>
    <w:rsid w:val="00006FB3"/>
    <w:rsid w:val="00010A08"/>
    <w:rsid w:val="0001171D"/>
    <w:rsid w:val="0001243D"/>
    <w:rsid w:val="0001426A"/>
    <w:rsid w:val="0001446D"/>
    <w:rsid w:val="0001616D"/>
    <w:rsid w:val="0001762E"/>
    <w:rsid w:val="000220CA"/>
    <w:rsid w:val="00023FCE"/>
    <w:rsid w:val="0002440C"/>
    <w:rsid w:val="00024523"/>
    <w:rsid w:val="00026CE2"/>
    <w:rsid w:val="00027CB9"/>
    <w:rsid w:val="000324AA"/>
    <w:rsid w:val="00033FC1"/>
    <w:rsid w:val="0003508A"/>
    <w:rsid w:val="000352A7"/>
    <w:rsid w:val="00037521"/>
    <w:rsid w:val="0003760C"/>
    <w:rsid w:val="00042253"/>
    <w:rsid w:val="00042669"/>
    <w:rsid w:val="000433AD"/>
    <w:rsid w:val="00043EAC"/>
    <w:rsid w:val="00044295"/>
    <w:rsid w:val="0004487C"/>
    <w:rsid w:val="0004523F"/>
    <w:rsid w:val="000460B0"/>
    <w:rsid w:val="00047CD3"/>
    <w:rsid w:val="00052B46"/>
    <w:rsid w:val="000532D4"/>
    <w:rsid w:val="00053DAE"/>
    <w:rsid w:val="000541C0"/>
    <w:rsid w:val="00054918"/>
    <w:rsid w:val="00055870"/>
    <w:rsid w:val="00060CC4"/>
    <w:rsid w:val="00060DEE"/>
    <w:rsid w:val="000616CD"/>
    <w:rsid w:val="0006179C"/>
    <w:rsid w:val="000627B1"/>
    <w:rsid w:val="0006366A"/>
    <w:rsid w:val="00063708"/>
    <w:rsid w:val="0006463B"/>
    <w:rsid w:val="000646A7"/>
    <w:rsid w:val="00064EE2"/>
    <w:rsid w:val="000655BE"/>
    <w:rsid w:val="00066BA7"/>
    <w:rsid w:val="000714D8"/>
    <w:rsid w:val="00071B17"/>
    <w:rsid w:val="00074A84"/>
    <w:rsid w:val="00075120"/>
    <w:rsid w:val="00075E69"/>
    <w:rsid w:val="00081F59"/>
    <w:rsid w:val="000831F6"/>
    <w:rsid w:val="0008415D"/>
    <w:rsid w:val="00084885"/>
    <w:rsid w:val="00085194"/>
    <w:rsid w:val="00085FC1"/>
    <w:rsid w:val="00086C7E"/>
    <w:rsid w:val="00091A0C"/>
    <w:rsid w:val="00092433"/>
    <w:rsid w:val="00093154"/>
    <w:rsid w:val="00094A83"/>
    <w:rsid w:val="00095E0B"/>
    <w:rsid w:val="000A0212"/>
    <w:rsid w:val="000A0B9E"/>
    <w:rsid w:val="000A133E"/>
    <w:rsid w:val="000A2112"/>
    <w:rsid w:val="000A3C85"/>
    <w:rsid w:val="000A517E"/>
    <w:rsid w:val="000B0E34"/>
    <w:rsid w:val="000B120A"/>
    <w:rsid w:val="000B25A4"/>
    <w:rsid w:val="000C11E8"/>
    <w:rsid w:val="000C29E0"/>
    <w:rsid w:val="000C5578"/>
    <w:rsid w:val="000C7B2A"/>
    <w:rsid w:val="000D1F5A"/>
    <w:rsid w:val="000D3921"/>
    <w:rsid w:val="000D4A98"/>
    <w:rsid w:val="000D76C6"/>
    <w:rsid w:val="000E13C8"/>
    <w:rsid w:val="000E2042"/>
    <w:rsid w:val="000E251E"/>
    <w:rsid w:val="000E68C2"/>
    <w:rsid w:val="000E7511"/>
    <w:rsid w:val="000E7BC0"/>
    <w:rsid w:val="000F03A4"/>
    <w:rsid w:val="000F3E0C"/>
    <w:rsid w:val="000F44B3"/>
    <w:rsid w:val="000F497C"/>
    <w:rsid w:val="000F4A39"/>
    <w:rsid w:val="000F4A77"/>
    <w:rsid w:val="000F527F"/>
    <w:rsid w:val="000F5B62"/>
    <w:rsid w:val="000F6A36"/>
    <w:rsid w:val="000F72E3"/>
    <w:rsid w:val="000F764E"/>
    <w:rsid w:val="00101AC4"/>
    <w:rsid w:val="00101E08"/>
    <w:rsid w:val="00105400"/>
    <w:rsid w:val="0011041D"/>
    <w:rsid w:val="00110FF6"/>
    <w:rsid w:val="001111DB"/>
    <w:rsid w:val="001117FB"/>
    <w:rsid w:val="001125F9"/>
    <w:rsid w:val="00114115"/>
    <w:rsid w:val="00121CAB"/>
    <w:rsid w:val="00123C48"/>
    <w:rsid w:val="00125FFD"/>
    <w:rsid w:val="001269E0"/>
    <w:rsid w:val="0013102E"/>
    <w:rsid w:val="00131537"/>
    <w:rsid w:val="00134370"/>
    <w:rsid w:val="001364B3"/>
    <w:rsid w:val="00136A06"/>
    <w:rsid w:val="0013743F"/>
    <w:rsid w:val="00137473"/>
    <w:rsid w:val="00140043"/>
    <w:rsid w:val="0014085C"/>
    <w:rsid w:val="001431FE"/>
    <w:rsid w:val="001432DC"/>
    <w:rsid w:val="001445D8"/>
    <w:rsid w:val="00146D95"/>
    <w:rsid w:val="0015096D"/>
    <w:rsid w:val="00150BA9"/>
    <w:rsid w:val="00150D6F"/>
    <w:rsid w:val="00151294"/>
    <w:rsid w:val="00152900"/>
    <w:rsid w:val="00152AA5"/>
    <w:rsid w:val="00152C81"/>
    <w:rsid w:val="001600E4"/>
    <w:rsid w:val="0016033B"/>
    <w:rsid w:val="00160C5E"/>
    <w:rsid w:val="00161591"/>
    <w:rsid w:val="00163B31"/>
    <w:rsid w:val="00165672"/>
    <w:rsid w:val="00165A1E"/>
    <w:rsid w:val="00165E13"/>
    <w:rsid w:val="00166153"/>
    <w:rsid w:val="001673CB"/>
    <w:rsid w:val="0017308F"/>
    <w:rsid w:val="0017351E"/>
    <w:rsid w:val="00173E8F"/>
    <w:rsid w:val="001769E1"/>
    <w:rsid w:val="00177247"/>
    <w:rsid w:val="00181FE6"/>
    <w:rsid w:val="00184D55"/>
    <w:rsid w:val="00185B40"/>
    <w:rsid w:val="001870D6"/>
    <w:rsid w:val="00187425"/>
    <w:rsid w:val="00193607"/>
    <w:rsid w:val="00193ABD"/>
    <w:rsid w:val="00197AC9"/>
    <w:rsid w:val="001A0C5F"/>
    <w:rsid w:val="001A0F61"/>
    <w:rsid w:val="001B1096"/>
    <w:rsid w:val="001B2192"/>
    <w:rsid w:val="001B2560"/>
    <w:rsid w:val="001B26F7"/>
    <w:rsid w:val="001B3FC9"/>
    <w:rsid w:val="001B5810"/>
    <w:rsid w:val="001B5FBB"/>
    <w:rsid w:val="001B61CB"/>
    <w:rsid w:val="001B6752"/>
    <w:rsid w:val="001C03FA"/>
    <w:rsid w:val="001C12F9"/>
    <w:rsid w:val="001C16FD"/>
    <w:rsid w:val="001C1986"/>
    <w:rsid w:val="001C1A75"/>
    <w:rsid w:val="001C6570"/>
    <w:rsid w:val="001D08A6"/>
    <w:rsid w:val="001D0E54"/>
    <w:rsid w:val="001D17A3"/>
    <w:rsid w:val="001D32F8"/>
    <w:rsid w:val="001D4205"/>
    <w:rsid w:val="001D6C2C"/>
    <w:rsid w:val="001E04D0"/>
    <w:rsid w:val="001E0590"/>
    <w:rsid w:val="001E1936"/>
    <w:rsid w:val="001E1E36"/>
    <w:rsid w:val="001E2640"/>
    <w:rsid w:val="001E536E"/>
    <w:rsid w:val="001E6557"/>
    <w:rsid w:val="001E6F68"/>
    <w:rsid w:val="001F5D87"/>
    <w:rsid w:val="002016CD"/>
    <w:rsid w:val="002025C7"/>
    <w:rsid w:val="002048D1"/>
    <w:rsid w:val="002052F2"/>
    <w:rsid w:val="002108F4"/>
    <w:rsid w:val="00211ACF"/>
    <w:rsid w:val="00211BEB"/>
    <w:rsid w:val="002121A1"/>
    <w:rsid w:val="00212771"/>
    <w:rsid w:val="002134A3"/>
    <w:rsid w:val="00215919"/>
    <w:rsid w:val="00216425"/>
    <w:rsid w:val="002166C6"/>
    <w:rsid w:val="0021771D"/>
    <w:rsid w:val="0022129F"/>
    <w:rsid w:val="00221761"/>
    <w:rsid w:val="00227C39"/>
    <w:rsid w:val="0023036E"/>
    <w:rsid w:val="00231563"/>
    <w:rsid w:val="00231963"/>
    <w:rsid w:val="00231BDA"/>
    <w:rsid w:val="002328BA"/>
    <w:rsid w:val="002334CE"/>
    <w:rsid w:val="00234BA3"/>
    <w:rsid w:val="002368F2"/>
    <w:rsid w:val="00236A02"/>
    <w:rsid w:val="00237E8A"/>
    <w:rsid w:val="00242EA4"/>
    <w:rsid w:val="00252CA7"/>
    <w:rsid w:val="002552FB"/>
    <w:rsid w:val="002558C8"/>
    <w:rsid w:val="0025595D"/>
    <w:rsid w:val="00256B49"/>
    <w:rsid w:val="002602C7"/>
    <w:rsid w:val="00264EF5"/>
    <w:rsid w:val="0026622C"/>
    <w:rsid w:val="002667A9"/>
    <w:rsid w:val="002677EE"/>
    <w:rsid w:val="002702C5"/>
    <w:rsid w:val="00271295"/>
    <w:rsid w:val="00275162"/>
    <w:rsid w:val="002755DD"/>
    <w:rsid w:val="00276CCD"/>
    <w:rsid w:val="002770A8"/>
    <w:rsid w:val="0027717A"/>
    <w:rsid w:val="0027765E"/>
    <w:rsid w:val="0027794D"/>
    <w:rsid w:val="00280073"/>
    <w:rsid w:val="00280846"/>
    <w:rsid w:val="00281DE2"/>
    <w:rsid w:val="00284606"/>
    <w:rsid w:val="00284E78"/>
    <w:rsid w:val="00284F5F"/>
    <w:rsid w:val="0028614B"/>
    <w:rsid w:val="00287B8E"/>
    <w:rsid w:val="00290617"/>
    <w:rsid w:val="00290F10"/>
    <w:rsid w:val="00291822"/>
    <w:rsid w:val="00295382"/>
    <w:rsid w:val="00297BD2"/>
    <w:rsid w:val="002A3FE3"/>
    <w:rsid w:val="002A4777"/>
    <w:rsid w:val="002A5038"/>
    <w:rsid w:val="002A6326"/>
    <w:rsid w:val="002B09F1"/>
    <w:rsid w:val="002B0DE6"/>
    <w:rsid w:val="002B36F8"/>
    <w:rsid w:val="002B3A24"/>
    <w:rsid w:val="002B5BF4"/>
    <w:rsid w:val="002B5D3E"/>
    <w:rsid w:val="002C06E0"/>
    <w:rsid w:val="002C202C"/>
    <w:rsid w:val="002C3702"/>
    <w:rsid w:val="002C4FDD"/>
    <w:rsid w:val="002C6785"/>
    <w:rsid w:val="002D03ED"/>
    <w:rsid w:val="002D05B0"/>
    <w:rsid w:val="002D0E1A"/>
    <w:rsid w:val="002D214A"/>
    <w:rsid w:val="002D4420"/>
    <w:rsid w:val="002D51B4"/>
    <w:rsid w:val="002E1821"/>
    <w:rsid w:val="002E1848"/>
    <w:rsid w:val="002E1AB6"/>
    <w:rsid w:val="002E5AE0"/>
    <w:rsid w:val="002E68F4"/>
    <w:rsid w:val="002E6FF8"/>
    <w:rsid w:val="002F006B"/>
    <w:rsid w:val="002F7AA0"/>
    <w:rsid w:val="00303E0B"/>
    <w:rsid w:val="00305924"/>
    <w:rsid w:val="00306A13"/>
    <w:rsid w:val="00306A50"/>
    <w:rsid w:val="00322A31"/>
    <w:rsid w:val="003233BA"/>
    <w:rsid w:val="00323741"/>
    <w:rsid w:val="00324DCB"/>
    <w:rsid w:val="00325A0D"/>
    <w:rsid w:val="00326AA8"/>
    <w:rsid w:val="00326EBD"/>
    <w:rsid w:val="00327993"/>
    <w:rsid w:val="00327FA9"/>
    <w:rsid w:val="0033125D"/>
    <w:rsid w:val="00334954"/>
    <w:rsid w:val="00334D68"/>
    <w:rsid w:val="003400EB"/>
    <w:rsid w:val="00342EB2"/>
    <w:rsid w:val="003450FE"/>
    <w:rsid w:val="0034698C"/>
    <w:rsid w:val="00346D0C"/>
    <w:rsid w:val="00347440"/>
    <w:rsid w:val="0035022A"/>
    <w:rsid w:val="00351872"/>
    <w:rsid w:val="00353941"/>
    <w:rsid w:val="00354563"/>
    <w:rsid w:val="00354DD3"/>
    <w:rsid w:val="0035560B"/>
    <w:rsid w:val="003560E3"/>
    <w:rsid w:val="00360712"/>
    <w:rsid w:val="003639C9"/>
    <w:rsid w:val="00364DDE"/>
    <w:rsid w:val="003716CB"/>
    <w:rsid w:val="003750B7"/>
    <w:rsid w:val="00376728"/>
    <w:rsid w:val="00382ABB"/>
    <w:rsid w:val="003926AF"/>
    <w:rsid w:val="00392C52"/>
    <w:rsid w:val="0039392F"/>
    <w:rsid w:val="00393CF3"/>
    <w:rsid w:val="00395753"/>
    <w:rsid w:val="003A05CC"/>
    <w:rsid w:val="003A0AAE"/>
    <w:rsid w:val="003A44C8"/>
    <w:rsid w:val="003A4C08"/>
    <w:rsid w:val="003A7436"/>
    <w:rsid w:val="003B04E4"/>
    <w:rsid w:val="003B10EC"/>
    <w:rsid w:val="003B1749"/>
    <w:rsid w:val="003B2DEB"/>
    <w:rsid w:val="003B31B1"/>
    <w:rsid w:val="003B4891"/>
    <w:rsid w:val="003B4D63"/>
    <w:rsid w:val="003C3670"/>
    <w:rsid w:val="003C5008"/>
    <w:rsid w:val="003C5331"/>
    <w:rsid w:val="003C61E8"/>
    <w:rsid w:val="003C7A5A"/>
    <w:rsid w:val="003D0C37"/>
    <w:rsid w:val="003D635E"/>
    <w:rsid w:val="003D6B4D"/>
    <w:rsid w:val="003D71FB"/>
    <w:rsid w:val="003D726B"/>
    <w:rsid w:val="003D7B65"/>
    <w:rsid w:val="003E6627"/>
    <w:rsid w:val="003F1334"/>
    <w:rsid w:val="003F40BF"/>
    <w:rsid w:val="003F549D"/>
    <w:rsid w:val="003F5B83"/>
    <w:rsid w:val="003F5F1B"/>
    <w:rsid w:val="004016B4"/>
    <w:rsid w:val="00401E40"/>
    <w:rsid w:val="00402126"/>
    <w:rsid w:val="0040221F"/>
    <w:rsid w:val="004023DD"/>
    <w:rsid w:val="00402C5C"/>
    <w:rsid w:val="00403EA5"/>
    <w:rsid w:val="00404C6C"/>
    <w:rsid w:val="0040522C"/>
    <w:rsid w:val="0041121C"/>
    <w:rsid w:val="00413A28"/>
    <w:rsid w:val="00413EC1"/>
    <w:rsid w:val="00414348"/>
    <w:rsid w:val="0041504B"/>
    <w:rsid w:val="00416087"/>
    <w:rsid w:val="00417ECF"/>
    <w:rsid w:val="00421222"/>
    <w:rsid w:val="0042232F"/>
    <w:rsid w:val="004228A9"/>
    <w:rsid w:val="00422F5D"/>
    <w:rsid w:val="00423573"/>
    <w:rsid w:val="0042403F"/>
    <w:rsid w:val="0042424D"/>
    <w:rsid w:val="00425D4A"/>
    <w:rsid w:val="004267D9"/>
    <w:rsid w:val="00426900"/>
    <w:rsid w:val="00426D76"/>
    <w:rsid w:val="00432A5D"/>
    <w:rsid w:val="00432C07"/>
    <w:rsid w:val="004346A0"/>
    <w:rsid w:val="00435924"/>
    <w:rsid w:val="00435C21"/>
    <w:rsid w:val="00437014"/>
    <w:rsid w:val="004410EC"/>
    <w:rsid w:val="0044238B"/>
    <w:rsid w:val="00447B6F"/>
    <w:rsid w:val="00447D14"/>
    <w:rsid w:val="00452FB7"/>
    <w:rsid w:val="00455BCD"/>
    <w:rsid w:val="00455C45"/>
    <w:rsid w:val="00464444"/>
    <w:rsid w:val="00464C4C"/>
    <w:rsid w:val="0046563F"/>
    <w:rsid w:val="0046564F"/>
    <w:rsid w:val="004667FC"/>
    <w:rsid w:val="00472699"/>
    <w:rsid w:val="0047682C"/>
    <w:rsid w:val="00482C65"/>
    <w:rsid w:val="00484455"/>
    <w:rsid w:val="00484E11"/>
    <w:rsid w:val="00485E63"/>
    <w:rsid w:val="00486698"/>
    <w:rsid w:val="00487252"/>
    <w:rsid w:val="004934C9"/>
    <w:rsid w:val="00495E13"/>
    <w:rsid w:val="004A0303"/>
    <w:rsid w:val="004A0DED"/>
    <w:rsid w:val="004A2592"/>
    <w:rsid w:val="004A3945"/>
    <w:rsid w:val="004A6250"/>
    <w:rsid w:val="004B12E7"/>
    <w:rsid w:val="004B7565"/>
    <w:rsid w:val="004B758F"/>
    <w:rsid w:val="004B7884"/>
    <w:rsid w:val="004B7EDB"/>
    <w:rsid w:val="004C06E2"/>
    <w:rsid w:val="004C1881"/>
    <w:rsid w:val="004C3390"/>
    <w:rsid w:val="004C5836"/>
    <w:rsid w:val="004C7B16"/>
    <w:rsid w:val="004D277A"/>
    <w:rsid w:val="004D2D5E"/>
    <w:rsid w:val="004D45F6"/>
    <w:rsid w:val="004D563E"/>
    <w:rsid w:val="004D6CAC"/>
    <w:rsid w:val="004E46FD"/>
    <w:rsid w:val="004E6FD1"/>
    <w:rsid w:val="004E7278"/>
    <w:rsid w:val="004F0B05"/>
    <w:rsid w:val="004F1301"/>
    <w:rsid w:val="004F4590"/>
    <w:rsid w:val="004F7208"/>
    <w:rsid w:val="004F7A5C"/>
    <w:rsid w:val="00503F27"/>
    <w:rsid w:val="00506BF7"/>
    <w:rsid w:val="0051203E"/>
    <w:rsid w:val="00512148"/>
    <w:rsid w:val="00513029"/>
    <w:rsid w:val="005130EF"/>
    <w:rsid w:val="0051336F"/>
    <w:rsid w:val="00515CEC"/>
    <w:rsid w:val="0052012D"/>
    <w:rsid w:val="005202D4"/>
    <w:rsid w:val="00520FEE"/>
    <w:rsid w:val="005237FB"/>
    <w:rsid w:val="00526872"/>
    <w:rsid w:val="005272C2"/>
    <w:rsid w:val="00530CD0"/>
    <w:rsid w:val="00531BE2"/>
    <w:rsid w:val="00534444"/>
    <w:rsid w:val="00534E43"/>
    <w:rsid w:val="00535160"/>
    <w:rsid w:val="00537596"/>
    <w:rsid w:val="00540956"/>
    <w:rsid w:val="00541F96"/>
    <w:rsid w:val="00544335"/>
    <w:rsid w:val="00544763"/>
    <w:rsid w:val="00544E8C"/>
    <w:rsid w:val="0054637F"/>
    <w:rsid w:val="00547BD9"/>
    <w:rsid w:val="00550195"/>
    <w:rsid w:val="00551D87"/>
    <w:rsid w:val="00553FE1"/>
    <w:rsid w:val="00554C46"/>
    <w:rsid w:val="00554D71"/>
    <w:rsid w:val="005550EC"/>
    <w:rsid w:val="0056066E"/>
    <w:rsid w:val="005616D6"/>
    <w:rsid w:val="00561DB3"/>
    <w:rsid w:val="00566EDF"/>
    <w:rsid w:val="00567FA0"/>
    <w:rsid w:val="00571658"/>
    <w:rsid w:val="005726A8"/>
    <w:rsid w:val="0057523F"/>
    <w:rsid w:val="00575689"/>
    <w:rsid w:val="005778B8"/>
    <w:rsid w:val="00581CE2"/>
    <w:rsid w:val="00582974"/>
    <w:rsid w:val="00583B85"/>
    <w:rsid w:val="00585F6D"/>
    <w:rsid w:val="00586299"/>
    <w:rsid w:val="00591D3D"/>
    <w:rsid w:val="00592508"/>
    <w:rsid w:val="0059265D"/>
    <w:rsid w:val="00596BD0"/>
    <w:rsid w:val="00597757"/>
    <w:rsid w:val="005A4A53"/>
    <w:rsid w:val="005A741F"/>
    <w:rsid w:val="005B2F3B"/>
    <w:rsid w:val="005B33FF"/>
    <w:rsid w:val="005B52CC"/>
    <w:rsid w:val="005B56A1"/>
    <w:rsid w:val="005B6BB9"/>
    <w:rsid w:val="005C0471"/>
    <w:rsid w:val="005C45EB"/>
    <w:rsid w:val="005C4E85"/>
    <w:rsid w:val="005C7C57"/>
    <w:rsid w:val="005C7D5C"/>
    <w:rsid w:val="005C7ED4"/>
    <w:rsid w:val="005D3252"/>
    <w:rsid w:val="005D46EE"/>
    <w:rsid w:val="005D5061"/>
    <w:rsid w:val="005D5A7F"/>
    <w:rsid w:val="005E00FF"/>
    <w:rsid w:val="005E06C3"/>
    <w:rsid w:val="005E091A"/>
    <w:rsid w:val="005E383C"/>
    <w:rsid w:val="005E3ED2"/>
    <w:rsid w:val="005E400E"/>
    <w:rsid w:val="005E4065"/>
    <w:rsid w:val="005F0260"/>
    <w:rsid w:val="00601535"/>
    <w:rsid w:val="00601C74"/>
    <w:rsid w:val="00602D3B"/>
    <w:rsid w:val="00603AE0"/>
    <w:rsid w:val="00604A0A"/>
    <w:rsid w:val="00606109"/>
    <w:rsid w:val="0060618F"/>
    <w:rsid w:val="0061017D"/>
    <w:rsid w:val="006109BB"/>
    <w:rsid w:val="00610E01"/>
    <w:rsid w:val="00613926"/>
    <w:rsid w:val="006144CC"/>
    <w:rsid w:val="00615244"/>
    <w:rsid w:val="00617D22"/>
    <w:rsid w:val="00622C66"/>
    <w:rsid w:val="006243E1"/>
    <w:rsid w:val="00624667"/>
    <w:rsid w:val="006246A1"/>
    <w:rsid w:val="00625C7D"/>
    <w:rsid w:val="00634530"/>
    <w:rsid w:val="006349ED"/>
    <w:rsid w:val="00636540"/>
    <w:rsid w:val="00637530"/>
    <w:rsid w:val="0064265D"/>
    <w:rsid w:val="0064333C"/>
    <w:rsid w:val="00644039"/>
    <w:rsid w:val="00645075"/>
    <w:rsid w:val="006453C8"/>
    <w:rsid w:val="006501C1"/>
    <w:rsid w:val="00650B53"/>
    <w:rsid w:val="00654757"/>
    <w:rsid w:val="00654E07"/>
    <w:rsid w:val="0065606A"/>
    <w:rsid w:val="00660EEB"/>
    <w:rsid w:val="00662613"/>
    <w:rsid w:val="00663E12"/>
    <w:rsid w:val="00664C26"/>
    <w:rsid w:val="0067068D"/>
    <w:rsid w:val="006745A3"/>
    <w:rsid w:val="006756BE"/>
    <w:rsid w:val="00680EE0"/>
    <w:rsid w:val="00682A61"/>
    <w:rsid w:val="0068407C"/>
    <w:rsid w:val="006851EF"/>
    <w:rsid w:val="00690A09"/>
    <w:rsid w:val="00692706"/>
    <w:rsid w:val="00693BF4"/>
    <w:rsid w:val="00695709"/>
    <w:rsid w:val="006A3A30"/>
    <w:rsid w:val="006A3D25"/>
    <w:rsid w:val="006A3D65"/>
    <w:rsid w:val="006A5B41"/>
    <w:rsid w:val="006A64CD"/>
    <w:rsid w:val="006A6720"/>
    <w:rsid w:val="006A7662"/>
    <w:rsid w:val="006A7A83"/>
    <w:rsid w:val="006B31C4"/>
    <w:rsid w:val="006B48CE"/>
    <w:rsid w:val="006B4D2C"/>
    <w:rsid w:val="006B5EC4"/>
    <w:rsid w:val="006B6962"/>
    <w:rsid w:val="006B6B2D"/>
    <w:rsid w:val="006B79EC"/>
    <w:rsid w:val="006B7E07"/>
    <w:rsid w:val="006C289B"/>
    <w:rsid w:val="006C4719"/>
    <w:rsid w:val="006C489B"/>
    <w:rsid w:val="006C4A39"/>
    <w:rsid w:val="006C4FE6"/>
    <w:rsid w:val="006C6267"/>
    <w:rsid w:val="006C6E9A"/>
    <w:rsid w:val="006C73BE"/>
    <w:rsid w:val="006C7B4D"/>
    <w:rsid w:val="006D1490"/>
    <w:rsid w:val="006D38EB"/>
    <w:rsid w:val="006D501F"/>
    <w:rsid w:val="006D5136"/>
    <w:rsid w:val="006D6890"/>
    <w:rsid w:val="006E0E99"/>
    <w:rsid w:val="006E1F8E"/>
    <w:rsid w:val="006E21BA"/>
    <w:rsid w:val="006E389A"/>
    <w:rsid w:val="006E5754"/>
    <w:rsid w:val="006E60A6"/>
    <w:rsid w:val="006E7FE0"/>
    <w:rsid w:val="006F18DE"/>
    <w:rsid w:val="006F263D"/>
    <w:rsid w:val="006F290D"/>
    <w:rsid w:val="006F3575"/>
    <w:rsid w:val="006F4D3B"/>
    <w:rsid w:val="006F700D"/>
    <w:rsid w:val="006F7960"/>
    <w:rsid w:val="007035B0"/>
    <w:rsid w:val="00703D2B"/>
    <w:rsid w:val="007040CF"/>
    <w:rsid w:val="00704396"/>
    <w:rsid w:val="007046A5"/>
    <w:rsid w:val="00706B29"/>
    <w:rsid w:val="00707E80"/>
    <w:rsid w:val="00707FAC"/>
    <w:rsid w:val="00707FD9"/>
    <w:rsid w:val="00710AE2"/>
    <w:rsid w:val="00710F02"/>
    <w:rsid w:val="00714758"/>
    <w:rsid w:val="00717ECF"/>
    <w:rsid w:val="0072018B"/>
    <w:rsid w:val="007204BA"/>
    <w:rsid w:val="00720A23"/>
    <w:rsid w:val="00721708"/>
    <w:rsid w:val="007233A8"/>
    <w:rsid w:val="0072671F"/>
    <w:rsid w:val="007269A8"/>
    <w:rsid w:val="00727EF2"/>
    <w:rsid w:val="007316CE"/>
    <w:rsid w:val="007350D1"/>
    <w:rsid w:val="007371A7"/>
    <w:rsid w:val="007377F3"/>
    <w:rsid w:val="0074077B"/>
    <w:rsid w:val="00741924"/>
    <w:rsid w:val="00741F1C"/>
    <w:rsid w:val="00743383"/>
    <w:rsid w:val="00744A27"/>
    <w:rsid w:val="00746224"/>
    <w:rsid w:val="00746FDB"/>
    <w:rsid w:val="0074750A"/>
    <w:rsid w:val="007475C6"/>
    <w:rsid w:val="00750076"/>
    <w:rsid w:val="007506C4"/>
    <w:rsid w:val="007507B5"/>
    <w:rsid w:val="00754A49"/>
    <w:rsid w:val="00760999"/>
    <w:rsid w:val="007646EB"/>
    <w:rsid w:val="0077028C"/>
    <w:rsid w:val="00770A94"/>
    <w:rsid w:val="00773A5A"/>
    <w:rsid w:val="00773DA5"/>
    <w:rsid w:val="00774B5B"/>
    <w:rsid w:val="00775F9D"/>
    <w:rsid w:val="00776A5C"/>
    <w:rsid w:val="00777A66"/>
    <w:rsid w:val="00782576"/>
    <w:rsid w:val="00782A01"/>
    <w:rsid w:val="00782D96"/>
    <w:rsid w:val="00783F7C"/>
    <w:rsid w:val="007849BD"/>
    <w:rsid w:val="00784B4F"/>
    <w:rsid w:val="007859EA"/>
    <w:rsid w:val="00785CB1"/>
    <w:rsid w:val="00786535"/>
    <w:rsid w:val="00790246"/>
    <w:rsid w:val="007912AE"/>
    <w:rsid w:val="00792064"/>
    <w:rsid w:val="00793F28"/>
    <w:rsid w:val="0079545F"/>
    <w:rsid w:val="00795990"/>
    <w:rsid w:val="007976E3"/>
    <w:rsid w:val="00797BD3"/>
    <w:rsid w:val="007A142B"/>
    <w:rsid w:val="007A1FF1"/>
    <w:rsid w:val="007A48F1"/>
    <w:rsid w:val="007A6886"/>
    <w:rsid w:val="007B5AD5"/>
    <w:rsid w:val="007B614A"/>
    <w:rsid w:val="007B64B1"/>
    <w:rsid w:val="007B75C1"/>
    <w:rsid w:val="007C06B3"/>
    <w:rsid w:val="007C1D90"/>
    <w:rsid w:val="007C334A"/>
    <w:rsid w:val="007C5CEB"/>
    <w:rsid w:val="007C6358"/>
    <w:rsid w:val="007C71E3"/>
    <w:rsid w:val="007D059F"/>
    <w:rsid w:val="007D0A35"/>
    <w:rsid w:val="007D11B4"/>
    <w:rsid w:val="007D5E76"/>
    <w:rsid w:val="007E086B"/>
    <w:rsid w:val="007E19F2"/>
    <w:rsid w:val="007E26A2"/>
    <w:rsid w:val="007E2FEA"/>
    <w:rsid w:val="007F0856"/>
    <w:rsid w:val="007F21A5"/>
    <w:rsid w:val="007F4BB5"/>
    <w:rsid w:val="007F51EA"/>
    <w:rsid w:val="007F6AD5"/>
    <w:rsid w:val="007F7570"/>
    <w:rsid w:val="008008AA"/>
    <w:rsid w:val="008010F7"/>
    <w:rsid w:val="00801394"/>
    <w:rsid w:val="00802665"/>
    <w:rsid w:val="00810FFC"/>
    <w:rsid w:val="00811AB4"/>
    <w:rsid w:val="00814E94"/>
    <w:rsid w:val="00816048"/>
    <w:rsid w:val="00816598"/>
    <w:rsid w:val="00817D12"/>
    <w:rsid w:val="00817DAB"/>
    <w:rsid w:val="0082520D"/>
    <w:rsid w:val="00827D25"/>
    <w:rsid w:val="00830845"/>
    <w:rsid w:val="00831B84"/>
    <w:rsid w:val="00831FA1"/>
    <w:rsid w:val="00836F3A"/>
    <w:rsid w:val="008371D6"/>
    <w:rsid w:val="0083731D"/>
    <w:rsid w:val="00840B33"/>
    <w:rsid w:val="00842C44"/>
    <w:rsid w:val="00845440"/>
    <w:rsid w:val="008505A5"/>
    <w:rsid w:val="008517AF"/>
    <w:rsid w:val="00856C07"/>
    <w:rsid w:val="00857A6D"/>
    <w:rsid w:val="00857F7C"/>
    <w:rsid w:val="00861889"/>
    <w:rsid w:val="00862942"/>
    <w:rsid w:val="00863A45"/>
    <w:rsid w:val="008657EE"/>
    <w:rsid w:val="00866459"/>
    <w:rsid w:val="00871927"/>
    <w:rsid w:val="00872A95"/>
    <w:rsid w:val="00872E83"/>
    <w:rsid w:val="0087376F"/>
    <w:rsid w:val="0087390F"/>
    <w:rsid w:val="00885BD8"/>
    <w:rsid w:val="00887693"/>
    <w:rsid w:val="00894724"/>
    <w:rsid w:val="00896F6B"/>
    <w:rsid w:val="008A1430"/>
    <w:rsid w:val="008A14B7"/>
    <w:rsid w:val="008A2296"/>
    <w:rsid w:val="008A5511"/>
    <w:rsid w:val="008A5D1A"/>
    <w:rsid w:val="008A5D26"/>
    <w:rsid w:val="008B06A4"/>
    <w:rsid w:val="008B0CA9"/>
    <w:rsid w:val="008B2A26"/>
    <w:rsid w:val="008B42FF"/>
    <w:rsid w:val="008B44AC"/>
    <w:rsid w:val="008B7273"/>
    <w:rsid w:val="008B7939"/>
    <w:rsid w:val="008C61E4"/>
    <w:rsid w:val="008C7721"/>
    <w:rsid w:val="008C7A9A"/>
    <w:rsid w:val="008D048F"/>
    <w:rsid w:val="008D0CF6"/>
    <w:rsid w:val="008D32B9"/>
    <w:rsid w:val="008D3A5E"/>
    <w:rsid w:val="008D6376"/>
    <w:rsid w:val="008E0F84"/>
    <w:rsid w:val="008E147A"/>
    <w:rsid w:val="008E2438"/>
    <w:rsid w:val="008E24A4"/>
    <w:rsid w:val="008E3809"/>
    <w:rsid w:val="008E7B4E"/>
    <w:rsid w:val="008F29EC"/>
    <w:rsid w:val="008F5853"/>
    <w:rsid w:val="008F61F2"/>
    <w:rsid w:val="008F6E58"/>
    <w:rsid w:val="00902C5B"/>
    <w:rsid w:val="009033EF"/>
    <w:rsid w:val="00903590"/>
    <w:rsid w:val="009036F8"/>
    <w:rsid w:val="00903CDE"/>
    <w:rsid w:val="0091073C"/>
    <w:rsid w:val="00910EC8"/>
    <w:rsid w:val="00911AD8"/>
    <w:rsid w:val="00912399"/>
    <w:rsid w:val="00913638"/>
    <w:rsid w:val="00914909"/>
    <w:rsid w:val="00914F12"/>
    <w:rsid w:val="00917110"/>
    <w:rsid w:val="00922EEB"/>
    <w:rsid w:val="00923DC7"/>
    <w:rsid w:val="009272AC"/>
    <w:rsid w:val="00930242"/>
    <w:rsid w:val="0093313C"/>
    <w:rsid w:val="00934B05"/>
    <w:rsid w:val="00937C34"/>
    <w:rsid w:val="009436D6"/>
    <w:rsid w:val="00944EE1"/>
    <w:rsid w:val="0094595E"/>
    <w:rsid w:val="00950AD7"/>
    <w:rsid w:val="00952510"/>
    <w:rsid w:val="00952658"/>
    <w:rsid w:val="0095483D"/>
    <w:rsid w:val="0095589F"/>
    <w:rsid w:val="00955D2A"/>
    <w:rsid w:val="0095743E"/>
    <w:rsid w:val="0096055C"/>
    <w:rsid w:val="00963625"/>
    <w:rsid w:val="00963CF5"/>
    <w:rsid w:val="00966C30"/>
    <w:rsid w:val="009706FE"/>
    <w:rsid w:val="009719FD"/>
    <w:rsid w:val="00971C80"/>
    <w:rsid w:val="00973B50"/>
    <w:rsid w:val="009754F6"/>
    <w:rsid w:val="00976C58"/>
    <w:rsid w:val="009802DC"/>
    <w:rsid w:val="009820E3"/>
    <w:rsid w:val="00982D84"/>
    <w:rsid w:val="009842F8"/>
    <w:rsid w:val="00984AB9"/>
    <w:rsid w:val="009862C1"/>
    <w:rsid w:val="009863CC"/>
    <w:rsid w:val="00986EE8"/>
    <w:rsid w:val="009914A9"/>
    <w:rsid w:val="00994483"/>
    <w:rsid w:val="0099472B"/>
    <w:rsid w:val="009963D9"/>
    <w:rsid w:val="00996F76"/>
    <w:rsid w:val="009A12BE"/>
    <w:rsid w:val="009A2F55"/>
    <w:rsid w:val="009A3A4B"/>
    <w:rsid w:val="009A3A81"/>
    <w:rsid w:val="009A661D"/>
    <w:rsid w:val="009A6C78"/>
    <w:rsid w:val="009B17C5"/>
    <w:rsid w:val="009B2890"/>
    <w:rsid w:val="009B371E"/>
    <w:rsid w:val="009B38D8"/>
    <w:rsid w:val="009B4106"/>
    <w:rsid w:val="009B52DC"/>
    <w:rsid w:val="009B5AB2"/>
    <w:rsid w:val="009B5C1D"/>
    <w:rsid w:val="009B772D"/>
    <w:rsid w:val="009C18E0"/>
    <w:rsid w:val="009C1F21"/>
    <w:rsid w:val="009C389B"/>
    <w:rsid w:val="009C3BD7"/>
    <w:rsid w:val="009C4D62"/>
    <w:rsid w:val="009C6032"/>
    <w:rsid w:val="009C7596"/>
    <w:rsid w:val="009D4098"/>
    <w:rsid w:val="009E2559"/>
    <w:rsid w:val="009E3A46"/>
    <w:rsid w:val="009E5406"/>
    <w:rsid w:val="009F22B2"/>
    <w:rsid w:val="009F26C9"/>
    <w:rsid w:val="009F28CA"/>
    <w:rsid w:val="009F6A72"/>
    <w:rsid w:val="00A02CCE"/>
    <w:rsid w:val="00A04593"/>
    <w:rsid w:val="00A04D1C"/>
    <w:rsid w:val="00A05233"/>
    <w:rsid w:val="00A05270"/>
    <w:rsid w:val="00A06A84"/>
    <w:rsid w:val="00A075AF"/>
    <w:rsid w:val="00A10A75"/>
    <w:rsid w:val="00A10ADB"/>
    <w:rsid w:val="00A1195A"/>
    <w:rsid w:val="00A125E8"/>
    <w:rsid w:val="00A14C4B"/>
    <w:rsid w:val="00A16EC3"/>
    <w:rsid w:val="00A2125D"/>
    <w:rsid w:val="00A26651"/>
    <w:rsid w:val="00A268FD"/>
    <w:rsid w:val="00A30C7F"/>
    <w:rsid w:val="00A33226"/>
    <w:rsid w:val="00A33CAA"/>
    <w:rsid w:val="00A36286"/>
    <w:rsid w:val="00A40944"/>
    <w:rsid w:val="00A41941"/>
    <w:rsid w:val="00A41E98"/>
    <w:rsid w:val="00A41F14"/>
    <w:rsid w:val="00A42E1D"/>
    <w:rsid w:val="00A51158"/>
    <w:rsid w:val="00A54BD7"/>
    <w:rsid w:val="00A54C20"/>
    <w:rsid w:val="00A54CA2"/>
    <w:rsid w:val="00A55EDA"/>
    <w:rsid w:val="00A56579"/>
    <w:rsid w:val="00A56666"/>
    <w:rsid w:val="00A572C8"/>
    <w:rsid w:val="00A62953"/>
    <w:rsid w:val="00A64B90"/>
    <w:rsid w:val="00A65C73"/>
    <w:rsid w:val="00A66340"/>
    <w:rsid w:val="00A665B8"/>
    <w:rsid w:val="00A67E0A"/>
    <w:rsid w:val="00A67F47"/>
    <w:rsid w:val="00A70AFA"/>
    <w:rsid w:val="00A72B1D"/>
    <w:rsid w:val="00A73204"/>
    <w:rsid w:val="00A73687"/>
    <w:rsid w:val="00A75E6A"/>
    <w:rsid w:val="00A775AC"/>
    <w:rsid w:val="00A80100"/>
    <w:rsid w:val="00A8250E"/>
    <w:rsid w:val="00A8294B"/>
    <w:rsid w:val="00A84034"/>
    <w:rsid w:val="00A8447C"/>
    <w:rsid w:val="00A84E60"/>
    <w:rsid w:val="00A85159"/>
    <w:rsid w:val="00A87591"/>
    <w:rsid w:val="00A87721"/>
    <w:rsid w:val="00A91986"/>
    <w:rsid w:val="00A92A08"/>
    <w:rsid w:val="00A93069"/>
    <w:rsid w:val="00A94A28"/>
    <w:rsid w:val="00A94CBE"/>
    <w:rsid w:val="00A95C0E"/>
    <w:rsid w:val="00A96F78"/>
    <w:rsid w:val="00A97D23"/>
    <w:rsid w:val="00AA1D59"/>
    <w:rsid w:val="00AA307E"/>
    <w:rsid w:val="00AA339A"/>
    <w:rsid w:val="00AA5C6A"/>
    <w:rsid w:val="00AA6CCE"/>
    <w:rsid w:val="00AA740C"/>
    <w:rsid w:val="00AB0CC0"/>
    <w:rsid w:val="00AB484D"/>
    <w:rsid w:val="00AB5546"/>
    <w:rsid w:val="00AB681C"/>
    <w:rsid w:val="00AB72B4"/>
    <w:rsid w:val="00AB7303"/>
    <w:rsid w:val="00AC19B9"/>
    <w:rsid w:val="00AC231B"/>
    <w:rsid w:val="00AC3455"/>
    <w:rsid w:val="00AC3922"/>
    <w:rsid w:val="00AD4A51"/>
    <w:rsid w:val="00AD6380"/>
    <w:rsid w:val="00AD79DB"/>
    <w:rsid w:val="00AE036D"/>
    <w:rsid w:val="00AE0F9C"/>
    <w:rsid w:val="00AE2F88"/>
    <w:rsid w:val="00AE43F2"/>
    <w:rsid w:val="00AE4C13"/>
    <w:rsid w:val="00AE79A0"/>
    <w:rsid w:val="00AE7F0B"/>
    <w:rsid w:val="00AF0003"/>
    <w:rsid w:val="00AF1735"/>
    <w:rsid w:val="00AF685E"/>
    <w:rsid w:val="00B002DB"/>
    <w:rsid w:val="00B00BC5"/>
    <w:rsid w:val="00B00F97"/>
    <w:rsid w:val="00B01F07"/>
    <w:rsid w:val="00B04BAE"/>
    <w:rsid w:val="00B063E2"/>
    <w:rsid w:val="00B124D0"/>
    <w:rsid w:val="00B12620"/>
    <w:rsid w:val="00B12854"/>
    <w:rsid w:val="00B1298D"/>
    <w:rsid w:val="00B12F09"/>
    <w:rsid w:val="00B13431"/>
    <w:rsid w:val="00B13A9E"/>
    <w:rsid w:val="00B14008"/>
    <w:rsid w:val="00B14618"/>
    <w:rsid w:val="00B2056C"/>
    <w:rsid w:val="00B21262"/>
    <w:rsid w:val="00B23E81"/>
    <w:rsid w:val="00B26CEA"/>
    <w:rsid w:val="00B30288"/>
    <w:rsid w:val="00B32EA0"/>
    <w:rsid w:val="00B34E14"/>
    <w:rsid w:val="00B40997"/>
    <w:rsid w:val="00B412D2"/>
    <w:rsid w:val="00B42C10"/>
    <w:rsid w:val="00B42D6A"/>
    <w:rsid w:val="00B45EA8"/>
    <w:rsid w:val="00B45FDC"/>
    <w:rsid w:val="00B4695D"/>
    <w:rsid w:val="00B47636"/>
    <w:rsid w:val="00B479AA"/>
    <w:rsid w:val="00B47D23"/>
    <w:rsid w:val="00B50E39"/>
    <w:rsid w:val="00B52A51"/>
    <w:rsid w:val="00B5323E"/>
    <w:rsid w:val="00B53A01"/>
    <w:rsid w:val="00B53A5A"/>
    <w:rsid w:val="00B5756B"/>
    <w:rsid w:val="00B60BF3"/>
    <w:rsid w:val="00B616A9"/>
    <w:rsid w:val="00B616D2"/>
    <w:rsid w:val="00B6200F"/>
    <w:rsid w:val="00B63B43"/>
    <w:rsid w:val="00B64418"/>
    <w:rsid w:val="00B65FDC"/>
    <w:rsid w:val="00B66A74"/>
    <w:rsid w:val="00B67125"/>
    <w:rsid w:val="00B675AE"/>
    <w:rsid w:val="00B74204"/>
    <w:rsid w:val="00B74BD3"/>
    <w:rsid w:val="00B76547"/>
    <w:rsid w:val="00B76B65"/>
    <w:rsid w:val="00B770A8"/>
    <w:rsid w:val="00B8048C"/>
    <w:rsid w:val="00B817B0"/>
    <w:rsid w:val="00B83D7A"/>
    <w:rsid w:val="00B84850"/>
    <w:rsid w:val="00B85D18"/>
    <w:rsid w:val="00B85EF6"/>
    <w:rsid w:val="00B8616C"/>
    <w:rsid w:val="00B8690F"/>
    <w:rsid w:val="00B86D43"/>
    <w:rsid w:val="00B86EDB"/>
    <w:rsid w:val="00B91FB4"/>
    <w:rsid w:val="00B92385"/>
    <w:rsid w:val="00B93918"/>
    <w:rsid w:val="00B94A64"/>
    <w:rsid w:val="00B97F75"/>
    <w:rsid w:val="00BA2579"/>
    <w:rsid w:val="00BA2AAF"/>
    <w:rsid w:val="00BA4149"/>
    <w:rsid w:val="00BA4638"/>
    <w:rsid w:val="00BA469E"/>
    <w:rsid w:val="00BA550D"/>
    <w:rsid w:val="00BA58C1"/>
    <w:rsid w:val="00BA676B"/>
    <w:rsid w:val="00BB00D5"/>
    <w:rsid w:val="00BB1B1D"/>
    <w:rsid w:val="00BB3BD1"/>
    <w:rsid w:val="00BB405D"/>
    <w:rsid w:val="00BB41CD"/>
    <w:rsid w:val="00BC05D1"/>
    <w:rsid w:val="00BC3890"/>
    <w:rsid w:val="00BC4FDB"/>
    <w:rsid w:val="00BC5355"/>
    <w:rsid w:val="00BC5674"/>
    <w:rsid w:val="00BC6AF9"/>
    <w:rsid w:val="00BC74C2"/>
    <w:rsid w:val="00BD007C"/>
    <w:rsid w:val="00BD0365"/>
    <w:rsid w:val="00BD30DF"/>
    <w:rsid w:val="00BD5011"/>
    <w:rsid w:val="00BD58E9"/>
    <w:rsid w:val="00BD7403"/>
    <w:rsid w:val="00BE270D"/>
    <w:rsid w:val="00BE3DCC"/>
    <w:rsid w:val="00BE42CF"/>
    <w:rsid w:val="00BE4C3E"/>
    <w:rsid w:val="00BE5FA8"/>
    <w:rsid w:val="00BE60B0"/>
    <w:rsid w:val="00BE7B3F"/>
    <w:rsid w:val="00BF05F5"/>
    <w:rsid w:val="00BF0E0B"/>
    <w:rsid w:val="00BF2D26"/>
    <w:rsid w:val="00BF3C30"/>
    <w:rsid w:val="00BF4AC9"/>
    <w:rsid w:val="00BF7EF6"/>
    <w:rsid w:val="00C01AB0"/>
    <w:rsid w:val="00C03613"/>
    <w:rsid w:val="00C03FC5"/>
    <w:rsid w:val="00C04A17"/>
    <w:rsid w:val="00C05398"/>
    <w:rsid w:val="00C06020"/>
    <w:rsid w:val="00C0666E"/>
    <w:rsid w:val="00C117CB"/>
    <w:rsid w:val="00C12C2B"/>
    <w:rsid w:val="00C13242"/>
    <w:rsid w:val="00C13388"/>
    <w:rsid w:val="00C1521D"/>
    <w:rsid w:val="00C154AE"/>
    <w:rsid w:val="00C1553A"/>
    <w:rsid w:val="00C16680"/>
    <w:rsid w:val="00C2240D"/>
    <w:rsid w:val="00C2518B"/>
    <w:rsid w:val="00C2601A"/>
    <w:rsid w:val="00C261A9"/>
    <w:rsid w:val="00C37698"/>
    <w:rsid w:val="00C409D3"/>
    <w:rsid w:val="00C40C3E"/>
    <w:rsid w:val="00C4322B"/>
    <w:rsid w:val="00C4684C"/>
    <w:rsid w:val="00C46DB9"/>
    <w:rsid w:val="00C47269"/>
    <w:rsid w:val="00C506F6"/>
    <w:rsid w:val="00C5107B"/>
    <w:rsid w:val="00C523A1"/>
    <w:rsid w:val="00C5388F"/>
    <w:rsid w:val="00C552EA"/>
    <w:rsid w:val="00C56852"/>
    <w:rsid w:val="00C57B45"/>
    <w:rsid w:val="00C608B0"/>
    <w:rsid w:val="00C67E5B"/>
    <w:rsid w:val="00C71031"/>
    <w:rsid w:val="00C72409"/>
    <w:rsid w:val="00C7298E"/>
    <w:rsid w:val="00C75F6B"/>
    <w:rsid w:val="00C83F41"/>
    <w:rsid w:val="00C862AE"/>
    <w:rsid w:val="00C867C9"/>
    <w:rsid w:val="00C9222C"/>
    <w:rsid w:val="00C930CD"/>
    <w:rsid w:val="00C957A0"/>
    <w:rsid w:val="00C95B97"/>
    <w:rsid w:val="00C9685F"/>
    <w:rsid w:val="00CA2DB6"/>
    <w:rsid w:val="00CB08F8"/>
    <w:rsid w:val="00CB17DE"/>
    <w:rsid w:val="00CB1E77"/>
    <w:rsid w:val="00CB39D9"/>
    <w:rsid w:val="00CC055E"/>
    <w:rsid w:val="00CC33B2"/>
    <w:rsid w:val="00CC5953"/>
    <w:rsid w:val="00CC66C8"/>
    <w:rsid w:val="00CD1785"/>
    <w:rsid w:val="00CD5CD9"/>
    <w:rsid w:val="00CD78E8"/>
    <w:rsid w:val="00CE47EB"/>
    <w:rsid w:val="00CE535C"/>
    <w:rsid w:val="00CE5B34"/>
    <w:rsid w:val="00CE700F"/>
    <w:rsid w:val="00CF1A54"/>
    <w:rsid w:val="00CF3214"/>
    <w:rsid w:val="00CF430D"/>
    <w:rsid w:val="00CF4DEF"/>
    <w:rsid w:val="00D003D9"/>
    <w:rsid w:val="00D009DF"/>
    <w:rsid w:val="00D01899"/>
    <w:rsid w:val="00D0273E"/>
    <w:rsid w:val="00D0394E"/>
    <w:rsid w:val="00D04508"/>
    <w:rsid w:val="00D04908"/>
    <w:rsid w:val="00D058C3"/>
    <w:rsid w:val="00D066A0"/>
    <w:rsid w:val="00D06F6B"/>
    <w:rsid w:val="00D13399"/>
    <w:rsid w:val="00D13DEB"/>
    <w:rsid w:val="00D2342A"/>
    <w:rsid w:val="00D24FBD"/>
    <w:rsid w:val="00D264B6"/>
    <w:rsid w:val="00D27043"/>
    <w:rsid w:val="00D30A29"/>
    <w:rsid w:val="00D319A4"/>
    <w:rsid w:val="00D3210A"/>
    <w:rsid w:val="00D3317D"/>
    <w:rsid w:val="00D36F82"/>
    <w:rsid w:val="00D40810"/>
    <w:rsid w:val="00D46085"/>
    <w:rsid w:val="00D524D2"/>
    <w:rsid w:val="00D5289A"/>
    <w:rsid w:val="00D56DEB"/>
    <w:rsid w:val="00D61734"/>
    <w:rsid w:val="00D61A82"/>
    <w:rsid w:val="00D648AD"/>
    <w:rsid w:val="00D6538D"/>
    <w:rsid w:val="00D70522"/>
    <w:rsid w:val="00D74A36"/>
    <w:rsid w:val="00D77089"/>
    <w:rsid w:val="00D80560"/>
    <w:rsid w:val="00D80B18"/>
    <w:rsid w:val="00D814E5"/>
    <w:rsid w:val="00D8166E"/>
    <w:rsid w:val="00D81E9F"/>
    <w:rsid w:val="00D83306"/>
    <w:rsid w:val="00D83854"/>
    <w:rsid w:val="00D85BAA"/>
    <w:rsid w:val="00D91198"/>
    <w:rsid w:val="00D91603"/>
    <w:rsid w:val="00D91956"/>
    <w:rsid w:val="00D94215"/>
    <w:rsid w:val="00D9523F"/>
    <w:rsid w:val="00D95864"/>
    <w:rsid w:val="00D97F5D"/>
    <w:rsid w:val="00DA298B"/>
    <w:rsid w:val="00DA4271"/>
    <w:rsid w:val="00DA6D3C"/>
    <w:rsid w:val="00DB1059"/>
    <w:rsid w:val="00DB11B6"/>
    <w:rsid w:val="00DB1A60"/>
    <w:rsid w:val="00DB2046"/>
    <w:rsid w:val="00DC02F0"/>
    <w:rsid w:val="00DC5E42"/>
    <w:rsid w:val="00DD10F8"/>
    <w:rsid w:val="00DD3016"/>
    <w:rsid w:val="00DE2C4A"/>
    <w:rsid w:val="00DE386A"/>
    <w:rsid w:val="00DE38A4"/>
    <w:rsid w:val="00DF00F3"/>
    <w:rsid w:val="00DF0DD5"/>
    <w:rsid w:val="00DF32A7"/>
    <w:rsid w:val="00DF6747"/>
    <w:rsid w:val="00E008B4"/>
    <w:rsid w:val="00E01E22"/>
    <w:rsid w:val="00E03C90"/>
    <w:rsid w:val="00E04BC8"/>
    <w:rsid w:val="00E0653E"/>
    <w:rsid w:val="00E0676A"/>
    <w:rsid w:val="00E06FDB"/>
    <w:rsid w:val="00E10AC8"/>
    <w:rsid w:val="00E10C2E"/>
    <w:rsid w:val="00E122E4"/>
    <w:rsid w:val="00E130A3"/>
    <w:rsid w:val="00E1359B"/>
    <w:rsid w:val="00E13936"/>
    <w:rsid w:val="00E1621B"/>
    <w:rsid w:val="00E1685E"/>
    <w:rsid w:val="00E1730B"/>
    <w:rsid w:val="00E17C6D"/>
    <w:rsid w:val="00E21434"/>
    <w:rsid w:val="00E21686"/>
    <w:rsid w:val="00E233AE"/>
    <w:rsid w:val="00E269A2"/>
    <w:rsid w:val="00E3034F"/>
    <w:rsid w:val="00E3375C"/>
    <w:rsid w:val="00E36793"/>
    <w:rsid w:val="00E378B3"/>
    <w:rsid w:val="00E37B5E"/>
    <w:rsid w:val="00E37BC9"/>
    <w:rsid w:val="00E407D9"/>
    <w:rsid w:val="00E4183A"/>
    <w:rsid w:val="00E44FD4"/>
    <w:rsid w:val="00E46576"/>
    <w:rsid w:val="00E50E38"/>
    <w:rsid w:val="00E54876"/>
    <w:rsid w:val="00E54C5A"/>
    <w:rsid w:val="00E5541F"/>
    <w:rsid w:val="00E55801"/>
    <w:rsid w:val="00E57614"/>
    <w:rsid w:val="00E576CF"/>
    <w:rsid w:val="00E628B0"/>
    <w:rsid w:val="00E6308D"/>
    <w:rsid w:val="00E6467A"/>
    <w:rsid w:val="00E6609A"/>
    <w:rsid w:val="00E67E44"/>
    <w:rsid w:val="00E72988"/>
    <w:rsid w:val="00E73998"/>
    <w:rsid w:val="00E746AC"/>
    <w:rsid w:val="00E74CAD"/>
    <w:rsid w:val="00E74F08"/>
    <w:rsid w:val="00E80749"/>
    <w:rsid w:val="00E81DE3"/>
    <w:rsid w:val="00E82D79"/>
    <w:rsid w:val="00E82FF0"/>
    <w:rsid w:val="00E863F9"/>
    <w:rsid w:val="00E92B70"/>
    <w:rsid w:val="00E93724"/>
    <w:rsid w:val="00E96936"/>
    <w:rsid w:val="00E96DE6"/>
    <w:rsid w:val="00EA1046"/>
    <w:rsid w:val="00EA50EA"/>
    <w:rsid w:val="00EA580C"/>
    <w:rsid w:val="00EA61D2"/>
    <w:rsid w:val="00EB2497"/>
    <w:rsid w:val="00EB3E73"/>
    <w:rsid w:val="00EB4384"/>
    <w:rsid w:val="00EC0377"/>
    <w:rsid w:val="00EC2ADB"/>
    <w:rsid w:val="00ED0568"/>
    <w:rsid w:val="00ED0B9E"/>
    <w:rsid w:val="00ED0FD5"/>
    <w:rsid w:val="00ED2629"/>
    <w:rsid w:val="00ED295B"/>
    <w:rsid w:val="00ED65B9"/>
    <w:rsid w:val="00ED6768"/>
    <w:rsid w:val="00ED6E91"/>
    <w:rsid w:val="00ED7F2E"/>
    <w:rsid w:val="00ED7F67"/>
    <w:rsid w:val="00EE2F98"/>
    <w:rsid w:val="00EE3F67"/>
    <w:rsid w:val="00EE5852"/>
    <w:rsid w:val="00EE5A02"/>
    <w:rsid w:val="00EE6A43"/>
    <w:rsid w:val="00EE6CA8"/>
    <w:rsid w:val="00EE7E1A"/>
    <w:rsid w:val="00EF11F5"/>
    <w:rsid w:val="00EF1F1C"/>
    <w:rsid w:val="00EF5778"/>
    <w:rsid w:val="00EF5DE6"/>
    <w:rsid w:val="00EF662E"/>
    <w:rsid w:val="00F0240B"/>
    <w:rsid w:val="00F03522"/>
    <w:rsid w:val="00F0425A"/>
    <w:rsid w:val="00F0718B"/>
    <w:rsid w:val="00F118D8"/>
    <w:rsid w:val="00F11D32"/>
    <w:rsid w:val="00F151D6"/>
    <w:rsid w:val="00F17067"/>
    <w:rsid w:val="00F17665"/>
    <w:rsid w:val="00F20F5D"/>
    <w:rsid w:val="00F22161"/>
    <w:rsid w:val="00F226B1"/>
    <w:rsid w:val="00F22BBF"/>
    <w:rsid w:val="00F249B4"/>
    <w:rsid w:val="00F24DC3"/>
    <w:rsid w:val="00F2746C"/>
    <w:rsid w:val="00F30EA8"/>
    <w:rsid w:val="00F32111"/>
    <w:rsid w:val="00F32210"/>
    <w:rsid w:val="00F34877"/>
    <w:rsid w:val="00F351D6"/>
    <w:rsid w:val="00F402CA"/>
    <w:rsid w:val="00F42474"/>
    <w:rsid w:val="00F4304C"/>
    <w:rsid w:val="00F433CC"/>
    <w:rsid w:val="00F442DB"/>
    <w:rsid w:val="00F44BFD"/>
    <w:rsid w:val="00F4676C"/>
    <w:rsid w:val="00F5430A"/>
    <w:rsid w:val="00F54D56"/>
    <w:rsid w:val="00F55168"/>
    <w:rsid w:val="00F56D7B"/>
    <w:rsid w:val="00F57DF3"/>
    <w:rsid w:val="00F6320E"/>
    <w:rsid w:val="00F643D8"/>
    <w:rsid w:val="00F64C29"/>
    <w:rsid w:val="00F65171"/>
    <w:rsid w:val="00F658F8"/>
    <w:rsid w:val="00F70D77"/>
    <w:rsid w:val="00F732E9"/>
    <w:rsid w:val="00F73AE1"/>
    <w:rsid w:val="00F750BE"/>
    <w:rsid w:val="00F759C7"/>
    <w:rsid w:val="00F76CBB"/>
    <w:rsid w:val="00F80B8D"/>
    <w:rsid w:val="00F83545"/>
    <w:rsid w:val="00F8431A"/>
    <w:rsid w:val="00F93175"/>
    <w:rsid w:val="00F97284"/>
    <w:rsid w:val="00FA030B"/>
    <w:rsid w:val="00FA0F95"/>
    <w:rsid w:val="00FA54B2"/>
    <w:rsid w:val="00FA5D16"/>
    <w:rsid w:val="00FA7876"/>
    <w:rsid w:val="00FB012E"/>
    <w:rsid w:val="00FB0B6E"/>
    <w:rsid w:val="00FB2FE5"/>
    <w:rsid w:val="00FB3718"/>
    <w:rsid w:val="00FB4614"/>
    <w:rsid w:val="00FB47B7"/>
    <w:rsid w:val="00FB5011"/>
    <w:rsid w:val="00FB61B6"/>
    <w:rsid w:val="00FB6E6A"/>
    <w:rsid w:val="00FC021C"/>
    <w:rsid w:val="00FC57D7"/>
    <w:rsid w:val="00FC6C49"/>
    <w:rsid w:val="00FD07F9"/>
    <w:rsid w:val="00FD1990"/>
    <w:rsid w:val="00FD7B6A"/>
    <w:rsid w:val="00FE01D1"/>
    <w:rsid w:val="00FE1E73"/>
    <w:rsid w:val="00FE43E9"/>
    <w:rsid w:val="00FE5972"/>
    <w:rsid w:val="00FE6BB1"/>
    <w:rsid w:val="00FF2AF4"/>
    <w:rsid w:val="00FF31B7"/>
    <w:rsid w:val="00FF39C5"/>
    <w:rsid w:val="00FF47F3"/>
    <w:rsid w:val="00FF62CF"/>
    <w:rsid w:val="00FF6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54E44"/>
  <w15:chartTrackingRefBased/>
  <w15:docId w15:val="{73294A16-3896-4EC2-9ABB-7AE84C2C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p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E6609A"/>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484455"/>
    <w:pPr>
      <w:ind w:left="720"/>
      <w:contextualSpacing/>
    </w:pPr>
    <w:rPr>
      <w:rFonts w:ascii="Gill Sans" w:hAnsi="Gill Sans"/>
    </w:rPr>
  </w:style>
  <w:style w:type="paragraph" w:styleId="NormalWeb">
    <w:name w:val="Normal (Web)"/>
    <w:basedOn w:val="Normal"/>
    <w:uiPriority w:val="99"/>
    <w:unhideWhenUsed/>
    <w:rsid w:val="007269A8"/>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F17665"/>
    <w:rPr>
      <w:sz w:val="16"/>
      <w:szCs w:val="16"/>
    </w:rPr>
  </w:style>
  <w:style w:type="paragraph" w:styleId="BalloonText">
    <w:name w:val="Balloon Text"/>
    <w:basedOn w:val="Normal"/>
    <w:link w:val="BalloonTextChar"/>
    <w:rsid w:val="00F17665"/>
    <w:pPr>
      <w:spacing w:after="0"/>
    </w:pPr>
    <w:rPr>
      <w:rFonts w:ascii="Segoe UI" w:hAnsi="Segoe UI" w:cs="Segoe UI"/>
      <w:sz w:val="18"/>
      <w:szCs w:val="18"/>
    </w:rPr>
  </w:style>
  <w:style w:type="character" w:customStyle="1" w:styleId="BalloonTextChar">
    <w:name w:val="Balloon Text Char"/>
    <w:basedOn w:val="DefaultParagraphFont"/>
    <w:link w:val="BalloonText"/>
    <w:rsid w:val="00F1766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1B6752"/>
    <w:rPr>
      <w:rFonts w:ascii="Gill Sans MT" w:hAnsi="Gill Sans MT"/>
      <w:b/>
      <w:bCs/>
      <w:szCs w:val="20"/>
      <w:lang w:val="en-IE"/>
    </w:rPr>
  </w:style>
  <w:style w:type="character" w:customStyle="1" w:styleId="CommentSubjectChar">
    <w:name w:val="Comment Subject Char"/>
    <w:basedOn w:val="CommentTextChar"/>
    <w:link w:val="CommentSubject"/>
    <w:rsid w:val="001B6752"/>
    <w:rPr>
      <w:rFonts w:ascii="Gill Sans MT" w:eastAsia="Times New Roman" w:hAnsi="Gill Sans MT"/>
      <w:b/>
      <w:bCs/>
      <w:szCs w:val="24"/>
      <w:lang w:eastAsia="en-US"/>
    </w:rPr>
  </w:style>
  <w:style w:type="paragraph" w:styleId="Revision">
    <w:name w:val="Revision"/>
    <w:hidden/>
    <w:uiPriority w:val="99"/>
    <w:semiHidden/>
    <w:rsid w:val="001B61CB"/>
    <w:rPr>
      <w:rFonts w:ascii="Gill Sans MT" w:eastAsia="Times New Roman" w:hAnsi="Gill Sans MT"/>
      <w:sz w:val="26"/>
      <w:szCs w:val="24"/>
      <w:lang w:eastAsia="en-US"/>
    </w:rPr>
  </w:style>
  <w:style w:type="character" w:customStyle="1" w:styleId="FootnoteTextChar">
    <w:name w:val="Footnote Text Char"/>
    <w:link w:val="FootnoteText"/>
    <w:semiHidden/>
    <w:rsid w:val="0096055C"/>
    <w:rPr>
      <w:rFonts w:ascii="Gill Sans MT" w:eastAsia="Times New Roman" w:hAnsi="Gill Sans MT"/>
      <w:sz w:val="22"/>
      <w:lang w:eastAsia="en-US"/>
    </w:rPr>
  </w:style>
  <w:style w:type="character" w:customStyle="1" w:styleId="ListBulletChar">
    <w:name w:val="List Bullet Char"/>
    <w:link w:val="ListBullet"/>
    <w:rsid w:val="00EE3F67"/>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7127">
      <w:bodyDiv w:val="1"/>
      <w:marLeft w:val="0"/>
      <w:marRight w:val="0"/>
      <w:marTop w:val="0"/>
      <w:marBottom w:val="0"/>
      <w:divBdr>
        <w:top w:val="none" w:sz="0" w:space="0" w:color="auto"/>
        <w:left w:val="none" w:sz="0" w:space="0" w:color="auto"/>
        <w:bottom w:val="none" w:sz="0" w:space="0" w:color="auto"/>
        <w:right w:val="none" w:sz="0" w:space="0" w:color="auto"/>
      </w:divBdr>
    </w:div>
    <w:div w:id="379791427">
      <w:bodyDiv w:val="1"/>
      <w:marLeft w:val="0"/>
      <w:marRight w:val="0"/>
      <w:marTop w:val="0"/>
      <w:marBottom w:val="0"/>
      <w:divBdr>
        <w:top w:val="none" w:sz="0" w:space="0" w:color="auto"/>
        <w:left w:val="none" w:sz="0" w:space="0" w:color="auto"/>
        <w:bottom w:val="none" w:sz="0" w:space="0" w:color="auto"/>
        <w:right w:val="none" w:sz="0" w:space="0" w:color="auto"/>
      </w:divBdr>
    </w:div>
    <w:div w:id="415322610">
      <w:bodyDiv w:val="1"/>
      <w:marLeft w:val="0"/>
      <w:marRight w:val="0"/>
      <w:marTop w:val="0"/>
      <w:marBottom w:val="0"/>
      <w:divBdr>
        <w:top w:val="none" w:sz="0" w:space="0" w:color="auto"/>
        <w:left w:val="none" w:sz="0" w:space="0" w:color="auto"/>
        <w:bottom w:val="none" w:sz="0" w:space="0" w:color="auto"/>
        <w:right w:val="none" w:sz="0" w:space="0" w:color="auto"/>
      </w:divBdr>
    </w:div>
    <w:div w:id="479662589">
      <w:bodyDiv w:val="1"/>
      <w:marLeft w:val="0"/>
      <w:marRight w:val="0"/>
      <w:marTop w:val="0"/>
      <w:marBottom w:val="0"/>
      <w:divBdr>
        <w:top w:val="none" w:sz="0" w:space="0" w:color="auto"/>
        <w:left w:val="none" w:sz="0" w:space="0" w:color="auto"/>
        <w:bottom w:val="none" w:sz="0" w:space="0" w:color="auto"/>
        <w:right w:val="none" w:sz="0" w:space="0" w:color="auto"/>
      </w:divBdr>
    </w:div>
    <w:div w:id="836506714">
      <w:bodyDiv w:val="1"/>
      <w:marLeft w:val="0"/>
      <w:marRight w:val="0"/>
      <w:marTop w:val="0"/>
      <w:marBottom w:val="0"/>
      <w:divBdr>
        <w:top w:val="none" w:sz="0" w:space="0" w:color="auto"/>
        <w:left w:val="none" w:sz="0" w:space="0" w:color="auto"/>
        <w:bottom w:val="none" w:sz="0" w:space="0" w:color="auto"/>
        <w:right w:val="none" w:sz="0" w:space="0" w:color="auto"/>
      </w:divBdr>
    </w:div>
    <w:div w:id="887298986">
      <w:bodyDiv w:val="1"/>
      <w:marLeft w:val="0"/>
      <w:marRight w:val="0"/>
      <w:marTop w:val="0"/>
      <w:marBottom w:val="0"/>
      <w:divBdr>
        <w:top w:val="none" w:sz="0" w:space="0" w:color="auto"/>
        <w:left w:val="none" w:sz="0" w:space="0" w:color="auto"/>
        <w:bottom w:val="none" w:sz="0" w:space="0" w:color="auto"/>
        <w:right w:val="none" w:sz="0" w:space="0" w:color="auto"/>
      </w:divBdr>
    </w:div>
    <w:div w:id="907377434">
      <w:bodyDiv w:val="1"/>
      <w:marLeft w:val="0"/>
      <w:marRight w:val="0"/>
      <w:marTop w:val="0"/>
      <w:marBottom w:val="0"/>
      <w:divBdr>
        <w:top w:val="none" w:sz="0" w:space="0" w:color="auto"/>
        <w:left w:val="none" w:sz="0" w:space="0" w:color="auto"/>
        <w:bottom w:val="none" w:sz="0" w:space="0" w:color="auto"/>
        <w:right w:val="none" w:sz="0" w:space="0" w:color="auto"/>
      </w:divBdr>
    </w:div>
    <w:div w:id="936446634">
      <w:bodyDiv w:val="1"/>
      <w:marLeft w:val="0"/>
      <w:marRight w:val="0"/>
      <w:marTop w:val="0"/>
      <w:marBottom w:val="0"/>
      <w:divBdr>
        <w:top w:val="none" w:sz="0" w:space="0" w:color="auto"/>
        <w:left w:val="none" w:sz="0" w:space="0" w:color="auto"/>
        <w:bottom w:val="none" w:sz="0" w:space="0" w:color="auto"/>
        <w:right w:val="none" w:sz="0" w:space="0" w:color="auto"/>
      </w:divBdr>
    </w:div>
    <w:div w:id="1124890504">
      <w:bodyDiv w:val="1"/>
      <w:marLeft w:val="0"/>
      <w:marRight w:val="0"/>
      <w:marTop w:val="0"/>
      <w:marBottom w:val="0"/>
      <w:divBdr>
        <w:top w:val="none" w:sz="0" w:space="0" w:color="auto"/>
        <w:left w:val="none" w:sz="0" w:space="0" w:color="auto"/>
        <w:bottom w:val="none" w:sz="0" w:space="0" w:color="auto"/>
        <w:right w:val="none" w:sz="0" w:space="0" w:color="auto"/>
      </w:divBdr>
    </w:div>
    <w:div w:id="1164934217">
      <w:bodyDiv w:val="1"/>
      <w:marLeft w:val="0"/>
      <w:marRight w:val="0"/>
      <w:marTop w:val="0"/>
      <w:marBottom w:val="0"/>
      <w:divBdr>
        <w:top w:val="none" w:sz="0" w:space="0" w:color="auto"/>
        <w:left w:val="none" w:sz="0" w:space="0" w:color="auto"/>
        <w:bottom w:val="none" w:sz="0" w:space="0" w:color="auto"/>
        <w:right w:val="none" w:sz="0" w:space="0" w:color="auto"/>
      </w:divBdr>
    </w:div>
    <w:div w:id="1181553007">
      <w:bodyDiv w:val="1"/>
      <w:marLeft w:val="0"/>
      <w:marRight w:val="0"/>
      <w:marTop w:val="0"/>
      <w:marBottom w:val="0"/>
      <w:divBdr>
        <w:top w:val="none" w:sz="0" w:space="0" w:color="auto"/>
        <w:left w:val="none" w:sz="0" w:space="0" w:color="auto"/>
        <w:bottom w:val="none" w:sz="0" w:space="0" w:color="auto"/>
        <w:right w:val="none" w:sz="0" w:space="0" w:color="auto"/>
      </w:divBdr>
    </w:div>
    <w:div w:id="1376277316">
      <w:bodyDiv w:val="1"/>
      <w:marLeft w:val="0"/>
      <w:marRight w:val="0"/>
      <w:marTop w:val="0"/>
      <w:marBottom w:val="0"/>
      <w:divBdr>
        <w:top w:val="none" w:sz="0" w:space="0" w:color="auto"/>
        <w:left w:val="none" w:sz="0" w:space="0" w:color="auto"/>
        <w:bottom w:val="none" w:sz="0" w:space="0" w:color="auto"/>
        <w:right w:val="none" w:sz="0" w:space="0" w:color="auto"/>
      </w:divBdr>
    </w:div>
    <w:div w:id="1396470694">
      <w:bodyDiv w:val="1"/>
      <w:marLeft w:val="0"/>
      <w:marRight w:val="0"/>
      <w:marTop w:val="0"/>
      <w:marBottom w:val="0"/>
      <w:divBdr>
        <w:top w:val="none" w:sz="0" w:space="0" w:color="auto"/>
        <w:left w:val="none" w:sz="0" w:space="0" w:color="auto"/>
        <w:bottom w:val="none" w:sz="0" w:space="0" w:color="auto"/>
        <w:right w:val="none" w:sz="0" w:space="0" w:color="auto"/>
      </w:divBdr>
    </w:div>
    <w:div w:id="1510213995">
      <w:bodyDiv w:val="1"/>
      <w:marLeft w:val="0"/>
      <w:marRight w:val="0"/>
      <w:marTop w:val="0"/>
      <w:marBottom w:val="0"/>
      <w:divBdr>
        <w:top w:val="none" w:sz="0" w:space="0" w:color="auto"/>
        <w:left w:val="none" w:sz="0" w:space="0" w:color="auto"/>
        <w:bottom w:val="none" w:sz="0" w:space="0" w:color="auto"/>
        <w:right w:val="none" w:sz="0" w:space="0" w:color="auto"/>
      </w:divBdr>
    </w:div>
    <w:div w:id="1623920715">
      <w:bodyDiv w:val="1"/>
      <w:marLeft w:val="0"/>
      <w:marRight w:val="0"/>
      <w:marTop w:val="0"/>
      <w:marBottom w:val="0"/>
      <w:divBdr>
        <w:top w:val="none" w:sz="0" w:space="0" w:color="auto"/>
        <w:left w:val="none" w:sz="0" w:space="0" w:color="auto"/>
        <w:bottom w:val="none" w:sz="0" w:space="0" w:color="auto"/>
        <w:right w:val="none" w:sz="0" w:space="0" w:color="auto"/>
      </w:divBdr>
    </w:div>
    <w:div w:id="1665815464">
      <w:bodyDiv w:val="1"/>
      <w:marLeft w:val="0"/>
      <w:marRight w:val="0"/>
      <w:marTop w:val="0"/>
      <w:marBottom w:val="0"/>
      <w:divBdr>
        <w:top w:val="none" w:sz="0" w:space="0" w:color="auto"/>
        <w:left w:val="none" w:sz="0" w:space="0" w:color="auto"/>
        <w:bottom w:val="none" w:sz="0" w:space="0" w:color="auto"/>
        <w:right w:val="none" w:sz="0" w:space="0" w:color="auto"/>
      </w:divBdr>
    </w:div>
    <w:div w:id="1694185634">
      <w:bodyDiv w:val="1"/>
      <w:marLeft w:val="0"/>
      <w:marRight w:val="0"/>
      <w:marTop w:val="0"/>
      <w:marBottom w:val="0"/>
      <w:divBdr>
        <w:top w:val="none" w:sz="0" w:space="0" w:color="auto"/>
        <w:left w:val="none" w:sz="0" w:space="0" w:color="auto"/>
        <w:bottom w:val="none" w:sz="0" w:space="0" w:color="auto"/>
        <w:right w:val="none" w:sz="0" w:space="0" w:color="auto"/>
      </w:divBdr>
    </w:div>
    <w:div w:id="1713731623">
      <w:bodyDiv w:val="1"/>
      <w:marLeft w:val="0"/>
      <w:marRight w:val="0"/>
      <w:marTop w:val="0"/>
      <w:marBottom w:val="0"/>
      <w:divBdr>
        <w:top w:val="none" w:sz="0" w:space="0" w:color="auto"/>
        <w:left w:val="none" w:sz="0" w:space="0" w:color="auto"/>
        <w:bottom w:val="none" w:sz="0" w:space="0" w:color="auto"/>
        <w:right w:val="none" w:sz="0" w:space="0" w:color="auto"/>
      </w:divBdr>
    </w:div>
    <w:div w:id="1762943630">
      <w:bodyDiv w:val="1"/>
      <w:marLeft w:val="0"/>
      <w:marRight w:val="0"/>
      <w:marTop w:val="0"/>
      <w:marBottom w:val="0"/>
      <w:divBdr>
        <w:top w:val="none" w:sz="0" w:space="0" w:color="auto"/>
        <w:left w:val="none" w:sz="0" w:space="0" w:color="auto"/>
        <w:bottom w:val="none" w:sz="0" w:space="0" w:color="auto"/>
        <w:right w:val="none" w:sz="0" w:space="0" w:color="auto"/>
      </w:divBdr>
    </w:div>
    <w:div w:id="1837529788">
      <w:bodyDiv w:val="1"/>
      <w:marLeft w:val="0"/>
      <w:marRight w:val="0"/>
      <w:marTop w:val="0"/>
      <w:marBottom w:val="0"/>
      <w:divBdr>
        <w:top w:val="none" w:sz="0" w:space="0" w:color="auto"/>
        <w:left w:val="none" w:sz="0" w:space="0" w:color="auto"/>
        <w:bottom w:val="none" w:sz="0" w:space="0" w:color="auto"/>
        <w:right w:val="none" w:sz="0" w:space="0" w:color="auto"/>
      </w:divBdr>
    </w:div>
    <w:div w:id="1841115722">
      <w:bodyDiv w:val="1"/>
      <w:marLeft w:val="0"/>
      <w:marRight w:val="0"/>
      <w:marTop w:val="0"/>
      <w:marBottom w:val="0"/>
      <w:divBdr>
        <w:top w:val="none" w:sz="0" w:space="0" w:color="auto"/>
        <w:left w:val="none" w:sz="0" w:space="0" w:color="auto"/>
        <w:bottom w:val="none" w:sz="0" w:space="0" w:color="auto"/>
        <w:right w:val="none" w:sz="0" w:space="0" w:color="auto"/>
      </w:divBdr>
    </w:div>
    <w:div w:id="1904365648">
      <w:bodyDiv w:val="1"/>
      <w:marLeft w:val="0"/>
      <w:marRight w:val="0"/>
      <w:marTop w:val="0"/>
      <w:marBottom w:val="0"/>
      <w:divBdr>
        <w:top w:val="none" w:sz="0" w:space="0" w:color="auto"/>
        <w:left w:val="none" w:sz="0" w:space="0" w:color="auto"/>
        <w:bottom w:val="none" w:sz="0" w:space="0" w:color="auto"/>
        <w:right w:val="none" w:sz="0" w:space="0" w:color="auto"/>
      </w:divBdr>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546869075">
          <w:marLeft w:val="0"/>
          <w:marRight w:val="0"/>
          <w:marTop w:val="0"/>
          <w:marBottom w:val="0"/>
          <w:divBdr>
            <w:top w:val="none" w:sz="0" w:space="0" w:color="auto"/>
            <w:left w:val="none" w:sz="0" w:space="0" w:color="auto"/>
            <w:bottom w:val="none" w:sz="0" w:space="0" w:color="auto"/>
            <w:right w:val="none" w:sz="0" w:space="0" w:color="auto"/>
          </w:divBdr>
          <w:divsChild>
            <w:div w:id="472261830">
              <w:marLeft w:val="-225"/>
              <w:marRight w:val="-225"/>
              <w:marTop w:val="0"/>
              <w:marBottom w:val="0"/>
              <w:divBdr>
                <w:top w:val="none" w:sz="0" w:space="0" w:color="auto"/>
                <w:left w:val="none" w:sz="0" w:space="0" w:color="auto"/>
                <w:bottom w:val="none" w:sz="0" w:space="0" w:color="auto"/>
                <w:right w:val="none" w:sz="0" w:space="0" w:color="auto"/>
              </w:divBdr>
            </w:div>
          </w:divsChild>
        </w:div>
        <w:div w:id="1630358555">
          <w:marLeft w:val="0"/>
          <w:marRight w:val="0"/>
          <w:marTop w:val="0"/>
          <w:marBottom w:val="0"/>
          <w:divBdr>
            <w:top w:val="none" w:sz="0" w:space="0" w:color="auto"/>
            <w:left w:val="none" w:sz="0" w:space="0" w:color="auto"/>
            <w:bottom w:val="none" w:sz="0" w:space="0" w:color="auto"/>
            <w:right w:val="none" w:sz="0" w:space="0" w:color="auto"/>
          </w:divBdr>
          <w:divsChild>
            <w:div w:id="2044624387">
              <w:marLeft w:val="-225"/>
              <w:marRight w:val="-225"/>
              <w:marTop w:val="0"/>
              <w:marBottom w:val="0"/>
              <w:divBdr>
                <w:top w:val="none" w:sz="0" w:space="0" w:color="auto"/>
                <w:left w:val="none" w:sz="0" w:space="0" w:color="auto"/>
                <w:bottom w:val="none" w:sz="0" w:space="0" w:color="auto"/>
                <w:right w:val="none" w:sz="0" w:space="0" w:color="auto"/>
              </w:divBdr>
            </w:div>
          </w:divsChild>
        </w:div>
        <w:div w:id="1807091165">
          <w:marLeft w:val="0"/>
          <w:marRight w:val="0"/>
          <w:marTop w:val="0"/>
          <w:marBottom w:val="0"/>
          <w:divBdr>
            <w:top w:val="none" w:sz="0" w:space="0" w:color="auto"/>
            <w:left w:val="none" w:sz="0" w:space="0" w:color="auto"/>
            <w:bottom w:val="none" w:sz="0" w:space="0" w:color="auto"/>
            <w:right w:val="none" w:sz="0" w:space="0" w:color="auto"/>
          </w:divBdr>
          <w:divsChild>
            <w:div w:id="1475876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9182264">
      <w:bodyDiv w:val="1"/>
      <w:marLeft w:val="0"/>
      <w:marRight w:val="0"/>
      <w:marTop w:val="0"/>
      <w:marBottom w:val="0"/>
      <w:divBdr>
        <w:top w:val="none" w:sz="0" w:space="0" w:color="auto"/>
        <w:left w:val="none" w:sz="0" w:space="0" w:color="auto"/>
        <w:bottom w:val="none" w:sz="0" w:space="0" w:color="auto"/>
        <w:right w:val="none" w:sz="0" w:space="0" w:color="auto"/>
      </w:divBdr>
    </w:div>
    <w:div w:id="21351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publications/monitoring-report-eu-wad-ireland-2021-nda-report" TargetMode="External"/><Relationship Id="rId5" Type="http://schemas.openxmlformats.org/officeDocument/2006/relationships/webSettings" Target="webSettings.xml"/><Relationship Id="rId10" Type="http://schemas.openxmlformats.org/officeDocument/2006/relationships/hyperlink" Target="https://nda.ie/monitoring/eu-web-accessibility-directive/accessibility-statements" TargetMode="External"/><Relationship Id="rId4" Type="http://schemas.openxmlformats.org/officeDocument/2006/relationships/settings" Target="settings.xml"/><Relationship Id="rId9" Type="http://schemas.openxmlformats.org/officeDocument/2006/relationships/hyperlink" Target="https://nda.ie/monitoring/eu-web-accessibility-directive/eu-web-accessibility-directive-monitoring-repor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da.ie/publications/nda-advice-paper-on-disability-language-and-terminology" TargetMode="External"/><Relationship Id="rId7" Type="http://schemas.openxmlformats.org/officeDocument/2006/relationships/hyperlink" Target="https://nda.ie/publications/report-on-the-operation-of-the-irish-sign-language-act-2017-december-2021" TargetMode="External"/><Relationship Id="rId2" Type="http://schemas.openxmlformats.org/officeDocument/2006/relationships/hyperlink" Target="https://nda.ie/publications/participation-matters-guidelines-on-implementing-the-obligation-to-meaningfully-engage-with-disabled-people-in-public-decision-making" TargetMode="External"/><Relationship Id="rId1" Type="http://schemas.openxmlformats.org/officeDocument/2006/relationships/hyperlink" Target="https://www.gov.ie/en/consultation/63e29-public-consultation-department-of-justice-statement-of-strategy-2024-2026/" TargetMode="External"/><Relationship Id="rId6" Type="http://schemas.openxmlformats.org/officeDocument/2006/relationships/hyperlink" Target="https://nda.ie/publications/nda-annual-reports-on-compliance-with-part-5-of-the-disability-act" TargetMode="External"/><Relationship Id="rId5" Type="http://schemas.openxmlformats.org/officeDocument/2006/relationships/hyperlink" Target="https://www.gov.ie/en/publication/1d84e-the-cost-of-disability-in-ireland-research-report/" TargetMode="External"/><Relationship Id="rId4" Type="http://schemas.openxmlformats.org/officeDocument/2006/relationships/hyperlink" Target="https://nda.ie/advice-paper-on-the-use-of-intermediaries-in-the-irish-justice-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726D-84D1-4675-9FCC-3FD1A786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9</Pages>
  <Words>3083</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 Brennan</dc:creator>
  <cp:keywords/>
  <cp:lastModifiedBy>Rosalyn Tamming (NDA)</cp:lastModifiedBy>
  <cp:revision>2</cp:revision>
  <cp:lastPrinted>2023-02-14T12:06:00Z</cp:lastPrinted>
  <dcterms:created xsi:type="dcterms:W3CDTF">2024-04-17T15:40:00Z</dcterms:created>
  <dcterms:modified xsi:type="dcterms:W3CDTF">2024-04-17T15:40:00Z</dcterms:modified>
</cp:coreProperties>
</file>