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66E9EA02" w14:textId="25D77CB2" w:rsidR="004F3697" w:rsidRDefault="004E1BBA" w:rsidP="004F3697">
      <w:pPr>
        <w:pStyle w:val="Title"/>
        <w:spacing w:before="1440"/>
      </w:pPr>
      <w:r>
        <w:t xml:space="preserve">NDA Submission </w:t>
      </w:r>
      <w:r w:rsidR="00636D34">
        <w:t xml:space="preserve">to the Department of Further and Higher Education, Research, Innovation and Science </w:t>
      </w:r>
      <w:r>
        <w:t xml:space="preserve">on </w:t>
      </w:r>
      <w:r w:rsidR="0086222B">
        <w:t>the Tertiary Education Strateg</w:t>
      </w:r>
      <w:r w:rsidR="006A6ABE">
        <w:t>y</w:t>
      </w:r>
    </w:p>
    <w:p w14:paraId="1FDC9B1B" w14:textId="501E05C4" w:rsidR="00E457C6" w:rsidRPr="004F3697" w:rsidRDefault="004E1BBA" w:rsidP="004F3697">
      <w:pPr>
        <w:pStyle w:val="Title"/>
        <w:spacing w:before="1440"/>
      </w:pPr>
      <w:r w:rsidRPr="004E1BBA">
        <w:rPr>
          <w:bCs/>
        </w:rPr>
        <w:t>September 2025</w:t>
      </w:r>
    </w:p>
    <w:p w14:paraId="11F922B1" w14:textId="77777777" w:rsidR="00E457C6" w:rsidRDefault="00E457C6" w:rsidP="00D748B3">
      <w:pPr>
        <w:pStyle w:val="Heading1"/>
        <w:sectPr w:rsidR="00E457C6" w:rsidSect="00E457C6">
          <w:headerReference w:type="default" r:id="rId9"/>
          <w:footerReference w:type="default" r:id="rId10"/>
          <w:pgSz w:w="11906" w:h="16838"/>
          <w:pgMar w:top="1440" w:right="1440" w:bottom="1440" w:left="1440" w:header="708" w:footer="708" w:gutter="0"/>
          <w:cols w:space="708"/>
          <w:titlePg/>
          <w:docGrid w:linePitch="360"/>
        </w:sectPr>
      </w:pPr>
    </w:p>
    <w:p w14:paraId="7D4BA635" w14:textId="608CD494" w:rsidR="00D748B3" w:rsidRDefault="00E457C6" w:rsidP="00D748B3">
      <w:pPr>
        <w:pStyle w:val="Heading1"/>
      </w:pPr>
      <w:r>
        <w:lastRenderedPageBreak/>
        <w:t>Introduction</w:t>
      </w:r>
    </w:p>
    <w:p w14:paraId="6A0B13A5" w14:textId="4B64DC03" w:rsidR="006A6ABE" w:rsidRDefault="006A6ABE" w:rsidP="00B8382B">
      <w:r w:rsidRPr="00F24CE8">
        <w:t xml:space="preserve">The National Disability Authority (NDA) is </w:t>
      </w:r>
      <w:r>
        <w:t>the</w:t>
      </w:r>
      <w:r w:rsidRPr="00F24CE8">
        <w:t xml:space="preserve"> independent statutory body </w:t>
      </w:r>
      <w:r>
        <w:t>with a duty to</w:t>
      </w:r>
      <w:r w:rsidRPr="00F24CE8">
        <w:t xml:space="preserve"> provide</w:t>
      </w:r>
      <w:r>
        <w:t xml:space="preserve"> evidence-informed </w:t>
      </w:r>
      <w:r w:rsidRPr="00F24CE8">
        <w:t>advice</w:t>
      </w:r>
      <w:r>
        <w:t xml:space="preserve"> and guidance</w:t>
      </w:r>
      <w:r w:rsidRPr="00F24CE8">
        <w:t xml:space="preserve"> to Government on </w:t>
      </w:r>
      <w:r>
        <w:t xml:space="preserve">disability </w:t>
      </w:r>
      <w:r w:rsidRPr="00F24CE8">
        <w:t xml:space="preserve">policy and practice </w:t>
      </w:r>
      <w:r>
        <w:t>and to promote Universal Design</w:t>
      </w:r>
      <w:r w:rsidRPr="00F24CE8">
        <w:t>.</w:t>
      </w:r>
      <w:r>
        <w:t xml:space="preserve"> The NDA welcomes the opportunity to take part in this consultation on the new Tertiary Education Strategy.</w:t>
      </w:r>
      <w:r>
        <w:rPr>
          <w:rStyle w:val="FootnoteReference"/>
        </w:rPr>
        <w:footnoteReference w:id="1"/>
      </w:r>
      <w:r>
        <w:t xml:space="preserve"> The NDA advises that the new strategy should be aligned with the United Nations Convention on the Rights of Persons with Disabilities (UNCRPD), the recently published National Human Rights Strategy for Disabled People, as well as other relevant policies and strategies relevant to education and employment, such as the Roadmap to Social Inclusion, and the upcoming Pathways to Work Strategy.</w:t>
      </w:r>
    </w:p>
    <w:p w14:paraId="189320F1" w14:textId="583E0CE8" w:rsidR="006A6ABE" w:rsidRDefault="006A6ABE" w:rsidP="00B8382B">
      <w:pPr>
        <w:rPr>
          <w:lang w:eastAsia="en-IE"/>
        </w:rPr>
      </w:pPr>
      <w:r>
        <w:rPr>
          <w:lang w:eastAsia="en-IE"/>
        </w:rPr>
        <w:t>The NDA outlines its responses to the consultation questions below and i</w:t>
      </w:r>
      <w:r w:rsidR="00857388">
        <w:rPr>
          <w:lang w:eastAsia="en-IE"/>
        </w:rPr>
        <w:t>s</w:t>
      </w:r>
      <w:r>
        <w:rPr>
          <w:lang w:eastAsia="en-IE"/>
        </w:rPr>
        <w:t xml:space="preserve"> available for any follow up questions on the issues raised.</w:t>
      </w:r>
    </w:p>
    <w:p w14:paraId="3392D5E8" w14:textId="77777777" w:rsidR="004E1BBA" w:rsidRPr="005A5693" w:rsidRDefault="004E1BBA" w:rsidP="004E1BBA">
      <w:pPr>
        <w:pStyle w:val="Heading1"/>
      </w:pPr>
      <w:r w:rsidRPr="005A5693">
        <w:t>Strategy Objectives</w:t>
      </w:r>
    </w:p>
    <w:p w14:paraId="2324F9BA" w14:textId="77777777" w:rsidR="004E1BBA" w:rsidRPr="00D03BC1" w:rsidRDefault="004E1BBA" w:rsidP="004E1BBA">
      <w:pPr>
        <w:rPr>
          <w:b/>
          <w:bCs/>
        </w:rPr>
      </w:pPr>
      <w:r w:rsidRPr="00D03BC1">
        <w:rPr>
          <w:b/>
          <w:bCs/>
        </w:rPr>
        <w:t>In your view, what should be the primary objectives of the Tertiary Education Strategy?</w:t>
      </w:r>
    </w:p>
    <w:p w14:paraId="4EE582FB" w14:textId="2CF1F37A" w:rsidR="006F4973" w:rsidRDefault="00306F14" w:rsidP="006F4973">
      <w:r>
        <w:t xml:space="preserve">The </w:t>
      </w:r>
      <w:r w:rsidR="00857388">
        <w:t>‘</w:t>
      </w:r>
      <w:hyperlink r:id="rId11" w:history="1">
        <w:r w:rsidRPr="00306F14">
          <w:rPr>
            <w:rStyle w:val="Hyperlink"/>
          </w:rPr>
          <w:t>Briefing Report for NDA Factsheet: Disability Statistics</w:t>
        </w:r>
      </w:hyperlink>
      <w:r w:rsidR="00857388">
        <w:t>’</w:t>
      </w:r>
      <w:r>
        <w:t xml:space="preserve"> shows that t</w:t>
      </w:r>
      <w:r w:rsidR="00602EB6">
        <w:t>here is a significant gap</w:t>
      </w:r>
      <w:r w:rsidR="00056F9D">
        <w:t xml:space="preserve"> between the educational attainment of people with disabilities and those without disabilities. In 2022, 6.5% of people without a disability had no formal education or had primary level only, compared to 14.3% of people with disabilities. Further, 28.5% of people without disabilities have an honours bachelor degree, compared to 22.3% of people with a disability</w:t>
      </w:r>
      <w:r w:rsidR="00056F9D">
        <w:rPr>
          <w:rStyle w:val="FootnoteReference"/>
        </w:rPr>
        <w:footnoteReference w:id="2"/>
      </w:r>
      <w:r w:rsidR="00056F9D">
        <w:t xml:space="preserve">. </w:t>
      </w:r>
      <w:r w:rsidR="00357FB4">
        <w:t xml:space="preserve">Support services at </w:t>
      </w:r>
      <w:r w:rsidR="00927371">
        <w:t>Higher Education Institution (</w:t>
      </w:r>
      <w:r w:rsidR="00357FB4">
        <w:t>HEIs</w:t>
      </w:r>
      <w:r w:rsidR="00927371">
        <w:t>)</w:t>
      </w:r>
      <w:r w:rsidR="00357FB4">
        <w:t xml:space="preserve"> contribute to the work in bridging this gap, </w:t>
      </w:r>
      <w:r w:rsidR="00725989">
        <w:t>and</w:t>
      </w:r>
      <w:r w:rsidR="00357FB4">
        <w:t xml:space="preserve"> recent reports show</w:t>
      </w:r>
      <w:r w:rsidR="00725989">
        <w:t xml:space="preserve"> a </w:t>
      </w:r>
      <w:r w:rsidR="00357FB4">
        <w:t xml:space="preserve">considerable increase in numbers of students accessing </w:t>
      </w:r>
      <w:r w:rsidR="00725989">
        <w:t>such</w:t>
      </w:r>
      <w:r w:rsidR="00357FB4">
        <w:t xml:space="preserve"> services. </w:t>
      </w:r>
      <w:hyperlink r:id="rId12" w:history="1">
        <w:r w:rsidR="00C160D6" w:rsidRPr="006405CE">
          <w:rPr>
            <w:rStyle w:val="Hyperlink"/>
          </w:rPr>
          <w:t>AHEAD’s Disabled Students Engaged with Support Services in Higher Education in Ireland 2023/24</w:t>
        </w:r>
      </w:hyperlink>
      <w:r w:rsidR="00725989">
        <w:t>, for instance,</w:t>
      </w:r>
      <w:r w:rsidR="00C160D6" w:rsidRPr="006405CE">
        <w:t xml:space="preserve"> </w:t>
      </w:r>
      <w:r w:rsidR="00C160D6">
        <w:t>report that for 2023</w:t>
      </w:r>
      <w:r w:rsidR="00D119BB">
        <w:t>,</w:t>
      </w:r>
      <w:r w:rsidR="00C160D6">
        <w:t xml:space="preserve"> 22,519 students registered with support services in HEI</w:t>
      </w:r>
      <w:r w:rsidR="00927371">
        <w:t>s</w:t>
      </w:r>
      <w:r w:rsidR="00C160D6">
        <w:t>. The same report</w:t>
      </w:r>
      <w:r w:rsidR="006F4973">
        <w:t xml:space="preserve"> </w:t>
      </w:r>
      <w:r w:rsidR="00C160D6">
        <w:t xml:space="preserve">also </w:t>
      </w:r>
      <w:r w:rsidR="006F4973">
        <w:t>show</w:t>
      </w:r>
      <w:r w:rsidR="00C160D6">
        <w:t>s</w:t>
      </w:r>
      <w:r w:rsidR="006F4973">
        <w:t xml:space="preserve"> that there has been a significant increase in the number of students with disabilities attending higher education establishments, </w:t>
      </w:r>
      <w:r w:rsidR="00C160D6">
        <w:t xml:space="preserve">with </w:t>
      </w:r>
      <w:r w:rsidR="006F4973">
        <w:t xml:space="preserve">a 364% rise in the those registering for support in the last 15 years. </w:t>
      </w:r>
    </w:p>
    <w:p w14:paraId="0F5BC6C7" w14:textId="7A07486E" w:rsidR="006F4973" w:rsidRPr="005A5693" w:rsidRDefault="006F4973" w:rsidP="004E1BBA">
      <w:r>
        <w:t>With this increase in disabled students across HEI bodies, it is important that the new strategy promotes their right to education and the inclusion of students with disabilities across all areas of education</w:t>
      </w:r>
      <w:r w:rsidR="00C81D7F">
        <w:t xml:space="preserve">, including the </w:t>
      </w:r>
      <w:r w:rsidR="00C81D7F">
        <w:lastRenderedPageBreak/>
        <w:t>tertiary education sector</w:t>
      </w:r>
      <w:r>
        <w:t>. The following could be focused on as strategic objectives</w:t>
      </w:r>
      <w:r w:rsidR="00D03BC1">
        <w:t xml:space="preserve"> </w:t>
      </w:r>
      <w:r>
        <w:t>in the new strategy</w:t>
      </w:r>
      <w:r w:rsidR="00C160D6">
        <w:t>:</w:t>
      </w:r>
    </w:p>
    <w:p w14:paraId="17F9C93D" w14:textId="4553FF79" w:rsidR="007D0971" w:rsidRDefault="007D0971" w:rsidP="007D0971">
      <w:pPr>
        <w:pStyle w:val="Heading2"/>
      </w:pPr>
      <w:r>
        <w:t xml:space="preserve">Universal </w:t>
      </w:r>
      <w:r w:rsidR="009F1FE8">
        <w:t>D</w:t>
      </w:r>
      <w:r>
        <w:t xml:space="preserve">esign in </w:t>
      </w:r>
      <w:r w:rsidR="009F1FE8">
        <w:t>E</w:t>
      </w:r>
      <w:r>
        <w:t>ducation</w:t>
      </w:r>
      <w:r w:rsidR="00787A7B">
        <w:t xml:space="preserve"> (UDE)</w:t>
      </w:r>
    </w:p>
    <w:p w14:paraId="18149918" w14:textId="4C01BD66" w:rsidR="003631E7" w:rsidRDefault="00787A7B" w:rsidP="007D0971">
      <w:r>
        <w:t xml:space="preserve">The NDA </w:t>
      </w:r>
      <w:r w:rsidR="0066161A">
        <w:t xml:space="preserve">recommends </w:t>
      </w:r>
      <w:r>
        <w:t xml:space="preserve">Universal Design in Education (UDE), wherein a whole systems perspective is taken. In this approach, the entire educational ecosystem is considered, with every step of the student journey traced. </w:t>
      </w:r>
      <w:r w:rsidR="00581D4B">
        <w:t>I</w:t>
      </w:r>
      <w:r w:rsidR="008F2129">
        <w:t xml:space="preserve">ts goals </w:t>
      </w:r>
      <w:r w:rsidR="00581D4B">
        <w:t>move beyond facilitating access towards cultivating belonging and conditions to thrive</w:t>
      </w:r>
      <w:r w:rsidR="002E0B25">
        <w:t xml:space="preserve"> for all learners</w:t>
      </w:r>
      <w:r w:rsidR="00581D4B">
        <w:t>.</w:t>
      </w:r>
      <w:r w:rsidR="008F2129">
        <w:t xml:space="preserve"> </w:t>
      </w:r>
      <w:r w:rsidR="003631E7">
        <w:t>This whole systems approach looks at:</w:t>
      </w:r>
    </w:p>
    <w:p w14:paraId="56EBAA39" w14:textId="4C07CBF2" w:rsidR="008F2129" w:rsidRDefault="003631E7" w:rsidP="003631E7">
      <w:pPr>
        <w:pStyle w:val="ListParagraph"/>
        <w:numPr>
          <w:ilvl w:val="0"/>
          <w:numId w:val="15"/>
        </w:numPr>
      </w:pPr>
      <w:r>
        <w:t>the whole educational environment – this includes all levels of educational institutions, including the community and wider public</w:t>
      </w:r>
    </w:p>
    <w:p w14:paraId="27497EDC" w14:textId="12EC1147" w:rsidR="003631E7" w:rsidRDefault="003631E7" w:rsidP="003631E7">
      <w:pPr>
        <w:pStyle w:val="ListParagraph"/>
        <w:numPr>
          <w:ilvl w:val="0"/>
          <w:numId w:val="15"/>
        </w:numPr>
      </w:pPr>
      <w:r>
        <w:t xml:space="preserve">the whole person </w:t>
      </w:r>
    </w:p>
    <w:p w14:paraId="7B34D22D" w14:textId="0357FA02" w:rsidR="003631E7" w:rsidRDefault="003631E7" w:rsidP="00F01A99">
      <w:pPr>
        <w:pStyle w:val="ListParagraph"/>
        <w:numPr>
          <w:ilvl w:val="0"/>
          <w:numId w:val="15"/>
        </w:numPr>
      </w:pPr>
      <w:r>
        <w:t>learning-friendly environments</w:t>
      </w:r>
    </w:p>
    <w:p w14:paraId="3AA8E29D" w14:textId="437A109B" w:rsidR="008F2129" w:rsidRDefault="003631E7" w:rsidP="007D0971">
      <w:r>
        <w:t>It follows an educational ecosystem comprised of:</w:t>
      </w:r>
    </w:p>
    <w:p w14:paraId="64AE96D7" w14:textId="2C0C7962" w:rsidR="003631E7" w:rsidRDefault="003631E7" w:rsidP="003631E7">
      <w:pPr>
        <w:pStyle w:val="ListParagraph"/>
        <w:numPr>
          <w:ilvl w:val="0"/>
          <w:numId w:val="17"/>
        </w:numPr>
      </w:pPr>
      <w:r>
        <w:t>The macro level, where directives, legislation and standards are set</w:t>
      </w:r>
    </w:p>
    <w:p w14:paraId="7034F762" w14:textId="35D2533A" w:rsidR="003631E7" w:rsidRDefault="003631E7" w:rsidP="00F01A99">
      <w:pPr>
        <w:pStyle w:val="ListParagraph"/>
        <w:numPr>
          <w:ilvl w:val="0"/>
          <w:numId w:val="17"/>
        </w:numPr>
      </w:pPr>
      <w:r>
        <w:t xml:space="preserve">The </w:t>
      </w:r>
      <w:proofErr w:type="spellStart"/>
      <w:r>
        <w:t>meso</w:t>
      </w:r>
      <w:proofErr w:type="spellEnd"/>
      <w:r>
        <w:t xml:space="preserve"> level - this is the institutional level, w</w:t>
      </w:r>
      <w:r w:rsidR="00F01A99">
        <w:t>hich covers policies and governance, linking also to family and community</w:t>
      </w:r>
    </w:p>
    <w:p w14:paraId="160291C3" w14:textId="2E0B4D88" w:rsidR="003631E7" w:rsidRDefault="003631E7" w:rsidP="00F01A99">
      <w:pPr>
        <w:pStyle w:val="ListParagraph"/>
        <w:numPr>
          <w:ilvl w:val="0"/>
          <w:numId w:val="16"/>
        </w:numPr>
      </w:pPr>
      <w:r>
        <w:t>The micro level, attending to individual needs and abilities</w:t>
      </w:r>
    </w:p>
    <w:p w14:paraId="64A9F150" w14:textId="164D2EED" w:rsidR="007D0971" w:rsidRDefault="007D0971" w:rsidP="007D0971">
      <w:r w:rsidRPr="00D764FC">
        <w:t xml:space="preserve">The NDA advises that </w:t>
      </w:r>
      <w:r>
        <w:t xml:space="preserve">the new </w:t>
      </w:r>
      <w:r w:rsidR="00787A7B">
        <w:t xml:space="preserve">tertiary education </w:t>
      </w:r>
      <w:r>
        <w:t xml:space="preserve">strategy </w:t>
      </w:r>
      <w:r w:rsidRPr="00D764FC">
        <w:t>support</w:t>
      </w:r>
      <w:r w:rsidR="008F2129">
        <w:t>s</w:t>
      </w:r>
      <w:r w:rsidRPr="00D764FC">
        <w:t xml:space="preserve"> and promote</w:t>
      </w:r>
      <w:r w:rsidR="008F2129">
        <w:t>s</w:t>
      </w:r>
      <w:r w:rsidRPr="00D764FC">
        <w:t xml:space="preserve"> </w:t>
      </w:r>
      <w:r w:rsidR="00787A7B">
        <w:t>this</w:t>
      </w:r>
      <w:r w:rsidRPr="00D764FC">
        <w:t xml:space="preserve"> approach</w:t>
      </w:r>
      <w:r w:rsidR="00787A7B">
        <w:t xml:space="preserve">, which is </w:t>
      </w:r>
      <w:r w:rsidRPr="00D764FC">
        <w:t>articulated in</w:t>
      </w:r>
      <w:r>
        <w:t xml:space="preserve"> the</w:t>
      </w:r>
      <w:r w:rsidRPr="00D764FC">
        <w:t xml:space="preserve"> </w:t>
      </w:r>
      <w:hyperlink r:id="rId13" w:history="1">
        <w:r w:rsidRPr="00807BF6">
          <w:rPr>
            <w:rStyle w:val="Hyperlink"/>
          </w:rPr>
          <w:t xml:space="preserve">NDA’s Centre for Excellence </w:t>
        </w:r>
        <w:r w:rsidR="00684AAB">
          <w:rPr>
            <w:rStyle w:val="Hyperlink"/>
          </w:rPr>
          <w:t xml:space="preserve">in Universal Design </w:t>
        </w:r>
        <w:r w:rsidRPr="00807BF6">
          <w:rPr>
            <w:rStyle w:val="Hyperlink"/>
          </w:rPr>
          <w:t>paper</w:t>
        </w:r>
      </w:hyperlink>
      <w:r>
        <w:t>. This paper outlines</w:t>
      </w:r>
      <w:r w:rsidRPr="00D764FC">
        <w:t xml:space="preserve"> </w:t>
      </w:r>
      <w:r>
        <w:t>four</w:t>
      </w:r>
      <w:r w:rsidRPr="00D764FC">
        <w:t xml:space="preserve"> pillars</w:t>
      </w:r>
      <w:r>
        <w:t>:</w:t>
      </w:r>
      <w:r w:rsidRPr="00D764FC">
        <w:t xml:space="preserve"> </w:t>
      </w:r>
    </w:p>
    <w:p w14:paraId="669B8731" w14:textId="77777777" w:rsidR="007D0971" w:rsidRDefault="007D0971" w:rsidP="007D0971">
      <w:pPr>
        <w:pStyle w:val="ListParagraph"/>
        <w:numPr>
          <w:ilvl w:val="0"/>
          <w:numId w:val="9"/>
        </w:numPr>
        <w:spacing w:after="0"/>
      </w:pPr>
      <w:r w:rsidRPr="00D764FC">
        <w:t xml:space="preserve">physical </w:t>
      </w:r>
      <w:r>
        <w:t>environments,</w:t>
      </w:r>
      <w:r w:rsidRPr="00D764FC">
        <w:t xml:space="preserve"> </w:t>
      </w:r>
    </w:p>
    <w:p w14:paraId="779E49AD" w14:textId="77777777" w:rsidR="007D0971" w:rsidRDefault="007D0971" w:rsidP="007D0971">
      <w:pPr>
        <w:pStyle w:val="ListParagraph"/>
        <w:numPr>
          <w:ilvl w:val="0"/>
          <w:numId w:val="9"/>
        </w:numPr>
        <w:spacing w:after="0"/>
      </w:pPr>
      <w:r w:rsidRPr="00D764FC">
        <w:t xml:space="preserve">digital environments, </w:t>
      </w:r>
    </w:p>
    <w:p w14:paraId="0E7D5AC0" w14:textId="77777777" w:rsidR="007D0971" w:rsidRDefault="007D0971" w:rsidP="007D0971">
      <w:pPr>
        <w:pStyle w:val="ListParagraph"/>
        <w:numPr>
          <w:ilvl w:val="0"/>
          <w:numId w:val="9"/>
        </w:numPr>
        <w:spacing w:after="0"/>
      </w:pPr>
      <w:r w:rsidRPr="00D764FC">
        <w:t xml:space="preserve">educational services, and </w:t>
      </w:r>
    </w:p>
    <w:p w14:paraId="7A0F369D" w14:textId="2BDDED4A" w:rsidR="007D0971" w:rsidRDefault="007D0971" w:rsidP="007D0971">
      <w:pPr>
        <w:pStyle w:val="ListParagraph"/>
        <w:numPr>
          <w:ilvl w:val="0"/>
          <w:numId w:val="9"/>
        </w:numPr>
        <w:spacing w:after="0"/>
      </w:pPr>
      <w:r w:rsidRPr="00D764FC">
        <w:t>teaching</w:t>
      </w:r>
      <w:r w:rsidR="00396AA3">
        <w:t>,</w:t>
      </w:r>
      <w:r w:rsidRPr="00D764FC">
        <w:t xml:space="preserve"> learning</w:t>
      </w:r>
      <w:r w:rsidR="00E53A2F">
        <w:t>, assessment</w:t>
      </w:r>
      <w:r w:rsidR="00396AA3">
        <w:t xml:space="preserve"> and curricula</w:t>
      </w:r>
      <w:r w:rsidRPr="00D764FC">
        <w:t xml:space="preserve"> </w:t>
      </w:r>
    </w:p>
    <w:p w14:paraId="34AF0E16" w14:textId="19D11F32" w:rsidR="007D0971" w:rsidRPr="00D764FC" w:rsidRDefault="007D0971" w:rsidP="00262A9E">
      <w:pPr>
        <w:spacing w:before="240"/>
      </w:pPr>
      <w:r>
        <w:t>I</w:t>
      </w:r>
      <w:r w:rsidRPr="00D764FC">
        <w:t>t is only when these four pillars work in unison tha</w:t>
      </w:r>
      <w:r w:rsidR="00602EB6">
        <w:t>t</w:t>
      </w:r>
      <w:r w:rsidRPr="00D764FC">
        <w:t xml:space="preserve"> a more inclusive environment can be created that can be easily accessed, understood and used, by the widest range of learners and by all key stakeholders. </w:t>
      </w:r>
    </w:p>
    <w:p w14:paraId="3ABC2EF2" w14:textId="77777777" w:rsidR="007D0971" w:rsidRPr="00D764FC" w:rsidRDefault="007D0971" w:rsidP="007D0971">
      <w:bookmarkStart w:id="0" w:name="_Hlk189121375"/>
      <w:r w:rsidRPr="00D764FC">
        <w:t>UDE promotes the inclusion of Universal Design as subject matter in curricula and assessment, to ensure a broader and more widespread adoption across the educational spectrum.</w:t>
      </w:r>
      <w:bookmarkEnd w:id="0"/>
      <w:r w:rsidRPr="00D764FC">
        <w:t xml:space="preserve"> A key focus of the Universal Design approach is to prioritise accessibility and usability for people with the more diverse capabilities, characteristics and preferences from the earliest possible design stage and throughout all phases in the life of products and services, and their interoperability with assistive technology. </w:t>
      </w:r>
    </w:p>
    <w:p w14:paraId="6061C24B" w14:textId="76624C65" w:rsidR="007D0971" w:rsidRPr="00D764FC" w:rsidRDefault="007D0971" w:rsidP="007D0971">
      <w:r w:rsidRPr="00D764FC">
        <w:lastRenderedPageBreak/>
        <w:t xml:space="preserve">Ireland ratified the UN Convention on the Rights of Persons with Disabilities (UNCRPD) in 2018. Article 24 of the UNCRPD contains the first explicit legal enunciation of the right to inclusive education and it imposes wide-ranging duties on States Parties to the Convention. </w:t>
      </w:r>
      <w:r w:rsidR="004169E2" w:rsidRPr="005D5ACD">
        <w:t>Article 24 places an emphasis on education systems that support the full development of human potential and self-worth; fostering of</w:t>
      </w:r>
      <w:r w:rsidR="004169E2">
        <w:t xml:space="preserve"> </w:t>
      </w:r>
      <w:r w:rsidR="004169E2" w:rsidRPr="005D5ACD">
        <w:t>personality, talents and creativity alongside mental and physical abilities; and ultimately supporting the participation of disabled people in society.</w:t>
      </w:r>
      <w:r w:rsidR="004169E2">
        <w:t xml:space="preserve"> </w:t>
      </w:r>
      <w:r w:rsidRPr="00D764FC">
        <w:t xml:space="preserve">The UNCRPD Committee’s General Comment No. Four provides a framework, through which to consider the transformation required to realise inclusive education. </w:t>
      </w:r>
      <w:r w:rsidR="00F01A99">
        <w:t xml:space="preserve">In line with NDA’s </w:t>
      </w:r>
      <w:r w:rsidR="0066161A">
        <w:t>advi</w:t>
      </w:r>
      <w:r w:rsidR="004C3135">
        <w:t>c</w:t>
      </w:r>
      <w:r w:rsidR="0066161A">
        <w:t>e</w:t>
      </w:r>
      <w:r w:rsidR="0075393D">
        <w:t>, i</w:t>
      </w:r>
      <w:r w:rsidR="004169E2">
        <w:t>t states that inclusive education is</w:t>
      </w:r>
      <w:r w:rsidRPr="00D764FC">
        <w:t xml:space="preserve"> a “whole systems approach” which embeds “the necessary changes in institutional culture, policies and practices”.  </w:t>
      </w:r>
    </w:p>
    <w:p w14:paraId="2167A2EC" w14:textId="1984210B" w:rsidR="007D0971" w:rsidRDefault="007D0971" w:rsidP="007D0971">
      <w:r w:rsidRPr="00D764FC">
        <w:t>This UDE approach is also central to the National Charter for Universal Design in Tertiary Education</w:t>
      </w:r>
      <w:r w:rsidR="00505074">
        <w:t xml:space="preserve"> (</w:t>
      </w:r>
      <w:hyperlink r:id="rId14" w:history="1">
        <w:r w:rsidR="00505074" w:rsidRPr="00505074">
          <w:rPr>
            <w:rStyle w:val="Hyperlink"/>
          </w:rPr>
          <w:t>ALTITUDE</w:t>
        </w:r>
      </w:hyperlink>
      <w:r w:rsidR="00505074">
        <w:t xml:space="preserve">) and the </w:t>
      </w:r>
      <w:hyperlink r:id="rId15" w:history="1">
        <w:r w:rsidR="00505074">
          <w:rPr>
            <w:rStyle w:val="Hyperlink"/>
          </w:rPr>
          <w:t>PATH 4 Phase one Fund</w:t>
        </w:r>
      </w:hyperlink>
      <w:r w:rsidR="00505074">
        <w:t xml:space="preserve"> (see below)</w:t>
      </w:r>
      <w:r w:rsidRPr="00D764FC">
        <w:t>. The charter’s focus is how the sector can work towards embedding a universal design approach across all sectors of the educational system.</w:t>
      </w:r>
    </w:p>
    <w:p w14:paraId="2AE652B8" w14:textId="77777777" w:rsidR="00C91BFB" w:rsidRDefault="00C91BFB" w:rsidP="00C91BFB">
      <w:pPr>
        <w:pStyle w:val="Heading3"/>
      </w:pPr>
      <w:bookmarkStart w:id="1" w:name="_Toc208405409"/>
      <w:r>
        <w:t>Programme for Access to Higher Education</w:t>
      </w:r>
      <w:bookmarkEnd w:id="1"/>
    </w:p>
    <w:p w14:paraId="61003256" w14:textId="77777777" w:rsidR="00C91BFB" w:rsidRPr="00A72EDD" w:rsidRDefault="00C91BFB" w:rsidP="00C91BFB">
      <w:r>
        <w:t xml:space="preserve">UDE involves commitment </w:t>
      </w:r>
      <w:r w:rsidRPr="00C5789D">
        <w:t xml:space="preserve">to making </w:t>
      </w:r>
      <w:r>
        <w:t>the experience of students in education, including at key transition points,</w:t>
      </w:r>
      <w:r w:rsidRPr="00C5789D">
        <w:t xml:space="preserve"> inclusive and seamless for diverse populations such as students with disabilities</w:t>
      </w:r>
      <w:r>
        <w:t xml:space="preserve">. In the higher education sector, funding through the </w:t>
      </w:r>
      <w:hyperlink r:id="rId16" w:history="1">
        <w:r w:rsidRPr="0052359C">
          <w:rPr>
            <w:rStyle w:val="Hyperlink"/>
          </w:rPr>
          <w:t>Programme for Access to Higher Education</w:t>
        </w:r>
      </w:hyperlink>
      <w:r>
        <w:t xml:space="preserve"> (PATH) is having some success. PATH 4 P</w:t>
      </w:r>
      <w:r w:rsidRPr="00C5789D">
        <w:t xml:space="preserve">hase one </w:t>
      </w:r>
      <w:r>
        <w:t>funding was f</w:t>
      </w:r>
      <w:r w:rsidRPr="00C5789D">
        <w:t>ocus</w:t>
      </w:r>
      <w:r>
        <w:t>ed</w:t>
      </w:r>
      <w:r w:rsidRPr="00C5789D">
        <w:t xml:space="preserve"> on Universal Design in Education and Path 4 Phase two </w:t>
      </w:r>
      <w:r>
        <w:t>is</w:t>
      </w:r>
      <w:r w:rsidRPr="00C5789D">
        <w:t xml:space="preserve"> focus</w:t>
      </w:r>
      <w:r>
        <w:t>ed</w:t>
      </w:r>
      <w:r w:rsidRPr="00C5789D">
        <w:t xml:space="preserve"> on inclusion of students with intellectual disabilities. </w:t>
      </w:r>
      <w:r>
        <w:t>The NDA</w:t>
      </w:r>
      <w:r w:rsidRPr="00A72EDD">
        <w:t xml:space="preserve"> collaborate</w:t>
      </w:r>
      <w:r>
        <w:t>d</w:t>
      </w:r>
      <w:r w:rsidRPr="00A72EDD">
        <w:t xml:space="preserve"> with the Higher Education Authority (HEA) on various aspects of the Path 4 scheme</w:t>
      </w:r>
      <w:r>
        <w:t xml:space="preserve"> and produced a paper to guide on the </w:t>
      </w:r>
      <w:hyperlink r:id="rId17" w:history="1">
        <w:r>
          <w:rPr>
            <w:rStyle w:val="Hyperlink"/>
          </w:rPr>
          <w:t>UDE requirements in Path 4 funding.</w:t>
        </w:r>
      </w:hyperlink>
      <w:r>
        <w:t xml:space="preserve"> We also advised on the</w:t>
      </w:r>
      <w:r w:rsidRPr="00A72EDD">
        <w:t xml:space="preserve"> application of the </w:t>
      </w:r>
      <w:hyperlink r:id="rId18" w:history="1">
        <w:r w:rsidRPr="00562EFE">
          <w:rPr>
            <w:rStyle w:val="Hyperlink"/>
          </w:rPr>
          <w:t>Design For All Standard (I.S. EN 17161: 2019)</w:t>
        </w:r>
      </w:hyperlink>
      <w:r w:rsidRPr="00562EFE">
        <w:t> to</w:t>
      </w:r>
      <w:r w:rsidRPr="00A72EDD">
        <w:t xml:space="preserve"> the process of ensuring that all educational products and services are as inclusive as possible.</w:t>
      </w:r>
    </w:p>
    <w:p w14:paraId="776CFB01" w14:textId="2B6E7DC2" w:rsidR="00C91BFB" w:rsidRPr="00C2009D" w:rsidRDefault="00C91BFB" w:rsidP="007D0971">
      <w:r>
        <w:t>As higher education institutions learn more about universal design in education and inclusion through these programmes it is important that they are supported to continue developing and scaling up their approaches and that mechanisms are in place to share good practice and learning.</w:t>
      </w:r>
      <w:r w:rsidRPr="0052359C">
        <w:t xml:space="preserve"> </w:t>
      </w:r>
      <w:r>
        <w:t xml:space="preserve">The NDA have also advised on robust evaluation of the data from the PATH 4 programme, particularly around the nature and cost of the support needs of students enrolled through this programme. In order to adequately support disability support offices and to ensure the Fund for Students with Disabilities is adequate it is crucial that accurate data of all costs and resources required for UDE is available. </w:t>
      </w:r>
    </w:p>
    <w:p w14:paraId="3A4CE09B" w14:textId="77777777" w:rsidR="004E1BBA" w:rsidRPr="005A5693" w:rsidRDefault="004E1BBA" w:rsidP="004E1BBA">
      <w:pPr>
        <w:pStyle w:val="Heading1"/>
      </w:pPr>
      <w:r w:rsidRPr="005A5693">
        <w:lastRenderedPageBreak/>
        <w:t>Strategy Actions</w:t>
      </w:r>
    </w:p>
    <w:p w14:paraId="7B461770" w14:textId="6D5A6660" w:rsidR="004E1BBA" w:rsidRPr="00D03BC1" w:rsidRDefault="004E1BBA" w:rsidP="004E1BBA">
      <w:pPr>
        <w:rPr>
          <w:b/>
          <w:bCs/>
        </w:rPr>
      </w:pPr>
      <w:r w:rsidRPr="00D03BC1">
        <w:rPr>
          <w:b/>
          <w:bCs/>
        </w:rPr>
        <w:t>What actions would you like to see in the Tertiary Education Strategy?</w:t>
      </w:r>
    </w:p>
    <w:p w14:paraId="2398C009" w14:textId="133133A3" w:rsidR="006F4973" w:rsidRDefault="007D0971" w:rsidP="006F4973">
      <w:pPr>
        <w:spacing w:after="0"/>
      </w:pPr>
      <w:r>
        <w:t>Any a</w:t>
      </w:r>
      <w:r w:rsidR="00755B73">
        <w:t xml:space="preserve">ctions </w:t>
      </w:r>
      <w:r>
        <w:t xml:space="preserve">contained in the new strategy </w:t>
      </w:r>
      <w:r w:rsidR="00755B73">
        <w:t xml:space="preserve">should </w:t>
      </w:r>
      <w:r>
        <w:t>contribute and form part of</w:t>
      </w:r>
      <w:r w:rsidR="00755B73">
        <w:t xml:space="preserve"> a roadmap to a universal design approach</w:t>
      </w:r>
      <w:r>
        <w:t xml:space="preserve"> to education</w:t>
      </w:r>
      <w:r w:rsidR="006F4973">
        <w:t xml:space="preserve">, looking at the </w:t>
      </w:r>
      <w:r w:rsidR="006F4973" w:rsidRPr="00D764FC">
        <w:t xml:space="preserve">physical </w:t>
      </w:r>
      <w:r w:rsidR="006F4973">
        <w:t>environments</w:t>
      </w:r>
      <w:r w:rsidR="00396AA3">
        <w:t>;</w:t>
      </w:r>
      <w:r w:rsidR="006F4973" w:rsidRPr="00D764FC">
        <w:t xml:space="preserve"> digital environments</w:t>
      </w:r>
      <w:r w:rsidR="00396AA3">
        <w:t>;</w:t>
      </w:r>
      <w:r w:rsidR="006F4973" w:rsidRPr="00D764FC">
        <w:t xml:space="preserve"> educational services</w:t>
      </w:r>
      <w:r w:rsidR="00396AA3">
        <w:t>;</w:t>
      </w:r>
      <w:r w:rsidR="006F4973" w:rsidRPr="00D764FC">
        <w:t xml:space="preserve"> and </w:t>
      </w:r>
    </w:p>
    <w:p w14:paraId="00FB4D03" w14:textId="3AA5D03B" w:rsidR="00684AAB" w:rsidRDefault="00396AA3" w:rsidP="004E1BBA">
      <w:r>
        <w:t>t</w:t>
      </w:r>
      <w:r w:rsidR="006F4973" w:rsidRPr="00D764FC">
        <w:t>eaching</w:t>
      </w:r>
      <w:r>
        <w:t>, learning, assessment and curricula.</w:t>
      </w:r>
      <w:r w:rsidR="006F4973" w:rsidRPr="00D764FC">
        <w:t xml:space="preserve"> </w:t>
      </w:r>
      <w:r w:rsidR="00C839FF">
        <w:t xml:space="preserve"> </w:t>
      </w:r>
      <w:r w:rsidR="004266C2">
        <w:t xml:space="preserve">Following the entire student journey in this ‘whole systems approach’ </w:t>
      </w:r>
      <w:r w:rsidR="002F6202">
        <w:t>is key</w:t>
      </w:r>
      <w:r w:rsidR="00C839FF">
        <w:t xml:space="preserve">, </w:t>
      </w:r>
      <w:r w:rsidR="002F6202">
        <w:t>with actions</w:t>
      </w:r>
      <w:r w:rsidR="00C839FF">
        <w:t xml:space="preserve"> further described below.</w:t>
      </w:r>
    </w:p>
    <w:p w14:paraId="10CB0990" w14:textId="77777777" w:rsidR="004E1BBA" w:rsidRPr="005A5693" w:rsidRDefault="004E1BBA" w:rsidP="004E1BBA">
      <w:pPr>
        <w:pStyle w:val="Heading1"/>
      </w:pPr>
      <w:r w:rsidRPr="005A5693">
        <w:t>An adaptive and responsive system</w:t>
      </w:r>
    </w:p>
    <w:p w14:paraId="583A9D59" w14:textId="77777777" w:rsidR="004E1BBA" w:rsidRPr="00D03BC1" w:rsidRDefault="004E1BBA" w:rsidP="004E1BBA">
      <w:pPr>
        <w:rPr>
          <w:b/>
          <w:bCs/>
        </w:rPr>
      </w:pPr>
      <w:r w:rsidRPr="00D03BC1">
        <w:rPr>
          <w:b/>
          <w:bCs/>
        </w:rPr>
        <w:t>How can the tertiary education system become more adaptable and responsive to emerging challenges and changing contexts? </w:t>
      </w:r>
    </w:p>
    <w:p w14:paraId="084C7E10" w14:textId="2255098F" w:rsidR="007D0971" w:rsidRDefault="007D0971" w:rsidP="007D0971">
      <w:pPr>
        <w:pStyle w:val="Heading2"/>
      </w:pPr>
      <w:r>
        <w:t xml:space="preserve">Universal </w:t>
      </w:r>
      <w:r w:rsidR="009F1FE8">
        <w:t>D</w:t>
      </w:r>
      <w:r>
        <w:t>esign</w:t>
      </w:r>
      <w:r w:rsidR="008B3CD3">
        <w:t xml:space="preserve"> </w:t>
      </w:r>
    </w:p>
    <w:p w14:paraId="0BD7CAD3" w14:textId="12A94BE5" w:rsidR="00D400DD" w:rsidRDefault="007D0971" w:rsidP="004E1BBA">
      <w:r>
        <w:t xml:space="preserve">As </w:t>
      </w:r>
      <w:r w:rsidR="00D4385A">
        <w:t>outlined above</w:t>
      </w:r>
      <w:r>
        <w:t xml:space="preserve">, having a universal design approach </w:t>
      </w:r>
      <w:r w:rsidR="0049351F">
        <w:t xml:space="preserve">incorporated into the new strategy provides an opportunity to be responsive and adaptive to the needs of disabled students. This would allow for an </w:t>
      </w:r>
      <w:r w:rsidR="0049351F" w:rsidRPr="00D764FC">
        <w:t xml:space="preserve">inclusive environment </w:t>
      </w:r>
      <w:r w:rsidR="0049351F">
        <w:t>to</w:t>
      </w:r>
      <w:r w:rsidR="0049351F" w:rsidRPr="00D764FC">
        <w:t xml:space="preserve"> be created that can be easily accessed, understood and used by the widest range of learners and by all key stakeholders</w:t>
      </w:r>
      <w:r w:rsidR="0049351F">
        <w:t>.</w:t>
      </w:r>
      <w:r w:rsidR="00681180">
        <w:t xml:space="preserve"> </w:t>
      </w:r>
      <w:r w:rsidR="006B3E2B">
        <w:t>To reiterate</w:t>
      </w:r>
      <w:r w:rsidR="00681180">
        <w:t>, universal design extends beyond the classroom, following the student’s journey throughout their day. Along with learning, teaching and assessment, it takes into account their physical and digital environments, supports and social engagement</w:t>
      </w:r>
      <w:r w:rsidR="00122448">
        <w:t>.</w:t>
      </w:r>
    </w:p>
    <w:p w14:paraId="21AA5619" w14:textId="5CDC5C5C" w:rsidR="008B3CD3" w:rsidRPr="00992524" w:rsidRDefault="00681180" w:rsidP="008B3CD3">
      <w:pPr>
        <w:pStyle w:val="Heading2"/>
        <w:rPr>
          <w:rFonts w:eastAsia="Times New Roman"/>
        </w:rPr>
      </w:pPr>
      <w:r>
        <w:rPr>
          <w:rFonts w:eastAsia="Times New Roman"/>
        </w:rPr>
        <w:t>Universal Design i</w:t>
      </w:r>
      <w:r w:rsidR="008B3CD3">
        <w:rPr>
          <w:rFonts w:eastAsia="Times New Roman"/>
        </w:rPr>
        <w:t>n Curricula</w:t>
      </w:r>
    </w:p>
    <w:p w14:paraId="19A110CF" w14:textId="5A381CC2" w:rsidR="004C3135" w:rsidRDefault="00122448" w:rsidP="004E1BBA">
      <w:r>
        <w:t xml:space="preserve">The </w:t>
      </w:r>
      <w:r w:rsidR="00511366">
        <w:t xml:space="preserve">NDA strongly recommends the integration of universal design principles and guidelines into tertiary level curricula. </w:t>
      </w:r>
      <w:r w:rsidR="00D32332">
        <w:t>Currently</w:t>
      </w:r>
      <w:r w:rsidR="00511366">
        <w:t xml:space="preserve">, a number of </w:t>
      </w:r>
      <w:r w:rsidR="00A6643A">
        <w:t>H</w:t>
      </w:r>
      <w:r w:rsidR="00511366">
        <w:t xml:space="preserve">igher </w:t>
      </w:r>
      <w:r w:rsidR="00A6643A">
        <w:t>E</w:t>
      </w:r>
      <w:r w:rsidR="00511366">
        <w:t xml:space="preserve">ducation </w:t>
      </w:r>
      <w:r w:rsidR="00A6643A">
        <w:t>I</w:t>
      </w:r>
      <w:r w:rsidR="00511366">
        <w:t>nstitutions around Ireland have incorporated universal design in</w:t>
      </w:r>
      <w:r w:rsidR="00A6643A">
        <w:t>to</w:t>
      </w:r>
      <w:r w:rsidR="00511366">
        <w:t xml:space="preserve"> students’ training, such as computer science modules at TU Dublin and </w:t>
      </w:r>
      <w:r w:rsidR="00A350CB">
        <w:t xml:space="preserve">at </w:t>
      </w:r>
      <w:r w:rsidR="00511366">
        <w:t xml:space="preserve">the University of Limerick. Engineers Ireland, too, are embedding universal design by setting it as a core requirement for chartered engineers. Similarly, </w:t>
      </w:r>
      <w:hyperlink r:id="rId19" w:history="1">
        <w:r w:rsidR="00511366" w:rsidRPr="004C3135">
          <w:rPr>
            <w:rStyle w:val="Hyperlink"/>
          </w:rPr>
          <w:t>UCC</w:t>
        </w:r>
        <w:r w:rsidR="005F1F01" w:rsidRPr="004C3135">
          <w:rPr>
            <w:rStyle w:val="Hyperlink"/>
          </w:rPr>
          <w:t>’s strategic aims</w:t>
        </w:r>
      </w:hyperlink>
      <w:r w:rsidR="00511366">
        <w:t xml:space="preserve"> include </w:t>
      </w:r>
      <w:r w:rsidR="005F1F01">
        <w:t xml:space="preserve">the advancement of universal design to enhance the student experience. </w:t>
      </w:r>
      <w:r w:rsidR="004C3135">
        <w:t xml:space="preserve">University of Galway, also, has affirmed their commitment to incorporating universal design and accessibility in their </w:t>
      </w:r>
      <w:hyperlink r:id="rId20" w:history="1">
        <w:r w:rsidR="004C3135" w:rsidRPr="007F16F7">
          <w:rPr>
            <w:rStyle w:val="Hyperlink"/>
          </w:rPr>
          <w:t>Policy and Procedures document</w:t>
        </w:r>
      </w:hyperlink>
      <w:r w:rsidR="004C3135">
        <w:t>.</w:t>
      </w:r>
    </w:p>
    <w:p w14:paraId="02BB9481" w14:textId="0890AE02" w:rsidR="00511366" w:rsidRDefault="00D32332" w:rsidP="004E1BBA">
      <w:r>
        <w:t>While such adoption of universal design is encouraging, it’s largely confined to technical fields at present</w:t>
      </w:r>
      <w:r w:rsidR="00D777F0">
        <w:t xml:space="preserve">. </w:t>
      </w:r>
      <w:r w:rsidR="00122448">
        <w:t xml:space="preserve">The </w:t>
      </w:r>
      <w:r w:rsidR="00D777F0">
        <w:t xml:space="preserve">NDA would therefore emphasise the </w:t>
      </w:r>
      <w:r>
        <w:t>value and importance of universal design across various industries</w:t>
      </w:r>
      <w:r w:rsidR="00D777F0">
        <w:t>.</w:t>
      </w:r>
    </w:p>
    <w:p w14:paraId="2D159630" w14:textId="1DAC6AA8" w:rsidR="00D400DD" w:rsidRDefault="00296A67" w:rsidP="004E1BBA">
      <w:r>
        <w:lastRenderedPageBreak/>
        <w:t>A useful example of universal design programmes a</w:t>
      </w:r>
      <w:r w:rsidR="00D400DD">
        <w:t xml:space="preserve">t primary level, </w:t>
      </w:r>
      <w:r w:rsidR="00122448">
        <w:t xml:space="preserve">the </w:t>
      </w:r>
      <w:r w:rsidR="00D400DD">
        <w:t>NDA collaborates with Junior Achievement Ireland (JAI) to promote understanding and awareness of universal design through the ‘</w:t>
      </w:r>
      <w:hyperlink r:id="rId21" w:history="1">
        <w:r w:rsidR="00D400DD" w:rsidRPr="00D400DD">
          <w:rPr>
            <w:rStyle w:val="Hyperlink"/>
          </w:rPr>
          <w:t>Power of Design</w:t>
        </w:r>
      </w:hyperlink>
      <w:r w:rsidR="00D400DD">
        <w:t xml:space="preserve">’ workshop. </w:t>
      </w:r>
      <w:r w:rsidR="00950A63">
        <w:t xml:space="preserve">The programme follows a curriculum that </w:t>
      </w:r>
      <w:r w:rsidR="00AF1368">
        <w:t>showcases</w:t>
      </w:r>
      <w:r w:rsidR="00950A63">
        <w:t xml:space="preserve"> the impact of universal design on</w:t>
      </w:r>
      <w:r w:rsidR="00AF1368">
        <w:t xml:space="preserve"> </w:t>
      </w:r>
      <w:r w:rsidR="00950A63">
        <w:t>diversity, inclusion and sustainability</w:t>
      </w:r>
      <w:r w:rsidR="00AF1368">
        <w:t xml:space="preserve"> in Ireland</w:t>
      </w:r>
      <w:r w:rsidR="00950A63">
        <w:t xml:space="preserve">. </w:t>
      </w:r>
      <w:r w:rsidR="00D400DD">
        <w:t>This programme gives young people an opportunity to engage with universal design practices</w:t>
      </w:r>
      <w:r w:rsidR="00C358A1">
        <w:t xml:space="preserve"> and design professionals</w:t>
      </w:r>
      <w:r w:rsidR="00D400DD">
        <w:t xml:space="preserve"> to gain a deeper understanding of </w:t>
      </w:r>
      <w:r w:rsidR="00C358A1">
        <w:t>the purpose and</w:t>
      </w:r>
      <w:r w:rsidR="00D400DD">
        <w:t xml:space="preserve"> importance</w:t>
      </w:r>
      <w:r w:rsidR="00C358A1">
        <w:t xml:space="preserve"> of universal design</w:t>
      </w:r>
      <w:r w:rsidR="00D400DD">
        <w:t xml:space="preserve">. </w:t>
      </w:r>
    </w:p>
    <w:p w14:paraId="5EDA35DF" w14:textId="05EBFFFD" w:rsidR="00487B14" w:rsidRPr="005A5693" w:rsidRDefault="00487B14" w:rsidP="004E1BBA">
      <w:r>
        <w:t>Supporting this recommendation</w:t>
      </w:r>
      <w:r w:rsidR="00D32332">
        <w:t xml:space="preserve"> of integrating universal design into curricula</w:t>
      </w:r>
      <w:r>
        <w:t xml:space="preserve">, the Nicosia Declaration was presented at the AAATE 2025 Conference in Cyprus in September 2025. Titled ‘From Margins to Mainstream: Integrating Accessibility and Universal Design Across Higher Education Curricula’, the declaration </w:t>
      </w:r>
      <w:r w:rsidR="00632FE4">
        <w:t>highlights the need to meaningfully embed principles of accessibility and universal design into curricula, pedagogies and institutional structures. In doing so, programmes would better equip graduates with the tools for creating more inclusive societies.</w:t>
      </w:r>
      <w:r w:rsidR="003C244A">
        <w:t xml:space="preserve"> The declaration calls for ‘immediate, coordinated and structural action by all relevant stakeholders to integrate accessibility, universal design and assistive technology as core elements of higher education policy, curriculum design, institutional governance, and quality assurance mechanisms’</w:t>
      </w:r>
      <w:r w:rsidR="003C244A">
        <w:rPr>
          <w:rStyle w:val="FootnoteReference"/>
        </w:rPr>
        <w:footnoteReference w:id="3"/>
      </w:r>
      <w:r w:rsidR="003C244A">
        <w:t>.</w:t>
      </w:r>
    </w:p>
    <w:p w14:paraId="272E943A" w14:textId="2258A444" w:rsidR="00B17262" w:rsidRPr="00992524" w:rsidRDefault="009F1FE8" w:rsidP="00B17262">
      <w:pPr>
        <w:pStyle w:val="Heading2"/>
        <w:rPr>
          <w:rFonts w:eastAsia="Times New Roman"/>
        </w:rPr>
      </w:pPr>
      <w:r>
        <w:rPr>
          <w:rFonts w:eastAsia="Times New Roman"/>
        </w:rPr>
        <w:t xml:space="preserve">Consultation, </w:t>
      </w:r>
      <w:r w:rsidR="001D59C1">
        <w:rPr>
          <w:rFonts w:eastAsia="Times New Roman"/>
        </w:rPr>
        <w:t>P</w:t>
      </w:r>
      <w:r w:rsidR="00B17262" w:rsidRPr="00992524">
        <w:rPr>
          <w:rFonts w:eastAsia="Times New Roman"/>
        </w:rPr>
        <w:t xml:space="preserve">articipation and </w:t>
      </w:r>
      <w:r>
        <w:rPr>
          <w:rFonts w:eastAsia="Times New Roman"/>
        </w:rPr>
        <w:t>E</w:t>
      </w:r>
      <w:r w:rsidR="00B17262" w:rsidRPr="00992524">
        <w:rPr>
          <w:rFonts w:eastAsia="Times New Roman"/>
        </w:rPr>
        <w:t>ngagement</w:t>
      </w:r>
      <w:r w:rsidR="00B17262">
        <w:rPr>
          <w:rFonts w:eastAsia="Times New Roman"/>
        </w:rPr>
        <w:t xml:space="preserve"> with </w:t>
      </w:r>
      <w:r>
        <w:rPr>
          <w:rFonts w:eastAsia="Times New Roman"/>
        </w:rPr>
        <w:t>S</w:t>
      </w:r>
      <w:r w:rsidR="00B17262">
        <w:rPr>
          <w:rFonts w:eastAsia="Times New Roman"/>
        </w:rPr>
        <w:t xml:space="preserve">tudents and </w:t>
      </w:r>
      <w:r>
        <w:rPr>
          <w:rFonts w:eastAsia="Times New Roman"/>
        </w:rPr>
        <w:t>S</w:t>
      </w:r>
      <w:r w:rsidR="00B17262">
        <w:rPr>
          <w:rFonts w:eastAsia="Times New Roman"/>
        </w:rPr>
        <w:t>taff</w:t>
      </w:r>
    </w:p>
    <w:p w14:paraId="54A5C980" w14:textId="4747DA3D" w:rsidR="00B17262" w:rsidRDefault="00200C5C" w:rsidP="00B17262">
      <w:pPr>
        <w:rPr>
          <w:rFonts w:eastAsia="Times New Roman" w:cs="Times New Roman"/>
          <w:kern w:val="0"/>
          <w:szCs w:val="24"/>
          <w14:ligatures w14:val="none"/>
        </w:rPr>
      </w:pPr>
      <w:r>
        <w:rPr>
          <w:rFonts w:eastAsia="Times New Roman" w:cs="Times New Roman"/>
          <w:kern w:val="0"/>
          <w:szCs w:val="24"/>
          <w14:ligatures w14:val="none"/>
        </w:rPr>
        <w:t xml:space="preserve">Consultation with people with disabilities is essential as it can often uncover exclusionary practices that had been overlooked. </w:t>
      </w:r>
      <w:r w:rsidR="00B17262" w:rsidRPr="00992524">
        <w:rPr>
          <w:rFonts w:eastAsia="Times New Roman" w:cs="Times New Roman"/>
          <w:kern w:val="0"/>
          <w:szCs w:val="24"/>
          <w14:ligatures w14:val="none"/>
        </w:rPr>
        <w:t xml:space="preserve">Article 4(3) of the UNCRPD requires all government departments and statutory agencies to ensure the effective participation of persons with disabilities in the creation and implementation of policies and legislation that impact their lives. The NDA strongly encourages the </w:t>
      </w:r>
      <w:r w:rsidR="00B17262">
        <w:rPr>
          <w:rFonts w:eastAsia="Times New Roman" w:cs="Times New Roman"/>
          <w:kern w:val="0"/>
          <w:szCs w:val="24"/>
          <w14:ligatures w14:val="none"/>
        </w:rPr>
        <w:t>Department</w:t>
      </w:r>
      <w:r w:rsidR="00B17262" w:rsidRPr="00992524">
        <w:rPr>
          <w:rFonts w:eastAsia="Times New Roman" w:cs="Times New Roman"/>
          <w:kern w:val="0"/>
          <w:szCs w:val="24"/>
          <w14:ligatures w14:val="none"/>
        </w:rPr>
        <w:t xml:space="preserve"> to effectively and meaningfully engage with </w:t>
      </w:r>
      <w:r w:rsidR="00B17262">
        <w:rPr>
          <w:rFonts w:eastAsia="Times New Roman" w:cs="Times New Roman"/>
          <w:kern w:val="0"/>
          <w:szCs w:val="24"/>
          <w14:ligatures w14:val="none"/>
        </w:rPr>
        <w:t>students with disabilities and staff</w:t>
      </w:r>
      <w:r w:rsidR="00D119BB">
        <w:rPr>
          <w:rFonts w:eastAsia="Times New Roman" w:cs="Times New Roman"/>
          <w:kern w:val="0"/>
          <w:szCs w:val="24"/>
          <w14:ligatures w14:val="none"/>
        </w:rPr>
        <w:t>, including through Disabled Persons Organisations</w:t>
      </w:r>
      <w:r w:rsidR="00B17262">
        <w:rPr>
          <w:rFonts w:eastAsia="Times New Roman" w:cs="Times New Roman"/>
          <w:kern w:val="0"/>
          <w:szCs w:val="24"/>
          <w14:ligatures w14:val="none"/>
        </w:rPr>
        <w:t xml:space="preserve"> in educational institutions so that the strategy can reflect an ability to be adaptive and responsive. </w:t>
      </w:r>
      <w:r w:rsidR="00B17262" w:rsidRPr="00992524">
        <w:rPr>
          <w:rFonts w:eastAsia="Times New Roman" w:cs="Times New Roman"/>
          <w:kern w:val="0"/>
          <w:szCs w:val="24"/>
          <w14:ligatures w14:val="none"/>
        </w:rPr>
        <w:t xml:space="preserve">The NDA wishes to highlight its </w:t>
      </w:r>
      <w:hyperlink r:id="rId22" w:history="1">
        <w:r w:rsidR="00B17262" w:rsidRPr="00262A9E">
          <w:rPr>
            <w:rStyle w:val="Hyperlink"/>
            <w:rFonts w:eastAsia="Times New Roman" w:cs="Times New Roman"/>
            <w:kern w:val="0"/>
            <w:szCs w:val="24"/>
            <w14:ligatures w14:val="none"/>
          </w:rPr>
          <w:t>Participation Matters guidelines</w:t>
        </w:r>
      </w:hyperlink>
      <w:r w:rsidR="00B17262" w:rsidRPr="00992524">
        <w:rPr>
          <w:rFonts w:eastAsia="Times New Roman" w:cs="Times New Roman"/>
          <w:kern w:val="0"/>
          <w:szCs w:val="24"/>
          <w14:ligatures w14:val="none"/>
        </w:rPr>
        <w:t xml:space="preserve"> as a useful resource in</w:t>
      </w:r>
      <w:r w:rsidR="00B17262">
        <w:rPr>
          <w:rFonts w:eastAsia="Times New Roman" w:cs="Times New Roman"/>
          <w:kern w:val="0"/>
          <w:szCs w:val="24"/>
          <w14:ligatures w14:val="none"/>
        </w:rPr>
        <w:t xml:space="preserve"> consulting with disabled people</w:t>
      </w:r>
      <w:r w:rsidR="00B17262" w:rsidRPr="00992524">
        <w:rPr>
          <w:rFonts w:eastAsia="Times New Roman" w:cs="Times New Roman"/>
          <w:kern w:val="0"/>
          <w:szCs w:val="24"/>
          <w14:ligatures w14:val="none"/>
        </w:rPr>
        <w:t xml:space="preserve"> and we are happy to advise further.</w:t>
      </w:r>
    </w:p>
    <w:p w14:paraId="067420B4" w14:textId="61282F4D" w:rsidR="003A6467" w:rsidRPr="003A6467" w:rsidRDefault="003A6467" w:rsidP="00B17262">
      <w:pPr>
        <w:rPr>
          <w:rFonts w:eastAsia="Times New Roman" w:cs="Times New Roman"/>
          <w:kern w:val="0"/>
          <w:szCs w:val="24"/>
          <w14:ligatures w14:val="none"/>
        </w:rPr>
      </w:pPr>
      <w:r>
        <w:rPr>
          <w:rFonts w:eastAsia="Times New Roman" w:cs="Times New Roman"/>
          <w:kern w:val="0"/>
          <w:szCs w:val="24"/>
          <w14:ligatures w14:val="none"/>
        </w:rPr>
        <w:t xml:space="preserve">It’s important to note that all engagement should be facilitated through alternative or accessible formats to ensure meaningful consultation with people with disabilities. </w:t>
      </w:r>
      <w:r w:rsidR="00E62FB0">
        <w:rPr>
          <w:rFonts w:eastAsia="Times New Roman" w:cs="Times New Roman"/>
          <w:kern w:val="0"/>
          <w:szCs w:val="24"/>
          <w14:ligatures w14:val="none"/>
        </w:rPr>
        <w:t xml:space="preserve">The right to accessible communications is stipulated in the Disability Act (2005) and in the UNCRPD, which state that public bodies should ensure, as far as is practicable, that relevant information is provided in accessible formats and technologies. </w:t>
      </w:r>
    </w:p>
    <w:p w14:paraId="10DB49BD" w14:textId="77777777" w:rsidR="00662465" w:rsidRDefault="00662465" w:rsidP="00662465">
      <w:pPr>
        <w:pStyle w:val="Heading2"/>
        <w:rPr>
          <w:rFonts w:eastAsia="Times New Roman"/>
        </w:rPr>
      </w:pPr>
      <w:r>
        <w:rPr>
          <w:rFonts w:eastAsia="Times New Roman"/>
        </w:rPr>
        <w:lastRenderedPageBreak/>
        <w:t>Disability Equality Training for Staff</w:t>
      </w:r>
    </w:p>
    <w:p w14:paraId="49FD2E05" w14:textId="241A8AD1" w:rsidR="00662465" w:rsidRPr="00B17262" w:rsidRDefault="00662465" w:rsidP="00B17262">
      <w:r w:rsidRPr="00FF0494">
        <w:t xml:space="preserve">The NDA </w:t>
      </w:r>
      <w:r>
        <w:t xml:space="preserve">suggests that the </w:t>
      </w:r>
      <w:r w:rsidR="00BC459C">
        <w:t>new strategy</w:t>
      </w:r>
      <w:r>
        <w:t xml:space="preserve"> includes a commitment to provide disability equality training to all staff. The NDA </w:t>
      </w:r>
      <w:r w:rsidRPr="00FF0494">
        <w:t xml:space="preserve">is currently </w:t>
      </w:r>
      <w:r>
        <w:t>updating its</w:t>
      </w:r>
      <w:r w:rsidRPr="00FF0494">
        <w:t xml:space="preserve"> eLearning module on disability equality training</w:t>
      </w:r>
      <w:r>
        <w:t>, which is aimed at public sector staff in Ireland</w:t>
      </w:r>
      <w:r w:rsidRPr="00FF0494">
        <w:t>.</w:t>
      </w:r>
      <w:r>
        <w:t xml:space="preserve"> It will be available later in 2025.</w:t>
      </w:r>
    </w:p>
    <w:p w14:paraId="79CA771F" w14:textId="3900632C" w:rsidR="00755B73" w:rsidRDefault="00755B73" w:rsidP="00C2009D">
      <w:pPr>
        <w:pStyle w:val="Heading2"/>
      </w:pPr>
      <w:r>
        <w:t xml:space="preserve">AI and </w:t>
      </w:r>
      <w:r w:rsidR="009F1FE8">
        <w:t>E</w:t>
      </w:r>
      <w:r>
        <w:t xml:space="preserve">ducation </w:t>
      </w:r>
    </w:p>
    <w:p w14:paraId="1AB25263" w14:textId="58733F29" w:rsidR="00E37B36" w:rsidRDefault="003277B7" w:rsidP="00E37B36">
      <w:r>
        <w:t xml:space="preserve">The NDA’s </w:t>
      </w:r>
      <w:hyperlink r:id="rId23" w:history="1">
        <w:r w:rsidRPr="003277B7">
          <w:rPr>
            <w:rStyle w:val="Hyperlink"/>
          </w:rPr>
          <w:t>Centre for Excellence in Universal Design recently released a paper</w:t>
        </w:r>
      </w:hyperlink>
      <w:r>
        <w:t xml:space="preserve"> on t</w:t>
      </w:r>
      <w:r w:rsidR="00E37B36" w:rsidRPr="00E506A0">
        <w:t>he emergence of Artificial Intelligence (AI)</w:t>
      </w:r>
      <w:r>
        <w:t xml:space="preserve">. It explores how AI offers </w:t>
      </w:r>
      <w:r w:rsidR="00E37B36" w:rsidRPr="00E506A0">
        <w:t xml:space="preserve">opportunities while raising important challenges that need careful consideration. AI technologies are opening new pathways for enhancing accessibility and independence for people with disabilities </w:t>
      </w:r>
      <w:r w:rsidR="00F97321">
        <w:t xml:space="preserve">and </w:t>
      </w:r>
      <w:r w:rsidR="00E37B36" w:rsidRPr="00E506A0">
        <w:t xml:space="preserve">show significant promise in breaking down traditional barriers to participation. In workplace environments, educational settings, and daily activities, automation and AI-powered assistive technologies are creating more inclusive spaces by reducing or eliminating common obstacles faced by people with disabilities. </w:t>
      </w:r>
    </w:p>
    <w:p w14:paraId="56288BDA" w14:textId="37067B53" w:rsidR="00E37B36" w:rsidRPr="00E506A0" w:rsidRDefault="00E37B36" w:rsidP="00E37B36">
      <w:r>
        <w:t xml:space="preserve">In relation to education, </w:t>
      </w:r>
      <w:r w:rsidRPr="00E506A0">
        <w:t>AI has the potential to personalise learning experiences, to adapt curriculum to individual learning styles, and to provide real-time feedback to students. AI-powered tutoring systems could potentially offer tailored support to students with disabilities, helping them navigate educational challenges more effectively. Additionally, AI could automate administrative tasks for educators, freeing up time for more focused academic instruction and curriculum development.</w:t>
      </w:r>
      <w:r>
        <w:t xml:space="preserve"> Alongside these positive impacts, there are also potentially n</w:t>
      </w:r>
      <w:r w:rsidRPr="00E506A0">
        <w:t xml:space="preserve">egative </w:t>
      </w:r>
      <w:r>
        <w:t>impacts if AI is poorly implemented.</w:t>
      </w:r>
      <w:r w:rsidRPr="00E506A0">
        <w:t xml:space="preserve"> Poorly designed AI in education may exacerbate inequalities by reinforcing biases in assessment and learning outcomes. Accessibility issues may arise if AI tools are not designed to accommodate diverse learning needs, hindering the educational progress of students with disabilities. Moreover, over-reliance on AI may subdue human intuition that is crucial for educational and emotional development in students.</w:t>
      </w:r>
    </w:p>
    <w:p w14:paraId="7D7B4A4D" w14:textId="4712229D" w:rsidR="00E37B36" w:rsidRPr="00C2009D" w:rsidRDefault="00E37B36" w:rsidP="00E37B36">
      <w:r>
        <w:t>The new strategy has the opportunity to acknowledge the importance of e</w:t>
      </w:r>
      <w:r w:rsidRPr="00E506A0">
        <w:t>arly recognition</w:t>
      </w:r>
      <w:r>
        <w:t>, in order</w:t>
      </w:r>
      <w:r w:rsidRPr="00E506A0">
        <w:t xml:space="preserve"> to address </w:t>
      </w:r>
      <w:r>
        <w:t>any</w:t>
      </w:r>
      <w:r w:rsidRPr="00E506A0">
        <w:t xml:space="preserve"> challenges </w:t>
      </w:r>
      <w:r>
        <w:t>and</w:t>
      </w:r>
      <w:r w:rsidRPr="00E506A0">
        <w:t xml:space="preserve"> ensure AI genuinely serves and empowers people with disabilities rather than creating new barriers.</w:t>
      </w:r>
    </w:p>
    <w:p w14:paraId="71095B43" w14:textId="37DECF9E" w:rsidR="00755B73" w:rsidRDefault="00444508" w:rsidP="00C2009D">
      <w:pPr>
        <w:pStyle w:val="Heading2"/>
      </w:pPr>
      <w:r>
        <w:t xml:space="preserve">Flexibility </w:t>
      </w:r>
      <w:r w:rsidR="00D8572D">
        <w:t xml:space="preserve">for </w:t>
      </w:r>
      <w:r w:rsidR="009F1FE8">
        <w:t>S</w:t>
      </w:r>
      <w:r w:rsidR="00D8572D">
        <w:t xml:space="preserve">tudents with </w:t>
      </w:r>
      <w:r w:rsidR="009F1FE8">
        <w:t>D</w:t>
      </w:r>
      <w:r w:rsidR="00D8572D">
        <w:t>isabilities</w:t>
      </w:r>
    </w:p>
    <w:p w14:paraId="06B8E906" w14:textId="2ECFC42A" w:rsidR="00C2009D" w:rsidRDefault="00DC4AC0" w:rsidP="00C2009D">
      <w:r>
        <w:t>During the Covid-19 period the education system adapted to the challenging circumstances by going fully remote for courses, ensuring that students continued to receive their education. This period highlighted the flexibility of the system and resulted in many students with disabilities having greater access to education as a result of no longer being required to physically attend courses with all of the barriers and challenges that can entail, such as inaccessible transport, buildings and more.</w:t>
      </w:r>
    </w:p>
    <w:p w14:paraId="42DB7C73" w14:textId="0CAC381C" w:rsidR="00D8572D" w:rsidRDefault="00DC4AC0" w:rsidP="00C2009D">
      <w:r>
        <w:lastRenderedPageBreak/>
        <w:t xml:space="preserve">However, now that much of the courses have now returned to in-person, remote learning is now less of an option for disabled students. This can have an exclusionary effect on students with disabilities. </w:t>
      </w:r>
      <w:r w:rsidR="00D8572D">
        <w:t>In addition to this many students with disabilities may need and want to attend part-time and evening courses due to other commitments and the extra costs associated with having a disability.</w:t>
      </w:r>
    </w:p>
    <w:p w14:paraId="59B83BAA" w14:textId="3A6A2109" w:rsidR="00684AAB" w:rsidRPr="00C2009D" w:rsidRDefault="00DC4AC0" w:rsidP="00C2009D">
      <w:r>
        <w:t>The NDA advises that the new strategy be cognisant of this and explore ways the sector can be more flexible and open to reasonable accommodations for students with disabilities.</w:t>
      </w:r>
      <w:r w:rsidR="009621DB">
        <w:t xml:space="preserve"> Within the broader UDE context described above, </w:t>
      </w:r>
      <w:r w:rsidR="00122448">
        <w:t xml:space="preserve">the </w:t>
      </w:r>
      <w:r w:rsidR="009621DB">
        <w:t xml:space="preserve">NDA recommends that learning, teaching and assessment align with </w:t>
      </w:r>
      <w:hyperlink r:id="rId24" w:history="1">
        <w:r w:rsidR="009621DB" w:rsidRPr="00EB14EE">
          <w:rPr>
            <w:rStyle w:val="Hyperlink"/>
          </w:rPr>
          <w:t>CAST’s guidelines</w:t>
        </w:r>
      </w:hyperlink>
      <w:r w:rsidR="009621DB">
        <w:t xml:space="preserve">, which advise designing multiple means of engagement, representation, and action and expression. </w:t>
      </w:r>
    </w:p>
    <w:p w14:paraId="28AF085C" w14:textId="77777777" w:rsidR="004E1BBA" w:rsidRPr="005A5693" w:rsidRDefault="004E1BBA" w:rsidP="004E1BBA">
      <w:pPr>
        <w:pStyle w:val="Heading1"/>
      </w:pPr>
      <w:r w:rsidRPr="005A5693">
        <w:t>Strategy Success</w:t>
      </w:r>
    </w:p>
    <w:p w14:paraId="5DE07229" w14:textId="77777777" w:rsidR="004E1BBA" w:rsidRPr="00D03BC1" w:rsidRDefault="004E1BBA" w:rsidP="004E1BBA">
      <w:pPr>
        <w:rPr>
          <w:b/>
          <w:bCs/>
        </w:rPr>
      </w:pPr>
      <w:r w:rsidRPr="00D03BC1">
        <w:rPr>
          <w:b/>
          <w:bCs/>
        </w:rPr>
        <w:t>Which outcomes will define the success of the Tertiary Education Strategy? </w:t>
      </w:r>
    </w:p>
    <w:p w14:paraId="0FB7A8BA" w14:textId="69E19621" w:rsidR="0088215B" w:rsidRDefault="0088215B" w:rsidP="0088215B">
      <w:pPr>
        <w:pStyle w:val="Heading2"/>
      </w:pPr>
      <w:r>
        <w:t>Not in Employment, Education or Training (NEET)</w:t>
      </w:r>
    </w:p>
    <w:p w14:paraId="6096DD6E" w14:textId="02676C9B" w:rsidR="006405CE" w:rsidRPr="0088215B" w:rsidRDefault="0088215B" w:rsidP="004E1BBA">
      <w:pPr>
        <w:contextualSpacing/>
        <w:rPr>
          <w:rFonts w:cs="Arial"/>
          <w:color w:val="222222"/>
          <w:szCs w:val="26"/>
          <w:shd w:val="clear" w:color="auto" w:fill="FFFFFF"/>
        </w:rPr>
      </w:pPr>
      <w:r w:rsidRPr="0088215B">
        <w:rPr>
          <w:rFonts w:cs="Arial"/>
          <w:color w:val="222222"/>
          <w:szCs w:val="26"/>
          <w:shd w:val="clear" w:color="auto" w:fill="FFFFFF"/>
        </w:rPr>
        <w:t>The</w:t>
      </w:r>
      <w:r w:rsidR="00505074">
        <w:rPr>
          <w:rFonts w:cs="Arial"/>
          <w:color w:val="222222"/>
          <w:szCs w:val="26"/>
          <w:shd w:val="clear" w:color="auto" w:fill="FFFFFF"/>
        </w:rPr>
        <w:t xml:space="preserve"> NDA’s report on the </w:t>
      </w:r>
      <w:hyperlink r:id="rId25" w:history="1">
        <w:r w:rsidR="00505074" w:rsidRPr="00505074">
          <w:rPr>
            <w:rStyle w:val="Hyperlink"/>
            <w:rFonts w:cs="Arial"/>
            <w:szCs w:val="26"/>
            <w:shd w:val="clear" w:color="auto" w:fill="FFFFFF"/>
          </w:rPr>
          <w:t>final review of progress under the Comprehensive Employment Strategy for People with Disabilities</w:t>
        </w:r>
      </w:hyperlink>
      <w:r w:rsidRPr="0088215B">
        <w:rPr>
          <w:rFonts w:cs="Arial"/>
          <w:color w:val="222222"/>
          <w:szCs w:val="26"/>
          <w:shd w:val="clear" w:color="auto" w:fill="FFFFFF"/>
        </w:rPr>
        <w:t xml:space="preserve"> </w:t>
      </w:r>
      <w:r w:rsidR="00505074">
        <w:rPr>
          <w:rFonts w:cs="Arial"/>
          <w:color w:val="222222"/>
          <w:szCs w:val="26"/>
          <w:shd w:val="clear" w:color="auto" w:fill="FFFFFF"/>
        </w:rPr>
        <w:t xml:space="preserve">found that the </w:t>
      </w:r>
      <w:r w:rsidRPr="0088215B">
        <w:rPr>
          <w:rFonts w:cs="Arial"/>
          <w:color w:val="222222"/>
          <w:szCs w:val="26"/>
          <w:shd w:val="clear" w:color="auto" w:fill="FFFFFF"/>
        </w:rPr>
        <w:t xml:space="preserve">rate of young people with disabilities not in employment, education, or training (NEET) remains more than twice that of young people without disabilities. </w:t>
      </w:r>
      <w:r>
        <w:rPr>
          <w:szCs w:val="26"/>
        </w:rPr>
        <w:t>The time young people spend not in employment, education or training</w:t>
      </w:r>
      <w:r w:rsidRPr="00783FEF">
        <w:rPr>
          <w:szCs w:val="26"/>
        </w:rPr>
        <w:t xml:space="preserve"> can increase the likelihood of unemployment, low wages, or low quality of work later in life.</w:t>
      </w:r>
      <w:r w:rsidR="00262A9E">
        <w:rPr>
          <w:szCs w:val="26"/>
        </w:rPr>
        <w:t xml:space="preserve"> </w:t>
      </w:r>
      <w:r>
        <w:rPr>
          <w:szCs w:val="26"/>
        </w:rPr>
        <w:t xml:space="preserve">More work is required to narrow this gap, and </w:t>
      </w:r>
      <w:r w:rsidR="004B32CA">
        <w:rPr>
          <w:szCs w:val="26"/>
        </w:rPr>
        <w:t>outcomes focused on improving these rates</w:t>
      </w:r>
      <w:r w:rsidR="00D119BB">
        <w:rPr>
          <w:szCs w:val="26"/>
        </w:rPr>
        <w:t xml:space="preserve"> such as access programmes with focused support for students with disabilities</w:t>
      </w:r>
      <w:r w:rsidR="004B32CA">
        <w:rPr>
          <w:szCs w:val="26"/>
        </w:rPr>
        <w:t xml:space="preserve"> should be considered for inclusion in the new strategy.</w:t>
      </w:r>
    </w:p>
    <w:p w14:paraId="2B805596" w14:textId="79170191" w:rsidR="00755B73" w:rsidRDefault="00444508" w:rsidP="002C7497">
      <w:pPr>
        <w:pStyle w:val="Heading2"/>
      </w:pPr>
      <w:r>
        <w:t xml:space="preserve">Improved </w:t>
      </w:r>
      <w:r w:rsidR="009F1FE8">
        <w:t>I</w:t>
      </w:r>
      <w:r w:rsidR="00755B73">
        <w:t xml:space="preserve">ntegration for </w:t>
      </w:r>
      <w:r w:rsidR="009F1FE8">
        <w:t>S</w:t>
      </w:r>
      <w:r w:rsidR="00755B73">
        <w:t>tudents</w:t>
      </w:r>
    </w:p>
    <w:p w14:paraId="7A8D165E" w14:textId="3F490584" w:rsidR="00755B73" w:rsidRDefault="00807BF6" w:rsidP="004E1BBA">
      <w:r>
        <w:t>One</w:t>
      </w:r>
      <w:r w:rsidR="00BC459C">
        <w:t xml:space="preserve"> way th</w:t>
      </w:r>
      <w:r w:rsidR="00733D84">
        <w:t>e success of this</w:t>
      </w:r>
      <w:r w:rsidR="00BC459C">
        <w:t xml:space="preserve"> strategy could be measured is by </w:t>
      </w:r>
      <w:r>
        <w:t>having better integration for all students</w:t>
      </w:r>
      <w:r w:rsidR="003277B7">
        <w:t xml:space="preserve"> as an outcome</w:t>
      </w:r>
      <w:r>
        <w:t>, and specifically students with disabilities.</w:t>
      </w:r>
      <w:r w:rsidR="00BC459C">
        <w:t xml:space="preserve"> </w:t>
      </w:r>
      <w:r w:rsidR="00BF4352">
        <w:t>The importance of disaggregating data on disability and capturing data in this regard is covered further in the answer to the next question.</w:t>
      </w:r>
    </w:p>
    <w:p w14:paraId="1659728B" w14:textId="3E562BCB" w:rsidR="00684AAB" w:rsidRDefault="00684AAB" w:rsidP="00684AAB">
      <w:pPr>
        <w:pStyle w:val="Heading2"/>
      </w:pPr>
      <w:r>
        <w:t>Collaboration</w:t>
      </w:r>
    </w:p>
    <w:p w14:paraId="08203F6D" w14:textId="2733D03E" w:rsidR="00684AAB" w:rsidRDefault="00684AAB" w:rsidP="004E1BBA">
      <w:r>
        <w:t xml:space="preserve">NDA recognises the centrality of collaboration in efforts to </w:t>
      </w:r>
      <w:r w:rsidR="003B47A0">
        <w:t>foster</w:t>
      </w:r>
      <w:r>
        <w:t xml:space="preserve"> </w:t>
      </w:r>
      <w:r w:rsidR="003B47A0">
        <w:t>inclusion</w:t>
      </w:r>
      <w:r>
        <w:t xml:space="preserve">. </w:t>
      </w:r>
      <w:r w:rsidR="003B47A0">
        <w:t>Coordinated interdisciplinary action across organisations and industries is necessary to facilitate meaningful integration of accessibility and universal design</w:t>
      </w:r>
      <w:r w:rsidR="004F1BA6">
        <w:t xml:space="preserve"> across the educational ecosystem</w:t>
      </w:r>
      <w:r w:rsidR="003B47A0">
        <w:t>.</w:t>
      </w:r>
      <w:r w:rsidR="007733E0">
        <w:t xml:space="preserve"> </w:t>
      </w:r>
      <w:r w:rsidR="00EC1168">
        <w:t xml:space="preserve">To quote from the recent </w:t>
      </w:r>
      <w:r w:rsidR="00EC1168">
        <w:lastRenderedPageBreak/>
        <w:t xml:space="preserve">AccessibleEU </w:t>
      </w:r>
      <w:r w:rsidR="003B47A0">
        <w:t xml:space="preserve">European </w:t>
      </w:r>
      <w:r w:rsidR="00EC1168">
        <w:t>event</w:t>
      </w:r>
      <w:r w:rsidR="007733E0">
        <w:t>, “awareness is the seed, but collaboration is the growth’</w:t>
      </w:r>
      <w:r w:rsidR="00EC1168">
        <w:rPr>
          <w:rStyle w:val="FootnoteReference"/>
        </w:rPr>
        <w:footnoteReference w:id="4"/>
      </w:r>
      <w:r w:rsidR="007733E0">
        <w:t>.</w:t>
      </w:r>
      <w:r w:rsidR="00EC1168">
        <w:t xml:space="preserve"> </w:t>
      </w:r>
    </w:p>
    <w:p w14:paraId="39CACA1C" w14:textId="77777777" w:rsidR="004E1BBA" w:rsidRPr="005A5693" w:rsidRDefault="004E1BBA" w:rsidP="004E1BBA">
      <w:pPr>
        <w:pStyle w:val="Heading1"/>
      </w:pPr>
      <w:r w:rsidRPr="005A5693">
        <w:t>Outputs &amp; Indicators</w:t>
      </w:r>
    </w:p>
    <w:p w14:paraId="33B857FC" w14:textId="77777777" w:rsidR="004E1BBA" w:rsidRPr="00D03BC1" w:rsidRDefault="004E1BBA" w:rsidP="004E1BBA">
      <w:pPr>
        <w:rPr>
          <w:b/>
          <w:bCs/>
        </w:rPr>
      </w:pPr>
      <w:r w:rsidRPr="00D03BC1">
        <w:rPr>
          <w:b/>
          <w:bCs/>
        </w:rPr>
        <w:t>What would be the most effective way to measure the success of the Tertiary Education Strategy?</w:t>
      </w:r>
    </w:p>
    <w:p w14:paraId="22596DF6" w14:textId="3747805A" w:rsidR="00D8572D" w:rsidRDefault="00D8572D" w:rsidP="00D8572D">
      <w:pPr>
        <w:pStyle w:val="Heading2"/>
      </w:pPr>
      <w:r>
        <w:t xml:space="preserve">Disaggregation of </w:t>
      </w:r>
      <w:r w:rsidR="009F1FE8">
        <w:t>D</w:t>
      </w:r>
      <w:r>
        <w:t xml:space="preserve">isability </w:t>
      </w:r>
      <w:r w:rsidR="009F1FE8">
        <w:t>D</w:t>
      </w:r>
      <w:r>
        <w:t xml:space="preserve">ata </w:t>
      </w:r>
    </w:p>
    <w:p w14:paraId="5BDC3E5F" w14:textId="3956ABB7" w:rsidR="00D8572D" w:rsidRDefault="00D8572D" w:rsidP="00D8572D">
      <w:pPr>
        <w:rPr>
          <w:szCs w:val="24"/>
        </w:rPr>
      </w:pPr>
      <w:r>
        <w:rPr>
          <w:szCs w:val="24"/>
        </w:rPr>
        <w:t>The</w:t>
      </w:r>
      <w:r w:rsidRPr="00992524">
        <w:rPr>
          <w:szCs w:val="24"/>
        </w:rPr>
        <w:t xml:space="preserve"> </w:t>
      </w:r>
      <w:r w:rsidR="00A10440">
        <w:rPr>
          <w:szCs w:val="24"/>
        </w:rPr>
        <w:t xml:space="preserve">forthcoming </w:t>
      </w:r>
      <w:r>
        <w:rPr>
          <w:szCs w:val="24"/>
        </w:rPr>
        <w:t xml:space="preserve">National </w:t>
      </w:r>
      <w:r w:rsidRPr="00992524">
        <w:rPr>
          <w:szCs w:val="24"/>
        </w:rPr>
        <w:t xml:space="preserve">Equality Data Strategy </w:t>
      </w:r>
      <w:r w:rsidR="00A10440">
        <w:rPr>
          <w:szCs w:val="24"/>
        </w:rPr>
        <w:t>will promote</w:t>
      </w:r>
      <w:r w:rsidR="00A10440" w:rsidRPr="00992524">
        <w:rPr>
          <w:szCs w:val="24"/>
        </w:rPr>
        <w:t xml:space="preserve"> </w:t>
      </w:r>
      <w:r w:rsidRPr="00992524">
        <w:rPr>
          <w:szCs w:val="24"/>
        </w:rPr>
        <w:t xml:space="preserve">data disaggregation, data linking, using a more standardised approach in relation to indicators and targets, and identifying and addressing data gaps. The strategy </w:t>
      </w:r>
      <w:r w:rsidR="00A10440">
        <w:rPr>
          <w:szCs w:val="24"/>
        </w:rPr>
        <w:t xml:space="preserve">will </w:t>
      </w:r>
      <w:r w:rsidRPr="00992524">
        <w:rPr>
          <w:szCs w:val="24"/>
        </w:rPr>
        <w:t xml:space="preserve">support the ‘collect once, use often’ approach and the linking of various administrative databases as much as possible. </w:t>
      </w:r>
    </w:p>
    <w:p w14:paraId="2B51B1B5" w14:textId="1AA598C3" w:rsidR="00D8572D" w:rsidRPr="00992524" w:rsidRDefault="00D8572D" w:rsidP="00D8572D">
      <w:pPr>
        <w:rPr>
          <w:szCs w:val="24"/>
        </w:rPr>
      </w:pPr>
      <w:r>
        <w:rPr>
          <w:szCs w:val="24"/>
        </w:rPr>
        <w:t>As part of data</w:t>
      </w:r>
      <w:r w:rsidR="00A10440">
        <w:rPr>
          <w:szCs w:val="24"/>
        </w:rPr>
        <w:t xml:space="preserve"> collection</w:t>
      </w:r>
      <w:r>
        <w:rPr>
          <w:szCs w:val="24"/>
        </w:rPr>
        <w:t>, it is important that dropout rates and fail rates of students with disabilities are captured. Similarly, collecting data on students who transition to employment or further study would be crucial data that would serve to inform the success of this strategy</w:t>
      </w:r>
      <w:r w:rsidR="00A10440">
        <w:rPr>
          <w:szCs w:val="24"/>
        </w:rPr>
        <w:t xml:space="preserve">. This strategy overlaps with </w:t>
      </w:r>
      <w:r>
        <w:rPr>
          <w:szCs w:val="24"/>
        </w:rPr>
        <w:t xml:space="preserve">other cross-departmental work, such as </w:t>
      </w:r>
      <w:r w:rsidR="00A10440">
        <w:rPr>
          <w:szCs w:val="24"/>
        </w:rPr>
        <w:t xml:space="preserve">the new </w:t>
      </w:r>
      <w:hyperlink r:id="rId26" w:history="1">
        <w:r w:rsidR="00A10440" w:rsidRPr="00262A9E">
          <w:rPr>
            <w:rStyle w:val="Hyperlink"/>
            <w:szCs w:val="24"/>
          </w:rPr>
          <w:t>National Human Rights Strategy for Disabled</w:t>
        </w:r>
      </w:hyperlink>
      <w:r w:rsidR="00A10440">
        <w:rPr>
          <w:szCs w:val="24"/>
        </w:rPr>
        <w:t xml:space="preserve"> people and </w:t>
      </w:r>
      <w:r>
        <w:rPr>
          <w:szCs w:val="24"/>
        </w:rPr>
        <w:t>the Department of Social Protection</w:t>
      </w:r>
      <w:r w:rsidR="00A10440">
        <w:rPr>
          <w:szCs w:val="24"/>
        </w:rPr>
        <w:t>’s</w:t>
      </w:r>
      <w:r>
        <w:rPr>
          <w:szCs w:val="24"/>
        </w:rPr>
        <w:t xml:space="preserve"> Pathways to Work Strategy</w:t>
      </w:r>
      <w:r w:rsidR="00A10440">
        <w:rPr>
          <w:szCs w:val="24"/>
        </w:rPr>
        <w:t xml:space="preserve"> and Roadmap to Social Inclusion both of which are currently being revised.</w:t>
      </w:r>
      <w:r>
        <w:rPr>
          <w:szCs w:val="24"/>
        </w:rPr>
        <w:t xml:space="preserve"> </w:t>
      </w:r>
    </w:p>
    <w:p w14:paraId="193A8861" w14:textId="4ACAF3C9" w:rsidR="004E1BBA" w:rsidRPr="00D8572D" w:rsidRDefault="00D8572D" w:rsidP="004E1BBA">
      <w:pPr>
        <w:rPr>
          <w:szCs w:val="24"/>
        </w:rPr>
      </w:pPr>
      <w:r w:rsidRPr="00992524">
        <w:rPr>
          <w:szCs w:val="24"/>
        </w:rPr>
        <w:t xml:space="preserve">The NDA recommends that the </w:t>
      </w:r>
      <w:r>
        <w:rPr>
          <w:szCs w:val="24"/>
        </w:rPr>
        <w:t>Strategy Statement</w:t>
      </w:r>
      <w:r w:rsidRPr="00992524">
        <w:rPr>
          <w:szCs w:val="24"/>
        </w:rPr>
        <w:t xml:space="preserve"> include a commitment to continue to strengthen data collection, address data gaps and enhance the collection of disability disaggregated data. The NDA are willing to provide guidance on any of these issues.</w:t>
      </w:r>
    </w:p>
    <w:p w14:paraId="758E9E0B" w14:textId="77777777" w:rsidR="004E1BBA" w:rsidRPr="005A5693" w:rsidRDefault="004E1BBA" w:rsidP="004E1BBA">
      <w:pPr>
        <w:pStyle w:val="Heading1"/>
      </w:pPr>
      <w:r w:rsidRPr="005A5693">
        <w:t>Barriers and Enablers</w:t>
      </w:r>
    </w:p>
    <w:p w14:paraId="137D2B5E" w14:textId="77B89024" w:rsidR="004E1BBA" w:rsidRPr="00D03BC1" w:rsidRDefault="004E1BBA" w:rsidP="004E1BBA">
      <w:pPr>
        <w:rPr>
          <w:b/>
          <w:bCs/>
        </w:rPr>
      </w:pPr>
      <w:r w:rsidRPr="00D03BC1">
        <w:rPr>
          <w:b/>
          <w:bCs/>
        </w:rPr>
        <w:t>Can you identify specific barriers or enablers to enhancing the system’s focus on impact and outputs? How could these be addressed?</w:t>
      </w:r>
    </w:p>
    <w:p w14:paraId="3AF879E9" w14:textId="0F7E3211" w:rsidR="00523435" w:rsidRDefault="004B32CA" w:rsidP="00523435">
      <w:pPr>
        <w:pStyle w:val="Heading2"/>
      </w:pPr>
      <w:r>
        <w:t xml:space="preserve">Access to </w:t>
      </w:r>
      <w:r w:rsidR="009F1FE8">
        <w:t>E</w:t>
      </w:r>
      <w:r>
        <w:t>ducation</w:t>
      </w:r>
    </w:p>
    <w:p w14:paraId="6969B237" w14:textId="581B24AE" w:rsidR="00523435" w:rsidRDefault="00523435" w:rsidP="00523435">
      <w:r>
        <w:t>In 2023, the NDA published results of a survey - the</w:t>
      </w:r>
      <w:r w:rsidRPr="003F5947">
        <w:rPr>
          <w:b/>
          <w:bCs/>
        </w:rPr>
        <w:t xml:space="preserve"> </w:t>
      </w:r>
      <w:hyperlink r:id="rId27" w:history="1">
        <w:r w:rsidRPr="00505074">
          <w:rPr>
            <w:rStyle w:val="Hyperlink"/>
            <w:b/>
            <w:bCs/>
          </w:rPr>
          <w:t>Wellbeing and Social Inclusion Survey</w:t>
        </w:r>
      </w:hyperlink>
      <w:r>
        <w:t xml:space="preserve"> - which aimed to find out if people feel they belong and feel valued and respected in their communities. The findings from the report indicated that disabled people experience poorer mental wellbeing and social inclusion when compared to non-disabled people. It also highlighted that a person identifying as a member of more than one </w:t>
      </w:r>
      <w:r>
        <w:lastRenderedPageBreak/>
        <w:t>marginalised group, such as being disabled and a member of the LGBTQI+ community, increases the risk of social exclusion and poorer wellbeing.</w:t>
      </w:r>
    </w:p>
    <w:p w14:paraId="16E6C844" w14:textId="77777777" w:rsidR="00523435" w:rsidRDefault="00523435" w:rsidP="00523435">
      <w:r>
        <w:t>Respondents to the survey were given the opportunity to say how they felt social inclusion in Ireland can be improved. Access to education and training for disadvantaged groups was the most commonly selected option to improving social inclusion (selected by 39% of respondents). These findings illustrate that people with disabilities are a group which require a particular focus when it comes to social inclusion. Specifically, programmes and measures should be targeted to those with intersecting marginalised identities who are doubly disadvantaged, for example, Travellers with disabilities. The new strategy provides an opportunity to promote inclusive ethos in educational institutions.</w:t>
      </w:r>
    </w:p>
    <w:p w14:paraId="5F702C25" w14:textId="106022C4" w:rsidR="004E1BBA" w:rsidRDefault="00602EB6" w:rsidP="008157EE">
      <w:pPr>
        <w:pStyle w:val="Heading2"/>
      </w:pPr>
      <w:r>
        <w:t>Universal Design Systems Approach</w:t>
      </w:r>
    </w:p>
    <w:p w14:paraId="39F38930" w14:textId="62E30020" w:rsidR="008157EE" w:rsidRDefault="008A60AC" w:rsidP="008157EE">
      <w:r>
        <w:t xml:space="preserve">Taking the wider whole systems approach, a number of barriers to inclusion emerge. </w:t>
      </w:r>
      <w:r w:rsidR="008157EE">
        <w:t xml:space="preserve">The accessibility of the further education sector can </w:t>
      </w:r>
      <w:r>
        <w:t>present considerable difficulties for many students</w:t>
      </w:r>
      <w:r w:rsidR="00FE59DA">
        <w:t xml:space="preserve">. For instance, the availability of accessible transport as well as affordable student accommodation are </w:t>
      </w:r>
      <w:r>
        <w:t>significant</w:t>
      </w:r>
      <w:r w:rsidR="00FE59DA">
        <w:t xml:space="preserve"> obstacles</w:t>
      </w:r>
      <w:r w:rsidR="002417D9">
        <w:t xml:space="preserve">, </w:t>
      </w:r>
      <w:r>
        <w:t>magnified by the additional cost of disability.</w:t>
      </w:r>
      <w:r w:rsidR="00FE59DA">
        <w:t xml:space="preserve"> </w:t>
      </w:r>
      <w:r w:rsidR="008157EE">
        <w:t xml:space="preserve"> By taking a universal design approach</w:t>
      </w:r>
      <w:r w:rsidR="00162052">
        <w:t xml:space="preserve"> and reviewing the entire student journey as supported by the four pillars</w:t>
      </w:r>
      <w:r w:rsidR="008157EE">
        <w:t>, as outlined previously, a more inclusive environment can be created that facilitates disabled students accessing education</w:t>
      </w:r>
      <w:r w:rsidR="007F0783">
        <w:t xml:space="preserve"> and fosters belonging</w:t>
      </w:r>
      <w:r w:rsidR="008157EE">
        <w:t>. Some ways this can be achieved is through increasing the number of Access Officers in universities and ensuring there are well-resourced disability offices in educational institutions that students with disabilities can avail of for information, advice and support when needed.</w:t>
      </w:r>
    </w:p>
    <w:p w14:paraId="2461D4A9" w14:textId="44076ADD" w:rsidR="002C54EC" w:rsidRPr="00D764FC" w:rsidRDefault="002C54EC" w:rsidP="002C54EC">
      <w:r w:rsidRPr="00D764FC">
        <w:t xml:space="preserve">The </w:t>
      </w:r>
      <w:r w:rsidRPr="002C54EC">
        <w:t>EU Web Accessibility Directive</w:t>
      </w:r>
      <w:r w:rsidRPr="00D764FC">
        <w:t xml:space="preserve">, which came into force in September 2020, requires EU Member States to ensure that the websites and mobile applications of public sector bodies are fully accessible to persons with disabilities and comply with the harmonised standard EN 310 549 (v3.2.1). The Directive further requires public bodies to maintain an Accessibility Statement in a prominent location on all their websites. This must include a clear feedback mechanism for users to ask for assistance with inaccessible content and features as well as the statutory complaints mechanism through which a person can make a formal complaint about the website’s accessibility in line with the Disability Act 2005 or the Equal Status Act 2000-2015, whichever so applies. </w:t>
      </w:r>
      <w:r w:rsidR="00622DA5">
        <w:t xml:space="preserve">AHEAD produced a </w:t>
      </w:r>
      <w:hyperlink r:id="rId28" w:history="1">
        <w:r w:rsidR="00622DA5" w:rsidRPr="00622DA5">
          <w:rPr>
            <w:rStyle w:val="Hyperlink"/>
          </w:rPr>
          <w:t>legal opinion</w:t>
        </w:r>
      </w:hyperlink>
      <w:r w:rsidR="00622DA5">
        <w:t xml:space="preserve"> which outlined that Further and Higher Education bodies meet the requirements that considers them bodies governed by public law which means they must comply with procurement and web accessibility requirements. It also states that these bodies will need to prepare and regularly update an accessibility statement on the compliance of their websites and mobile applications.</w:t>
      </w:r>
    </w:p>
    <w:p w14:paraId="58280B2B" w14:textId="4DC66087" w:rsidR="002C54EC" w:rsidRPr="00275743" w:rsidRDefault="002C54EC" w:rsidP="002C54EC">
      <w:r w:rsidRPr="00D764FC">
        <w:lastRenderedPageBreak/>
        <w:t xml:space="preserve">We encourage </w:t>
      </w:r>
      <w:r>
        <w:t>the Department</w:t>
      </w:r>
      <w:r w:rsidRPr="00D764FC">
        <w:t xml:space="preserve"> to promote accountability with the </w:t>
      </w:r>
      <w:r>
        <w:t>further education and training</w:t>
      </w:r>
      <w:r w:rsidRPr="00D764FC">
        <w:t xml:space="preserve"> sector</w:t>
      </w:r>
      <w:r>
        <w:t xml:space="preserve"> of the importance of accessibility of information and services to persons with disabilities and would urge the Department to make improving accessibility a specific part of the new Strategy.</w:t>
      </w:r>
      <w:r w:rsidRPr="00D764FC">
        <w:t xml:space="preserve"> </w:t>
      </w:r>
    </w:p>
    <w:p w14:paraId="6EF216EC" w14:textId="77777777" w:rsidR="005275D1" w:rsidRDefault="005275D1" w:rsidP="005275D1">
      <w:pPr>
        <w:pStyle w:val="Heading2"/>
      </w:pPr>
      <w:r>
        <w:t xml:space="preserve">Supports for Students with Disabilities </w:t>
      </w:r>
    </w:p>
    <w:p w14:paraId="2A0DD005" w14:textId="3B3DB032" w:rsidR="005275D1" w:rsidRPr="008157EE" w:rsidRDefault="005275D1" w:rsidP="008157EE">
      <w:r>
        <w:t xml:space="preserve">We note that the DARE scheme is available for post-primary students with special educational needs (SEN) progressing to Higher Education, but it is not available for a student with special educational needs progressing from Further Education and Training to Higher Education. This is an important issue to be addressed in relation to Access, Transfer and Progression for students with disabilities. </w:t>
      </w:r>
      <w:r w:rsidR="00A10440">
        <w:t>The NDA also advises that the DARE scheme should be revised to ensure it is achieving its objectives.</w:t>
      </w:r>
    </w:p>
    <w:p w14:paraId="653857DF" w14:textId="4767EF0A" w:rsidR="00C31EB2" w:rsidRDefault="00755B73" w:rsidP="00C31EB2">
      <w:pPr>
        <w:pStyle w:val="Heading2"/>
      </w:pPr>
      <w:r>
        <w:t>Reasonable Accommodations</w:t>
      </w:r>
    </w:p>
    <w:p w14:paraId="2804E6BA" w14:textId="77777777" w:rsidR="003368CF" w:rsidRDefault="00C31EB2" w:rsidP="004E1BBA">
      <w:r>
        <w:t>As already referenced, one of the most significant challenges students with disabilities face is the requirement for accommodations and flexibility in learning. This means institutions being open to accommodating disabled students in their requests for remote learning</w:t>
      </w:r>
      <w:r w:rsidR="00D03BC1">
        <w:t xml:space="preserve"> and flexibility in relation to</w:t>
      </w:r>
      <w:r>
        <w:t xml:space="preserve"> their examinations.</w:t>
      </w:r>
      <w:r w:rsidR="00846BFC">
        <w:t xml:space="preserve"> Higher education bodies could promote this flexibility through implementing a </w:t>
      </w:r>
      <w:hyperlink r:id="rId29" w:history="1">
        <w:r w:rsidR="00846BFC" w:rsidRPr="00846BFC">
          <w:rPr>
            <w:rStyle w:val="Hyperlink"/>
          </w:rPr>
          <w:t>Reasonable Accommodation Passport</w:t>
        </w:r>
      </w:hyperlink>
      <w:r w:rsidR="00846BFC">
        <w:t xml:space="preserve"> through</w:t>
      </w:r>
      <w:r w:rsidR="003368CF">
        <w:t>out</w:t>
      </w:r>
      <w:r w:rsidR="00846BFC">
        <w:t xml:space="preserve"> educational institutions. These passports are used by many employers and are promoted by organisations such as </w:t>
      </w:r>
      <w:proofErr w:type="spellStart"/>
      <w:r w:rsidR="00846BFC">
        <w:t>Ibec</w:t>
      </w:r>
      <w:proofErr w:type="spellEnd"/>
      <w:r w:rsidR="00846BFC">
        <w:t xml:space="preserve">, the Irish Congress of Trade unions and others. In an education setting, these passports could be designed for students who require adjustments or accommodations because of a disability and can be agreed between the student and the education institution. </w:t>
      </w:r>
    </w:p>
    <w:p w14:paraId="41B293C1" w14:textId="233E4C61" w:rsidR="00846BFC" w:rsidRDefault="00846BFC" w:rsidP="004E1BBA">
      <w:r>
        <w:t xml:space="preserve">It is also important that education </w:t>
      </w:r>
      <w:r w:rsidR="00C91BFB">
        <w:t>bodies take part in developing a national framework in relation to Assistive Technology (AT), so that education bodies are involved in incorporating AT into their practices and support students with disabilities to access them.</w:t>
      </w:r>
    </w:p>
    <w:p w14:paraId="11B63CE3" w14:textId="180B2629" w:rsidR="00755B73" w:rsidRDefault="00846BFC" w:rsidP="004E1BBA">
      <w:r>
        <w:t>The NDA would be happy to advise further on these topics.</w:t>
      </w:r>
    </w:p>
    <w:p w14:paraId="6CD73286" w14:textId="03493F4B" w:rsidR="00647485" w:rsidRDefault="004E1BBA" w:rsidP="00492B0D">
      <w:pPr>
        <w:pStyle w:val="Heading1"/>
      </w:pPr>
      <w:r w:rsidRPr="005A5693">
        <w:rPr>
          <w:bCs/>
        </w:rPr>
        <w:t>Any other comments and/or observations</w:t>
      </w:r>
    </w:p>
    <w:p w14:paraId="186C0421" w14:textId="77777777" w:rsidR="00492B0D" w:rsidRDefault="00492B0D" w:rsidP="00492B0D">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 xml:space="preserve">new </w:t>
      </w:r>
      <w:r>
        <w:rPr>
          <w:rFonts w:eastAsia="Times New Roman" w:cs="Times New Roman"/>
          <w:kern w:val="0"/>
          <w:szCs w:val="24"/>
          <w14:ligatures w14:val="none"/>
        </w:rPr>
        <w:t xml:space="preserve">Statement of Strategy </w:t>
      </w:r>
      <w:r w:rsidRPr="00992524">
        <w:rPr>
          <w:rFonts w:eastAsia="Times New Roman" w:cs="Times New Roman"/>
          <w:kern w:val="0"/>
          <w:szCs w:val="24"/>
          <w14:ligatures w14:val="none"/>
        </w:rPr>
        <w:t>align with the UN Convention on the Rights of Persons with Disabilities</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and other relevant national strategies and policy commitments relevant to </w:t>
      </w:r>
      <w:r>
        <w:rPr>
          <w:rFonts w:eastAsia="Times New Roman" w:cs="Times New Roman"/>
          <w:kern w:val="0"/>
          <w:szCs w:val="24"/>
          <w14:ligatures w14:val="none"/>
        </w:rPr>
        <w:t>people with disabilities</w:t>
      </w:r>
      <w:r w:rsidRPr="00992524">
        <w:rPr>
          <w:rFonts w:eastAsia="Times New Roman" w:cs="Times New Roman"/>
          <w:kern w:val="0"/>
          <w:szCs w:val="24"/>
          <w14:ligatures w14:val="none"/>
        </w:rPr>
        <w:t>. Some of the most important of these are highlighted below.</w:t>
      </w:r>
    </w:p>
    <w:p w14:paraId="15C053F7" w14:textId="77777777" w:rsidR="00262A9E" w:rsidRDefault="00262A9E" w:rsidP="00262A9E">
      <w:pPr>
        <w:pStyle w:val="ListParagraph"/>
        <w:numPr>
          <w:ilvl w:val="0"/>
          <w:numId w:val="12"/>
        </w:numPr>
        <w:spacing w:after="0"/>
        <w:rPr>
          <w:rFonts w:eastAsia="Times New Roman" w:cs="Times New Roman"/>
          <w:kern w:val="0"/>
          <w:szCs w:val="24"/>
          <w14:ligatures w14:val="none"/>
        </w:rPr>
      </w:pPr>
      <w:r>
        <w:rPr>
          <w:rFonts w:eastAsia="Times New Roman" w:cs="Times New Roman"/>
          <w:kern w:val="0"/>
          <w:szCs w:val="24"/>
          <w14:ligatures w14:val="none"/>
        </w:rPr>
        <w:t>UNCRPD Article 24</w:t>
      </w:r>
    </w:p>
    <w:p w14:paraId="0E61ED7F" w14:textId="77777777" w:rsidR="00262A9E" w:rsidRPr="00492B0D" w:rsidRDefault="00262A9E" w:rsidP="00262A9E">
      <w:pPr>
        <w:pStyle w:val="ListParagraph"/>
        <w:numPr>
          <w:ilvl w:val="0"/>
          <w:numId w:val="12"/>
        </w:numPr>
        <w:spacing w:after="0"/>
        <w:rPr>
          <w:rFonts w:eastAsia="Times New Roman" w:cs="Times New Roman"/>
          <w:kern w:val="0"/>
          <w:szCs w:val="24"/>
          <w14:ligatures w14:val="none"/>
        </w:rPr>
      </w:pPr>
      <w:r w:rsidRPr="00D764FC">
        <w:t>The UNCRPD Committee’s General Comment No. Four</w:t>
      </w:r>
    </w:p>
    <w:p w14:paraId="079D9FF2" w14:textId="6A4B1341" w:rsidR="00492B0D" w:rsidRPr="00492B0D" w:rsidRDefault="00492B0D" w:rsidP="00492B0D">
      <w:pPr>
        <w:pStyle w:val="ListParagraph"/>
        <w:numPr>
          <w:ilvl w:val="0"/>
          <w:numId w:val="12"/>
        </w:numPr>
        <w:spacing w:after="0"/>
        <w:rPr>
          <w:rFonts w:eastAsia="Times New Roman" w:cs="Times New Roman"/>
          <w:kern w:val="0"/>
          <w:szCs w:val="24"/>
          <w14:ligatures w14:val="none"/>
        </w:rPr>
      </w:pPr>
      <w:r w:rsidRPr="00492B0D">
        <w:rPr>
          <w:rFonts w:eastAsia="Times New Roman" w:cs="Times New Roman"/>
          <w:kern w:val="0"/>
          <w:szCs w:val="24"/>
          <w14:ligatures w14:val="none"/>
        </w:rPr>
        <w:lastRenderedPageBreak/>
        <w:t>National Human Rights Strategy for Disabled People 2025-2030</w:t>
      </w:r>
    </w:p>
    <w:p w14:paraId="5DE68098" w14:textId="779251A5" w:rsidR="00492B0D" w:rsidRPr="00492B0D" w:rsidRDefault="00492B0D" w:rsidP="00492B0D">
      <w:pPr>
        <w:pStyle w:val="ListParagraph"/>
        <w:numPr>
          <w:ilvl w:val="0"/>
          <w:numId w:val="12"/>
        </w:numPr>
        <w:spacing w:after="0"/>
        <w:rPr>
          <w:rFonts w:eastAsia="Times New Roman" w:cs="Times New Roman"/>
          <w:kern w:val="0"/>
          <w:szCs w:val="24"/>
          <w14:ligatures w14:val="none"/>
        </w:rPr>
      </w:pPr>
      <w:r w:rsidRPr="00492B0D">
        <w:rPr>
          <w:rFonts w:eastAsia="Times New Roman" w:cs="Times New Roman"/>
          <w:kern w:val="0"/>
          <w:szCs w:val="24"/>
          <w14:ligatures w14:val="none"/>
        </w:rPr>
        <w:t xml:space="preserve">Autism </w:t>
      </w:r>
      <w:r w:rsidR="00636D34">
        <w:rPr>
          <w:rFonts w:eastAsia="Times New Roman" w:cs="Times New Roman"/>
          <w:kern w:val="0"/>
          <w:szCs w:val="24"/>
          <w14:ligatures w14:val="none"/>
        </w:rPr>
        <w:t>I</w:t>
      </w:r>
      <w:r w:rsidRPr="00492B0D">
        <w:rPr>
          <w:rFonts w:eastAsia="Times New Roman" w:cs="Times New Roman"/>
          <w:kern w:val="0"/>
          <w:szCs w:val="24"/>
          <w14:ligatures w14:val="none"/>
        </w:rPr>
        <w:t>nnovation Strategy</w:t>
      </w:r>
    </w:p>
    <w:p w14:paraId="2837BDEE" w14:textId="32173228" w:rsidR="00492B0D" w:rsidRPr="00492B0D" w:rsidRDefault="00492B0D" w:rsidP="00492B0D">
      <w:pPr>
        <w:pStyle w:val="ListParagraph"/>
        <w:numPr>
          <w:ilvl w:val="0"/>
          <w:numId w:val="12"/>
        </w:numPr>
        <w:spacing w:after="0"/>
        <w:rPr>
          <w:rFonts w:eastAsia="Times New Roman" w:cs="Times New Roman"/>
          <w:kern w:val="0"/>
          <w:szCs w:val="24"/>
          <w14:ligatures w14:val="none"/>
        </w:rPr>
      </w:pPr>
      <w:r w:rsidRPr="00492B0D">
        <w:rPr>
          <w:rFonts w:eastAsia="Times New Roman" w:cs="Times New Roman"/>
          <w:kern w:val="0"/>
          <w:szCs w:val="24"/>
          <w14:ligatures w14:val="none"/>
        </w:rPr>
        <w:t>Pathways to Work Strategy</w:t>
      </w:r>
    </w:p>
    <w:p w14:paraId="7D749B94" w14:textId="48DBDC52" w:rsidR="00492B0D" w:rsidRDefault="00492B0D" w:rsidP="00492B0D">
      <w:pPr>
        <w:pStyle w:val="ListParagraph"/>
        <w:numPr>
          <w:ilvl w:val="0"/>
          <w:numId w:val="12"/>
        </w:numPr>
        <w:spacing w:after="0"/>
        <w:rPr>
          <w:rFonts w:eastAsia="Times New Roman" w:cs="Times New Roman"/>
          <w:kern w:val="0"/>
          <w:szCs w:val="24"/>
          <w14:ligatures w14:val="none"/>
        </w:rPr>
      </w:pPr>
      <w:r w:rsidRPr="00492B0D">
        <w:rPr>
          <w:rFonts w:eastAsia="Times New Roman" w:cs="Times New Roman"/>
          <w:kern w:val="0"/>
          <w:szCs w:val="24"/>
          <w14:ligatures w14:val="none"/>
        </w:rPr>
        <w:t>Roadmap to Social Inclusion</w:t>
      </w:r>
    </w:p>
    <w:p w14:paraId="41E76843" w14:textId="67D90D06" w:rsidR="00DB1036" w:rsidRDefault="00DB1036" w:rsidP="00492B0D">
      <w:pPr>
        <w:pStyle w:val="ListParagraph"/>
        <w:numPr>
          <w:ilvl w:val="0"/>
          <w:numId w:val="12"/>
        </w:numPr>
        <w:spacing w:after="0"/>
        <w:rPr>
          <w:rFonts w:eastAsia="Times New Roman" w:cs="Times New Roman"/>
          <w:kern w:val="0"/>
          <w:szCs w:val="24"/>
          <w14:ligatures w14:val="none"/>
        </w:rPr>
      </w:pPr>
      <w:r>
        <w:rPr>
          <w:rFonts w:eastAsia="Times New Roman" w:cs="Times New Roman"/>
          <w:kern w:val="0"/>
          <w:szCs w:val="24"/>
          <w14:ligatures w14:val="none"/>
        </w:rPr>
        <w:t>The Nicosia Declaration 2025 - From Margins to Mainstream: Integrating Accessibility and Universal Design Across Higher Education Curricula</w:t>
      </w:r>
    </w:p>
    <w:p w14:paraId="7D29209E" w14:textId="77777777" w:rsidR="00684AAB" w:rsidRDefault="00684AAB" w:rsidP="00684AAB">
      <w:pPr>
        <w:spacing w:after="0"/>
        <w:rPr>
          <w:rFonts w:eastAsia="Times New Roman" w:cs="Times New Roman"/>
          <w:kern w:val="0"/>
          <w:szCs w:val="24"/>
          <w14:ligatures w14:val="none"/>
        </w:rPr>
      </w:pPr>
    </w:p>
    <w:p w14:paraId="3E8754A2" w14:textId="3463EE6B" w:rsidR="003E693E" w:rsidRDefault="00242AA6" w:rsidP="00684AAB">
      <w:pPr>
        <w:spacing w:after="0"/>
        <w:rPr>
          <w:rFonts w:eastAsia="Times New Roman" w:cs="Times New Roman"/>
          <w:kern w:val="0"/>
          <w:szCs w:val="24"/>
          <w14:ligatures w14:val="none"/>
        </w:rPr>
      </w:pPr>
      <w:r>
        <w:rPr>
          <w:rFonts w:eastAsia="Times New Roman" w:cs="Times New Roman"/>
          <w:kern w:val="0"/>
          <w:szCs w:val="24"/>
          <w14:ligatures w14:val="none"/>
        </w:rPr>
        <w:t xml:space="preserve">Such strategies and </w:t>
      </w:r>
      <w:r w:rsidR="008552BC">
        <w:rPr>
          <w:rFonts w:eastAsia="Times New Roman" w:cs="Times New Roman"/>
          <w:kern w:val="0"/>
          <w:szCs w:val="24"/>
          <w14:ligatures w14:val="none"/>
        </w:rPr>
        <w:t>policies</w:t>
      </w:r>
      <w:r>
        <w:rPr>
          <w:rFonts w:eastAsia="Times New Roman" w:cs="Times New Roman"/>
          <w:kern w:val="0"/>
          <w:szCs w:val="24"/>
          <w14:ligatures w14:val="none"/>
        </w:rPr>
        <w:t xml:space="preserve"> recognise u</w:t>
      </w:r>
      <w:r w:rsidR="003E693E">
        <w:rPr>
          <w:rFonts w:eastAsia="Times New Roman" w:cs="Times New Roman"/>
          <w:kern w:val="0"/>
          <w:szCs w:val="24"/>
          <w14:ligatures w14:val="none"/>
        </w:rPr>
        <w:t>niversal design and accessibility</w:t>
      </w:r>
      <w:r>
        <w:rPr>
          <w:rFonts w:eastAsia="Times New Roman" w:cs="Times New Roman"/>
          <w:kern w:val="0"/>
          <w:szCs w:val="24"/>
          <w14:ligatures w14:val="none"/>
        </w:rPr>
        <w:t xml:space="preserve"> </w:t>
      </w:r>
      <w:r w:rsidR="003E693E">
        <w:rPr>
          <w:rFonts w:eastAsia="Times New Roman" w:cs="Times New Roman"/>
          <w:kern w:val="0"/>
          <w:szCs w:val="24"/>
          <w14:ligatures w14:val="none"/>
        </w:rPr>
        <w:t xml:space="preserve">as core principles underpinning </w:t>
      </w:r>
      <w:r>
        <w:rPr>
          <w:rFonts w:eastAsia="Times New Roman" w:cs="Times New Roman"/>
          <w:kern w:val="0"/>
          <w:szCs w:val="24"/>
          <w14:ligatures w14:val="none"/>
        </w:rPr>
        <w:t xml:space="preserve">a more inclusive society. </w:t>
      </w:r>
      <w:r w:rsidR="003E693E">
        <w:rPr>
          <w:rFonts w:eastAsia="Times New Roman" w:cs="Times New Roman"/>
          <w:kern w:val="0"/>
          <w:szCs w:val="24"/>
          <w14:ligatures w14:val="none"/>
        </w:rPr>
        <w:t xml:space="preserve">Embedding universal design principles and guidelines </w:t>
      </w:r>
      <w:r w:rsidR="0093396C">
        <w:rPr>
          <w:rFonts w:eastAsia="Times New Roman" w:cs="Times New Roman"/>
          <w:kern w:val="0"/>
          <w:szCs w:val="24"/>
          <w14:ligatures w14:val="none"/>
        </w:rPr>
        <w:t xml:space="preserve">beyond the classroom and throughout the student journey requires an attitudinal and cultural shift where </w:t>
      </w:r>
      <w:r w:rsidR="00650876">
        <w:rPr>
          <w:rFonts w:eastAsia="Times New Roman" w:cs="Times New Roman"/>
          <w:kern w:val="0"/>
          <w:szCs w:val="24"/>
          <w14:ligatures w14:val="none"/>
        </w:rPr>
        <w:t xml:space="preserve">difference is normal, diversity is </w:t>
      </w:r>
      <w:r w:rsidR="00122448">
        <w:rPr>
          <w:rFonts w:eastAsia="Times New Roman" w:cs="Times New Roman"/>
          <w:kern w:val="0"/>
          <w:szCs w:val="24"/>
          <w14:ligatures w14:val="none"/>
        </w:rPr>
        <w:t>celebrated,</w:t>
      </w:r>
      <w:r w:rsidR="00650876">
        <w:rPr>
          <w:rFonts w:eastAsia="Times New Roman" w:cs="Times New Roman"/>
          <w:kern w:val="0"/>
          <w:szCs w:val="24"/>
          <w14:ligatures w14:val="none"/>
        </w:rPr>
        <w:t xml:space="preserve"> and</w:t>
      </w:r>
      <w:r w:rsidR="003B25F5">
        <w:rPr>
          <w:rFonts w:eastAsia="Times New Roman" w:cs="Times New Roman"/>
          <w:kern w:val="0"/>
          <w:szCs w:val="24"/>
          <w14:ligatures w14:val="none"/>
        </w:rPr>
        <w:t xml:space="preserve"> </w:t>
      </w:r>
      <w:r w:rsidR="00D3222A">
        <w:rPr>
          <w:rFonts w:eastAsia="Times New Roman" w:cs="Times New Roman"/>
          <w:kern w:val="0"/>
          <w:szCs w:val="24"/>
          <w14:ligatures w14:val="none"/>
        </w:rPr>
        <w:t xml:space="preserve">access is assumed. </w:t>
      </w:r>
      <w:r w:rsidR="00F62D35">
        <w:rPr>
          <w:rFonts w:eastAsia="Times New Roman" w:cs="Times New Roman"/>
          <w:kern w:val="0"/>
          <w:szCs w:val="24"/>
          <w14:ligatures w14:val="none"/>
        </w:rPr>
        <w:t xml:space="preserve">More than optional accommodations, it’s critical that these commitments are reflected in and bolstered by the </w:t>
      </w:r>
      <w:r w:rsidR="00240AE3">
        <w:rPr>
          <w:rFonts w:eastAsia="Times New Roman" w:cs="Times New Roman"/>
          <w:kern w:val="0"/>
          <w:szCs w:val="24"/>
          <w14:ligatures w14:val="none"/>
        </w:rPr>
        <w:t>T</w:t>
      </w:r>
      <w:r w:rsidR="00F62D35">
        <w:rPr>
          <w:rFonts w:eastAsia="Times New Roman" w:cs="Times New Roman"/>
          <w:kern w:val="0"/>
          <w:szCs w:val="24"/>
          <w14:ligatures w14:val="none"/>
        </w:rPr>
        <w:t xml:space="preserve">ertiary </w:t>
      </w:r>
      <w:r w:rsidR="00240AE3">
        <w:rPr>
          <w:rFonts w:eastAsia="Times New Roman" w:cs="Times New Roman"/>
          <w:kern w:val="0"/>
          <w:szCs w:val="24"/>
          <w14:ligatures w14:val="none"/>
        </w:rPr>
        <w:t>E</w:t>
      </w:r>
      <w:r w:rsidR="00F62D35">
        <w:rPr>
          <w:rFonts w:eastAsia="Times New Roman" w:cs="Times New Roman"/>
          <w:kern w:val="0"/>
          <w:szCs w:val="24"/>
          <w14:ligatures w14:val="none"/>
        </w:rPr>
        <w:t xml:space="preserve">ducation </w:t>
      </w:r>
      <w:r w:rsidR="00240AE3">
        <w:rPr>
          <w:rFonts w:eastAsia="Times New Roman" w:cs="Times New Roman"/>
          <w:kern w:val="0"/>
          <w:szCs w:val="24"/>
          <w14:ligatures w14:val="none"/>
        </w:rPr>
        <w:t>S</w:t>
      </w:r>
      <w:r w:rsidR="00F62D35">
        <w:rPr>
          <w:rFonts w:eastAsia="Times New Roman" w:cs="Times New Roman"/>
          <w:kern w:val="0"/>
          <w:szCs w:val="24"/>
          <w14:ligatures w14:val="none"/>
        </w:rPr>
        <w:t>trategy.</w:t>
      </w:r>
    </w:p>
    <w:p w14:paraId="484474A0" w14:textId="3907200D" w:rsidR="00755B73" w:rsidRDefault="00755B73" w:rsidP="00684AAB"/>
    <w:sectPr w:rsidR="00755B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1F35" w14:textId="77777777" w:rsidR="00FC27B9" w:rsidRDefault="00FC27B9" w:rsidP="00917FAC">
      <w:pPr>
        <w:spacing w:after="0"/>
      </w:pPr>
      <w:r>
        <w:separator/>
      </w:r>
    </w:p>
  </w:endnote>
  <w:endnote w:type="continuationSeparator" w:id="0">
    <w:p w14:paraId="673135AC" w14:textId="77777777" w:rsidR="00FC27B9" w:rsidRDefault="00FC27B9"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29475916" w:rsidR="00917FAC" w:rsidRDefault="00492B0D" w:rsidP="00E457C6">
    <w:pPr>
      <w:pStyle w:val="Footer"/>
    </w:pPr>
    <w:r>
      <w:t>‘</w:t>
    </w:r>
    <w:r w:rsidR="00E457C6" w:rsidRPr="00492B0D">
      <w:t>Submission to</w:t>
    </w:r>
    <w:r w:rsidRPr="00492B0D">
      <w:t xml:space="preserve"> the DFHERIS on the Tertiary Education Strategy</w:t>
    </w:r>
    <w:r>
      <w:t>’</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90BB" w14:textId="77777777" w:rsidR="00FC27B9" w:rsidRDefault="00FC27B9" w:rsidP="00917FAC">
      <w:pPr>
        <w:spacing w:after="0"/>
      </w:pPr>
      <w:r>
        <w:separator/>
      </w:r>
    </w:p>
  </w:footnote>
  <w:footnote w:type="continuationSeparator" w:id="0">
    <w:p w14:paraId="5B01F503" w14:textId="77777777" w:rsidR="00FC27B9" w:rsidRDefault="00FC27B9" w:rsidP="00917FAC">
      <w:pPr>
        <w:spacing w:after="0"/>
      </w:pPr>
      <w:r>
        <w:continuationSeparator/>
      </w:r>
    </w:p>
  </w:footnote>
  <w:footnote w:id="1">
    <w:p w14:paraId="5014A352" w14:textId="77777777" w:rsidR="006A6ABE" w:rsidRDefault="006A6ABE" w:rsidP="006A6ABE">
      <w:pPr>
        <w:pStyle w:val="FootnoteText"/>
      </w:pPr>
      <w:r>
        <w:rPr>
          <w:rStyle w:val="FootnoteReference"/>
        </w:rPr>
        <w:footnoteRef/>
      </w:r>
      <w:r>
        <w:t xml:space="preserve"> </w:t>
      </w:r>
      <w:hyperlink r:id="rId1" w:history="1">
        <w:r w:rsidRPr="0086222B">
          <w:rPr>
            <w:rStyle w:val="Hyperlink"/>
          </w:rPr>
          <w:t>Public Consultation on the Tertiary Education Strategy</w:t>
        </w:r>
      </w:hyperlink>
    </w:p>
  </w:footnote>
  <w:footnote w:id="2">
    <w:p w14:paraId="2E9FF7DE" w14:textId="37284BD7" w:rsidR="00056F9D" w:rsidRDefault="00056F9D">
      <w:pPr>
        <w:pStyle w:val="FootnoteText"/>
      </w:pPr>
      <w:r>
        <w:rPr>
          <w:rStyle w:val="FootnoteReference"/>
        </w:rPr>
        <w:footnoteRef/>
      </w:r>
      <w:r>
        <w:t xml:space="preserve"> Census 2022</w:t>
      </w:r>
    </w:p>
  </w:footnote>
  <w:footnote w:id="3">
    <w:p w14:paraId="49C82FAD" w14:textId="144C1BD7" w:rsidR="003C244A" w:rsidRDefault="003C244A">
      <w:pPr>
        <w:pStyle w:val="FootnoteText"/>
      </w:pPr>
      <w:r>
        <w:rPr>
          <w:rStyle w:val="FootnoteReference"/>
        </w:rPr>
        <w:footnoteRef/>
      </w:r>
      <w:r>
        <w:t xml:space="preserve"> The Nicosia Declaration</w:t>
      </w:r>
      <w:r w:rsidR="00EC1168">
        <w:t>. 2025.</w:t>
      </w:r>
      <w:r>
        <w:t xml:space="preserve"> ‘From Margins to Mainstream: Integrating Accessibility and Universal Design Across Higher Education Curricula’</w:t>
      </w:r>
      <w:r w:rsidR="00EC1168">
        <w:t>.</w:t>
      </w:r>
      <w:r>
        <w:t xml:space="preserve"> AAATE 2025 Conference, Cyprus</w:t>
      </w:r>
      <w:r w:rsidR="00EC1168">
        <w:t>.</w:t>
      </w:r>
    </w:p>
  </w:footnote>
  <w:footnote w:id="4">
    <w:p w14:paraId="1BB596CA" w14:textId="07D69386" w:rsidR="00EC1168" w:rsidRDefault="00EC1168">
      <w:pPr>
        <w:pStyle w:val="FootnoteText"/>
      </w:pPr>
      <w:r>
        <w:rPr>
          <w:rStyle w:val="FootnoteReference"/>
        </w:rPr>
        <w:footnoteRef/>
      </w:r>
      <w:r>
        <w:t xml:space="preserve"> Professor Loizos </w:t>
      </w:r>
      <w:proofErr w:type="spellStart"/>
      <w:r>
        <w:t>Symeou</w:t>
      </w:r>
      <w:proofErr w:type="spellEnd"/>
      <w:r>
        <w:t>. 2025. Welcome speech at ‘AccessibleEU European Event: Enhancing an Accessible Educational Ecosystem’. European University Cyprus.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2658" w14:textId="123961EF" w:rsidR="00917FAC" w:rsidRDefault="00492B0D">
    <w:pPr>
      <w:pStyle w:val="Header"/>
    </w:pPr>
    <w:r>
      <w:t>NATIONAL DISABILITY AUTHORITY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A0F1B3C"/>
    <w:multiLevelType w:val="hybridMultilevel"/>
    <w:tmpl w:val="F92A6D2C"/>
    <w:lvl w:ilvl="0" w:tplc="18090001">
      <w:start w:val="1"/>
      <w:numFmt w:val="bullet"/>
      <w:lvlText w:val=""/>
      <w:lvlJc w:val="left"/>
      <w:pPr>
        <w:ind w:left="1524" w:hanging="360"/>
      </w:pPr>
      <w:rPr>
        <w:rFonts w:ascii="Symbol" w:hAnsi="Symbol" w:hint="default"/>
      </w:rPr>
    </w:lvl>
    <w:lvl w:ilvl="1" w:tplc="18090003" w:tentative="1">
      <w:start w:val="1"/>
      <w:numFmt w:val="bullet"/>
      <w:lvlText w:val="o"/>
      <w:lvlJc w:val="left"/>
      <w:pPr>
        <w:ind w:left="2244" w:hanging="360"/>
      </w:pPr>
      <w:rPr>
        <w:rFonts w:ascii="Courier New" w:hAnsi="Courier New" w:cs="Courier New" w:hint="default"/>
      </w:rPr>
    </w:lvl>
    <w:lvl w:ilvl="2" w:tplc="18090005" w:tentative="1">
      <w:start w:val="1"/>
      <w:numFmt w:val="bullet"/>
      <w:lvlText w:val=""/>
      <w:lvlJc w:val="left"/>
      <w:pPr>
        <w:ind w:left="2964" w:hanging="360"/>
      </w:pPr>
      <w:rPr>
        <w:rFonts w:ascii="Wingdings" w:hAnsi="Wingdings" w:hint="default"/>
      </w:rPr>
    </w:lvl>
    <w:lvl w:ilvl="3" w:tplc="18090001" w:tentative="1">
      <w:start w:val="1"/>
      <w:numFmt w:val="bullet"/>
      <w:lvlText w:val=""/>
      <w:lvlJc w:val="left"/>
      <w:pPr>
        <w:ind w:left="3684" w:hanging="360"/>
      </w:pPr>
      <w:rPr>
        <w:rFonts w:ascii="Symbol" w:hAnsi="Symbol" w:hint="default"/>
      </w:rPr>
    </w:lvl>
    <w:lvl w:ilvl="4" w:tplc="18090003" w:tentative="1">
      <w:start w:val="1"/>
      <w:numFmt w:val="bullet"/>
      <w:lvlText w:val="o"/>
      <w:lvlJc w:val="left"/>
      <w:pPr>
        <w:ind w:left="4404" w:hanging="360"/>
      </w:pPr>
      <w:rPr>
        <w:rFonts w:ascii="Courier New" w:hAnsi="Courier New" w:cs="Courier New" w:hint="default"/>
      </w:rPr>
    </w:lvl>
    <w:lvl w:ilvl="5" w:tplc="18090005" w:tentative="1">
      <w:start w:val="1"/>
      <w:numFmt w:val="bullet"/>
      <w:lvlText w:val=""/>
      <w:lvlJc w:val="left"/>
      <w:pPr>
        <w:ind w:left="5124" w:hanging="360"/>
      </w:pPr>
      <w:rPr>
        <w:rFonts w:ascii="Wingdings" w:hAnsi="Wingdings" w:hint="default"/>
      </w:rPr>
    </w:lvl>
    <w:lvl w:ilvl="6" w:tplc="18090001" w:tentative="1">
      <w:start w:val="1"/>
      <w:numFmt w:val="bullet"/>
      <w:lvlText w:val=""/>
      <w:lvlJc w:val="left"/>
      <w:pPr>
        <w:ind w:left="5844" w:hanging="360"/>
      </w:pPr>
      <w:rPr>
        <w:rFonts w:ascii="Symbol" w:hAnsi="Symbol" w:hint="default"/>
      </w:rPr>
    </w:lvl>
    <w:lvl w:ilvl="7" w:tplc="18090003" w:tentative="1">
      <w:start w:val="1"/>
      <w:numFmt w:val="bullet"/>
      <w:lvlText w:val="o"/>
      <w:lvlJc w:val="left"/>
      <w:pPr>
        <w:ind w:left="6564" w:hanging="360"/>
      </w:pPr>
      <w:rPr>
        <w:rFonts w:ascii="Courier New" w:hAnsi="Courier New" w:cs="Courier New" w:hint="default"/>
      </w:rPr>
    </w:lvl>
    <w:lvl w:ilvl="8" w:tplc="18090005" w:tentative="1">
      <w:start w:val="1"/>
      <w:numFmt w:val="bullet"/>
      <w:lvlText w:val=""/>
      <w:lvlJc w:val="left"/>
      <w:pPr>
        <w:ind w:left="7284" w:hanging="360"/>
      </w:pPr>
      <w:rPr>
        <w:rFonts w:ascii="Wingdings" w:hAnsi="Wingdings" w:hint="default"/>
      </w:rPr>
    </w:lvl>
  </w:abstractNum>
  <w:abstractNum w:abstractNumId="3" w15:restartNumberingAfterBreak="0">
    <w:nsid w:val="1E09084F"/>
    <w:multiLevelType w:val="hybridMultilevel"/>
    <w:tmpl w:val="EF60E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3C7EE4"/>
    <w:multiLevelType w:val="hybridMultilevel"/>
    <w:tmpl w:val="7902D9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6DA21A0"/>
    <w:multiLevelType w:val="hybridMultilevel"/>
    <w:tmpl w:val="4CBC31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341A06"/>
    <w:multiLevelType w:val="hybridMultilevel"/>
    <w:tmpl w:val="FEE4F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1556BD2"/>
    <w:multiLevelType w:val="hybridMultilevel"/>
    <w:tmpl w:val="2B84E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A2F677F"/>
    <w:multiLevelType w:val="hybridMultilevel"/>
    <w:tmpl w:val="6054F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0827359"/>
    <w:multiLevelType w:val="hybridMultilevel"/>
    <w:tmpl w:val="B9C8D1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6"/>
  </w:num>
  <w:num w:numId="3" w16cid:durableId="323360036">
    <w:abstractNumId w:val="9"/>
  </w:num>
  <w:num w:numId="4" w16cid:durableId="1675497173">
    <w:abstractNumId w:val="7"/>
  </w:num>
  <w:num w:numId="5" w16cid:durableId="572157237">
    <w:abstractNumId w:val="8"/>
  </w:num>
  <w:num w:numId="6" w16cid:durableId="1523394075">
    <w:abstractNumId w:val="5"/>
  </w:num>
  <w:num w:numId="7" w16cid:durableId="912929873">
    <w:abstractNumId w:val="12"/>
  </w:num>
  <w:num w:numId="8" w16cid:durableId="977608658">
    <w:abstractNumId w:val="15"/>
  </w:num>
  <w:num w:numId="9" w16cid:durableId="2007705967">
    <w:abstractNumId w:val="11"/>
  </w:num>
  <w:num w:numId="10" w16cid:durableId="1419788596">
    <w:abstractNumId w:val="0"/>
  </w:num>
  <w:num w:numId="11" w16cid:durableId="1073820060">
    <w:abstractNumId w:val="13"/>
  </w:num>
  <w:num w:numId="12" w16cid:durableId="499538933">
    <w:abstractNumId w:val="4"/>
  </w:num>
  <w:num w:numId="13" w16cid:durableId="440954780">
    <w:abstractNumId w:val="14"/>
  </w:num>
  <w:num w:numId="14" w16cid:durableId="429282593">
    <w:abstractNumId w:val="2"/>
  </w:num>
  <w:num w:numId="15" w16cid:durableId="1150444522">
    <w:abstractNumId w:val="10"/>
  </w:num>
  <w:num w:numId="16" w16cid:durableId="234047870">
    <w:abstractNumId w:val="3"/>
  </w:num>
  <w:num w:numId="17" w16cid:durableId="1120219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5422"/>
    <w:rsid w:val="0001011C"/>
    <w:rsid w:val="00055494"/>
    <w:rsid w:val="00056F9D"/>
    <w:rsid w:val="0006646C"/>
    <w:rsid w:val="000779D8"/>
    <w:rsid w:val="00077BE4"/>
    <w:rsid w:val="00092733"/>
    <w:rsid w:val="0009355E"/>
    <w:rsid w:val="000B4526"/>
    <w:rsid w:val="000B672F"/>
    <w:rsid w:val="000D2090"/>
    <w:rsid w:val="000D2253"/>
    <w:rsid w:val="000D61AB"/>
    <w:rsid w:val="0010419F"/>
    <w:rsid w:val="0011658E"/>
    <w:rsid w:val="00122448"/>
    <w:rsid w:val="00126108"/>
    <w:rsid w:val="00130160"/>
    <w:rsid w:val="00136BB5"/>
    <w:rsid w:val="00151341"/>
    <w:rsid w:val="001538BD"/>
    <w:rsid w:val="00162052"/>
    <w:rsid w:val="00195915"/>
    <w:rsid w:val="001D59C1"/>
    <w:rsid w:val="00200C5C"/>
    <w:rsid w:val="00224B98"/>
    <w:rsid w:val="00240AE3"/>
    <w:rsid w:val="002417D9"/>
    <w:rsid w:val="00242AA6"/>
    <w:rsid w:val="00262A9E"/>
    <w:rsid w:val="00275743"/>
    <w:rsid w:val="00284FE5"/>
    <w:rsid w:val="0028705D"/>
    <w:rsid w:val="00296A67"/>
    <w:rsid w:val="002B1A27"/>
    <w:rsid w:val="002C54EC"/>
    <w:rsid w:val="002C7497"/>
    <w:rsid w:val="002C7DA3"/>
    <w:rsid w:val="002E0B25"/>
    <w:rsid w:val="002F3BCF"/>
    <w:rsid w:val="002F6202"/>
    <w:rsid w:val="003061F3"/>
    <w:rsid w:val="00306F14"/>
    <w:rsid w:val="0031069F"/>
    <w:rsid w:val="003277B7"/>
    <w:rsid w:val="003368CF"/>
    <w:rsid w:val="00357FB4"/>
    <w:rsid w:val="003617ED"/>
    <w:rsid w:val="003631E7"/>
    <w:rsid w:val="00367C01"/>
    <w:rsid w:val="003714B0"/>
    <w:rsid w:val="003867BB"/>
    <w:rsid w:val="00396AA3"/>
    <w:rsid w:val="003A15FE"/>
    <w:rsid w:val="003A6467"/>
    <w:rsid w:val="003B156B"/>
    <w:rsid w:val="003B25F5"/>
    <w:rsid w:val="003B47A0"/>
    <w:rsid w:val="003C244A"/>
    <w:rsid w:val="003C4200"/>
    <w:rsid w:val="003E693E"/>
    <w:rsid w:val="00413989"/>
    <w:rsid w:val="004169E2"/>
    <w:rsid w:val="004266C2"/>
    <w:rsid w:val="00431FAE"/>
    <w:rsid w:val="00442B2B"/>
    <w:rsid w:val="00443F3A"/>
    <w:rsid w:val="00444508"/>
    <w:rsid w:val="004838F4"/>
    <w:rsid w:val="00487B14"/>
    <w:rsid w:val="00492B0D"/>
    <w:rsid w:val="0049351F"/>
    <w:rsid w:val="004B32CA"/>
    <w:rsid w:val="004C3135"/>
    <w:rsid w:val="004D70E4"/>
    <w:rsid w:val="004E1BBA"/>
    <w:rsid w:val="004E4E8E"/>
    <w:rsid w:val="004F1BA6"/>
    <w:rsid w:val="004F3697"/>
    <w:rsid w:val="00505074"/>
    <w:rsid w:val="00511366"/>
    <w:rsid w:val="00523435"/>
    <w:rsid w:val="005275D1"/>
    <w:rsid w:val="0057353C"/>
    <w:rsid w:val="005744A5"/>
    <w:rsid w:val="00581D4B"/>
    <w:rsid w:val="00593E71"/>
    <w:rsid w:val="005A394E"/>
    <w:rsid w:val="005A4F46"/>
    <w:rsid w:val="005A76FD"/>
    <w:rsid w:val="005C219A"/>
    <w:rsid w:val="005F1F01"/>
    <w:rsid w:val="005F5412"/>
    <w:rsid w:val="00602EB6"/>
    <w:rsid w:val="00607632"/>
    <w:rsid w:val="00610919"/>
    <w:rsid w:val="00622DA5"/>
    <w:rsid w:val="00632FE4"/>
    <w:rsid w:val="00636D34"/>
    <w:rsid w:val="006405CE"/>
    <w:rsid w:val="00647485"/>
    <w:rsid w:val="00650876"/>
    <w:rsid w:val="006544B6"/>
    <w:rsid w:val="00656BB7"/>
    <w:rsid w:val="00656E18"/>
    <w:rsid w:val="0066161A"/>
    <w:rsid w:val="0066208D"/>
    <w:rsid w:val="00662465"/>
    <w:rsid w:val="00664A4E"/>
    <w:rsid w:val="00681180"/>
    <w:rsid w:val="00684AAB"/>
    <w:rsid w:val="006A6ABE"/>
    <w:rsid w:val="006B3E2B"/>
    <w:rsid w:val="006C065A"/>
    <w:rsid w:val="006C1CFB"/>
    <w:rsid w:val="006F4973"/>
    <w:rsid w:val="006F507A"/>
    <w:rsid w:val="00700946"/>
    <w:rsid w:val="00710555"/>
    <w:rsid w:val="00722D6C"/>
    <w:rsid w:val="00725989"/>
    <w:rsid w:val="00733D84"/>
    <w:rsid w:val="00745B19"/>
    <w:rsid w:val="007521B0"/>
    <w:rsid w:val="0075393D"/>
    <w:rsid w:val="00755B73"/>
    <w:rsid w:val="007733E0"/>
    <w:rsid w:val="00783AE2"/>
    <w:rsid w:val="00787A7B"/>
    <w:rsid w:val="007B30B4"/>
    <w:rsid w:val="007C66D0"/>
    <w:rsid w:val="007C6FDE"/>
    <w:rsid w:val="007D0971"/>
    <w:rsid w:val="007F0783"/>
    <w:rsid w:val="007F44A3"/>
    <w:rsid w:val="00807BF6"/>
    <w:rsid w:val="008157EE"/>
    <w:rsid w:val="00825674"/>
    <w:rsid w:val="00846BFC"/>
    <w:rsid w:val="00853D80"/>
    <w:rsid w:val="008552BC"/>
    <w:rsid w:val="00857388"/>
    <w:rsid w:val="0086222B"/>
    <w:rsid w:val="0088215B"/>
    <w:rsid w:val="008A60AC"/>
    <w:rsid w:val="008B3CD3"/>
    <w:rsid w:val="008F2129"/>
    <w:rsid w:val="00917FAC"/>
    <w:rsid w:val="00920097"/>
    <w:rsid w:val="00927371"/>
    <w:rsid w:val="0093396C"/>
    <w:rsid w:val="00950A63"/>
    <w:rsid w:val="009621DB"/>
    <w:rsid w:val="009A115A"/>
    <w:rsid w:val="009A6DB0"/>
    <w:rsid w:val="009B2485"/>
    <w:rsid w:val="009E4CE3"/>
    <w:rsid w:val="009F1FE8"/>
    <w:rsid w:val="009F4396"/>
    <w:rsid w:val="00A10440"/>
    <w:rsid w:val="00A15B73"/>
    <w:rsid w:val="00A350CB"/>
    <w:rsid w:val="00A6643A"/>
    <w:rsid w:val="00A97619"/>
    <w:rsid w:val="00AF1368"/>
    <w:rsid w:val="00AF238D"/>
    <w:rsid w:val="00B10820"/>
    <w:rsid w:val="00B17262"/>
    <w:rsid w:val="00B27A71"/>
    <w:rsid w:val="00B41B42"/>
    <w:rsid w:val="00B53A64"/>
    <w:rsid w:val="00B61FED"/>
    <w:rsid w:val="00B65DE2"/>
    <w:rsid w:val="00B81FF1"/>
    <w:rsid w:val="00B8382B"/>
    <w:rsid w:val="00B870ED"/>
    <w:rsid w:val="00BA6350"/>
    <w:rsid w:val="00BC459C"/>
    <w:rsid w:val="00BF4352"/>
    <w:rsid w:val="00BF4CA1"/>
    <w:rsid w:val="00C15849"/>
    <w:rsid w:val="00C160D6"/>
    <w:rsid w:val="00C2009D"/>
    <w:rsid w:val="00C25279"/>
    <w:rsid w:val="00C31EB2"/>
    <w:rsid w:val="00C358A1"/>
    <w:rsid w:val="00C4043A"/>
    <w:rsid w:val="00C775A2"/>
    <w:rsid w:val="00C81D7F"/>
    <w:rsid w:val="00C839FF"/>
    <w:rsid w:val="00C86F8E"/>
    <w:rsid w:val="00C91BFB"/>
    <w:rsid w:val="00CB1BEB"/>
    <w:rsid w:val="00D03BC1"/>
    <w:rsid w:val="00D119BB"/>
    <w:rsid w:val="00D23153"/>
    <w:rsid w:val="00D3222A"/>
    <w:rsid w:val="00D32332"/>
    <w:rsid w:val="00D400DD"/>
    <w:rsid w:val="00D4385A"/>
    <w:rsid w:val="00D67886"/>
    <w:rsid w:val="00D71CA2"/>
    <w:rsid w:val="00D748B3"/>
    <w:rsid w:val="00D777F0"/>
    <w:rsid w:val="00D8572D"/>
    <w:rsid w:val="00D95AAE"/>
    <w:rsid w:val="00DB1036"/>
    <w:rsid w:val="00DB224C"/>
    <w:rsid w:val="00DC4AC0"/>
    <w:rsid w:val="00DE3566"/>
    <w:rsid w:val="00DE7E32"/>
    <w:rsid w:val="00E0371B"/>
    <w:rsid w:val="00E03D28"/>
    <w:rsid w:val="00E31525"/>
    <w:rsid w:val="00E37B36"/>
    <w:rsid w:val="00E43CA3"/>
    <w:rsid w:val="00E443EE"/>
    <w:rsid w:val="00E457C6"/>
    <w:rsid w:val="00E53A2F"/>
    <w:rsid w:val="00E5695B"/>
    <w:rsid w:val="00E62FB0"/>
    <w:rsid w:val="00E85F90"/>
    <w:rsid w:val="00E97A63"/>
    <w:rsid w:val="00EA59EA"/>
    <w:rsid w:val="00EA69CB"/>
    <w:rsid w:val="00EB14EE"/>
    <w:rsid w:val="00EB27BF"/>
    <w:rsid w:val="00EC1168"/>
    <w:rsid w:val="00EC1D52"/>
    <w:rsid w:val="00EF6B03"/>
    <w:rsid w:val="00F01A99"/>
    <w:rsid w:val="00F12A6C"/>
    <w:rsid w:val="00F45468"/>
    <w:rsid w:val="00F47F1C"/>
    <w:rsid w:val="00F62D35"/>
    <w:rsid w:val="00F77F28"/>
    <w:rsid w:val="00F97321"/>
    <w:rsid w:val="00FC09EC"/>
    <w:rsid w:val="00FC27B9"/>
    <w:rsid w:val="00FD6D08"/>
    <w:rsid w:val="00FE59DA"/>
    <w:rsid w:val="00FF0B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9"/>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9"/>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aliases w:val="igunore,Subtitle Cover Page,List Paragraph Report,Bullet 1,Bullet Points,Colorful List - Accent 11,F5 List Paragraph,Indicator Text,List Paragraph Char Char Char,List Paragraph11,List Paragraph12,List Paragraph2,MAIN CONTENT,No Spacing1,3"/>
    <w:basedOn w:val="Normal"/>
    <w:link w:val="ListParagraphChar"/>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Char,Char Char Char,F1,Footnote Text Char1"/>
    <w:basedOn w:val="Normal"/>
    <w:link w:val="FootnoteTextChar"/>
    <w:uiPriority w:val="99"/>
    <w:unhideWhenUsed/>
    <w:qFormat/>
    <w:rsid w:val="004D70E4"/>
    <w:pPr>
      <w:spacing w:after="0"/>
    </w:pPr>
    <w:rPr>
      <w:sz w:val="20"/>
      <w:szCs w:val="20"/>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F1 Char"/>
    <w:basedOn w:val="DefaultParagraphFont"/>
    <w:link w:val="FootnoteText"/>
    <w:uiPriority w:val="99"/>
    <w:rsid w:val="004D70E4"/>
    <w:rPr>
      <w:rFonts w:ascii="Verdana" w:hAnsi="Verdana"/>
      <w:sz w:val="20"/>
      <w:szCs w:val="20"/>
    </w:rPr>
  </w:style>
  <w:style w:type="character" w:styleId="FootnoteReference">
    <w:name w:val="footnote reference"/>
    <w:aliases w:val="Footnote symbol,Footnote reference number,Times 10 Point,Exposant 3 Point,EN Footnote Reference,note TESI,Footnote Reference_LVL6,Footnote Reference_LVL61,Footnote Reference_LVL62,Footnote Reference_LVL63,SUPE,Footnotes refs,SUPERS"/>
    <w:basedOn w:val="DefaultParagraphFont"/>
    <w:link w:val="4GCharCharCharCharCharChar"/>
    <w:uiPriority w:val="99"/>
    <w:unhideWhenUsed/>
    <w:qFormat/>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character" w:styleId="UnresolvedMention">
    <w:name w:val="Unresolved Mention"/>
    <w:basedOn w:val="DefaultParagraphFont"/>
    <w:uiPriority w:val="99"/>
    <w:semiHidden/>
    <w:unhideWhenUsed/>
    <w:rsid w:val="0086222B"/>
    <w:rPr>
      <w:color w:val="605E5C"/>
      <w:shd w:val="clear" w:color="auto" w:fill="E1DFDD"/>
    </w:rPr>
  </w:style>
  <w:style w:type="character" w:customStyle="1" w:styleId="ListParagraphChar">
    <w:name w:val="List Paragraph Char"/>
    <w:aliases w:val="igunore Char,Subtitle Cover Page Char,List Paragraph Report Char,Bullet 1 Char,Bullet Points Char,Colorful List - Accent 11 Char,F5 List Paragraph Char,Indicator Text Char,List Paragraph Char Char Char Char,List Paragraph11 Char"/>
    <w:link w:val="ListParagraph"/>
    <w:uiPriority w:val="34"/>
    <w:qFormat/>
    <w:locked/>
    <w:rsid w:val="007F44A3"/>
    <w:rPr>
      <w:rFonts w:ascii="Verdana" w:hAnsi="Verdana"/>
      <w:sz w:val="24"/>
    </w:rPr>
  </w:style>
  <w:style w:type="character" w:styleId="FollowedHyperlink">
    <w:name w:val="FollowedHyperlink"/>
    <w:basedOn w:val="DefaultParagraphFont"/>
    <w:uiPriority w:val="99"/>
    <w:semiHidden/>
    <w:unhideWhenUsed/>
    <w:rsid w:val="00755B73"/>
    <w:rPr>
      <w:color w:val="954F72" w:themeColor="followedHyperlink"/>
      <w:u w:val="single"/>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6A6ABE"/>
    <w:pPr>
      <w:spacing w:before="240" w:after="160" w:line="240" w:lineRule="exact"/>
      <w:jc w:val="both"/>
    </w:pPr>
    <w:rPr>
      <w:rFonts w:asciiTheme="minorHAnsi" w:hAnsiTheme="minorHAnsi"/>
      <w:sz w:val="22"/>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rsid w:val="00C2009D"/>
    <w:pPr>
      <w:spacing w:after="160" w:line="240" w:lineRule="exact"/>
      <w:jc w:val="both"/>
    </w:pPr>
    <w:rPr>
      <w:rFonts w:asciiTheme="minorHAnsi" w:hAnsiTheme="minorHAnsi"/>
      <w:sz w:val="22"/>
      <w:vertAlign w:val="superscript"/>
    </w:rPr>
  </w:style>
  <w:style w:type="paragraph" w:styleId="ListBullet2">
    <w:name w:val="List Bullet 2"/>
    <w:basedOn w:val="Normal"/>
    <w:rsid w:val="007D0971"/>
    <w:pPr>
      <w:numPr>
        <w:numId w:val="10"/>
      </w:numPr>
      <w:spacing w:before="60" w:after="60"/>
    </w:pPr>
    <w:rPr>
      <w:rFonts w:ascii="Gill Sans MT" w:eastAsia="Times New Roman" w:hAnsi="Gill Sans MT" w:cs="Times New Roman"/>
      <w:kern w:val="0"/>
      <w:sz w:val="26"/>
      <w:szCs w:val="24"/>
      <w14:ligatures w14:val="none"/>
    </w:rPr>
  </w:style>
  <w:style w:type="paragraph" w:styleId="Revision">
    <w:name w:val="Revision"/>
    <w:hidden/>
    <w:uiPriority w:val="99"/>
    <w:semiHidden/>
    <w:rsid w:val="00D119BB"/>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752557">
      <w:bodyDiv w:val="1"/>
      <w:marLeft w:val="0"/>
      <w:marRight w:val="0"/>
      <w:marTop w:val="0"/>
      <w:marBottom w:val="0"/>
      <w:divBdr>
        <w:top w:val="none" w:sz="0" w:space="0" w:color="auto"/>
        <w:left w:val="none" w:sz="0" w:space="0" w:color="auto"/>
        <w:bottom w:val="none" w:sz="0" w:space="0" w:color="auto"/>
        <w:right w:val="none" w:sz="0" w:space="0" w:color="auto"/>
      </w:divBdr>
    </w:div>
    <w:div w:id="18353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niversaldesign.ie/publications/universal-design-in-education-and-training-policy-landscape-in-ireland" TargetMode="External"/><Relationship Id="rId18" Type="http://schemas.openxmlformats.org/officeDocument/2006/relationships/hyperlink" Target="https://universaldesign.ie/about-universal-design/products-and-services/standard-i-s-en-171612019-design-for-all" TargetMode="External"/><Relationship Id="rId26" Type="http://schemas.openxmlformats.org/officeDocument/2006/relationships/hyperlink" Target="https://assets.gov.ie/static/documents/33a36e70/National_Human_Rights_Strategy_for_Disabled_People_WEB_04.09.25.pdf" TargetMode="External"/><Relationship Id="rId3" Type="http://schemas.openxmlformats.org/officeDocument/2006/relationships/styles" Target="styles.xml"/><Relationship Id="rId21" Type="http://schemas.openxmlformats.org/officeDocument/2006/relationships/hyperlink" Target="https://universaldesign.ie/education/primary-level-education" TargetMode="External"/><Relationship Id="rId7" Type="http://schemas.openxmlformats.org/officeDocument/2006/relationships/endnotes" Target="endnotes.xml"/><Relationship Id="rId12" Type="http://schemas.openxmlformats.org/officeDocument/2006/relationships/hyperlink" Target="https://www.ahead.ie/userfiles/files/shop/free/AHEAD%20Participation%20Rates%2023-24_digital.pdf" TargetMode="External"/><Relationship Id="rId17" Type="http://schemas.openxmlformats.org/officeDocument/2006/relationships/hyperlink" Target="https://universaldesign.ie/uploads/publications/path-4-requirements-sept-2022-full-document_2024-10-08-165312_qkyg.pdf" TargetMode="External"/><Relationship Id="rId25" Type="http://schemas.openxmlformats.org/officeDocument/2006/relationships/hyperlink" Target="https://nda.ie/publications/final-review-of-progress-under-the-comprehensive-employment-strategy-for-people-with-disabilities-2015-2024" TargetMode="External"/><Relationship Id="rId2" Type="http://schemas.openxmlformats.org/officeDocument/2006/relationships/numbering" Target="numbering.xml"/><Relationship Id="rId16" Type="http://schemas.openxmlformats.org/officeDocument/2006/relationships/hyperlink" Target="https://hea.ie/policy/access-policy/path/" TargetMode="External"/><Relationship Id="rId20" Type="http://schemas.openxmlformats.org/officeDocument/2006/relationships/hyperlink" Target="https://www.universityofgalway.ie/media/equality/files/QA182-Universal-Design-and-Accessibility-Policy.pdf" TargetMode="External"/><Relationship Id="rId29" Type="http://schemas.openxmlformats.org/officeDocument/2006/relationships/hyperlink" Target="https://www.ictu.ie/sites/default/files/users/user319/Reasonable%20Accommodation%20Passport%202022_V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a.ie/publications/nda-factsheet-1-disability-statistics" TargetMode="External"/><Relationship Id="rId24" Type="http://schemas.openxmlformats.org/officeDocument/2006/relationships/hyperlink" Target="https://udlguidelines.cast.org/" TargetMode="External"/><Relationship Id="rId5" Type="http://schemas.openxmlformats.org/officeDocument/2006/relationships/webSettings" Target="webSettings.xml"/><Relationship Id="rId15" Type="http://schemas.openxmlformats.org/officeDocument/2006/relationships/hyperlink" Target="https://hea.ie/assets/uploads/2024/07/PATH-4-Phase-1-Implementation-Guidelines.pdf" TargetMode="External"/><Relationship Id="rId23" Type="http://schemas.openxmlformats.org/officeDocument/2006/relationships/hyperlink" Target="https://universaldesign.ie/communications-digital/artificial-intelligence" TargetMode="External"/><Relationship Id="rId28" Type="http://schemas.openxmlformats.org/officeDocument/2006/relationships/hyperlink" Target="https://www.ahead.ie/userfiles/files/The%20Web%20Accessibility%20Directive-digital.pdf" TargetMode="External"/><Relationship Id="rId10" Type="http://schemas.openxmlformats.org/officeDocument/2006/relationships/footer" Target="footer1.xml"/><Relationship Id="rId19" Type="http://schemas.openxmlformats.org/officeDocument/2006/relationships/hyperlink" Target="https://www.ucc.ie/en/president/strategy202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head.ie/altitude" TargetMode="External"/><Relationship Id="rId22" Type="http://schemas.openxmlformats.org/officeDocument/2006/relationships/hyperlink" Target="https://nda.ie/uploads/publications/NDA-Participation-Matters_Web-PDF_092022.pdf" TargetMode="External"/><Relationship Id="rId27" Type="http://schemas.openxmlformats.org/officeDocument/2006/relationships/hyperlink" Target="https://nda.ie/publications/hows-it-going-national-survey"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ie/en/department-of-further-and-higher-education-research-innovation-and-science/consultations/public-consultation-on-the-tertiary-education-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64</TotalTime>
  <Pages>12</Pages>
  <Words>4060</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27148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Robert Murtagh (NDA)</cp:lastModifiedBy>
  <cp:revision>4</cp:revision>
  <dcterms:created xsi:type="dcterms:W3CDTF">2025-09-18T11:53:00Z</dcterms:created>
  <dcterms:modified xsi:type="dcterms:W3CDTF">2025-09-18T14:42:00Z</dcterms:modified>
</cp:coreProperties>
</file>