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65659DE4" w:rsidR="004838F4" w:rsidRDefault="00AE0DE4" w:rsidP="00E457C6">
      <w:pPr>
        <w:pStyle w:val="Title"/>
        <w:spacing w:before="1440"/>
      </w:pPr>
      <w:r>
        <w:t>NDA</w:t>
      </w:r>
      <w:r w:rsidRPr="00AE0DE4">
        <w:t xml:space="preserve"> Submission to the Department of </w:t>
      </w:r>
      <w:r w:rsidR="006E5314">
        <w:t>Further and Higher Education, Research, Innovation and Science</w:t>
      </w:r>
      <w:r w:rsidRPr="00AE0DE4">
        <w:t xml:space="preserve"> to inform the development of their new Statement of Strategy 2025–2027</w:t>
      </w:r>
    </w:p>
    <w:p w14:paraId="1FDC9B1B" w14:textId="1CF7D396" w:rsidR="00E457C6" w:rsidRPr="00E457C6" w:rsidRDefault="006E5314" w:rsidP="00E457C6">
      <w:pPr>
        <w:spacing w:before="1200" w:after="600"/>
        <w:rPr>
          <w:b/>
          <w:bCs/>
        </w:rPr>
      </w:pPr>
      <w:r>
        <w:rPr>
          <w:b/>
          <w:bCs/>
        </w:rPr>
        <w:t xml:space="preserve">April </w:t>
      </w:r>
      <w:r w:rsidR="00AE0DE4">
        <w:rPr>
          <w:b/>
          <w:bCs/>
        </w:rPr>
        <w:t>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7F81A792"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t>
      </w:r>
      <w:proofErr w:type="gramStart"/>
      <w:r w:rsidRPr="00382D04">
        <w:rPr>
          <w:szCs w:val="24"/>
        </w:rPr>
        <w:t>with regard to</w:t>
      </w:r>
      <w:proofErr w:type="gramEnd"/>
      <w:r w:rsidRPr="00382D04">
        <w:rPr>
          <w:szCs w:val="24"/>
        </w:rPr>
        <w:t xml:space="preserve">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00764FF1">
        <w:rPr>
          <w:szCs w:val="24"/>
        </w:rPr>
        <w:t xml:space="preserve"> (UNCRPD)</w:t>
      </w:r>
      <w:r w:rsidRPr="00382D04">
        <w:rPr>
          <w:szCs w:val="24"/>
        </w:rPr>
        <w:t>.</w:t>
      </w:r>
    </w:p>
    <w:p w14:paraId="4889405E" w14:textId="77777777" w:rsidR="003416F1" w:rsidRDefault="003416F1" w:rsidP="003416F1">
      <w:pPr>
        <w:pStyle w:val="Heading1"/>
      </w:pPr>
      <w:r>
        <w:t>Summary</w:t>
      </w:r>
    </w:p>
    <w:p w14:paraId="547738FA" w14:textId="2BAA9799" w:rsidR="003416F1" w:rsidRDefault="003416F1" w:rsidP="003416F1">
      <w:r>
        <w:t xml:space="preserve">In our submission below, we have set out our advice in relation to the new Statement of Strategy. In summary, the statement of strategy should be aligned with the UNCRPD, including a </w:t>
      </w:r>
      <w:r w:rsidRPr="00542127">
        <w:t>commitment to</w:t>
      </w:r>
      <w:r w:rsidRPr="00E24EDA">
        <w:rPr>
          <w:rFonts w:eastAsia="Times New Roman" w:cs="Times New Roman"/>
          <w:kern w:val="0"/>
          <w:szCs w:val="24"/>
          <w14:ligatures w14:val="none"/>
        </w:rPr>
        <w:t xml:space="preserve"> effectively and meaningfully engage with Disabled Persons’ Organisations and disabled people </w:t>
      </w:r>
      <w:r w:rsidRPr="00542127">
        <w:rPr>
          <w:rFonts w:eastAsia="Times New Roman" w:cs="Times New Roman"/>
          <w:kern w:val="0"/>
          <w:szCs w:val="24"/>
          <w14:ligatures w14:val="none"/>
        </w:rPr>
        <w:t>in the creation and implementation of policies and legislation that impact their lives</w:t>
      </w:r>
      <w:r>
        <w:rPr>
          <w:rFonts w:eastAsia="Times New Roman" w:cs="Times New Roman"/>
          <w:kern w:val="0"/>
          <w:szCs w:val="24"/>
          <w14:ligatures w14:val="none"/>
        </w:rPr>
        <w:t xml:space="preserve">. We advise that it should </w:t>
      </w:r>
      <w:r>
        <w:t>include the following commitments:</w:t>
      </w:r>
    </w:p>
    <w:p w14:paraId="4B989763" w14:textId="739BC44D" w:rsidR="00DE6C64" w:rsidRDefault="00DE6C64" w:rsidP="00DE6C64">
      <w:pPr>
        <w:pStyle w:val="ListParagraph"/>
        <w:numPr>
          <w:ilvl w:val="0"/>
          <w:numId w:val="13"/>
        </w:numPr>
      </w:pPr>
      <w:r>
        <w:t>incorporating</w:t>
      </w:r>
      <w:r w:rsidRPr="00DE6C64">
        <w:t xml:space="preserve"> disability-related commitments </w:t>
      </w:r>
      <w:r>
        <w:t xml:space="preserve">in the new Programme for Government </w:t>
      </w:r>
      <w:r w:rsidRPr="00DE6C64">
        <w:t xml:space="preserve">most relevant to </w:t>
      </w:r>
      <w:r>
        <w:t>the Department’s</w:t>
      </w:r>
      <w:r w:rsidRPr="00DE6C64">
        <w:t xml:space="preserve"> work and remit as strategic actions in the new </w:t>
      </w:r>
      <w:r>
        <w:t>strategic statement</w:t>
      </w:r>
    </w:p>
    <w:p w14:paraId="0051D38E" w14:textId="54B07D03" w:rsidR="00DE6C64" w:rsidRDefault="00DE6C64" w:rsidP="00DE6C64">
      <w:pPr>
        <w:pStyle w:val="ListParagraph"/>
        <w:numPr>
          <w:ilvl w:val="0"/>
          <w:numId w:val="13"/>
        </w:numPr>
      </w:pPr>
      <w:r>
        <w:t>identifying and including within the new strategic statement all specific and cross-cutting actions in the draft National Disability Strategy and Autism Innovation Strategy which fall within or are relevant to the Department’s remit</w:t>
      </w:r>
    </w:p>
    <w:p w14:paraId="34696A42" w14:textId="5288B9B9" w:rsidR="00EA7B6A" w:rsidRDefault="00EA7B6A" w:rsidP="00DE6C64">
      <w:pPr>
        <w:pStyle w:val="ListParagraph"/>
        <w:numPr>
          <w:ilvl w:val="0"/>
          <w:numId w:val="13"/>
        </w:numPr>
      </w:pPr>
      <w:r>
        <w:t xml:space="preserve">ensuring the </w:t>
      </w:r>
      <w:r w:rsidRPr="00EA7B6A">
        <w:t xml:space="preserve">forthcoming mid-term progress review of the National Access Plan for the Equity of Access to Higher Education 2022 to 2028 </w:t>
      </w:r>
      <w:r>
        <w:t xml:space="preserve">fully considers </w:t>
      </w:r>
      <w:r w:rsidRPr="00EA7B6A">
        <w:t xml:space="preserve">the needs of disabled people </w:t>
      </w:r>
    </w:p>
    <w:p w14:paraId="16C63BF7" w14:textId="77777777" w:rsidR="00DE6C64" w:rsidRDefault="00DE6C64" w:rsidP="00DE6C64">
      <w:pPr>
        <w:pStyle w:val="ListParagraph"/>
        <w:numPr>
          <w:ilvl w:val="0"/>
          <w:numId w:val="13"/>
        </w:numPr>
      </w:pPr>
      <w:r>
        <w:t xml:space="preserve">meeting existing statutory obligations in relation to the employment of people with disability in the public service, providing accessible </w:t>
      </w:r>
      <w:r>
        <w:lastRenderedPageBreak/>
        <w:t>information, services, websites and public buildings, and Irish Sign Language interpretation where required</w:t>
      </w:r>
    </w:p>
    <w:p w14:paraId="1025D0B2" w14:textId="2496DBD0" w:rsidR="003416F1" w:rsidRPr="00DE6C64" w:rsidRDefault="00DE6C64" w:rsidP="00DE6C64">
      <w:pPr>
        <w:pStyle w:val="ListParagraph"/>
        <w:numPr>
          <w:ilvl w:val="0"/>
          <w:numId w:val="13"/>
        </w:numPr>
        <w:rPr>
          <w:szCs w:val="24"/>
        </w:rPr>
      </w:pPr>
      <w:r>
        <w:rPr>
          <w:szCs w:val="24"/>
        </w:rPr>
        <w:t xml:space="preserve">further implementing and integrating a </w:t>
      </w:r>
      <w:r w:rsidRPr="00DE6C64">
        <w:rPr>
          <w:szCs w:val="24"/>
        </w:rPr>
        <w:t xml:space="preserve">Universal Design </w:t>
      </w:r>
      <w:r w:rsidR="00D75902">
        <w:rPr>
          <w:szCs w:val="24"/>
        </w:rPr>
        <w:t xml:space="preserve">in </w:t>
      </w:r>
      <w:r w:rsidRPr="00DE6C64">
        <w:rPr>
          <w:szCs w:val="24"/>
        </w:rPr>
        <w:t>Education (UDE) approach across further and higher education.</w:t>
      </w:r>
    </w:p>
    <w:p w14:paraId="5D231291" w14:textId="77777777" w:rsidR="00AE0DE4" w:rsidRPr="00992524" w:rsidRDefault="00AE0DE4" w:rsidP="00AE0DE4">
      <w:pPr>
        <w:pStyle w:val="Heading1"/>
      </w:pPr>
      <w:r w:rsidRPr="00992524">
        <w:t>Programme for Government Commitments</w:t>
      </w:r>
    </w:p>
    <w:p w14:paraId="258C3B37" w14:textId="5F4E3F73" w:rsidR="00AE0DE4" w:rsidRPr="003450B4" w:rsidRDefault="00AE0DE4" w:rsidP="00AE0DE4">
      <w:pPr>
        <w:rPr>
          <w:szCs w:val="24"/>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w:t>
      </w:r>
      <w:bookmarkStart w:id="0" w:name="_Hlk196757039"/>
      <w:r>
        <w:rPr>
          <w:szCs w:val="24"/>
        </w:rPr>
        <w:t xml:space="preserve">identify the </w:t>
      </w:r>
      <w:r w:rsidR="00715D09">
        <w:rPr>
          <w:szCs w:val="24"/>
        </w:rPr>
        <w:t xml:space="preserve">disability-related </w:t>
      </w:r>
      <w:r>
        <w:rPr>
          <w:szCs w:val="24"/>
        </w:rPr>
        <w:t xml:space="preserve">commitments most relevant to its work and remit, including those of a cross-cutting nature, and include </w:t>
      </w:r>
      <w:r w:rsidRPr="003450B4">
        <w:rPr>
          <w:szCs w:val="24"/>
        </w:rPr>
        <w:t>these as strategic actions in the new Statement of Strategy</w:t>
      </w:r>
      <w:bookmarkEnd w:id="0"/>
      <w:r w:rsidRPr="003450B4">
        <w:rPr>
          <w:szCs w:val="24"/>
        </w:rPr>
        <w:t>. These include:</w:t>
      </w:r>
    </w:p>
    <w:p w14:paraId="0FC86E19" w14:textId="4A7B87F7" w:rsidR="00AE0DE4" w:rsidRPr="003450B4" w:rsidRDefault="00AB2547" w:rsidP="00AE0DE4">
      <w:pPr>
        <w:pStyle w:val="ListParagraph"/>
        <w:numPr>
          <w:ilvl w:val="0"/>
          <w:numId w:val="8"/>
        </w:numPr>
        <w:rPr>
          <w:szCs w:val="24"/>
        </w:rPr>
      </w:pPr>
      <w:r w:rsidRPr="003450B4">
        <w:rPr>
          <w:szCs w:val="24"/>
        </w:rPr>
        <w:t>Increas</w:t>
      </w:r>
      <w:r w:rsidR="002F4E87">
        <w:rPr>
          <w:szCs w:val="24"/>
        </w:rPr>
        <w:t>e</w:t>
      </w:r>
      <w:r w:rsidRPr="003450B4">
        <w:rPr>
          <w:szCs w:val="24"/>
        </w:rPr>
        <w:t xml:space="preserve"> the number of apprenticeships</w:t>
      </w:r>
      <w:r w:rsidR="003450B4" w:rsidRPr="003450B4">
        <w:rPr>
          <w:szCs w:val="24"/>
        </w:rPr>
        <w:t xml:space="preserve"> (and the NDA recommends setting a</w:t>
      </w:r>
      <w:r w:rsidR="002F4E87">
        <w:rPr>
          <w:szCs w:val="24"/>
        </w:rPr>
        <w:t>n ambitious</w:t>
      </w:r>
      <w:r w:rsidR="003450B4" w:rsidRPr="003450B4">
        <w:rPr>
          <w:szCs w:val="24"/>
        </w:rPr>
        <w:t xml:space="preserve"> target for apprentices with disabilities)</w:t>
      </w:r>
    </w:p>
    <w:p w14:paraId="4FB8F1D6" w14:textId="001BDA90" w:rsidR="00AE0DE4" w:rsidRPr="003450B4" w:rsidRDefault="002F4E87" w:rsidP="00AE0DE4">
      <w:pPr>
        <w:pStyle w:val="ListParagraph"/>
        <w:numPr>
          <w:ilvl w:val="0"/>
          <w:numId w:val="8"/>
        </w:numPr>
        <w:rPr>
          <w:szCs w:val="24"/>
        </w:rPr>
      </w:pPr>
      <w:r>
        <w:rPr>
          <w:szCs w:val="24"/>
        </w:rPr>
        <w:t>Take relevant measures to help i</w:t>
      </w:r>
      <w:r w:rsidR="003450B4">
        <w:rPr>
          <w:szCs w:val="24"/>
        </w:rPr>
        <w:t>n</w:t>
      </w:r>
      <w:r w:rsidR="00AB2547" w:rsidRPr="003450B4">
        <w:rPr>
          <w:szCs w:val="24"/>
        </w:rPr>
        <w:t xml:space="preserve">crease the supply of </w:t>
      </w:r>
      <w:r w:rsidR="003450B4" w:rsidRPr="003450B4">
        <w:rPr>
          <w:szCs w:val="24"/>
        </w:rPr>
        <w:t>health and social care professionals</w:t>
      </w:r>
    </w:p>
    <w:p w14:paraId="346A3DDB" w14:textId="107570F3" w:rsidR="00AB2547" w:rsidRPr="003450B4" w:rsidRDefault="00AB2547" w:rsidP="00AE0DE4">
      <w:pPr>
        <w:pStyle w:val="ListParagraph"/>
        <w:numPr>
          <w:ilvl w:val="0"/>
          <w:numId w:val="8"/>
        </w:numPr>
        <w:rPr>
          <w:szCs w:val="24"/>
        </w:rPr>
      </w:pPr>
      <w:r w:rsidRPr="003450B4">
        <w:rPr>
          <w:szCs w:val="24"/>
        </w:rPr>
        <w:t>Promote inclusive research by ensuring institutions have the necessary supports for faculty and researchers with disabilities</w:t>
      </w:r>
    </w:p>
    <w:p w14:paraId="29FFECB2" w14:textId="7F7B3E4A" w:rsidR="00AB2547" w:rsidRPr="003450B4" w:rsidRDefault="00AB2547" w:rsidP="00AE0DE4">
      <w:pPr>
        <w:pStyle w:val="ListParagraph"/>
        <w:numPr>
          <w:ilvl w:val="0"/>
          <w:numId w:val="8"/>
        </w:numPr>
        <w:rPr>
          <w:szCs w:val="24"/>
        </w:rPr>
      </w:pPr>
      <w:r w:rsidRPr="003450B4">
        <w:rPr>
          <w:szCs w:val="24"/>
        </w:rPr>
        <w:t>Expand free part-time courses to assist more people to gain or enhance their qualifications</w:t>
      </w:r>
    </w:p>
    <w:p w14:paraId="74BBB3B2" w14:textId="047ACB0F" w:rsidR="003450B4" w:rsidRPr="003450B4" w:rsidRDefault="00AB2547" w:rsidP="00AE0DE4">
      <w:pPr>
        <w:pStyle w:val="ListParagraph"/>
        <w:numPr>
          <w:ilvl w:val="0"/>
          <w:numId w:val="8"/>
        </w:numPr>
        <w:rPr>
          <w:szCs w:val="24"/>
        </w:rPr>
      </w:pPr>
      <w:r w:rsidRPr="003450B4">
        <w:rPr>
          <w:szCs w:val="24"/>
        </w:rPr>
        <w:t xml:space="preserve">Support students with disabilities to have a clear path into employment, avoiding any barriers to entering the workforce </w:t>
      </w:r>
    </w:p>
    <w:p w14:paraId="2BFA7C05" w14:textId="75CCBB70" w:rsidR="003450B4" w:rsidRPr="003450B4" w:rsidRDefault="00AB2547" w:rsidP="00AE0DE4">
      <w:pPr>
        <w:pStyle w:val="ListParagraph"/>
        <w:numPr>
          <w:ilvl w:val="0"/>
          <w:numId w:val="8"/>
        </w:numPr>
        <w:rPr>
          <w:szCs w:val="24"/>
        </w:rPr>
      </w:pPr>
      <w:r w:rsidRPr="003450B4">
        <w:rPr>
          <w:szCs w:val="24"/>
        </w:rPr>
        <w:t xml:space="preserve">Expand the Programme for Access to Higher Education (Path 4) courses to ensure equity of access to further education </w:t>
      </w:r>
    </w:p>
    <w:p w14:paraId="7AA70DEC" w14:textId="43748DD4" w:rsidR="00AB2547" w:rsidRDefault="00AB2547" w:rsidP="00AE0DE4">
      <w:pPr>
        <w:pStyle w:val="ListParagraph"/>
        <w:numPr>
          <w:ilvl w:val="0"/>
          <w:numId w:val="8"/>
        </w:numPr>
        <w:rPr>
          <w:szCs w:val="24"/>
        </w:rPr>
      </w:pPr>
      <w:r w:rsidRPr="003450B4">
        <w:rPr>
          <w:szCs w:val="24"/>
        </w:rPr>
        <w:t>Examine the provision of the Personal Assistants Initiative for persons with a disability in third level institutions to ensure consistency</w:t>
      </w:r>
    </w:p>
    <w:p w14:paraId="2E6A9D84" w14:textId="4A3FB258" w:rsidR="003450B4" w:rsidRPr="003450B4" w:rsidRDefault="003450B4" w:rsidP="003450B4">
      <w:pPr>
        <w:rPr>
          <w:szCs w:val="24"/>
        </w:rPr>
      </w:pPr>
      <w:r>
        <w:rPr>
          <w:szCs w:val="24"/>
        </w:rPr>
        <w:t xml:space="preserve">These actions are very welcome and will contribute to supporting disabled people to access, succeed in and successfully transition out of further and higher education. It is important that all are implemented through the lens of </w:t>
      </w:r>
      <w:r w:rsidR="00764FF1">
        <w:rPr>
          <w:szCs w:val="24"/>
        </w:rPr>
        <w:t xml:space="preserve">the </w:t>
      </w:r>
      <w:r>
        <w:rPr>
          <w:szCs w:val="24"/>
        </w:rPr>
        <w:t>UNCRPD</w:t>
      </w:r>
      <w:r w:rsidR="00764FF1">
        <w:rPr>
          <w:szCs w:val="24"/>
        </w:rPr>
        <w:t>,</w:t>
      </w:r>
      <w:r>
        <w:rPr>
          <w:szCs w:val="24"/>
        </w:rPr>
        <w:t xml:space="preserve"> and that schemes and programmes are inclusive and do not contribute to segregated education provision. </w:t>
      </w:r>
    </w:p>
    <w:p w14:paraId="05228ACB" w14:textId="77777777" w:rsidR="00AE0DE4" w:rsidRPr="00992524" w:rsidRDefault="00AE0DE4" w:rsidP="00AE0DE4">
      <w:pPr>
        <w:pStyle w:val="Heading1"/>
      </w:pPr>
      <w:r w:rsidRPr="00992524">
        <w:lastRenderedPageBreak/>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19FA79D8" w14:textId="08A9C126" w:rsidR="00D50D69" w:rsidRDefault="00AE0DE4" w:rsidP="00D50D69">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There are several Articles of the Convention relevant to the work of the Department, in </w:t>
      </w:r>
      <w:r w:rsidRPr="003450B4">
        <w:rPr>
          <w:rFonts w:eastAsia="Times New Roman" w:cs="Times New Roman"/>
          <w:kern w:val="0"/>
          <w:szCs w:val="24"/>
          <w14:ligatures w14:val="none"/>
        </w:rPr>
        <w:t xml:space="preserve">particular Article </w:t>
      </w:r>
      <w:r w:rsidR="00D50D69" w:rsidRPr="003450B4">
        <w:rPr>
          <w:rFonts w:eastAsia="Times New Roman" w:cs="Times New Roman"/>
          <w:kern w:val="0"/>
          <w:szCs w:val="24"/>
          <w14:ligatures w14:val="none"/>
        </w:rPr>
        <w:t>24</w:t>
      </w:r>
      <w:r w:rsidR="00763FAC">
        <w:rPr>
          <w:rFonts w:eastAsia="Times New Roman" w:cs="Times New Roman"/>
          <w:kern w:val="0"/>
          <w:szCs w:val="24"/>
          <w14:ligatures w14:val="none"/>
        </w:rPr>
        <w:t xml:space="preserve"> –</w:t>
      </w:r>
      <w:r w:rsidR="00D50D69" w:rsidRPr="003450B4">
        <w:rPr>
          <w:rFonts w:eastAsia="Times New Roman" w:cs="Times New Roman"/>
          <w:kern w:val="0"/>
          <w:szCs w:val="24"/>
          <w14:ligatures w14:val="none"/>
        </w:rPr>
        <w:t xml:space="preserve"> Education</w:t>
      </w:r>
      <w:r w:rsidRPr="00992524">
        <w:rPr>
          <w:rFonts w:eastAsia="Times New Roman" w:cs="Times New Roman"/>
          <w:kern w:val="0"/>
          <w:szCs w:val="24"/>
          <w14:ligatures w14:val="none"/>
        </w:rPr>
        <w:t xml:space="preserve">, which </w:t>
      </w:r>
      <w:r w:rsidR="00D50D69">
        <w:rPr>
          <w:rFonts w:eastAsia="Times New Roman" w:cs="Times New Roman"/>
          <w:kern w:val="0"/>
          <w:szCs w:val="24"/>
          <w14:ligatures w14:val="none"/>
        </w:rPr>
        <w:t xml:space="preserve">places obligations on the Irish government to ensure that disabled people are not excluded from education </w:t>
      </w:r>
      <w:proofErr w:type="gramStart"/>
      <w:r w:rsidR="00D50D69">
        <w:rPr>
          <w:rFonts w:eastAsia="Times New Roman" w:cs="Times New Roman"/>
          <w:kern w:val="0"/>
          <w:szCs w:val="24"/>
          <w14:ligatures w14:val="none"/>
        </w:rPr>
        <w:t>on the basis of</w:t>
      </w:r>
      <w:proofErr w:type="gramEnd"/>
      <w:r w:rsidR="00D50D69">
        <w:rPr>
          <w:rFonts w:eastAsia="Times New Roman" w:cs="Times New Roman"/>
          <w:kern w:val="0"/>
          <w:szCs w:val="24"/>
          <w14:ligatures w14:val="none"/>
        </w:rPr>
        <w:t xml:space="preserve"> disability and can access education on an equal basis with others</w:t>
      </w:r>
      <w:r w:rsidRPr="00992524">
        <w:rPr>
          <w:rFonts w:eastAsia="Times New Roman" w:cs="Times New Roman"/>
          <w:kern w:val="0"/>
          <w:szCs w:val="24"/>
          <w14:ligatures w14:val="none"/>
        </w:rPr>
        <w:t>.</w:t>
      </w:r>
      <w:r w:rsidR="00D50D69">
        <w:rPr>
          <w:rFonts w:eastAsia="Times New Roman" w:cs="Times New Roman"/>
          <w:kern w:val="0"/>
          <w:szCs w:val="24"/>
          <w14:ligatures w14:val="none"/>
        </w:rPr>
        <w:t xml:space="preserve"> Article 24</w:t>
      </w:r>
      <w:r w:rsidR="00763FAC">
        <w:rPr>
          <w:rFonts w:eastAsia="Times New Roman" w:cs="Times New Roman"/>
          <w:kern w:val="0"/>
          <w:szCs w:val="24"/>
          <w14:ligatures w14:val="none"/>
        </w:rPr>
        <w:t>(5)</w:t>
      </w:r>
      <w:r w:rsidR="00D50D69">
        <w:rPr>
          <w:rFonts w:eastAsia="Times New Roman" w:cs="Times New Roman"/>
          <w:kern w:val="0"/>
          <w:szCs w:val="24"/>
          <w14:ligatures w14:val="none"/>
        </w:rPr>
        <w:t xml:space="preserve"> </w:t>
      </w:r>
      <w:r w:rsidR="00EA7B6A">
        <w:rPr>
          <w:rFonts w:eastAsia="Times New Roman" w:cs="Times New Roman"/>
          <w:kern w:val="0"/>
          <w:szCs w:val="24"/>
          <w14:ligatures w14:val="none"/>
        </w:rPr>
        <w:t xml:space="preserve">specifically </w:t>
      </w:r>
      <w:r w:rsidR="00D50D69">
        <w:rPr>
          <w:rFonts w:eastAsia="Times New Roman" w:cs="Times New Roman"/>
          <w:kern w:val="0"/>
          <w:szCs w:val="24"/>
          <w14:ligatures w14:val="none"/>
        </w:rPr>
        <w:t>states:</w:t>
      </w:r>
    </w:p>
    <w:p w14:paraId="5E4D1FC8" w14:textId="2C111CD5" w:rsidR="00AE0DE4" w:rsidRPr="00992524" w:rsidRDefault="00D50D69" w:rsidP="00D50D69">
      <w:pPr>
        <w:ind w:left="720"/>
        <w:rPr>
          <w:rFonts w:eastAsia="Times New Roman" w:cs="Times New Roman"/>
          <w:kern w:val="0"/>
          <w:szCs w:val="24"/>
          <w14:ligatures w14:val="none"/>
        </w:rPr>
      </w:pPr>
      <w:r>
        <w:rPr>
          <w:rFonts w:eastAsia="Times New Roman" w:cs="Times New Roman"/>
          <w:kern w:val="0"/>
          <w:szCs w:val="24"/>
          <w14:ligatures w14:val="none"/>
        </w:rPr>
        <w:t>“</w:t>
      </w:r>
      <w:r w:rsidRPr="00D50D69">
        <w:rPr>
          <w:rFonts w:eastAsia="Times New Roman" w:cs="Times New Roman"/>
          <w:kern w:val="0"/>
          <w:szCs w:val="24"/>
          <w14:ligatures w14:val="none"/>
        </w:rPr>
        <w:t>States Parties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r>
        <w:rPr>
          <w:rFonts w:eastAsia="Times New Roman" w:cs="Times New Roman"/>
          <w:kern w:val="0"/>
          <w:szCs w:val="24"/>
          <w14:ligatures w14:val="none"/>
        </w:rPr>
        <w:t>”</w:t>
      </w:r>
    </w:p>
    <w:p w14:paraId="4FC92202" w14:textId="453E80B5"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its obligations</w:t>
      </w:r>
      <w:r w:rsidRPr="003450B4">
        <w:rPr>
          <w:rFonts w:eastAsia="Times New Roman" w:cs="Times New Roman"/>
          <w:kern w:val="0"/>
          <w:szCs w:val="24"/>
          <w14:ligatures w14:val="none"/>
        </w:rPr>
        <w:t>.</w:t>
      </w:r>
      <w:r w:rsidR="00BB03D4" w:rsidRPr="003450B4">
        <w:rPr>
          <w:rFonts w:eastAsia="Times New Roman" w:cs="Times New Roman"/>
          <w:kern w:val="0"/>
          <w:szCs w:val="24"/>
          <w14:ligatures w14:val="none"/>
        </w:rPr>
        <w:t xml:space="preserve"> </w:t>
      </w:r>
      <w:r w:rsidRPr="003450B4">
        <w:rPr>
          <w:rFonts w:eastAsia="Times New Roman" w:cs="Times New Roman"/>
          <w:kern w:val="0"/>
          <w:szCs w:val="24"/>
          <w14:ligatures w14:val="none"/>
        </w:rPr>
        <w:t xml:space="preserve">The NDA has developed a briefing paper on Article </w:t>
      </w:r>
      <w:r w:rsidR="00D50D69" w:rsidRPr="003450B4">
        <w:rPr>
          <w:rFonts w:eastAsia="Times New Roman" w:cs="Times New Roman"/>
          <w:kern w:val="0"/>
          <w:szCs w:val="24"/>
          <w14:ligatures w14:val="none"/>
        </w:rPr>
        <w:t>24</w:t>
      </w:r>
      <w:r w:rsidRPr="003450B4">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Pr="003450B4">
        <w:rPr>
          <w:rFonts w:eastAsia="Times New Roman" w:cs="Times New Roman"/>
          <w:kern w:val="0"/>
          <w:szCs w:val="24"/>
          <w:vertAlign w:val="superscript"/>
          <w14:ligatures w14:val="none"/>
        </w:rPr>
        <w:footnoteReference w:id="2"/>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1AC4739" w14:textId="65CAC43D" w:rsid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 xml:space="preserve">advises that the Department ensure that its </w:t>
      </w:r>
      <w:r w:rsidRPr="00AE0DE4">
        <w:rPr>
          <w:rFonts w:eastAsia="Times New Roman" w:cs="Times New Roman"/>
          <w:kern w:val="0"/>
          <w:szCs w:val="24"/>
          <w14:ligatures w14:val="none"/>
        </w:rPr>
        <w:lastRenderedPageBreak/>
        <w:t>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fall within</w:t>
      </w:r>
      <w:r w:rsidR="00F548C1">
        <w:rPr>
          <w:rFonts w:eastAsia="Times New Roman" w:cs="Times New Roman"/>
          <w:kern w:val="0"/>
          <w:szCs w:val="24"/>
          <w14:ligatures w14:val="none"/>
        </w:rPr>
        <w:t xml:space="preserve"> or 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46580159" w14:textId="77777777" w:rsidR="00763FAC" w:rsidRPr="00763FAC" w:rsidRDefault="00BE4856" w:rsidP="00763FAC">
      <w:pPr>
        <w:pStyle w:val="ListParagraph"/>
        <w:numPr>
          <w:ilvl w:val="0"/>
          <w:numId w:val="20"/>
        </w:numPr>
        <w:spacing w:after="120"/>
        <w:contextualSpacing/>
        <w:jc w:val="both"/>
        <w:rPr>
          <w:bCs/>
        </w:rPr>
      </w:pPr>
      <w:r>
        <w:t xml:space="preserve">Supporting transitions for young people with a disability (for the Department this would include both from secondary school to further and higher education and from further and higher education to employment). </w:t>
      </w:r>
    </w:p>
    <w:p w14:paraId="7E5C05D1" w14:textId="77777777" w:rsidR="00763FAC" w:rsidRPr="00763FAC" w:rsidRDefault="00D50D69" w:rsidP="00763FAC">
      <w:pPr>
        <w:pStyle w:val="ListParagraph"/>
        <w:numPr>
          <w:ilvl w:val="0"/>
          <w:numId w:val="20"/>
        </w:numPr>
        <w:spacing w:after="120"/>
        <w:contextualSpacing/>
        <w:jc w:val="both"/>
        <w:rPr>
          <w:bCs/>
        </w:rPr>
      </w:pPr>
      <w:r>
        <w:t>Identify</w:t>
      </w:r>
      <w:r w:rsidRPr="004E28AC">
        <w:t xml:space="preserve"> opportunities to include work experience/work placements for </w:t>
      </w:r>
      <w:r>
        <w:t>disabled people</w:t>
      </w:r>
      <w:r w:rsidRPr="004E28AC">
        <w:t>, either as a part of/ or following completion of third level training/courses.</w:t>
      </w:r>
      <w:r w:rsidR="00BE4856">
        <w:t xml:space="preserve"> This is very important </w:t>
      </w:r>
      <w:proofErr w:type="gramStart"/>
      <w:r w:rsidR="00BE4856">
        <w:t>in order to</w:t>
      </w:r>
      <w:proofErr w:type="gramEnd"/>
      <w:r w:rsidR="00BE4856">
        <w:t xml:space="preserve"> support more permanent employment. </w:t>
      </w:r>
    </w:p>
    <w:p w14:paraId="0763A957" w14:textId="78D0D3D8" w:rsidR="00BE4856" w:rsidRPr="00763FAC" w:rsidRDefault="00BE4856" w:rsidP="00763FAC">
      <w:pPr>
        <w:pStyle w:val="ListParagraph"/>
        <w:numPr>
          <w:ilvl w:val="0"/>
          <w:numId w:val="20"/>
        </w:numPr>
        <w:spacing w:after="120"/>
        <w:contextualSpacing/>
        <w:jc w:val="both"/>
        <w:rPr>
          <w:bCs/>
        </w:rPr>
      </w:pPr>
      <w:r>
        <w:t xml:space="preserve">Increase the numbers of health and social care professionals being trained. This is a crucial priority to ensure that the health workforce is adequately resourced. The approach to training also needs to evolve to prepare the future workforce for interdisciplinary and family centred working. </w:t>
      </w:r>
    </w:p>
    <w:p w14:paraId="67F0BEF5" w14:textId="736386D9" w:rsidR="00D50D69" w:rsidRDefault="00BE4856" w:rsidP="00BE4856">
      <w:pPr>
        <w:spacing w:after="120"/>
        <w:contextualSpacing/>
        <w:jc w:val="both"/>
      </w:pPr>
      <w:r>
        <w:t xml:space="preserve">The NDA has </w:t>
      </w:r>
      <w:r w:rsidR="00EA7B6A">
        <w:t xml:space="preserve">also </w:t>
      </w:r>
      <w:r>
        <w:t xml:space="preserve">discussed with the </w:t>
      </w:r>
      <w:r w:rsidR="00763FAC">
        <w:t>D</w:t>
      </w:r>
      <w:r>
        <w:t xml:space="preserve">epartment </w:t>
      </w:r>
      <w:r w:rsidR="00763FAC">
        <w:t xml:space="preserve">the possibility of </w:t>
      </w:r>
      <w:r>
        <w:t xml:space="preserve">a </w:t>
      </w:r>
      <w:r w:rsidR="00D50D69" w:rsidRPr="004E28AC">
        <w:t xml:space="preserve">pilot project in further and higher education with the aim of developing a policy framework that will support </w:t>
      </w:r>
      <w:r w:rsidR="00D50D69">
        <w:t>disabled students in</w:t>
      </w:r>
      <w:r w:rsidR="00D50D69" w:rsidRPr="004E28AC">
        <w:t xml:space="preserve"> transitioning at key educational points</w:t>
      </w:r>
      <w:r w:rsidR="00D50D69">
        <w:t>.</w:t>
      </w:r>
      <w:r>
        <w:t xml:space="preserve"> This is likely to be an action in the new National Disability Strategy</w:t>
      </w:r>
      <w:r w:rsidR="00764FF1">
        <w:t>.</w:t>
      </w:r>
      <w:r>
        <w:t xml:space="preserve"> Such a framework would have the potential when scaled up and fully resourced to be transformative in increasing employment for disabled students. </w:t>
      </w:r>
    </w:p>
    <w:p w14:paraId="5AD72493" w14:textId="77777777" w:rsidR="00BE4856" w:rsidRDefault="00BE4856" w:rsidP="00BE4856">
      <w:pPr>
        <w:spacing w:after="120"/>
        <w:contextualSpacing/>
        <w:jc w:val="both"/>
      </w:pPr>
    </w:p>
    <w:p w14:paraId="2BF4372D" w14:textId="0A6AB925" w:rsidR="00BE4856" w:rsidRPr="00BE4856" w:rsidRDefault="00BE4856" w:rsidP="00BE4856">
      <w:pPr>
        <w:spacing w:after="120"/>
        <w:contextualSpacing/>
        <w:jc w:val="both"/>
      </w:pPr>
      <w:r>
        <w:t xml:space="preserve">Actions in relation to increasing the supply of Irish Sign Language Interpreters are also likely to be included in the Strategy. DFHERIS will have an important role in facilitating and expanding the training available. </w:t>
      </w:r>
    </w:p>
    <w:p w14:paraId="6FD758C3" w14:textId="77777777" w:rsidR="00AE0DE4" w:rsidRPr="00992524" w:rsidRDefault="00AE0DE4" w:rsidP="00AE0DE4">
      <w:pPr>
        <w:pStyle w:val="Heading2"/>
        <w:rPr>
          <w:rFonts w:eastAsia="Times New Roman"/>
        </w:rPr>
      </w:pPr>
      <w:r w:rsidRPr="00992524">
        <w:rPr>
          <w:rFonts w:eastAsia="Times New Roman"/>
        </w:rPr>
        <w:t>Autism Innovation Strategy</w:t>
      </w:r>
    </w:p>
    <w:p w14:paraId="33752B33" w14:textId="4C392DF0" w:rsidR="00AE0DE4" w:rsidRPr="00BE4856"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incorporate any actions identified within the Autism Innovation Strategy</w:t>
      </w:r>
      <w:r>
        <w:rPr>
          <w:rFonts w:eastAsia="Times New Roman" w:cs="Times New Roman"/>
          <w:kern w:val="0"/>
          <w:szCs w:val="24"/>
          <w14:ligatures w14:val="none"/>
        </w:rPr>
        <w:t xml:space="preserve"> relevant to its role and remit</w:t>
      </w:r>
      <w:r w:rsidRPr="00BE4856">
        <w:rPr>
          <w:rFonts w:eastAsia="Times New Roman" w:cs="Times New Roman"/>
          <w:kern w:val="0"/>
          <w:szCs w:val="24"/>
          <w14:ligatures w14:val="none"/>
        </w:rPr>
        <w:t>. Th</w:t>
      </w:r>
      <w:r w:rsidR="00763FAC">
        <w:rPr>
          <w:rFonts w:eastAsia="Times New Roman" w:cs="Times New Roman"/>
          <w:kern w:val="0"/>
          <w:szCs w:val="24"/>
          <w14:ligatures w14:val="none"/>
        </w:rPr>
        <w:t>is</w:t>
      </w:r>
      <w:r w:rsidRPr="00BE4856">
        <w:rPr>
          <w:rFonts w:eastAsia="Times New Roman" w:cs="Times New Roman"/>
          <w:kern w:val="0"/>
          <w:szCs w:val="24"/>
          <w14:ligatures w14:val="none"/>
        </w:rPr>
        <w:t xml:space="preserve"> include</w:t>
      </w:r>
      <w:r w:rsidR="00763FAC">
        <w:rPr>
          <w:rFonts w:eastAsia="Times New Roman" w:cs="Times New Roman"/>
          <w:kern w:val="0"/>
          <w:szCs w:val="24"/>
          <w14:ligatures w14:val="none"/>
        </w:rPr>
        <w:t>s</w:t>
      </w:r>
      <w:r w:rsidRPr="00BE4856">
        <w:rPr>
          <w:rFonts w:eastAsia="Times New Roman" w:cs="Times New Roman"/>
          <w:kern w:val="0"/>
          <w:szCs w:val="24"/>
          <w14:ligatures w14:val="none"/>
        </w:rPr>
        <w:t>:</w:t>
      </w:r>
    </w:p>
    <w:p w14:paraId="64BF2338" w14:textId="66E204DF" w:rsidR="00D50D69" w:rsidRPr="00366982" w:rsidRDefault="00D50D69" w:rsidP="00AE0DE4">
      <w:pPr>
        <w:pStyle w:val="ListParagraph"/>
        <w:numPr>
          <w:ilvl w:val="0"/>
          <w:numId w:val="11"/>
        </w:numPr>
        <w:rPr>
          <w:rFonts w:eastAsia="Times New Roman" w:cs="Times New Roman"/>
          <w:kern w:val="0"/>
          <w:szCs w:val="24"/>
          <w14:ligatures w14:val="none"/>
        </w:rPr>
      </w:pPr>
      <w:bookmarkStart w:id="1" w:name="_Hlk191295439"/>
      <w:r w:rsidRPr="00366982">
        <w:rPr>
          <w:rFonts w:cs="Arial"/>
          <w:color w:val="000000"/>
        </w:rPr>
        <w:t>To support autistic students and other students with a disability in their college journey, we will progressively expand the scope of the Fund for Students with Disabilities within the further education sector</w:t>
      </w:r>
      <w:r w:rsidR="00366982">
        <w:rPr>
          <w:rFonts w:cs="Arial"/>
          <w:color w:val="000000"/>
        </w:rPr>
        <w:t>.</w:t>
      </w:r>
    </w:p>
    <w:bookmarkEnd w:id="1"/>
    <w:p w14:paraId="2B729325" w14:textId="0859D11F" w:rsidR="00683DA8" w:rsidRPr="00BE4856" w:rsidRDefault="00BE4856" w:rsidP="00683DA8">
      <w:pPr>
        <w:pStyle w:val="Heading2"/>
        <w:rPr>
          <w:rFonts w:eastAsia="Times New Roman"/>
        </w:rPr>
      </w:pPr>
      <w:r>
        <w:rPr>
          <w:rFonts w:eastAsia="Times New Roman"/>
        </w:rPr>
        <w:t>The National Access Plan</w:t>
      </w:r>
    </w:p>
    <w:p w14:paraId="7FAFFDB8" w14:textId="07E1CB5D" w:rsidR="00D50D69" w:rsidRPr="00366982" w:rsidRDefault="00D50D69" w:rsidP="00366982">
      <w:pPr>
        <w:spacing w:after="120"/>
        <w:contextualSpacing/>
        <w:jc w:val="both"/>
      </w:pPr>
      <w:r w:rsidRPr="007F28C4">
        <w:t xml:space="preserve">The </w:t>
      </w:r>
      <w:bookmarkStart w:id="2" w:name="_Hlk196757424"/>
      <w:r w:rsidRPr="007F28C4">
        <w:t>National Access Plan (NAP) for the Equity of Access to Higher Education 2022 to 2028</w:t>
      </w:r>
      <w:bookmarkEnd w:id="2"/>
      <w:r w:rsidRPr="007F28C4">
        <w:t xml:space="preserve">, identifies students with disabilities as one of the three main </w:t>
      </w:r>
      <w:r w:rsidRPr="007F28C4">
        <w:lastRenderedPageBreak/>
        <w:t xml:space="preserve">groups underrepresented in Higher Education. The NAP sets a new participation target of 16% of new entrants with a disability by 2028, </w:t>
      </w:r>
      <w:r w:rsidR="00BE4856">
        <w:t xml:space="preserve">with data showing a positive direction towards this target to date. The </w:t>
      </w:r>
      <w:bookmarkStart w:id="3" w:name="_Hlk196757382"/>
      <w:r w:rsidR="00BE4856">
        <w:t>forthcoming mid-term progress review of the NAP will provide a valuable opportunity to ensure that the needs of disabled people are fully incorporated</w:t>
      </w:r>
      <w:bookmarkEnd w:id="3"/>
      <w:r w:rsidR="00BE4856">
        <w:t xml:space="preserve">. </w:t>
      </w:r>
    </w:p>
    <w:p w14:paraId="76E7772C" w14:textId="77777777"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4"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4"/>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2853173D" w:rsidR="00AE0DE4" w:rsidRPr="00F32798" w:rsidRDefault="00AE0DE4" w:rsidP="00AE0DE4">
      <w:pPr>
        <w:rPr>
          <w:rFonts w:eastAsia="Times New Roman" w:cs="Times New Roman"/>
          <w:kern w:val="0"/>
          <w:szCs w:val="24"/>
          <w14:ligatures w14:val="none"/>
        </w:rPr>
      </w:pPr>
      <w:r w:rsidRPr="00F32798">
        <w:rPr>
          <w:rFonts w:eastAsia="Times New Roman" w:cs="Times New Roman"/>
          <w:kern w:val="0"/>
          <w:szCs w:val="24"/>
          <w14:ligatures w14:val="none"/>
        </w:rPr>
        <w:t xml:space="preserve">The NDA is pleased to note that there was an increase in the number of staff within the Department reporting a disability in 2022, rising from </w:t>
      </w:r>
      <w:r w:rsidR="006E5314" w:rsidRPr="00F32798">
        <w:rPr>
          <w:rFonts w:eastAsia="Times New Roman" w:cs="Times New Roman"/>
          <w:kern w:val="0"/>
          <w:szCs w:val="24"/>
          <w14:ligatures w14:val="none"/>
        </w:rPr>
        <w:t>3</w:t>
      </w:r>
      <w:r w:rsidRPr="00F32798">
        <w:rPr>
          <w:rFonts w:eastAsia="Times New Roman" w:cs="Times New Roman"/>
          <w:kern w:val="0"/>
          <w:szCs w:val="24"/>
          <w14:ligatures w14:val="none"/>
        </w:rPr>
        <w:t xml:space="preserve">% in 2021 to </w:t>
      </w:r>
      <w:r w:rsidR="006E5314" w:rsidRPr="00F32798">
        <w:rPr>
          <w:rFonts w:eastAsia="Times New Roman" w:cs="Times New Roman"/>
          <w:kern w:val="0"/>
          <w:szCs w:val="24"/>
          <w14:ligatures w14:val="none"/>
        </w:rPr>
        <w:t>9.9%</w:t>
      </w:r>
      <w:r w:rsidRPr="00F32798">
        <w:rPr>
          <w:rFonts w:eastAsia="Times New Roman" w:cs="Times New Roman"/>
          <w:kern w:val="0"/>
          <w:szCs w:val="24"/>
          <w14:ligatures w14:val="none"/>
        </w:rPr>
        <w:t>% in 2022.</w:t>
      </w:r>
      <w:r w:rsidRPr="00F32798">
        <w:rPr>
          <w:rFonts w:eastAsia="Times New Roman" w:cs="Times New Roman"/>
          <w:kern w:val="0"/>
          <w:szCs w:val="24"/>
          <w:vertAlign w:val="superscript"/>
          <w14:ligatures w14:val="none"/>
        </w:rPr>
        <w:footnoteReference w:id="3"/>
      </w:r>
      <w:r w:rsidRPr="00F32798">
        <w:rPr>
          <w:rFonts w:eastAsia="Times New Roman" w:cs="Times New Roman"/>
          <w:kern w:val="0"/>
          <w:szCs w:val="24"/>
          <w14:ligatures w14:val="none"/>
        </w:rPr>
        <w:t xml:space="preserve"> The results for 2023 will be available shortly.</w:t>
      </w:r>
    </w:p>
    <w:p w14:paraId="4FE2382F" w14:textId="16AF3676" w:rsidR="00AE0DE4" w:rsidRPr="00992524" w:rsidRDefault="00AE0DE4" w:rsidP="00AE0DE4">
      <w:pPr>
        <w:rPr>
          <w:rFonts w:eastAsia="Times New Roman" w:cs="Times New Roman"/>
          <w:kern w:val="0"/>
          <w:szCs w:val="24"/>
          <w14:ligatures w14:val="none"/>
        </w:rPr>
      </w:pPr>
      <w:bookmarkStart w:id="5" w:name="_Hlk160608390"/>
      <w:r w:rsidRPr="00F32798">
        <w:rPr>
          <w:rFonts w:eastAsia="Times New Roman" w:cs="Times New Roman"/>
          <w:kern w:val="0"/>
          <w:szCs w:val="24"/>
          <w14:ligatures w14:val="none"/>
        </w:rPr>
        <w:t xml:space="preserve">We encourage the Department to continue its compliance with Part 5 of the Disability Act and to articulate a commitment </w:t>
      </w:r>
      <w:bookmarkEnd w:id="5"/>
      <w:r w:rsidRPr="00F32798">
        <w:rPr>
          <w:rFonts w:eastAsia="Times New Roman" w:cs="Times New Roman"/>
          <w:kern w:val="0"/>
          <w:szCs w:val="24"/>
          <w14:ligatures w14:val="none"/>
        </w:rPr>
        <w:t>to same in the Department’s new Strategic Statement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4"/>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In its 2022 Part 3 Monitoring Report, the NDA evaluated public body websites against an indicator relating to information on promoting the </w:t>
      </w:r>
      <w:r w:rsidRPr="00992524">
        <w:rPr>
          <w:rFonts w:eastAsia="Times New Roman" w:cs="Times New Roman"/>
          <w:kern w:val="0"/>
          <w:szCs w:val="24"/>
          <w14:ligatures w14:val="none"/>
        </w:rPr>
        <w:lastRenderedPageBreak/>
        <w:t>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56676A27" w:rsidR="00AE0DE4" w:rsidRDefault="00AE0DE4" w:rsidP="00AE0DE4">
      <w:pPr>
        <w:rPr>
          <w:rFonts w:eastAsia="Times New Roman" w:cs="Times New Roman"/>
          <w:kern w:val="0"/>
          <w:szCs w:val="24"/>
          <w14:ligatures w14:val="none"/>
        </w:rPr>
      </w:pPr>
      <w:r w:rsidRPr="00F32798">
        <w:rPr>
          <w:rFonts w:eastAsia="Times New Roman" w:cs="Times New Roman"/>
          <w:kern w:val="0"/>
          <w:szCs w:val="24"/>
          <w14:ligatures w14:val="none"/>
        </w:rPr>
        <w:t>The NDA welcomes that in its 2022 Monitoring Report, the Department met all three criteria of the indicator regarding Section 26(2) - Access Officers.</w:t>
      </w:r>
      <w:r w:rsidRPr="00F32798">
        <w:rPr>
          <w:rFonts w:eastAsia="Times New Roman" w:cs="Times New Roman"/>
          <w:kern w:val="0"/>
          <w:szCs w:val="24"/>
          <w:vertAlign w:val="superscript"/>
          <w14:ligatures w14:val="none"/>
        </w:rPr>
        <w:footnoteReference w:id="5"/>
      </w:r>
      <w:r w:rsidRPr="00F32798">
        <w:rPr>
          <w:rFonts w:eastAsia="Times New Roman" w:cs="Times New Roman"/>
          <w:kern w:val="0"/>
          <w:szCs w:val="24"/>
          <w14:ligatures w14:val="none"/>
        </w:rPr>
        <w:t xml:space="preserve"> We encourage the Department to continue </w:t>
      </w:r>
      <w:r w:rsidR="006E5314" w:rsidRPr="00F32798">
        <w:rPr>
          <w:rFonts w:eastAsia="Times New Roman" w:cs="Times New Roman"/>
          <w:kern w:val="0"/>
          <w:szCs w:val="24"/>
          <w14:ligatures w14:val="none"/>
        </w:rPr>
        <w:t xml:space="preserve">to </w:t>
      </w:r>
      <w:r w:rsidRPr="00F32798">
        <w:rPr>
          <w:rFonts w:eastAsia="Times New Roman" w:cs="Times New Roman"/>
          <w:kern w:val="0"/>
          <w:szCs w:val="24"/>
          <w14:ligatures w14:val="none"/>
        </w:rPr>
        <w:t>maintain</w:t>
      </w:r>
      <w:r w:rsidR="006E5314" w:rsidRPr="00F32798">
        <w:rPr>
          <w:rFonts w:eastAsia="Times New Roman" w:cs="Times New Roman"/>
          <w:kern w:val="0"/>
          <w:szCs w:val="24"/>
          <w14:ligatures w14:val="none"/>
        </w:rPr>
        <w:t xml:space="preserve"> its</w:t>
      </w:r>
      <w:r w:rsidRPr="00F32798">
        <w:rPr>
          <w:rFonts w:eastAsia="Times New Roman" w:cs="Times New Roman"/>
          <w:kern w:val="0"/>
          <w:szCs w:val="24"/>
          <w14:ligatures w14:val="none"/>
        </w:rPr>
        <w:t xml:space="preserve"> compliance with Part 3 of the Disability Act and to articulate a commitment to ensuring that information and service are accessible to persons with disabilities in the new Statement of Strategy</w:t>
      </w:r>
      <w:r w:rsidRPr="00992524">
        <w:rPr>
          <w:rFonts w:eastAsia="Times New Roman" w:cs="Times New Roman"/>
          <w:kern w:val="0"/>
          <w:szCs w:val="24"/>
          <w14:ligatures w14:val="none"/>
        </w:rPr>
        <w:t>.</w:t>
      </w:r>
    </w:p>
    <w:p w14:paraId="132F890D" w14:textId="3F4C3B6B" w:rsidR="00715D09" w:rsidRPr="00992524" w:rsidRDefault="00715D09" w:rsidP="00AE0DE4">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6"/>
      </w:r>
      <w:r>
        <w:rPr>
          <w:rFonts w:eastAsia="Times New Roman" w:cs="Times New Roman"/>
          <w:kern w:val="0"/>
          <w:szCs w:val="24"/>
          <w14:ligatures w14:val="none"/>
        </w:rPr>
        <w:t xml:space="preserve"> The NDA recommends that the Department utilises 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7790BF73" w14:textId="67698445"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w:t>
      </w:r>
      <w:r w:rsidR="001B2335">
        <w:rPr>
          <w:rFonts w:eastAsia="Times New Roman" w:cs="Times New Roman"/>
          <w:kern w:val="0"/>
          <w:szCs w:val="24"/>
          <w14:ligatures w14:val="none"/>
        </w:rPr>
        <w:t xml:space="preserve">(S.I.) </w:t>
      </w:r>
      <w:r w:rsidRPr="00992524">
        <w:rPr>
          <w:rFonts w:eastAsia="Times New Roman" w:cs="Times New Roman"/>
          <w:kern w:val="0"/>
          <w:szCs w:val="24"/>
          <w14:ligatures w14:val="none"/>
        </w:rPr>
        <w:t xml:space="preserve">636. The EAA covers products and services that have been identified as being most important for persons with disabilities. The </w:t>
      </w:r>
      <w:proofErr w:type="gramStart"/>
      <w:r w:rsidRPr="00992524">
        <w:rPr>
          <w:rFonts w:eastAsia="Times New Roman" w:cs="Times New Roman"/>
          <w:kern w:val="0"/>
          <w:szCs w:val="24"/>
          <w14:ligatures w14:val="none"/>
        </w:rPr>
        <w:t>main focus</w:t>
      </w:r>
      <w:proofErr w:type="gramEnd"/>
      <w:r w:rsidRPr="00992524">
        <w:rPr>
          <w:rFonts w:eastAsia="Times New Roman" w:cs="Times New Roman"/>
          <w:kern w:val="0"/>
          <w:szCs w:val="24"/>
          <w14:ligatures w14:val="none"/>
        </w:rPr>
        <w:t xml:space="preserve">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7"/>
      </w:r>
      <w:r w:rsidRPr="00992524">
        <w:rPr>
          <w:rFonts w:eastAsia="Times New Roman" w:cs="Times New Roman"/>
          <w:kern w:val="0"/>
          <w:szCs w:val="24"/>
          <w14:ligatures w14:val="none"/>
        </w:rPr>
        <w:t xml:space="preserve">  </w:t>
      </w:r>
    </w:p>
    <w:p w14:paraId="070D90F9" w14:textId="1D63D070"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 xml:space="preserve">The NDA is responsible for advising relevant market surveillance authority and compliance authorities on matters related to </w:t>
      </w:r>
      <w:r w:rsidR="001B2335" w:rsidRPr="001B2335">
        <w:rPr>
          <w:rFonts w:eastAsia="Times New Roman" w:cs="Times New Roman"/>
          <w:kern w:val="0"/>
          <w:szCs w:val="24"/>
          <w14:ligatures w14:val="none"/>
        </w:rPr>
        <w:t xml:space="preserve">S.I. 636/2023 </w:t>
      </w:r>
      <w:r w:rsidR="008002BA">
        <w:rPr>
          <w:rFonts w:eastAsia="Times New Roman" w:cs="Times New Roman"/>
          <w:kern w:val="0"/>
          <w:szCs w:val="24"/>
          <w14:ligatures w14:val="none"/>
        </w:rPr>
        <w:t>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w:t>
      </w:r>
      <w:r w:rsidR="001B2335">
        <w:rPr>
          <w:rFonts w:eastAsia="Times New Roman" w:cs="Times New Roman"/>
          <w:kern w:val="0"/>
          <w:szCs w:val="24"/>
          <w14:ligatures w14:val="none"/>
        </w:rPr>
        <w:t>EAA</w:t>
      </w:r>
      <w:r>
        <w:rPr>
          <w:rFonts w:eastAsia="Times New Roman" w:cs="Times New Roman"/>
          <w:kern w:val="0"/>
          <w:szCs w:val="24"/>
          <w14:ligatures w14:val="none"/>
        </w:rPr>
        <w:t xml:space="preserve">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12" w:name="_Hlk160713722"/>
      <w:r w:rsidRPr="00992524">
        <w:rPr>
          <w:rFonts w:eastAsia="Times New Roman"/>
        </w:rPr>
        <w:lastRenderedPageBreak/>
        <w:t>EU Web Accessibility Directive</w:t>
      </w:r>
    </w:p>
    <w:bookmarkEnd w:id="12"/>
    <w:p w14:paraId="64BB5564" w14:textId="60C4C99B"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30</w:t>
      </w:r>
      <w:r w:rsidR="00452EF0">
        <w:rPr>
          <w:rFonts w:eastAsia="Times New Roman" w:cs="Times New Roman"/>
          <w:kern w:val="0"/>
          <w:szCs w:val="24"/>
          <w14:ligatures w14:val="none"/>
        </w:rPr>
        <w:t>1</w:t>
      </w:r>
      <w:r w:rsidRPr="00992524">
        <w:rPr>
          <w:rFonts w:eastAsia="Times New Roman" w:cs="Times New Roman"/>
          <w:kern w:val="0"/>
          <w:szCs w:val="24"/>
          <w14:ligatures w14:val="none"/>
        </w:rPr>
        <w:t xml:space="preserve">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18BB9644"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is the National Monitoring Body responsible for monitoring compliance with and reporting on the EU Web Accessibility Directive. </w:t>
      </w:r>
      <w:r w:rsidR="00CD35D5">
        <w:rPr>
          <w:rFonts w:eastAsia="Times New Roman" w:cs="Times New Roman"/>
          <w:kern w:val="0"/>
          <w:szCs w:val="24"/>
          <w14:ligatures w14:val="none"/>
        </w:rPr>
        <w:t>The 2023 report</w:t>
      </w:r>
      <w:r w:rsidRPr="00992524">
        <w:rPr>
          <w:rFonts w:eastAsia="Times New Roman" w:cs="Times New Roman"/>
          <w:kern w:val="0"/>
          <w:szCs w:val="24"/>
          <w14:ligatures w14:val="none"/>
        </w:rPr>
        <w:t xml:space="preserve"> </w:t>
      </w:r>
      <w:r w:rsidRPr="00366982">
        <w:rPr>
          <w:rFonts w:eastAsia="Times New Roman" w:cs="Times New Roman"/>
          <w:kern w:val="0"/>
          <w:szCs w:val="24"/>
          <w14:ligatures w14:val="none"/>
        </w:rPr>
        <w:t>includ</w:t>
      </w:r>
      <w:r w:rsidR="00CD35D5" w:rsidRPr="00366982">
        <w:rPr>
          <w:rFonts w:eastAsia="Times New Roman" w:cs="Times New Roman"/>
          <w:kern w:val="0"/>
          <w:szCs w:val="24"/>
          <w14:ligatures w14:val="none"/>
        </w:rPr>
        <w:t>ed</w:t>
      </w:r>
      <w:r w:rsidRPr="00366982">
        <w:rPr>
          <w:rFonts w:eastAsia="Times New Roman" w:cs="Times New Roman"/>
          <w:kern w:val="0"/>
          <w:szCs w:val="24"/>
          <w14:ligatures w14:val="none"/>
        </w:rPr>
        <w:t xml:space="preserve"> a Simplified Review of the Department’s </w:t>
      </w:r>
      <w:r w:rsidR="00CD35D5" w:rsidRPr="00366982">
        <w:rPr>
          <w:rFonts w:eastAsia="Times New Roman" w:cs="Times New Roman"/>
          <w:kern w:val="0"/>
          <w:szCs w:val="24"/>
          <w14:ligatures w14:val="none"/>
        </w:rPr>
        <w:t>PDFs</w:t>
      </w:r>
      <w:r w:rsidRPr="00366982">
        <w:rPr>
          <w:rFonts w:eastAsia="Times New Roman" w:cs="Times New Roman"/>
          <w:kern w:val="0"/>
          <w:szCs w:val="24"/>
          <w14:ligatures w14:val="none"/>
        </w:rPr>
        <w:t xml:space="preserve">, which earned an accessibility score of </w:t>
      </w:r>
      <w:r w:rsidR="00CD35D5" w:rsidRPr="00366982">
        <w:rPr>
          <w:rFonts w:eastAsia="Times New Roman" w:cs="Times New Roman"/>
          <w:kern w:val="0"/>
          <w:szCs w:val="24"/>
          <w14:ligatures w14:val="none"/>
        </w:rPr>
        <w:t>4</w:t>
      </w:r>
      <w:r w:rsidRPr="00366982">
        <w:rPr>
          <w:rFonts w:eastAsia="Times New Roman" w:cs="Times New Roman"/>
          <w:kern w:val="0"/>
          <w:szCs w:val="24"/>
          <w14:ligatures w14:val="none"/>
        </w:rPr>
        <w:t>%.</w:t>
      </w:r>
      <w:r w:rsidR="00CD35D5" w:rsidRPr="00366982">
        <w:rPr>
          <w:rFonts w:eastAsia="Times New Roman" w:cs="Times New Roman"/>
          <w:kern w:val="0"/>
          <w:szCs w:val="24"/>
          <w:vertAlign w:val="superscript"/>
          <w14:ligatures w14:val="none"/>
        </w:rPr>
        <w:footnoteReference w:id="8"/>
      </w:r>
      <w:r w:rsidRPr="00992524">
        <w:rPr>
          <w:rFonts w:eastAsia="Times New Roman" w:cs="Times New Roman"/>
          <w:kern w:val="0"/>
          <w:szCs w:val="24"/>
          <w14:ligatures w14:val="none"/>
        </w:rPr>
        <w:t xml:space="preserve"> </w:t>
      </w:r>
    </w:p>
    <w:p w14:paraId="6946324C" w14:textId="5F71033F" w:rsidR="00F32798" w:rsidRPr="00992524" w:rsidRDefault="00763FAC" w:rsidP="00AE0DE4">
      <w:pPr>
        <w:rPr>
          <w:rFonts w:eastAsia="Times New Roman" w:cs="Times New Roman"/>
          <w:kern w:val="0"/>
          <w:szCs w:val="24"/>
          <w14:ligatures w14:val="none"/>
        </w:rPr>
      </w:pPr>
      <w:r>
        <w:rPr>
          <w:rFonts w:eastAsia="Times New Roman" w:cs="Times New Roman"/>
          <w:kern w:val="0"/>
          <w:szCs w:val="24"/>
          <w14:ligatures w14:val="none"/>
        </w:rPr>
        <w:t xml:space="preserve">The </w:t>
      </w:r>
      <w:r w:rsidR="00F32798" w:rsidRPr="00F32798">
        <w:rPr>
          <w:rFonts w:eastAsia="Times New Roman" w:cs="Times New Roman"/>
          <w:kern w:val="0"/>
          <w:szCs w:val="24"/>
          <w14:ligatures w14:val="none"/>
        </w:rPr>
        <w:t>NDA conducted Simplified Reviews on the main websites of 19 Higher Education Institutions (HEIs)</w:t>
      </w:r>
      <w:r w:rsidR="008D138B">
        <w:rPr>
          <w:rFonts w:eastAsia="Times New Roman" w:cs="Times New Roman"/>
          <w:kern w:val="0"/>
          <w:szCs w:val="24"/>
          <w14:ligatures w14:val="none"/>
        </w:rPr>
        <w:t xml:space="preserve"> in 2024</w:t>
      </w:r>
      <w:r w:rsidR="00F32798" w:rsidRPr="00F32798">
        <w:rPr>
          <w:rFonts w:eastAsia="Times New Roman" w:cs="Times New Roman"/>
          <w:kern w:val="0"/>
          <w:szCs w:val="24"/>
          <w14:ligatures w14:val="none"/>
        </w:rPr>
        <w:t>.</w:t>
      </w:r>
      <w:r w:rsidR="00CD35D5" w:rsidRPr="00992524">
        <w:rPr>
          <w:rFonts w:eastAsia="Times New Roman" w:cs="Times New Roman"/>
          <w:kern w:val="0"/>
          <w:szCs w:val="24"/>
          <w:vertAlign w:val="superscript"/>
          <w14:ligatures w14:val="none"/>
        </w:rPr>
        <w:footnoteReference w:id="9"/>
      </w:r>
      <w:r w:rsidR="00F32798" w:rsidRPr="00F32798">
        <w:rPr>
          <w:rFonts w:eastAsia="Times New Roman" w:cs="Times New Roman"/>
          <w:kern w:val="0"/>
          <w:szCs w:val="24"/>
          <w14:ligatures w14:val="none"/>
        </w:rPr>
        <w:t xml:space="preserve"> </w:t>
      </w:r>
      <w:r w:rsidR="00F32798">
        <w:rPr>
          <w:rFonts w:eastAsia="Times New Roman" w:cs="Times New Roman"/>
          <w:kern w:val="0"/>
          <w:szCs w:val="24"/>
          <w14:ligatures w14:val="none"/>
        </w:rPr>
        <w:t>T</w:t>
      </w:r>
      <w:r w:rsidR="00F32798" w:rsidRPr="00F32798">
        <w:rPr>
          <w:rFonts w:eastAsia="Times New Roman" w:cs="Times New Roman"/>
          <w:kern w:val="0"/>
          <w:szCs w:val="24"/>
          <w14:ligatures w14:val="none"/>
        </w:rPr>
        <w:t>he average Accessibility Score for HEIs (45.5%</w:t>
      </w:r>
      <w:r w:rsidR="00F32798">
        <w:rPr>
          <w:rFonts w:eastAsia="Times New Roman" w:cs="Times New Roman"/>
          <w:kern w:val="0"/>
          <w:szCs w:val="24"/>
          <w14:ligatures w14:val="none"/>
        </w:rPr>
        <w:t>, Range 0% to 93.8%</w:t>
      </w:r>
      <w:r w:rsidR="00F32798" w:rsidRPr="00F32798">
        <w:rPr>
          <w:rFonts w:eastAsia="Times New Roman" w:cs="Times New Roman"/>
          <w:kern w:val="0"/>
          <w:szCs w:val="24"/>
          <w14:ligatures w14:val="none"/>
        </w:rPr>
        <w:t>) was slightly lower than that for All Sites (46.1%)</w:t>
      </w:r>
      <w:r w:rsidR="00F32798">
        <w:rPr>
          <w:rFonts w:eastAsia="Times New Roman" w:cs="Times New Roman"/>
          <w:kern w:val="0"/>
          <w:szCs w:val="24"/>
          <w14:ligatures w14:val="none"/>
        </w:rPr>
        <w:t>.</w:t>
      </w:r>
      <w:r w:rsidR="00F32798" w:rsidRPr="00F32798">
        <w:rPr>
          <w:rFonts w:eastAsia="Times New Roman" w:cs="Times New Roman"/>
          <w:kern w:val="0"/>
          <w:szCs w:val="24"/>
          <w14:ligatures w14:val="none"/>
        </w:rPr>
        <w:t xml:space="preserve"> </w:t>
      </w:r>
      <w:r w:rsidR="00F32798">
        <w:rPr>
          <w:rFonts w:eastAsia="Times New Roman" w:cs="Times New Roman"/>
          <w:kern w:val="0"/>
          <w:szCs w:val="24"/>
          <w14:ligatures w14:val="none"/>
        </w:rPr>
        <w:t xml:space="preserve">The </w:t>
      </w:r>
      <w:r w:rsidR="00F32798" w:rsidRPr="00F32798">
        <w:rPr>
          <w:rFonts w:eastAsia="Times New Roman" w:cs="Times New Roman"/>
          <w:kern w:val="0"/>
          <w:szCs w:val="24"/>
          <w14:ligatures w14:val="none"/>
        </w:rPr>
        <w:t xml:space="preserve">NDA </w:t>
      </w:r>
      <w:r w:rsidR="00F32798">
        <w:rPr>
          <w:rFonts w:eastAsia="Times New Roman" w:cs="Times New Roman"/>
          <w:kern w:val="0"/>
          <w:szCs w:val="24"/>
          <w14:ligatures w14:val="none"/>
        </w:rPr>
        <w:t xml:space="preserve">also </w:t>
      </w:r>
      <w:r w:rsidR="00F32798" w:rsidRPr="00F32798">
        <w:rPr>
          <w:rFonts w:eastAsia="Times New Roman" w:cs="Times New Roman"/>
          <w:kern w:val="0"/>
          <w:szCs w:val="24"/>
          <w14:ligatures w14:val="none"/>
        </w:rPr>
        <w:t>conducted Simplified Reviews on the main websites of 15 Further Education and Training Boards (ETBs)</w:t>
      </w:r>
      <w:r w:rsidR="008D138B">
        <w:rPr>
          <w:rFonts w:eastAsia="Times New Roman" w:cs="Times New Roman"/>
          <w:kern w:val="0"/>
          <w:szCs w:val="24"/>
          <w14:ligatures w14:val="none"/>
        </w:rPr>
        <w:t xml:space="preserve"> in 2024</w:t>
      </w:r>
      <w:r w:rsidR="00F32798" w:rsidRPr="00F32798">
        <w:rPr>
          <w:rFonts w:eastAsia="Times New Roman" w:cs="Times New Roman"/>
          <w:kern w:val="0"/>
          <w:szCs w:val="24"/>
          <w14:ligatures w14:val="none"/>
        </w:rPr>
        <w:t>. The average accessibility score for ETBs (38.1%) is lower than for all sites (46.1%</w:t>
      </w:r>
      <w:r w:rsidR="008D138B">
        <w:rPr>
          <w:rFonts w:eastAsia="Times New Roman" w:cs="Times New Roman"/>
          <w:kern w:val="0"/>
          <w:szCs w:val="24"/>
          <w14:ligatures w14:val="none"/>
        </w:rPr>
        <w:t>, Range 15.5% to 77%).</w:t>
      </w:r>
    </w:p>
    <w:p w14:paraId="6ACCC49C" w14:textId="2C657A22"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engage with NDA to develop a systematic and comprehensive approach to </w:t>
      </w:r>
      <w:r w:rsidRPr="00CD35D5">
        <w:rPr>
          <w:rFonts w:eastAsia="Times New Roman" w:cs="Times New Roman"/>
          <w:kern w:val="0"/>
          <w:szCs w:val="24"/>
          <w14:ligatures w14:val="none"/>
        </w:rPr>
        <w:t>improving t</w:t>
      </w:r>
      <w:r w:rsidRPr="00992524">
        <w:rPr>
          <w:rFonts w:eastAsia="Times New Roman" w:cs="Times New Roman"/>
          <w:kern w:val="0"/>
          <w:szCs w:val="24"/>
          <w14:ligatures w14:val="none"/>
        </w:rPr>
        <w:t xml:space="preserve">he accessibility of its website and that it articulates its statutory obligation to ensure its website complies with the EU Web Accessibility Directive in its </w:t>
      </w:r>
      <w:r>
        <w:rPr>
          <w:rFonts w:eastAsia="Times New Roman" w:cs="Times New Roman"/>
          <w:kern w:val="0"/>
          <w:szCs w:val="24"/>
          <w14:ligatures w14:val="none"/>
        </w:rPr>
        <w:t>Strategic Statement</w:t>
      </w:r>
      <w:r w:rsidRPr="00992524">
        <w:rPr>
          <w:rFonts w:eastAsia="Times New Roman" w:cs="Times New Roman"/>
          <w:kern w:val="0"/>
          <w:szCs w:val="24"/>
          <w14:ligatures w14:val="none"/>
        </w:rPr>
        <w:t xml:space="preserve">. The NDA further recommends that the </w:t>
      </w:r>
      <w:r>
        <w:rPr>
          <w:rFonts w:eastAsia="Times New Roman" w:cs="Times New Roman"/>
          <w:kern w:val="0"/>
          <w:szCs w:val="24"/>
          <w14:ligatures w14:val="none"/>
        </w:rPr>
        <w:t>Statement of Strategy</w:t>
      </w:r>
      <w:r w:rsidRPr="00992524">
        <w:rPr>
          <w:rFonts w:eastAsia="Times New Roman" w:cs="Times New Roman"/>
          <w:kern w:val="0"/>
          <w:szCs w:val="24"/>
          <w14:ligatures w14:val="none"/>
        </w:rPr>
        <w:t xml:space="preserve"> contain a commitment to developing an action plan to address access issues and that the </w:t>
      </w:r>
      <w:r>
        <w:rPr>
          <w:rFonts w:eastAsia="Times New Roman" w:cs="Times New Roman"/>
          <w:kern w:val="0"/>
          <w:szCs w:val="24"/>
          <w14:ligatures w14:val="none"/>
        </w:rPr>
        <w:t>Strategic Statement</w:t>
      </w:r>
      <w:r w:rsidRPr="00992524">
        <w:rPr>
          <w:rFonts w:eastAsia="Times New Roman" w:cs="Times New Roman"/>
          <w:kern w:val="0"/>
          <w:szCs w:val="24"/>
          <w14:ligatures w14:val="none"/>
        </w:rPr>
        <w:t xml:space="preserve"> itself is published in a fully accessible format.</w:t>
      </w:r>
      <w:r w:rsidR="00CD35D5">
        <w:rPr>
          <w:rFonts w:eastAsia="Times New Roman" w:cs="Times New Roman"/>
          <w:kern w:val="0"/>
          <w:szCs w:val="24"/>
          <w14:ligatures w14:val="none"/>
        </w:rPr>
        <w:t xml:space="preserve"> The NDA also recommends highlighting to its </w:t>
      </w:r>
      <w:r w:rsidR="00763FAC">
        <w:rPr>
          <w:rFonts w:eastAsia="Times New Roman" w:cs="Times New Roman"/>
          <w:kern w:val="0"/>
          <w:szCs w:val="24"/>
          <w14:ligatures w14:val="none"/>
        </w:rPr>
        <w:t>aegis</w:t>
      </w:r>
      <w:r w:rsidR="00CD35D5">
        <w:rPr>
          <w:rFonts w:eastAsia="Times New Roman" w:cs="Times New Roman"/>
          <w:kern w:val="0"/>
          <w:szCs w:val="24"/>
          <w14:ligatures w14:val="none"/>
        </w:rPr>
        <w:t xml:space="preserve"> bodies the importance of achieving compliance with the Web Accessibility Directive. </w:t>
      </w:r>
      <w:r w:rsidR="00A723A3">
        <w:rPr>
          <w:rFonts w:eastAsia="Times New Roman" w:cs="Times New Roman"/>
          <w:kern w:val="0"/>
          <w:szCs w:val="24"/>
          <w14:ligatures w14:val="none"/>
        </w:rPr>
        <w:t>This is particularly important for HEIs and ETBs.</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w:t>
      </w:r>
      <w:r w:rsidRPr="00992524">
        <w:rPr>
          <w:rFonts w:eastAsia="SimSun" w:cs="Gill Sans MT"/>
          <w:kern w:val="0"/>
          <w:szCs w:val="24"/>
          <w:lang w:eastAsia="en-IE"/>
          <w14:ligatures w14:val="none"/>
        </w:rPr>
        <w:lastRenderedPageBreak/>
        <w:t xml:space="preserve">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xml:space="preserve">, including access audits, planned improvements works, timeframes for implementation and earmarked funding, to work towards achieving 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4B9C2EA3" w:rsidR="00AE0DE4" w:rsidRPr="00AB2547"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t xml:space="preserve">The NDA notes that in </w:t>
      </w:r>
      <w:bookmarkStart w:id="13" w:name="_Toc69715861"/>
      <w:bookmarkStart w:id="14" w:name="_Toc71718880"/>
      <w:bookmarkStart w:id="15" w:name="_Toc77347503"/>
      <w:bookmarkStart w:id="16" w:name="_Toc77577487"/>
      <w:bookmarkStart w:id="17" w:name="_Toc90468923"/>
      <w:bookmarkStart w:id="18"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3"/>
      <w:bookmarkEnd w:id="14"/>
      <w:bookmarkEnd w:id="15"/>
      <w:bookmarkEnd w:id="16"/>
      <w:bookmarkEnd w:id="17"/>
      <w:bookmarkEnd w:id="18"/>
      <w:r w:rsidRPr="00992524">
        <w:rPr>
          <w:rFonts w:eastAsia="Times New Roman" w:cs="Times New Roman"/>
          <w:kern w:val="0"/>
          <w:szCs w:val="24"/>
          <w14:ligatures w14:val="none"/>
        </w:rPr>
        <w:t xml:space="preserv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assessed themselves as </w:t>
      </w:r>
      <w:r w:rsidRPr="00AB2547">
        <w:rPr>
          <w:rFonts w:eastAsia="Times New Roman" w:cs="Times New Roman"/>
          <w:kern w:val="0"/>
          <w:szCs w:val="24"/>
          <w14:ligatures w14:val="none"/>
        </w:rPr>
        <w:t>compliant with the Act.</w:t>
      </w:r>
      <w:r w:rsidRPr="00AB2547">
        <w:rPr>
          <w:rFonts w:eastAsia="Times New Roman" w:cs="Gill Sans"/>
          <w:kern w:val="0"/>
          <w:szCs w:val="24"/>
          <w:vertAlign w:val="superscript"/>
          <w14:ligatures w14:val="none"/>
        </w:rPr>
        <w:footnoteReference w:id="10"/>
      </w:r>
      <w:r w:rsidRPr="00AB2547">
        <w:rPr>
          <w:rFonts w:eastAsia="Times New Roman" w:cs="Times New Roman"/>
          <w:kern w:val="0"/>
          <w:szCs w:val="24"/>
          <w14:ligatures w14:val="none"/>
        </w:rPr>
        <w:t xml:space="preserve"> </w:t>
      </w:r>
    </w:p>
    <w:p w14:paraId="304B9BC1" w14:textId="77777777" w:rsidR="00AE0DE4" w:rsidRPr="00AB2547" w:rsidRDefault="00AE0DE4" w:rsidP="00AE0DE4">
      <w:pPr>
        <w:spacing w:after="0"/>
        <w:rPr>
          <w:rFonts w:eastAsia="Times New Roman" w:cs="Times New Roman"/>
          <w:kern w:val="0"/>
          <w:szCs w:val="24"/>
          <w14:ligatures w14:val="none"/>
        </w:rPr>
      </w:pPr>
    </w:p>
    <w:p w14:paraId="5FA310E8" w14:textId="7297FCAB" w:rsidR="00AE0DE4" w:rsidRPr="00992524" w:rsidRDefault="00AE0DE4" w:rsidP="00AE0DE4">
      <w:pPr>
        <w:rPr>
          <w:rFonts w:eastAsia="Times New Roman" w:cs="Times New Roman"/>
          <w:kern w:val="0"/>
          <w:szCs w:val="24"/>
          <w14:ligatures w14:val="none"/>
        </w:rPr>
      </w:pPr>
      <w:r w:rsidRPr="00AB2547">
        <w:rPr>
          <w:rFonts w:eastAsia="Times New Roman" w:cs="Times New Roman"/>
          <w:kern w:val="0"/>
          <w:szCs w:val="24"/>
          <w14:ligatures w14:val="none"/>
        </w:rPr>
        <w:lastRenderedPageBreak/>
        <w:t>The NDA advises that the Department’s new Strategy Statement include a commitment to continue meeting its obligations under the Irish Sign</w:t>
      </w:r>
      <w:r w:rsidRPr="00992524">
        <w:rPr>
          <w:rFonts w:eastAsia="Times New Roman" w:cs="Times New Roman"/>
          <w:kern w:val="0"/>
          <w:szCs w:val="24"/>
          <w14:ligatures w14:val="none"/>
        </w:rPr>
        <w:t xml:space="preserve"> Language Act 2017 and implementing </w:t>
      </w:r>
      <w:r>
        <w:rPr>
          <w:rFonts w:eastAsia="Times New Roman" w:cs="Times New Roman"/>
          <w:kern w:val="0"/>
          <w:szCs w:val="24"/>
          <w14:ligatures w14:val="none"/>
        </w:rPr>
        <w:t xml:space="preserve">any </w:t>
      </w:r>
      <w:r w:rsidRPr="00992524">
        <w:rPr>
          <w:rFonts w:eastAsia="Times New Roman" w:cs="Times New Roman"/>
          <w:kern w:val="0"/>
          <w:szCs w:val="24"/>
          <w14:ligatures w14:val="none"/>
        </w:rPr>
        <w:t xml:space="preserve">relevant recommendations </w:t>
      </w:r>
      <w:r w:rsidR="000D2A1B">
        <w:rPr>
          <w:rFonts w:eastAsia="Times New Roman" w:cs="Times New Roman"/>
          <w:kern w:val="0"/>
          <w:szCs w:val="24"/>
          <w14:ligatures w14:val="none"/>
        </w:rPr>
        <w:t xml:space="preserve">arising </w:t>
      </w:r>
      <w:r w:rsidRPr="00992524">
        <w:rPr>
          <w:rFonts w:eastAsia="Times New Roman" w:cs="Times New Roman"/>
          <w:kern w:val="0"/>
          <w:szCs w:val="24"/>
          <w14:ligatures w14:val="none"/>
        </w:rPr>
        <w:t>from the Report on the Operation of the Irish Sign Language Act 2017.</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in 2025</w:t>
      </w:r>
      <w:r w:rsidR="005137D5">
        <w:rPr>
          <w:rFonts w:eastAsia="Times New Roman" w:cs="Times New Roman"/>
          <w:kern w:val="0"/>
          <w:szCs w:val="24"/>
          <w14:ligatures w14:val="none"/>
        </w:rPr>
        <w:t xml:space="preserve">, during which departments may be asked to </w:t>
      </w:r>
      <w:r w:rsidR="002F4E87">
        <w:rPr>
          <w:rFonts w:eastAsia="Times New Roman" w:cs="Times New Roman"/>
          <w:kern w:val="0"/>
          <w:szCs w:val="24"/>
          <w14:ligatures w14:val="none"/>
        </w:rPr>
        <w:t xml:space="preserve">provide an update </w:t>
      </w:r>
      <w:r w:rsidR="005137D5">
        <w:rPr>
          <w:rFonts w:eastAsia="Times New Roman" w:cs="Times New Roman"/>
          <w:kern w:val="0"/>
          <w:szCs w:val="24"/>
          <w14:ligatures w14:val="none"/>
        </w:rPr>
        <w:t>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w:t>
      </w:r>
      <w:proofErr w:type="gramStart"/>
      <w:r w:rsidRPr="00992524">
        <w:rPr>
          <w:rFonts w:eastAsia="Times New Roman" w:cs="Times New Roman"/>
          <w:kern w:val="0"/>
          <w:szCs w:val="24"/>
          <w14:ligatures w14:val="none"/>
        </w:rPr>
        <w:t>all of</w:t>
      </w:r>
      <w:proofErr w:type="gramEnd"/>
      <w:r w:rsidRPr="00992524">
        <w:rPr>
          <w:rFonts w:eastAsia="Times New Roman" w:cs="Times New Roman"/>
          <w:kern w:val="0"/>
          <w:szCs w:val="24"/>
          <w14:ligatures w14:val="none"/>
        </w:rPr>
        <w:t xml:space="preserve">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w:t>
      </w:r>
      <w:r w:rsidRPr="00992524">
        <w:rPr>
          <w:rFonts w:eastAsia="Times New Roman" w:cs="Times New Roman"/>
          <w:kern w:val="0"/>
          <w:szCs w:val="24"/>
          <w14:ligatures w14:val="none"/>
        </w:rPr>
        <w:lastRenderedPageBreak/>
        <w:t xml:space="preserve">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11"/>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t>Disability Data</w:t>
      </w:r>
    </w:p>
    <w:p w14:paraId="045C2913" w14:textId="55807DE7" w:rsidR="00AE0DE4" w:rsidRPr="00992524" w:rsidRDefault="00AE0DE4" w:rsidP="00AE0DE4">
      <w:pPr>
        <w:rPr>
          <w:szCs w:val="24"/>
        </w:rPr>
      </w:pPr>
      <w:r w:rsidRPr="00992524">
        <w:rPr>
          <w:szCs w:val="24"/>
        </w:rPr>
        <w:t>It is envisioned that the</w:t>
      </w:r>
      <w:r w:rsidR="00C201FF">
        <w:rPr>
          <w:szCs w:val="24"/>
        </w:rPr>
        <w:t xml:space="preserve"> National</w:t>
      </w:r>
      <w:r w:rsidRPr="00992524">
        <w:rPr>
          <w:szCs w:val="24"/>
        </w:rPr>
        <w:t xml:space="preserve"> Equality Data Strategy will be finalised and published in early 202</w:t>
      </w:r>
      <w:r w:rsidR="005137D5">
        <w:rPr>
          <w:szCs w:val="24"/>
        </w:rPr>
        <w:t>5</w:t>
      </w:r>
      <w:r w:rsidRPr="00992524">
        <w:rPr>
          <w:szCs w:val="24"/>
        </w:rPr>
        <w:t xml:space="preserve">. The </w:t>
      </w:r>
      <w:r w:rsidR="00C201FF">
        <w:rPr>
          <w:szCs w:val="24"/>
        </w:rPr>
        <w:t xml:space="preserve">National </w:t>
      </w:r>
      <w:r w:rsidRPr="00992524">
        <w:rPr>
          <w:szCs w:val="24"/>
        </w:rPr>
        <w:t xml:space="preserve">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5EA07BDE" w14:textId="77777777" w:rsidR="00AE0DE4"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4DBCD5CE" w14:textId="4BC51DA3" w:rsidR="00AE0DE4" w:rsidRDefault="00366982" w:rsidP="00AE0DE4">
      <w:pPr>
        <w:pStyle w:val="Heading2"/>
      </w:pPr>
      <w:r>
        <w:t xml:space="preserve">Universal Design </w:t>
      </w:r>
      <w:r w:rsidR="00D75902">
        <w:t xml:space="preserve">in </w:t>
      </w:r>
      <w:r>
        <w:t>Education</w:t>
      </w:r>
    </w:p>
    <w:p w14:paraId="0BB61ED5" w14:textId="640ED73F" w:rsidR="00FB2FB7" w:rsidRDefault="00366982" w:rsidP="00FB2FB7">
      <w:r w:rsidRPr="00FB2FB7">
        <w:t xml:space="preserve">The Department </w:t>
      </w:r>
      <w:proofErr w:type="gramStart"/>
      <w:r w:rsidRPr="00FB2FB7">
        <w:t>has the opportunity to</w:t>
      </w:r>
      <w:proofErr w:type="gramEnd"/>
      <w:r w:rsidRPr="00FB2FB7">
        <w:t xml:space="preserve"> play a leading role in </w:t>
      </w:r>
      <w:bookmarkStart w:id="19" w:name="_Hlk196756863"/>
      <w:r w:rsidR="00FB2FB7" w:rsidRPr="00FB2FB7">
        <w:t>supporting and promoting</w:t>
      </w:r>
      <w:r w:rsidRPr="00FB2FB7">
        <w:t xml:space="preserve"> a Universal Design </w:t>
      </w:r>
      <w:r w:rsidR="00D75902">
        <w:t>in</w:t>
      </w:r>
      <w:r w:rsidR="00D75902" w:rsidRPr="00FB2FB7">
        <w:t xml:space="preserve"> </w:t>
      </w:r>
      <w:r w:rsidRPr="00FB2FB7">
        <w:t>Education (UDE) approach across further and higher education</w:t>
      </w:r>
      <w:bookmarkEnd w:id="19"/>
      <w:r w:rsidRPr="00FB2FB7">
        <w:t xml:space="preserve">. </w:t>
      </w:r>
      <w:r w:rsidR="00FB2FB7" w:rsidRPr="00FB2FB7">
        <w:t>UDE</w:t>
      </w:r>
      <w:r w:rsidR="00FB2FB7" w:rsidRPr="00D764FC">
        <w:t xml:space="preserve"> involves a whole systems approach as articulated in NDA’s Centre for Excellence </w:t>
      </w:r>
      <w:r w:rsidR="002A3A93">
        <w:t xml:space="preserve">in Universal Design </w:t>
      </w:r>
      <w:r w:rsidR="00FB2FB7" w:rsidRPr="00D764FC">
        <w:t>paper</w:t>
      </w:r>
      <w:r w:rsidR="00FB2FB7" w:rsidRPr="00D764FC">
        <w:rPr>
          <w:rStyle w:val="FootnoteReference"/>
        </w:rPr>
        <w:footnoteReference w:id="12"/>
      </w:r>
      <w:r w:rsidR="00FB2FB7" w:rsidRPr="00D764FC">
        <w:t xml:space="preserve"> based on the</w:t>
      </w:r>
      <w:r w:rsidR="002A3A93">
        <w:t xml:space="preserve"> following</w:t>
      </w:r>
      <w:r w:rsidR="00FB2FB7" w:rsidRPr="00D764FC">
        <w:t xml:space="preserve"> </w:t>
      </w:r>
      <w:r w:rsidR="00FB2FB7">
        <w:t>four</w:t>
      </w:r>
      <w:r w:rsidR="00FB2FB7" w:rsidRPr="00D764FC">
        <w:t xml:space="preserve"> </w:t>
      </w:r>
      <w:proofErr w:type="gramStart"/>
      <w:r w:rsidR="00FB2FB7" w:rsidRPr="00D764FC">
        <w:t>pillars;</w:t>
      </w:r>
      <w:proofErr w:type="gramEnd"/>
      <w:r w:rsidR="00FB2FB7" w:rsidRPr="00D764FC">
        <w:t xml:space="preserve"> physical</w:t>
      </w:r>
      <w:r w:rsidR="00FB2FB7">
        <w:t xml:space="preserve"> environments, </w:t>
      </w:r>
      <w:r w:rsidR="00FB2FB7" w:rsidRPr="00D764FC">
        <w:t xml:space="preserve">digital environments, educational services, and the teaching and learning. It is only when these four pillars work in unison that a more inclusive environment can be created that can be easily accessed, understood and used, by the widest range of learners and by all key stakeholders. </w:t>
      </w:r>
    </w:p>
    <w:p w14:paraId="43180E0F" w14:textId="7773D65C" w:rsidR="008F09FA" w:rsidRDefault="00FB2FB7" w:rsidP="008F09FA">
      <w:bookmarkStart w:id="20" w:name="_Hlk189121375"/>
      <w:r w:rsidRPr="00D764FC">
        <w:t>UDE promotes the inclusion of Universal Design as subject matter in curricula and assessment, to ensure a broader and more widespread adoption across the educational spectrum.</w:t>
      </w:r>
      <w:bookmarkEnd w:id="20"/>
      <w:r w:rsidRPr="00D764FC">
        <w:t xml:space="preserve"> A key focus of the Universal Design approach is to prioritise accessibility and usability for people with more diverse capabilities, characteristics and preferences from the earliest possible design stage and throughout all phases in the life of products and </w:t>
      </w:r>
      <w:r w:rsidRPr="00D764FC">
        <w:lastRenderedPageBreak/>
        <w:t>services, and their interoperability with assistive technology.</w:t>
      </w:r>
      <w:r w:rsidR="008F09FA">
        <w:t xml:space="preserve"> The NDA developed advice and guidance in respect of: </w:t>
      </w:r>
    </w:p>
    <w:p w14:paraId="0CE02F24" w14:textId="62133703" w:rsidR="008F09FA" w:rsidRDefault="008F09FA" w:rsidP="00A92017">
      <w:pPr>
        <w:pStyle w:val="ListParagraph"/>
        <w:numPr>
          <w:ilvl w:val="0"/>
          <w:numId w:val="11"/>
        </w:numPr>
      </w:pPr>
      <w:r>
        <w:t xml:space="preserve">Universal Design in Education as already mentioned as well as: </w:t>
      </w:r>
    </w:p>
    <w:p w14:paraId="0F7D3BD1" w14:textId="4738C318" w:rsidR="008F09FA" w:rsidRDefault="008F09FA" w:rsidP="00A92017">
      <w:pPr>
        <w:pStyle w:val="ListParagraph"/>
        <w:numPr>
          <w:ilvl w:val="0"/>
          <w:numId w:val="11"/>
        </w:numPr>
      </w:pPr>
      <w:r>
        <w:t xml:space="preserve">The application of the “Design </w:t>
      </w:r>
      <w:proofErr w:type="gramStart"/>
      <w:r>
        <w:t>For</w:t>
      </w:r>
      <w:proofErr w:type="gramEnd"/>
      <w:r>
        <w:t xml:space="preserve"> All Standard” (I.S. EN 17161: 2019)</w:t>
      </w:r>
      <w:r>
        <w:rPr>
          <w:rStyle w:val="FootnoteReference"/>
        </w:rPr>
        <w:footnoteReference w:id="13"/>
      </w:r>
      <w:r>
        <w:t xml:space="preserve"> to the process of ensuring that all educational products and services are as inclusive as possible.</w:t>
      </w:r>
    </w:p>
    <w:p w14:paraId="64C97604" w14:textId="76C8A465" w:rsidR="00FB2FB7" w:rsidRPr="00D764FC" w:rsidRDefault="008F09FA" w:rsidP="00A92017">
      <w:pPr>
        <w:pStyle w:val="ListParagraph"/>
        <w:numPr>
          <w:ilvl w:val="0"/>
          <w:numId w:val="11"/>
        </w:numPr>
      </w:pPr>
      <w:r>
        <w:t>This standard has been adapted in collaboration with the HEA in relation to the Path 4 initiative on how a universal design approach can be applied across all sectors of an organisation ensuring a more inclusive environment for all stakeholders in education.</w:t>
      </w:r>
      <w:r>
        <w:rPr>
          <w:rStyle w:val="FootnoteReference"/>
        </w:rPr>
        <w:footnoteReference w:id="14"/>
      </w:r>
    </w:p>
    <w:p w14:paraId="4568BB63" w14:textId="345FE212" w:rsidR="002A3A93" w:rsidRDefault="00FB2FB7" w:rsidP="00FB2FB7">
      <w:r w:rsidRPr="00D764FC">
        <w:t>Universal Design for Learning is often conflated with UDE</w:t>
      </w:r>
      <w:r w:rsidR="00763FAC">
        <w:t>,</w:t>
      </w:r>
      <w:r w:rsidRPr="00D764FC">
        <w:t xml:space="preserve"> but it is a more limited concept, focusing on teaching and learning rather than the more comprehensive approach provided for under UDE. Universal Design for Learning (UDL) is however one of the core elements of Universal Design in Education</w:t>
      </w:r>
      <w:r w:rsidR="002A3A93">
        <w:t>:</w:t>
      </w:r>
      <w:r w:rsidRPr="00D764FC">
        <w:t xml:space="preserve"> </w:t>
      </w:r>
    </w:p>
    <w:p w14:paraId="1FC170D7" w14:textId="107A7860" w:rsidR="00FB2FB7" w:rsidRPr="00D764FC" w:rsidRDefault="00FB2FB7" w:rsidP="00081B0A">
      <w:pPr>
        <w:pStyle w:val="Quote"/>
      </w:pPr>
      <w:r w:rsidRPr="00D764FC">
        <w:t>“UDL is a set of principles for curriculum development that give all individuals equal opportunities to learn, including students with disabilities. UDL aims to improve the educational experience of all students by introducing more flexible methods of teaching, assessment and service provision to cater for the diversity of learners in our classrooms.”</w:t>
      </w:r>
      <w:r w:rsidRPr="00D764FC">
        <w:rPr>
          <w:rStyle w:val="FootnoteReference"/>
        </w:rPr>
        <w:footnoteReference w:id="15"/>
      </w:r>
    </w:p>
    <w:p w14:paraId="5B12A578" w14:textId="7ED44C12" w:rsidR="00FB2FB7" w:rsidRPr="00D764FC" w:rsidRDefault="00FB2FB7" w:rsidP="00FB2FB7">
      <w:r w:rsidRPr="00D764FC">
        <w:t xml:space="preserve">The UNCRPD Committee’s General Comment No. Four provides a framework, through which to consider the transformation required to realise inclusive education. This is a “whole systems approach” which embeds “the necessary changes in institutional culture, policies and practices”.  </w:t>
      </w:r>
    </w:p>
    <w:p w14:paraId="7562E3BA" w14:textId="2CDDCB86" w:rsidR="00FB2FB7" w:rsidRPr="00D764FC" w:rsidRDefault="00FB2FB7" w:rsidP="00FB2FB7">
      <w:r w:rsidRPr="00D764FC">
        <w:t>Also</w:t>
      </w:r>
      <w:r w:rsidR="002A3A93">
        <w:t>,</w:t>
      </w:r>
      <w:r w:rsidRPr="00D764FC">
        <w:t xml:space="preserve"> the National Access Plan: A Strategic Action Plan for Equity of Access, Participation and Success in Higher Education 2022-2028 further underpins the focus on UDE with its two overarching ambitions that:</w:t>
      </w:r>
      <w:r w:rsidRPr="00D764FC">
        <w:tab/>
      </w:r>
    </w:p>
    <w:p w14:paraId="6DC74F6D" w14:textId="5D708C87" w:rsidR="00FB2FB7" w:rsidRPr="00D764FC" w:rsidRDefault="00FB2FB7" w:rsidP="00764FF1">
      <w:pPr>
        <w:pStyle w:val="ListParagraph"/>
        <w:numPr>
          <w:ilvl w:val="0"/>
          <w:numId w:val="18"/>
        </w:numPr>
      </w:pPr>
      <w:r w:rsidRPr="00D764FC">
        <w:t>higher education student body, at all levels and across all programmes, reflects the diversity and social mix of Ireland’s population, and</w:t>
      </w:r>
    </w:p>
    <w:p w14:paraId="123F085B" w14:textId="41CBF587" w:rsidR="00FB2FB7" w:rsidRPr="00D764FC" w:rsidRDefault="00FB2FB7" w:rsidP="00764FF1">
      <w:pPr>
        <w:pStyle w:val="ListParagraph"/>
        <w:numPr>
          <w:ilvl w:val="0"/>
          <w:numId w:val="18"/>
        </w:numPr>
      </w:pPr>
      <w:r w:rsidRPr="00D764FC">
        <w:lastRenderedPageBreak/>
        <w:t xml:space="preserve">higher education institutions are inclusive, universally designed environments which support student success and outcomes, equity and diversity. </w:t>
      </w:r>
    </w:p>
    <w:p w14:paraId="17303300" w14:textId="77777777" w:rsidR="00FB2FB7" w:rsidRPr="00D764FC" w:rsidRDefault="00FB2FB7" w:rsidP="00FB2FB7">
      <w:r w:rsidRPr="00D764FC">
        <w:t>It identifies students with disabilities, including those with intellectual disabilities, as one of the three main groups who are under-represented in higher education.</w:t>
      </w:r>
      <w:r w:rsidRPr="00D764FC">
        <w:rPr>
          <w:rStyle w:val="FootnoteReference"/>
        </w:rPr>
        <w:footnoteReference w:id="16"/>
      </w:r>
    </w:p>
    <w:p w14:paraId="2F21335C" w14:textId="67772D8A" w:rsidR="00FB2FB7" w:rsidRPr="00D764FC" w:rsidRDefault="00FB2FB7" w:rsidP="00FB2FB7">
      <w:r w:rsidRPr="00D764FC">
        <w:t xml:space="preserve">This UDE approach is also central to the National Charter for Universal Design in Tertiary Education. The charter’s focus is how the sector can work towards embedding a </w:t>
      </w:r>
      <w:r w:rsidR="002A3A93">
        <w:t>U</w:t>
      </w:r>
      <w:r w:rsidRPr="00D764FC">
        <w:t xml:space="preserve">niversal </w:t>
      </w:r>
      <w:r w:rsidR="002A3A93">
        <w:t>D</w:t>
      </w:r>
      <w:r w:rsidRPr="00D764FC">
        <w:t>esign approach across all sectors of the educational system.</w:t>
      </w:r>
      <w:r w:rsidRPr="00D764FC">
        <w:rPr>
          <w:rStyle w:val="FootnoteReference"/>
        </w:rPr>
        <w:footnoteReference w:id="17"/>
      </w:r>
    </w:p>
    <w:p w14:paraId="549216E2" w14:textId="6255AC0B" w:rsidR="00AE0DE4" w:rsidRPr="00992524" w:rsidRDefault="00AE0DE4" w:rsidP="00FB2FB7">
      <w:pPr>
        <w:pStyle w:val="Heading1"/>
      </w:pPr>
      <w:r w:rsidRPr="00992524">
        <w:t>Conclusion</w:t>
      </w:r>
    </w:p>
    <w:p w14:paraId="6CD73286" w14:textId="34C3FE6E" w:rsidR="00647485" w:rsidRPr="00FB2FB7" w:rsidRDefault="00AE0DE4" w:rsidP="00647485">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FB2F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C359" w14:textId="77777777" w:rsidR="00A121FC" w:rsidRDefault="00A121FC" w:rsidP="00917FAC">
      <w:pPr>
        <w:spacing w:after="0"/>
      </w:pPr>
      <w:r>
        <w:separator/>
      </w:r>
    </w:p>
  </w:endnote>
  <w:endnote w:type="continuationSeparator" w:id="0">
    <w:p w14:paraId="66AEF9C5" w14:textId="77777777" w:rsidR="00A121FC" w:rsidRDefault="00A121F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5A395B4" w:rsidR="00917FAC" w:rsidRDefault="00AE0DE4" w:rsidP="00E457C6">
    <w:pPr>
      <w:pStyle w:val="Footer"/>
    </w:pPr>
    <w:r w:rsidRPr="003450B4">
      <w:rPr>
        <w:sz w:val="20"/>
        <w:szCs w:val="20"/>
      </w:rPr>
      <w:t xml:space="preserve">NDA Submission to the Department of </w:t>
    </w:r>
    <w:r w:rsidR="003450B4" w:rsidRPr="003450B4">
      <w:rPr>
        <w:sz w:val="20"/>
        <w:szCs w:val="20"/>
      </w:rPr>
      <w:t>Further and Higher Education, Research, Innovation and Science</w:t>
    </w:r>
    <w:r w:rsidRPr="003450B4">
      <w:rPr>
        <w:sz w:val="20"/>
        <w:szCs w:val="20"/>
      </w:rPr>
      <w:t xml:space="preserve"> to inform the development of their new Strategy Statement (</w:t>
    </w:r>
    <w:r w:rsidR="003450B4" w:rsidRPr="003450B4">
      <w:rPr>
        <w:sz w:val="20"/>
        <w:szCs w:val="20"/>
      </w:rPr>
      <w:t>April</w:t>
    </w:r>
    <w:r w:rsidRPr="003450B4">
      <w:rPr>
        <w:sz w:val="20"/>
        <w:szCs w:val="20"/>
      </w:rPr>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3FA9" w14:textId="77777777" w:rsidR="00A121FC" w:rsidRDefault="00A121FC" w:rsidP="00917FAC">
      <w:pPr>
        <w:spacing w:after="0"/>
      </w:pPr>
      <w:r>
        <w:separator/>
      </w:r>
    </w:p>
  </w:footnote>
  <w:footnote w:type="continuationSeparator" w:id="0">
    <w:p w14:paraId="39E35A3A" w14:textId="77777777" w:rsidR="00A121FC" w:rsidRDefault="00A121FC" w:rsidP="00917FAC">
      <w:pPr>
        <w:spacing w:after="0"/>
      </w:pPr>
      <w:r>
        <w:continuationSeparator/>
      </w:r>
    </w:p>
  </w:footnote>
  <w:footnote w:id="1">
    <w:p w14:paraId="722A8535" w14:textId="72CF0012" w:rsidR="00AE0DE4" w:rsidRDefault="00AE0DE4" w:rsidP="00AE0DE4">
      <w:pPr>
        <w:pStyle w:val="FootnoteText"/>
      </w:pPr>
      <w:r>
        <w:rPr>
          <w:rStyle w:val="FootnoteReference"/>
        </w:rPr>
        <w:footnoteRef/>
      </w:r>
      <w:r>
        <w:t xml:space="preserve"> </w:t>
      </w:r>
      <w:hyperlink r:id="rId1" w:history="1">
        <w:r w:rsidR="00764FF1" w:rsidRPr="006E5314">
          <w:rPr>
            <w:rStyle w:val="Hyperlink"/>
          </w:rPr>
          <w:t>Public Consultation on the Department of Further and Higher Education, Research, Innovation and Science Statement of Strategy 2025-2028</w:t>
        </w:r>
      </w:hyperlink>
      <w:r w:rsidR="00764FF1">
        <w:rPr>
          <w:rStyle w:val="Hyperlink"/>
        </w:rPr>
        <w:t xml:space="preserve">. </w:t>
      </w:r>
    </w:p>
  </w:footnote>
  <w:footnote w:id="2">
    <w:p w14:paraId="64454454" w14:textId="42CFC45B" w:rsidR="00AE0DE4" w:rsidRDefault="00AE0DE4" w:rsidP="00AE0DE4">
      <w:pPr>
        <w:pStyle w:val="FootnoteText"/>
      </w:pPr>
      <w:r>
        <w:rPr>
          <w:rStyle w:val="FootnoteReference"/>
        </w:rPr>
        <w:footnoteRef/>
      </w:r>
      <w:r>
        <w:t xml:space="preserve"> National Disability Authority (2022) Overview of </w:t>
      </w:r>
      <w:r w:rsidR="00D50D69">
        <w:t>Article 24:Education</w:t>
      </w:r>
      <w:r>
        <w:t>,</w:t>
      </w:r>
      <w:r w:rsidR="00D50D69">
        <w:t xml:space="preserve"> </w:t>
      </w:r>
      <w:hyperlink r:id="rId2" w:history="1">
        <w:r w:rsidR="00D50D69" w:rsidRPr="00D50D69">
          <w:rPr>
            <w:rStyle w:val="Hyperlink"/>
          </w:rPr>
          <w:t>Series of papers on individual United Nations Convention on the Rights of Persons with Disabilities (UNCRPD) Articles - National Disability Authority</w:t>
        </w:r>
      </w:hyperlink>
    </w:p>
  </w:footnote>
  <w:footnote w:id="3">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4">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w:t>
      </w:r>
      <w:r>
        <w:t>Services  and Information provided by Public Bodies.</w:t>
      </w:r>
    </w:p>
  </w:footnote>
  <w:footnote w:id="5">
    <w:p w14:paraId="42E61B99" w14:textId="4A607D25" w:rsidR="00AE0DE4" w:rsidRPr="006E3D54" w:rsidRDefault="00AE0DE4" w:rsidP="00AE0DE4">
      <w:pPr>
        <w:pStyle w:val="FootnoteText"/>
        <w:rPr>
          <w:b/>
          <w:bCs/>
        </w:rPr>
      </w:pPr>
      <w:r>
        <w:rPr>
          <w:rStyle w:val="FootnoteReference"/>
        </w:rPr>
        <w:footnoteRef/>
      </w:r>
      <w:r>
        <w:t xml:space="preserve"> National Disability Authority (2023) </w:t>
      </w:r>
      <w:bookmarkStart w:id="6" w:name="_Toc78967395"/>
      <w:bookmarkStart w:id="7" w:name="_Toc80626260"/>
      <w:bookmarkStart w:id="8" w:name="_Toc126224495"/>
      <w:bookmarkStart w:id="9" w:name="_Toc138066578"/>
      <w:bookmarkStart w:id="10" w:name="_Toc141427030"/>
      <w:bookmarkStart w:id="11" w:name="_Toc141432218"/>
      <w:r w:rsidRPr="006E3D54">
        <w:t>NDA Disability Act – Part 3 Monitoring Report 202</w:t>
      </w:r>
      <w:bookmarkEnd w:id="6"/>
      <w:bookmarkEnd w:id="7"/>
      <w:r w:rsidRPr="006E3D54">
        <w:t>2</w:t>
      </w:r>
      <w:bookmarkEnd w:id="8"/>
      <w:bookmarkEnd w:id="9"/>
      <w:r w:rsidRPr="006E3D54">
        <w:t>- Appendix A</w:t>
      </w:r>
      <w:bookmarkEnd w:id="10"/>
      <w:bookmarkEnd w:id="11"/>
      <w:r w:rsidRPr="006E3D54">
        <w:t>.</w:t>
      </w:r>
      <w:r w:rsidR="006E5314" w:rsidRPr="006E5314">
        <w:rPr>
          <w:sz w:val="24"/>
          <w:szCs w:val="22"/>
        </w:rPr>
        <w:t xml:space="preserve"> </w:t>
      </w:r>
      <w:hyperlink r:id="rId3" w:history="1">
        <w:r w:rsidR="006E5314" w:rsidRPr="006E5314">
          <w:rPr>
            <w:rStyle w:val="Hyperlink"/>
          </w:rPr>
          <w:t>Monitoring Report on Access Officers - National Disability Authority</w:t>
        </w:r>
      </w:hyperlink>
    </w:p>
  </w:footnote>
  <w:footnote w:id="6">
    <w:p w14:paraId="7CE9A508" w14:textId="77777777" w:rsidR="00715D09" w:rsidRDefault="00715D09" w:rsidP="00715D09">
      <w:pPr>
        <w:pStyle w:val="FootnoteText"/>
      </w:pPr>
      <w:r>
        <w:rPr>
          <w:rStyle w:val="FootnoteReference"/>
        </w:rPr>
        <w:footnoteRef/>
      </w:r>
      <w:r>
        <w:t xml:space="preserve"> National Disability Authority (2023) </w:t>
      </w:r>
      <w:hyperlink r:id="rId4" w:history="1">
        <w:r w:rsidRPr="00AB31B1">
          <w:rPr>
            <w:rStyle w:val="Hyperlink"/>
          </w:rPr>
          <w:t>Customer Communications Toolkit for Services to the Public – A Universal Design Approach.</w:t>
        </w:r>
      </w:hyperlink>
    </w:p>
  </w:footnote>
  <w:footnote w:id="7">
    <w:p w14:paraId="529CD1C9" w14:textId="79F8FE27" w:rsidR="00AE0DE4" w:rsidRDefault="00AE0DE4" w:rsidP="00AE0DE4">
      <w:pPr>
        <w:pStyle w:val="FootnoteText"/>
      </w:pPr>
      <w:r>
        <w:rPr>
          <w:rStyle w:val="FootnoteReference"/>
        </w:rPr>
        <w:footnoteRef/>
      </w:r>
      <w:r>
        <w:t xml:space="preserve"> Statutory Instrument 636, </w:t>
      </w:r>
      <w:hyperlink r:id="rId5" w:history="1">
        <w:r w:rsidRPr="00CB3EDC">
          <w:rPr>
            <w:rStyle w:val="Hyperlink"/>
          </w:rPr>
          <w:t>https://www.irishstatutebook.ie/eli/2023/si/636/made/en/print</w:t>
        </w:r>
      </w:hyperlink>
      <w:r>
        <w:rPr>
          <w:rStyle w:val="Hyperlink"/>
        </w:rPr>
        <w:t>.</w:t>
      </w:r>
    </w:p>
  </w:footnote>
  <w:footnote w:id="8">
    <w:p w14:paraId="15F7B419" w14:textId="0FBA103A" w:rsidR="00CD35D5" w:rsidRDefault="00CD35D5" w:rsidP="00CD35D5">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w:t>
      </w:r>
      <w:r w:rsidRPr="00CD35D5">
        <w:rPr>
          <w:sz w:val="24"/>
          <w:szCs w:val="22"/>
        </w:rPr>
        <w:t xml:space="preserve"> </w:t>
      </w:r>
      <w:hyperlink r:id="rId6" w:history="1">
        <w:r w:rsidRPr="00CD35D5">
          <w:rPr>
            <w:rStyle w:val="Hyperlink"/>
          </w:rPr>
          <w:t>Monitoring-Report-EU-WAD-Ireland-2023.pdf</w:t>
        </w:r>
      </w:hyperlink>
    </w:p>
  </w:footnote>
  <w:footnote w:id="9">
    <w:p w14:paraId="13CD62C7" w14:textId="5F37EA6C" w:rsidR="00CD35D5" w:rsidRDefault="00CD35D5" w:rsidP="00CD35D5">
      <w:pPr>
        <w:pStyle w:val="FootnoteText"/>
      </w:pPr>
      <w:r>
        <w:rPr>
          <w:rStyle w:val="FootnoteReference"/>
        </w:rPr>
        <w:footnoteRef/>
      </w:r>
      <w:r>
        <w:t xml:space="preserve"> National Disability Authority (2025) </w:t>
      </w:r>
      <w:r w:rsidRPr="00203894">
        <w:t>Ireland’s Monitoring Report for the EU Web Accessibility Directive – 202</w:t>
      </w:r>
      <w:r>
        <w:t>4</w:t>
      </w:r>
      <w:r w:rsidRPr="00203894">
        <w:t xml:space="preserve"> Monitoring Period</w:t>
      </w:r>
      <w:r>
        <w:t>.</w:t>
      </w:r>
      <w:r w:rsidRPr="00CD35D5">
        <w:rPr>
          <w:sz w:val="24"/>
          <w:szCs w:val="22"/>
        </w:rPr>
        <w:t xml:space="preserve"> </w:t>
      </w:r>
      <w:hyperlink r:id="rId7" w:history="1">
        <w:r w:rsidRPr="00CD35D5">
          <w:rPr>
            <w:rStyle w:val="Hyperlink"/>
          </w:rPr>
          <w:t>Ireland’s Annual Monitoring Report 2024</w:t>
        </w:r>
      </w:hyperlink>
    </w:p>
  </w:footnote>
  <w:footnote w:id="10">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8"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11">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 w:id="12">
    <w:p w14:paraId="64EE0021" w14:textId="77777777" w:rsidR="00FB2FB7" w:rsidRDefault="00FB2FB7" w:rsidP="00FB2FB7">
      <w:pPr>
        <w:pStyle w:val="FootnoteText"/>
      </w:pPr>
      <w:r>
        <w:rPr>
          <w:rStyle w:val="FootnoteReference"/>
        </w:rPr>
        <w:footnoteRef/>
      </w:r>
      <w:r>
        <w:t xml:space="preserve"> </w:t>
      </w:r>
      <w:r w:rsidRPr="008452F7">
        <w:t>https://universaldesign.ie/publications/universal-design-in-education-and-training-policy-landscape-in-ireland</w:t>
      </w:r>
    </w:p>
  </w:footnote>
  <w:footnote w:id="13">
    <w:p w14:paraId="05A51588" w14:textId="6A6F8256" w:rsidR="008F09FA" w:rsidRDefault="008F09FA">
      <w:pPr>
        <w:pStyle w:val="FootnoteText"/>
      </w:pPr>
      <w:r>
        <w:rPr>
          <w:rStyle w:val="FootnoteReference"/>
        </w:rPr>
        <w:footnoteRef/>
      </w:r>
      <w:r>
        <w:t xml:space="preserve"> </w:t>
      </w:r>
      <w:r w:rsidRPr="008F09FA">
        <w:t>https://universaldesign.ie/about-universal-design/products-and-services/standard-i-s-en-171612019-design-for-all</w:t>
      </w:r>
    </w:p>
  </w:footnote>
  <w:footnote w:id="14">
    <w:p w14:paraId="2EF42695" w14:textId="6FAEF942" w:rsidR="008F09FA" w:rsidRDefault="008F09FA">
      <w:pPr>
        <w:pStyle w:val="FootnoteText"/>
      </w:pPr>
      <w:r>
        <w:rPr>
          <w:rStyle w:val="FootnoteReference"/>
        </w:rPr>
        <w:footnoteRef/>
      </w:r>
      <w:r>
        <w:t xml:space="preserve"> </w:t>
      </w:r>
      <w:r w:rsidRPr="008F09FA">
        <w:t>https://universaldesign.ie/publications/universal-design-in-education-requirements-in-path-4-funding</w:t>
      </w:r>
    </w:p>
  </w:footnote>
  <w:footnote w:id="15">
    <w:p w14:paraId="27BC1848" w14:textId="77777777" w:rsidR="00FB2FB7" w:rsidRDefault="00FB2FB7" w:rsidP="00FB2FB7">
      <w:pPr>
        <w:pStyle w:val="FootnoteText"/>
      </w:pPr>
      <w:r>
        <w:rPr>
          <w:rStyle w:val="FootnoteReference"/>
        </w:rPr>
        <w:footnoteRef/>
      </w:r>
      <w:r>
        <w:t xml:space="preserve"> </w:t>
      </w:r>
      <w:hyperlink r:id="rId9" w:history="1">
        <w:r w:rsidRPr="00746967">
          <w:rPr>
            <w:rStyle w:val="Hyperlink"/>
          </w:rPr>
          <w:t>https://ahead.ie/udl</w:t>
        </w:r>
      </w:hyperlink>
    </w:p>
  </w:footnote>
  <w:footnote w:id="16">
    <w:p w14:paraId="75FC3D0C" w14:textId="77777777" w:rsidR="00FB2FB7" w:rsidRDefault="00FB2FB7" w:rsidP="00FB2FB7">
      <w:pPr>
        <w:pStyle w:val="FootnoteText"/>
      </w:pPr>
      <w:r>
        <w:rPr>
          <w:rStyle w:val="FootnoteReference"/>
        </w:rPr>
        <w:footnoteRef/>
      </w:r>
      <w:r>
        <w:t xml:space="preserve"> The National Access Plan is available at the following link: </w:t>
      </w:r>
      <w:hyperlink r:id="rId10" w:history="1">
        <w:r w:rsidRPr="00FE520E">
          <w:rPr>
            <w:rStyle w:val="Hyperlink"/>
          </w:rPr>
          <w:t>https://hea.ie/policy/access-policy/national-access-plan-2022-2028/</w:t>
        </w:r>
      </w:hyperlink>
      <w:r>
        <w:t xml:space="preserve"> </w:t>
      </w:r>
    </w:p>
  </w:footnote>
  <w:footnote w:id="17">
    <w:p w14:paraId="68BEECB8" w14:textId="77777777" w:rsidR="00FB2FB7" w:rsidRDefault="00FB2FB7" w:rsidP="00FB2FB7">
      <w:pPr>
        <w:pStyle w:val="FootnoteText"/>
      </w:pPr>
      <w:r>
        <w:rPr>
          <w:rStyle w:val="FootnoteReference"/>
        </w:rPr>
        <w:footnoteRef/>
      </w:r>
      <w:r>
        <w:t xml:space="preserve"> </w:t>
      </w:r>
      <w:hyperlink r:id="rId11" w:history="1">
        <w:r w:rsidRPr="006C3801">
          <w:rPr>
            <w:rStyle w:val="Hyperlink"/>
          </w:rPr>
          <w:t>https://www.ahead.ie/altitude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3383D1B"/>
    <w:multiLevelType w:val="hybridMultilevel"/>
    <w:tmpl w:val="F69E9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9104D8"/>
    <w:multiLevelType w:val="hybridMultilevel"/>
    <w:tmpl w:val="53FC63C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7871B39"/>
    <w:multiLevelType w:val="hybridMultilevel"/>
    <w:tmpl w:val="CABC0420"/>
    <w:lvl w:ilvl="0" w:tplc="18090001">
      <w:start w:val="1"/>
      <w:numFmt w:val="bullet"/>
      <w:lvlText w:val=""/>
      <w:lvlJc w:val="left"/>
      <w:pPr>
        <w:ind w:left="912" w:hanging="360"/>
      </w:pPr>
      <w:rPr>
        <w:rFonts w:ascii="Symbol" w:hAnsi="Symbol" w:hint="default"/>
      </w:rPr>
    </w:lvl>
    <w:lvl w:ilvl="1" w:tplc="18090003">
      <w:start w:val="1"/>
      <w:numFmt w:val="bullet"/>
      <w:lvlText w:val="o"/>
      <w:lvlJc w:val="left"/>
      <w:pPr>
        <w:ind w:left="1632" w:hanging="360"/>
      </w:pPr>
      <w:rPr>
        <w:rFonts w:ascii="Courier New" w:hAnsi="Courier New" w:cs="Courier New" w:hint="default"/>
      </w:rPr>
    </w:lvl>
    <w:lvl w:ilvl="2" w:tplc="18090005" w:tentative="1">
      <w:start w:val="1"/>
      <w:numFmt w:val="bullet"/>
      <w:lvlText w:val=""/>
      <w:lvlJc w:val="left"/>
      <w:pPr>
        <w:ind w:left="2352" w:hanging="360"/>
      </w:pPr>
      <w:rPr>
        <w:rFonts w:ascii="Wingdings" w:hAnsi="Wingdings" w:hint="default"/>
      </w:rPr>
    </w:lvl>
    <w:lvl w:ilvl="3" w:tplc="18090001" w:tentative="1">
      <w:start w:val="1"/>
      <w:numFmt w:val="bullet"/>
      <w:lvlText w:val=""/>
      <w:lvlJc w:val="left"/>
      <w:pPr>
        <w:ind w:left="3072" w:hanging="360"/>
      </w:pPr>
      <w:rPr>
        <w:rFonts w:ascii="Symbol" w:hAnsi="Symbol" w:hint="default"/>
      </w:rPr>
    </w:lvl>
    <w:lvl w:ilvl="4" w:tplc="18090003" w:tentative="1">
      <w:start w:val="1"/>
      <w:numFmt w:val="bullet"/>
      <w:lvlText w:val="o"/>
      <w:lvlJc w:val="left"/>
      <w:pPr>
        <w:ind w:left="3792" w:hanging="360"/>
      </w:pPr>
      <w:rPr>
        <w:rFonts w:ascii="Courier New" w:hAnsi="Courier New" w:cs="Courier New" w:hint="default"/>
      </w:rPr>
    </w:lvl>
    <w:lvl w:ilvl="5" w:tplc="18090005" w:tentative="1">
      <w:start w:val="1"/>
      <w:numFmt w:val="bullet"/>
      <w:lvlText w:val=""/>
      <w:lvlJc w:val="left"/>
      <w:pPr>
        <w:ind w:left="4512" w:hanging="360"/>
      </w:pPr>
      <w:rPr>
        <w:rFonts w:ascii="Wingdings" w:hAnsi="Wingdings" w:hint="default"/>
      </w:rPr>
    </w:lvl>
    <w:lvl w:ilvl="6" w:tplc="18090001" w:tentative="1">
      <w:start w:val="1"/>
      <w:numFmt w:val="bullet"/>
      <w:lvlText w:val=""/>
      <w:lvlJc w:val="left"/>
      <w:pPr>
        <w:ind w:left="5232" w:hanging="360"/>
      </w:pPr>
      <w:rPr>
        <w:rFonts w:ascii="Symbol" w:hAnsi="Symbol" w:hint="default"/>
      </w:rPr>
    </w:lvl>
    <w:lvl w:ilvl="7" w:tplc="18090003" w:tentative="1">
      <w:start w:val="1"/>
      <w:numFmt w:val="bullet"/>
      <w:lvlText w:val="o"/>
      <w:lvlJc w:val="left"/>
      <w:pPr>
        <w:ind w:left="5952" w:hanging="360"/>
      </w:pPr>
      <w:rPr>
        <w:rFonts w:ascii="Courier New" w:hAnsi="Courier New" w:cs="Courier New" w:hint="default"/>
      </w:rPr>
    </w:lvl>
    <w:lvl w:ilvl="8" w:tplc="18090005" w:tentative="1">
      <w:start w:val="1"/>
      <w:numFmt w:val="bullet"/>
      <w:lvlText w:val=""/>
      <w:lvlJc w:val="left"/>
      <w:pPr>
        <w:ind w:left="6672" w:hanging="360"/>
      </w:pPr>
      <w:rPr>
        <w:rFonts w:ascii="Wingdings" w:hAnsi="Wingdings" w:hint="default"/>
      </w:rPr>
    </w:lvl>
  </w:abstractNum>
  <w:abstractNum w:abstractNumId="7" w15:restartNumberingAfterBreak="0">
    <w:nsid w:val="29572E37"/>
    <w:multiLevelType w:val="hybridMultilevel"/>
    <w:tmpl w:val="0CD6DEE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F20BD"/>
    <w:multiLevelType w:val="hybridMultilevel"/>
    <w:tmpl w:val="EDAA16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0116B5C"/>
    <w:multiLevelType w:val="multilevel"/>
    <w:tmpl w:val="945E7E8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val="0"/>
        <w:color w:val="BF8F00" w:themeColor="accent4" w:themeShade="B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2C80ECA"/>
    <w:multiLevelType w:val="multilevel"/>
    <w:tmpl w:val="37482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6240224"/>
    <w:multiLevelType w:val="multilevel"/>
    <w:tmpl w:val="22F457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BF8F00" w:themeColor="accent4" w:themeShade="BF"/>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3"/>
  </w:num>
  <w:num w:numId="2" w16cid:durableId="1208221761">
    <w:abstractNumId w:val="18"/>
  </w:num>
  <w:num w:numId="3" w16cid:durableId="323360036">
    <w:abstractNumId w:val="10"/>
  </w:num>
  <w:num w:numId="4" w16cid:durableId="1675497173">
    <w:abstractNumId w:val="8"/>
  </w:num>
  <w:num w:numId="5" w16cid:durableId="572157237">
    <w:abstractNumId w:val="9"/>
  </w:num>
  <w:num w:numId="6" w16cid:durableId="1523394075">
    <w:abstractNumId w:val="5"/>
  </w:num>
  <w:num w:numId="7" w16cid:durableId="912929873">
    <w:abstractNumId w:val="15"/>
  </w:num>
  <w:num w:numId="8" w16cid:durableId="977608658">
    <w:abstractNumId w:val="16"/>
  </w:num>
  <w:num w:numId="9" w16cid:durableId="1233278352">
    <w:abstractNumId w:val="0"/>
  </w:num>
  <w:num w:numId="10" w16cid:durableId="1202548908">
    <w:abstractNumId w:val="11"/>
  </w:num>
  <w:num w:numId="11" w16cid:durableId="1838809369">
    <w:abstractNumId w:val="12"/>
  </w:num>
  <w:num w:numId="12" w16cid:durableId="962426233">
    <w:abstractNumId w:val="19"/>
  </w:num>
  <w:num w:numId="13" w16cid:durableId="1544638239">
    <w:abstractNumId w:val="4"/>
  </w:num>
  <w:num w:numId="14" w16cid:durableId="629480012">
    <w:abstractNumId w:val="6"/>
  </w:num>
  <w:num w:numId="15" w16cid:durableId="314071150">
    <w:abstractNumId w:val="17"/>
  </w:num>
  <w:num w:numId="16" w16cid:durableId="481703332">
    <w:abstractNumId w:val="13"/>
  </w:num>
  <w:num w:numId="17" w16cid:durableId="910962222">
    <w:abstractNumId w:val="14"/>
  </w:num>
  <w:num w:numId="18" w16cid:durableId="490603527">
    <w:abstractNumId w:val="7"/>
  </w:num>
  <w:num w:numId="19" w16cid:durableId="627585037">
    <w:abstractNumId w:val="2"/>
  </w:num>
  <w:num w:numId="20" w16cid:durableId="280651519">
    <w:abstractNumId w:val="1"/>
  </w:num>
  <w:num w:numId="21" w16cid:durableId="1292055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36528"/>
    <w:rsid w:val="00055494"/>
    <w:rsid w:val="0006646C"/>
    <w:rsid w:val="000779D8"/>
    <w:rsid w:val="00077BE4"/>
    <w:rsid w:val="00081B0A"/>
    <w:rsid w:val="000D2A1B"/>
    <w:rsid w:val="000D61AB"/>
    <w:rsid w:val="000E2A2B"/>
    <w:rsid w:val="0010419F"/>
    <w:rsid w:val="00130160"/>
    <w:rsid w:val="001538BD"/>
    <w:rsid w:val="001B2335"/>
    <w:rsid w:val="001F28E2"/>
    <w:rsid w:val="00224B98"/>
    <w:rsid w:val="00284FE5"/>
    <w:rsid w:val="0028705D"/>
    <w:rsid w:val="002A3A93"/>
    <w:rsid w:val="002C7DA3"/>
    <w:rsid w:val="002F4E87"/>
    <w:rsid w:val="0031069F"/>
    <w:rsid w:val="003416F1"/>
    <w:rsid w:val="003450B4"/>
    <w:rsid w:val="00366982"/>
    <w:rsid w:val="0039189C"/>
    <w:rsid w:val="003A0A5D"/>
    <w:rsid w:val="003B156B"/>
    <w:rsid w:val="003F6BFD"/>
    <w:rsid w:val="00452EF0"/>
    <w:rsid w:val="004838F4"/>
    <w:rsid w:val="004D70E4"/>
    <w:rsid w:val="004E4E8E"/>
    <w:rsid w:val="005137D5"/>
    <w:rsid w:val="0057353C"/>
    <w:rsid w:val="005A394E"/>
    <w:rsid w:val="00610919"/>
    <w:rsid w:val="0062255C"/>
    <w:rsid w:val="00625EB3"/>
    <w:rsid w:val="00647485"/>
    <w:rsid w:val="00650BC4"/>
    <w:rsid w:val="00651B83"/>
    <w:rsid w:val="006544B6"/>
    <w:rsid w:val="00664A4E"/>
    <w:rsid w:val="00683DA8"/>
    <w:rsid w:val="006C1CFB"/>
    <w:rsid w:val="006C39A2"/>
    <w:rsid w:val="006E5314"/>
    <w:rsid w:val="006F507A"/>
    <w:rsid w:val="006F7C4F"/>
    <w:rsid w:val="00700946"/>
    <w:rsid w:val="00715D09"/>
    <w:rsid w:val="007401B7"/>
    <w:rsid w:val="00745B19"/>
    <w:rsid w:val="00763FAC"/>
    <w:rsid w:val="00764FF1"/>
    <w:rsid w:val="007B30B4"/>
    <w:rsid w:val="007C66D0"/>
    <w:rsid w:val="008002BA"/>
    <w:rsid w:val="00864B35"/>
    <w:rsid w:val="008B4593"/>
    <w:rsid w:val="008C614E"/>
    <w:rsid w:val="008D138B"/>
    <w:rsid w:val="008F09FA"/>
    <w:rsid w:val="008F2F4F"/>
    <w:rsid w:val="00917FAC"/>
    <w:rsid w:val="00920097"/>
    <w:rsid w:val="00944393"/>
    <w:rsid w:val="009A249A"/>
    <w:rsid w:val="009A6DB0"/>
    <w:rsid w:val="009B2485"/>
    <w:rsid w:val="009F4396"/>
    <w:rsid w:val="009F6A59"/>
    <w:rsid w:val="00A121FC"/>
    <w:rsid w:val="00A15B73"/>
    <w:rsid w:val="00A34896"/>
    <w:rsid w:val="00A37955"/>
    <w:rsid w:val="00A7057B"/>
    <w:rsid w:val="00A723A3"/>
    <w:rsid w:val="00A76EED"/>
    <w:rsid w:val="00A80802"/>
    <w:rsid w:val="00A92017"/>
    <w:rsid w:val="00AB04E2"/>
    <w:rsid w:val="00AB181C"/>
    <w:rsid w:val="00AB2367"/>
    <w:rsid w:val="00AB2547"/>
    <w:rsid w:val="00AE0DE4"/>
    <w:rsid w:val="00B22B0E"/>
    <w:rsid w:val="00B27A71"/>
    <w:rsid w:val="00B53A64"/>
    <w:rsid w:val="00B70359"/>
    <w:rsid w:val="00B81FF1"/>
    <w:rsid w:val="00B8382B"/>
    <w:rsid w:val="00B870ED"/>
    <w:rsid w:val="00B918E5"/>
    <w:rsid w:val="00BB03D4"/>
    <w:rsid w:val="00BB23F7"/>
    <w:rsid w:val="00BE4856"/>
    <w:rsid w:val="00BE687B"/>
    <w:rsid w:val="00BF0F62"/>
    <w:rsid w:val="00BF4CA1"/>
    <w:rsid w:val="00C15849"/>
    <w:rsid w:val="00C201FF"/>
    <w:rsid w:val="00C73983"/>
    <w:rsid w:val="00C86F8E"/>
    <w:rsid w:val="00CC1708"/>
    <w:rsid w:val="00CD35D5"/>
    <w:rsid w:val="00D22B57"/>
    <w:rsid w:val="00D50D69"/>
    <w:rsid w:val="00D748B3"/>
    <w:rsid w:val="00D75902"/>
    <w:rsid w:val="00DC7236"/>
    <w:rsid w:val="00DE6C64"/>
    <w:rsid w:val="00E0371B"/>
    <w:rsid w:val="00E457C6"/>
    <w:rsid w:val="00E500C7"/>
    <w:rsid w:val="00E85F90"/>
    <w:rsid w:val="00E97A63"/>
    <w:rsid w:val="00EA59EA"/>
    <w:rsid w:val="00EA69CB"/>
    <w:rsid w:val="00EA7B6A"/>
    <w:rsid w:val="00EB27BF"/>
    <w:rsid w:val="00EB7ACC"/>
    <w:rsid w:val="00EF6B03"/>
    <w:rsid w:val="00F32798"/>
    <w:rsid w:val="00F47BB0"/>
    <w:rsid w:val="00F548C1"/>
    <w:rsid w:val="00F9726E"/>
    <w:rsid w:val="00FB2FB7"/>
    <w:rsid w:val="00FC09EC"/>
    <w:rsid w:val="00FD6D08"/>
    <w:rsid w:val="00FF0494"/>
    <w:rsid w:val="00FF6A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igunore,Subtitle Cover Page,List Paragraph Report,Bullet 1,Bullet Points,Colorful List - Accent 11,F5 List Paragraph,Indicator Text,List Paragraph Char Char Char,List Paragraph11,List Paragraph12,List Paragraph2,MAIN CONTENT,No Spacing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fn,FN"/>
    <w:basedOn w:val="Normal"/>
    <w:link w:val="FootnoteTextChar"/>
    <w:uiPriority w:val="99"/>
    <w:semiHidden/>
    <w:unhideWhenUsed/>
    <w:qFormat/>
    <w:rsid w:val="004D70E4"/>
    <w:pPr>
      <w:spacing w:after="0"/>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uiPriority w:val="99"/>
    <w:semiHidden/>
    <w:rsid w:val="004D70E4"/>
    <w:rPr>
      <w:rFonts w:ascii="Verdana" w:hAnsi="Verdana"/>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character" w:customStyle="1" w:styleId="ListParagraphChar">
    <w:name w:val="List Paragraph Char"/>
    <w:aliases w:val="igunore Char,Subtitle Cover Page Char,List Paragraph Report Char,Bullet 1 Char,Bullet Points Char,Colorful List - Accent 11 Char,F5 List Paragraph Char,Indicator Text Char,List Paragraph Char Char Char Char,List Paragraph11 Char"/>
    <w:link w:val="ListParagraph"/>
    <w:uiPriority w:val="34"/>
    <w:qFormat/>
    <w:locked/>
    <w:rsid w:val="00D50D69"/>
    <w:rPr>
      <w:rFonts w:ascii="Verdana" w:hAnsi="Verdana"/>
      <w:sz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FB2FB7"/>
    <w:pPr>
      <w:spacing w:after="160" w:line="240" w:lineRule="exact"/>
      <w:jc w:val="both"/>
    </w:pPr>
    <w:rPr>
      <w:rFonts w:asciiTheme="minorHAnsi" w:hAnsiTheme="minorHAnsi"/>
      <w:sz w:val="22"/>
      <w:vertAlign w:val="superscript"/>
    </w:rPr>
  </w:style>
  <w:style w:type="paragraph" w:styleId="Revision">
    <w:name w:val="Revision"/>
    <w:hidden/>
    <w:uiPriority w:val="99"/>
    <w:semiHidden/>
    <w:rsid w:val="00764FF1"/>
    <w:pPr>
      <w:spacing w:after="0"/>
    </w:pPr>
    <w:rPr>
      <w:rFonts w:ascii="Verdana" w:hAnsi="Verdana"/>
      <w:sz w:val="24"/>
    </w:rPr>
  </w:style>
  <w:style w:type="character" w:styleId="FollowedHyperlink">
    <w:name w:val="FollowedHyperlink"/>
    <w:basedOn w:val="DefaultParagraphFont"/>
    <w:uiPriority w:val="99"/>
    <w:semiHidden/>
    <w:unhideWhenUsed/>
    <w:rsid w:val="00A92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8449">
      <w:bodyDiv w:val="1"/>
      <w:marLeft w:val="0"/>
      <w:marRight w:val="0"/>
      <w:marTop w:val="0"/>
      <w:marBottom w:val="0"/>
      <w:divBdr>
        <w:top w:val="none" w:sz="0" w:space="0" w:color="auto"/>
        <w:left w:val="none" w:sz="0" w:space="0" w:color="auto"/>
        <w:bottom w:val="none" w:sz="0" w:space="0" w:color="auto"/>
        <w:right w:val="none" w:sz="0" w:space="0" w:color="auto"/>
      </w:divBdr>
    </w:div>
    <w:div w:id="735204742">
      <w:bodyDiv w:val="1"/>
      <w:marLeft w:val="0"/>
      <w:marRight w:val="0"/>
      <w:marTop w:val="0"/>
      <w:marBottom w:val="0"/>
      <w:divBdr>
        <w:top w:val="none" w:sz="0" w:space="0" w:color="auto"/>
        <w:left w:val="none" w:sz="0" w:space="0" w:color="auto"/>
        <w:bottom w:val="none" w:sz="0" w:space="0" w:color="auto"/>
        <w:right w:val="none" w:sz="0" w:space="0" w:color="auto"/>
      </w:divBdr>
    </w:div>
    <w:div w:id="11396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nda.ie/publications/report-on-the-operation-of-the-irish-sign-language-act-2017-december-2021" TargetMode="External"/><Relationship Id="rId3" Type="http://schemas.openxmlformats.org/officeDocument/2006/relationships/hyperlink" Target="https://nda.ie/publications/monitoring-report-on-access-officers" TargetMode="External"/><Relationship Id="rId7" Type="http://schemas.openxmlformats.org/officeDocument/2006/relationships/hyperlink" Target="https://nda.ie/uploads/publications/Irelands-Monitoring-Report-for-the-EU-Web-Accessibility-Directive-2024-Monitoring-Period-Final.pdf" TargetMode="External"/><Relationship Id="rId2" Type="http://schemas.openxmlformats.org/officeDocument/2006/relationships/hyperlink" Target="https://nda.ie/publications/series-of-papers-on-individual-united-nations-convention-on-the-rights-of-persons-with-disabilities-uncrpd-articles" TargetMode="External"/><Relationship Id="rId1" Type="http://schemas.openxmlformats.org/officeDocument/2006/relationships/hyperlink" Target="https://www.gov.ie/en/department-of-further-and-higher-education-research-innovation-and-science/consultations/public-consultation-on-the-department-of-further-and-higher-education-research-innovation-and-science-statement-of-strategy-2025-2028/" TargetMode="External"/><Relationship Id="rId6" Type="http://schemas.openxmlformats.org/officeDocument/2006/relationships/hyperlink" Target="https://nda.ie/uploads/publications/Monitoring-Report-EU-WAD-Ireland-2023.pdf" TargetMode="External"/><Relationship Id="rId11" Type="http://schemas.openxmlformats.org/officeDocument/2006/relationships/hyperlink" Target="https://www.ahead.ie/altitude" TargetMode="External"/><Relationship Id="rId5" Type="http://schemas.openxmlformats.org/officeDocument/2006/relationships/hyperlink" Target="https://www.irishstatutebook.ie/eli/2023/si/636/made/en/print" TargetMode="External"/><Relationship Id="rId10" Type="http://schemas.openxmlformats.org/officeDocument/2006/relationships/hyperlink" Target="https://hea.ie/policy/access-policy/national-access-plan-2022-2028/" TargetMode="External"/><Relationship Id="rId4" Type="http://schemas.openxmlformats.org/officeDocument/2006/relationships/hyperlink" Target="https://universaldesign.ie/communications-digital/customer-communications-toolkit-a-universal-design-approach" TargetMode="External"/><Relationship Id="rId9" Type="http://schemas.openxmlformats.org/officeDocument/2006/relationships/hyperlink" Target="https://ahead.ie/ud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13</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2025-08-07T16:44:00Z</dcterms:created>
  <dcterms:modified xsi:type="dcterms:W3CDTF">2025-08-07T16:44:00Z</dcterms:modified>
</cp:coreProperties>
</file>