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FDA1" w14:textId="77777777" w:rsidR="00B6001A" w:rsidRPr="001B4626" w:rsidRDefault="00B6001A" w:rsidP="00B6001A">
      <w:pPr>
        <w:pStyle w:val="Title"/>
        <w:jc w:val="left"/>
      </w:pPr>
      <w:r w:rsidRPr="001B4626">
        <w:rPr>
          <w:noProof/>
          <w:lang w:eastAsia="en-IE"/>
        </w:rPr>
        <w:drawing>
          <wp:inline distT="0" distB="0" distL="0" distR="0" wp14:anchorId="6FA4531A" wp14:editId="0E150096">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09341190" w14:textId="77777777" w:rsidR="00B6001A" w:rsidRPr="001B4626" w:rsidRDefault="00973C08" w:rsidP="00B6001A">
      <w:pPr>
        <w:rPr>
          <w:b/>
        </w:rPr>
      </w:pPr>
      <w:r>
        <w:rPr>
          <w:b/>
        </w:rPr>
        <w:t>26</w:t>
      </w:r>
      <w:r w:rsidR="00B67AF1" w:rsidRPr="001B4626">
        <w:rPr>
          <w:b/>
          <w:vertAlign w:val="superscript"/>
        </w:rPr>
        <w:t>th</w:t>
      </w:r>
      <w:r w:rsidR="00B67AF1" w:rsidRPr="001B4626">
        <w:rPr>
          <w:b/>
        </w:rPr>
        <w:t xml:space="preserve"> May 2023</w:t>
      </w:r>
    </w:p>
    <w:p w14:paraId="2D926F65" w14:textId="77777777" w:rsidR="009C4D62" w:rsidRPr="006F31D0" w:rsidRDefault="00B6001A" w:rsidP="00821FEE">
      <w:pPr>
        <w:pStyle w:val="Title"/>
        <w:rPr>
          <w:sz w:val="32"/>
        </w:rPr>
      </w:pPr>
      <w:r w:rsidRPr="006F31D0">
        <w:rPr>
          <w:color w:val="BF2296"/>
          <w:sz w:val="32"/>
        </w:rPr>
        <w:t>NDA Submission to</w:t>
      </w:r>
      <w:r w:rsidR="006834B3" w:rsidRPr="006F31D0">
        <w:rPr>
          <w:color w:val="BF2296"/>
          <w:sz w:val="32"/>
        </w:rPr>
        <w:t xml:space="preserve"> </w:t>
      </w:r>
      <w:r w:rsidR="00B67AF1" w:rsidRPr="006F31D0">
        <w:rPr>
          <w:color w:val="BF2296"/>
          <w:sz w:val="32"/>
        </w:rPr>
        <w:t>Department of Social Protection on Changes to Social Welfare Regulations</w:t>
      </w:r>
      <w:r w:rsidR="00530C9C">
        <w:rPr>
          <w:rStyle w:val="FootnoteReference"/>
          <w:color w:val="BF2296"/>
        </w:rPr>
        <w:footnoteReference w:id="1"/>
      </w:r>
    </w:p>
    <w:p w14:paraId="65C8445D" w14:textId="77777777" w:rsidR="00AC6516" w:rsidRPr="005402D2" w:rsidRDefault="00AC6516" w:rsidP="00AC6516">
      <w:pPr>
        <w:pStyle w:val="Heading2"/>
        <w:rPr>
          <w:sz w:val="26"/>
          <w:szCs w:val="26"/>
        </w:rPr>
      </w:pPr>
      <w:r w:rsidRPr="005402D2">
        <w:rPr>
          <w:sz w:val="26"/>
          <w:szCs w:val="26"/>
        </w:rPr>
        <w:t>Introduction</w:t>
      </w:r>
    </w:p>
    <w:p w14:paraId="4EF39959" w14:textId="18BDCE20" w:rsidR="00A8070D" w:rsidRPr="005402D2" w:rsidRDefault="00AC6516" w:rsidP="00AC6516">
      <w:pPr>
        <w:pStyle w:val="Default"/>
        <w:rPr>
          <w:color w:val="auto"/>
          <w:sz w:val="26"/>
          <w:szCs w:val="26"/>
        </w:rPr>
      </w:pPr>
      <w:r w:rsidRPr="005402D2">
        <w:rPr>
          <w:color w:val="auto"/>
          <w:sz w:val="26"/>
          <w:szCs w:val="26"/>
        </w:rPr>
        <w:t xml:space="preserve">The National Disability Authority (NDA) is the independent statutory body with a duty to provide information and evidence-informed advice to Government and officials in the public sector on disability matters, and to promote Universal Design. The NDA welcomes the opportunity to comment on </w:t>
      </w:r>
      <w:r w:rsidR="00056C29" w:rsidRPr="005402D2">
        <w:rPr>
          <w:color w:val="auto"/>
          <w:sz w:val="26"/>
          <w:szCs w:val="26"/>
        </w:rPr>
        <w:t xml:space="preserve">proposed changes </w:t>
      </w:r>
      <w:r w:rsidR="006F5ACF" w:rsidRPr="005402D2">
        <w:rPr>
          <w:color w:val="auto"/>
          <w:sz w:val="26"/>
          <w:szCs w:val="26"/>
        </w:rPr>
        <w:t xml:space="preserve">to the </w:t>
      </w:r>
      <w:r w:rsidR="00DC1C5B" w:rsidRPr="005402D2">
        <w:rPr>
          <w:color w:val="auto"/>
          <w:sz w:val="26"/>
          <w:szCs w:val="26"/>
        </w:rPr>
        <w:t>regulation</w:t>
      </w:r>
      <w:r w:rsidR="00522B1B" w:rsidRPr="005402D2">
        <w:rPr>
          <w:color w:val="auto"/>
          <w:sz w:val="26"/>
          <w:szCs w:val="26"/>
        </w:rPr>
        <w:t>s</w:t>
      </w:r>
      <w:r w:rsidR="00DC1C5B" w:rsidRPr="005402D2">
        <w:rPr>
          <w:color w:val="auto"/>
          <w:sz w:val="26"/>
          <w:szCs w:val="26"/>
        </w:rPr>
        <w:t xml:space="preserve"> </w:t>
      </w:r>
      <w:r w:rsidR="00522B1B" w:rsidRPr="005402D2">
        <w:rPr>
          <w:color w:val="auto"/>
          <w:sz w:val="26"/>
          <w:szCs w:val="26"/>
        </w:rPr>
        <w:t>governing</w:t>
      </w:r>
      <w:r w:rsidR="00DC1C5B" w:rsidRPr="005402D2">
        <w:rPr>
          <w:color w:val="auto"/>
          <w:sz w:val="26"/>
          <w:szCs w:val="26"/>
        </w:rPr>
        <w:t xml:space="preserve"> social welfare appeals</w:t>
      </w:r>
      <w:r w:rsidR="00B04E91">
        <w:rPr>
          <w:color w:val="auto"/>
          <w:sz w:val="26"/>
          <w:szCs w:val="26"/>
        </w:rPr>
        <w:t xml:space="preserve"> proposed by the Department of Social Protection</w:t>
      </w:r>
      <w:r w:rsidRPr="005402D2">
        <w:rPr>
          <w:color w:val="auto"/>
          <w:sz w:val="26"/>
          <w:szCs w:val="26"/>
        </w:rPr>
        <w:t xml:space="preserve">. </w:t>
      </w:r>
      <w:r w:rsidR="0011721B" w:rsidRPr="005402D2">
        <w:rPr>
          <w:color w:val="auto"/>
          <w:sz w:val="26"/>
          <w:szCs w:val="26"/>
        </w:rPr>
        <w:t>T</w:t>
      </w:r>
      <w:r w:rsidR="00B40BDE" w:rsidRPr="005402D2">
        <w:rPr>
          <w:color w:val="auto"/>
          <w:sz w:val="26"/>
          <w:szCs w:val="26"/>
        </w:rPr>
        <w:t xml:space="preserve">he NDA welcomes </w:t>
      </w:r>
      <w:r w:rsidR="000A09EA" w:rsidRPr="005402D2">
        <w:rPr>
          <w:color w:val="auto"/>
          <w:sz w:val="26"/>
          <w:szCs w:val="26"/>
        </w:rPr>
        <w:t>many of the</w:t>
      </w:r>
      <w:r w:rsidR="00B40BDE" w:rsidRPr="005402D2">
        <w:rPr>
          <w:color w:val="auto"/>
          <w:sz w:val="26"/>
          <w:szCs w:val="26"/>
        </w:rPr>
        <w:t xml:space="preserve"> proposed changes, </w:t>
      </w:r>
      <w:r w:rsidR="00731205" w:rsidRPr="005402D2">
        <w:rPr>
          <w:color w:val="auto"/>
          <w:sz w:val="26"/>
          <w:szCs w:val="26"/>
        </w:rPr>
        <w:t xml:space="preserve">including </w:t>
      </w:r>
      <w:r w:rsidR="00B40BDE" w:rsidRPr="005402D2">
        <w:rPr>
          <w:color w:val="auto"/>
          <w:sz w:val="26"/>
          <w:szCs w:val="26"/>
        </w:rPr>
        <w:t>giving additional timeframes to appellants</w:t>
      </w:r>
      <w:r w:rsidR="006E6222" w:rsidRPr="005402D2">
        <w:rPr>
          <w:color w:val="auto"/>
          <w:sz w:val="26"/>
          <w:szCs w:val="26"/>
        </w:rPr>
        <w:t xml:space="preserve"> to submit an appeal</w:t>
      </w:r>
      <w:r w:rsidR="00B40BDE" w:rsidRPr="005402D2">
        <w:rPr>
          <w:color w:val="auto"/>
          <w:sz w:val="26"/>
          <w:szCs w:val="26"/>
        </w:rPr>
        <w:t xml:space="preserve">, </w:t>
      </w:r>
      <w:r w:rsidR="00486897" w:rsidRPr="005402D2">
        <w:rPr>
          <w:color w:val="auto"/>
          <w:sz w:val="26"/>
          <w:szCs w:val="26"/>
        </w:rPr>
        <w:t xml:space="preserve">imposing greater responsibility on the Department </w:t>
      </w:r>
      <w:r w:rsidR="00A07A7D" w:rsidRPr="005402D2">
        <w:rPr>
          <w:color w:val="auto"/>
          <w:sz w:val="26"/>
          <w:szCs w:val="26"/>
        </w:rPr>
        <w:t xml:space="preserve">to meet </w:t>
      </w:r>
      <w:proofErr w:type="gramStart"/>
      <w:r w:rsidR="00A07A7D" w:rsidRPr="005402D2">
        <w:rPr>
          <w:color w:val="auto"/>
          <w:sz w:val="26"/>
          <w:szCs w:val="26"/>
        </w:rPr>
        <w:t>timelines</w:t>
      </w:r>
      <w:proofErr w:type="gramEnd"/>
      <w:r w:rsidR="00A07A7D" w:rsidRPr="005402D2">
        <w:rPr>
          <w:color w:val="auto"/>
          <w:sz w:val="26"/>
          <w:szCs w:val="26"/>
        </w:rPr>
        <w:t xml:space="preserve"> </w:t>
      </w:r>
      <w:r w:rsidR="00486897" w:rsidRPr="005402D2">
        <w:rPr>
          <w:color w:val="auto"/>
          <w:sz w:val="26"/>
          <w:szCs w:val="26"/>
        </w:rPr>
        <w:t>and</w:t>
      </w:r>
      <w:r w:rsidR="00B40BDE" w:rsidRPr="005402D2">
        <w:rPr>
          <w:color w:val="auto"/>
          <w:sz w:val="26"/>
          <w:szCs w:val="26"/>
        </w:rPr>
        <w:t xml:space="preserve"> increasing the responsibility of the Appeals Office, in line the recommendations of the Comptroller and Auditor General. </w:t>
      </w:r>
      <w:r w:rsidR="00735336" w:rsidRPr="005402D2">
        <w:rPr>
          <w:color w:val="auto"/>
          <w:sz w:val="26"/>
          <w:szCs w:val="26"/>
        </w:rPr>
        <w:t xml:space="preserve">The NDA recommends the Department </w:t>
      </w:r>
      <w:r w:rsidR="00A26E9F" w:rsidRPr="005402D2">
        <w:rPr>
          <w:color w:val="auto"/>
          <w:sz w:val="26"/>
          <w:szCs w:val="26"/>
        </w:rPr>
        <w:t xml:space="preserve">of Social Protection (DSP) </w:t>
      </w:r>
      <w:proofErr w:type="gramStart"/>
      <w:r w:rsidR="00200ABF" w:rsidRPr="005402D2">
        <w:rPr>
          <w:color w:val="auto"/>
          <w:sz w:val="26"/>
          <w:szCs w:val="26"/>
        </w:rPr>
        <w:t>gives further consideration to</w:t>
      </w:r>
      <w:proofErr w:type="gramEnd"/>
      <w:r w:rsidR="00735336" w:rsidRPr="005402D2">
        <w:rPr>
          <w:color w:val="auto"/>
          <w:sz w:val="26"/>
          <w:szCs w:val="26"/>
        </w:rPr>
        <w:t xml:space="preserve"> the recommendations below in order to ensure the changes to Social Welfare Regulations are suitable</w:t>
      </w:r>
      <w:r w:rsidR="00302AD1" w:rsidRPr="005402D2">
        <w:rPr>
          <w:color w:val="auto"/>
          <w:sz w:val="26"/>
          <w:szCs w:val="26"/>
        </w:rPr>
        <w:t xml:space="preserve"> for persons with disabilities.</w:t>
      </w:r>
    </w:p>
    <w:p w14:paraId="724EC4F2" w14:textId="77777777" w:rsidR="00A8070D" w:rsidRPr="005402D2" w:rsidRDefault="00A8070D" w:rsidP="00AC6516">
      <w:pPr>
        <w:pStyle w:val="Default"/>
        <w:rPr>
          <w:color w:val="auto"/>
          <w:sz w:val="26"/>
          <w:szCs w:val="26"/>
        </w:rPr>
      </w:pPr>
    </w:p>
    <w:p w14:paraId="52E65B0B" w14:textId="77777777" w:rsidR="003D74A3" w:rsidRPr="005402D2" w:rsidRDefault="00814329" w:rsidP="00554EB0">
      <w:pPr>
        <w:pStyle w:val="Heading2"/>
        <w:rPr>
          <w:sz w:val="26"/>
          <w:szCs w:val="26"/>
        </w:rPr>
      </w:pPr>
      <w:r w:rsidRPr="005402D2">
        <w:rPr>
          <w:sz w:val="26"/>
          <w:szCs w:val="26"/>
        </w:rPr>
        <w:t>Appeals on Medical Schemes</w:t>
      </w:r>
    </w:p>
    <w:p w14:paraId="252364B9" w14:textId="1E1CE218" w:rsidR="002200AA" w:rsidRPr="005402D2" w:rsidRDefault="00A123F7" w:rsidP="006C1BCD">
      <w:pPr>
        <w:pStyle w:val="Default"/>
        <w:rPr>
          <w:color w:val="auto"/>
          <w:sz w:val="26"/>
          <w:szCs w:val="26"/>
        </w:rPr>
      </w:pPr>
      <w:r w:rsidRPr="005402D2">
        <w:rPr>
          <w:color w:val="auto"/>
          <w:sz w:val="26"/>
          <w:szCs w:val="26"/>
        </w:rPr>
        <w:t>The NDA notes that according to the Department</w:t>
      </w:r>
      <w:r w:rsidR="00CD575C" w:rsidRPr="005402D2">
        <w:rPr>
          <w:color w:val="auto"/>
          <w:sz w:val="26"/>
          <w:szCs w:val="26"/>
        </w:rPr>
        <w:t>’s figures</w:t>
      </w:r>
      <w:r w:rsidR="0040184C" w:rsidRPr="005402D2">
        <w:rPr>
          <w:color w:val="auto"/>
          <w:sz w:val="26"/>
          <w:szCs w:val="26"/>
        </w:rPr>
        <w:t xml:space="preserve">, </w:t>
      </w:r>
      <w:r w:rsidRPr="005402D2">
        <w:rPr>
          <w:color w:val="auto"/>
          <w:sz w:val="26"/>
          <w:szCs w:val="26"/>
        </w:rPr>
        <w:t>a large portion of disability allowance applica</w:t>
      </w:r>
      <w:r w:rsidR="00690230" w:rsidRPr="005402D2">
        <w:rPr>
          <w:color w:val="auto"/>
          <w:sz w:val="26"/>
          <w:szCs w:val="26"/>
        </w:rPr>
        <w:t>tions that are initially rejected</w:t>
      </w:r>
      <w:r w:rsidRPr="005402D2">
        <w:rPr>
          <w:color w:val="auto"/>
          <w:sz w:val="26"/>
          <w:szCs w:val="26"/>
        </w:rPr>
        <w:t xml:space="preserve"> are awarded </w:t>
      </w:r>
      <w:r w:rsidR="004227EF">
        <w:rPr>
          <w:color w:val="auto"/>
          <w:sz w:val="26"/>
          <w:szCs w:val="26"/>
        </w:rPr>
        <w:t xml:space="preserve">their allowance </w:t>
      </w:r>
      <w:r w:rsidRPr="005402D2">
        <w:rPr>
          <w:color w:val="auto"/>
          <w:sz w:val="26"/>
          <w:szCs w:val="26"/>
        </w:rPr>
        <w:t>on appeal</w:t>
      </w:r>
      <w:r w:rsidR="002D2168" w:rsidRPr="005402D2">
        <w:rPr>
          <w:color w:val="auto"/>
          <w:sz w:val="26"/>
          <w:szCs w:val="26"/>
        </w:rPr>
        <w:t>. The latest figures</w:t>
      </w:r>
      <w:r w:rsidRPr="005402D2">
        <w:rPr>
          <w:color w:val="auto"/>
          <w:sz w:val="26"/>
          <w:szCs w:val="26"/>
        </w:rPr>
        <w:t xml:space="preserve"> from </w:t>
      </w:r>
      <w:r w:rsidR="00FE0C19">
        <w:rPr>
          <w:color w:val="auto"/>
          <w:sz w:val="26"/>
          <w:szCs w:val="26"/>
        </w:rPr>
        <w:t>DSP</w:t>
      </w:r>
      <w:r w:rsidR="002D2168" w:rsidRPr="005402D2">
        <w:rPr>
          <w:color w:val="auto"/>
          <w:sz w:val="26"/>
          <w:szCs w:val="26"/>
        </w:rPr>
        <w:t xml:space="preserve"> show that</w:t>
      </w:r>
      <w:r w:rsidRPr="005402D2">
        <w:rPr>
          <w:color w:val="auto"/>
          <w:sz w:val="26"/>
          <w:szCs w:val="26"/>
        </w:rPr>
        <w:t xml:space="preserve">, </w:t>
      </w:r>
      <w:r w:rsidR="00146540" w:rsidRPr="005402D2">
        <w:rPr>
          <w:color w:val="auto"/>
          <w:sz w:val="26"/>
          <w:szCs w:val="26"/>
        </w:rPr>
        <w:t xml:space="preserve">between </w:t>
      </w:r>
      <w:r w:rsidR="00152F71">
        <w:rPr>
          <w:color w:val="auto"/>
          <w:sz w:val="26"/>
          <w:szCs w:val="26"/>
        </w:rPr>
        <w:t xml:space="preserve">January </w:t>
      </w:r>
      <w:r w:rsidR="00146540" w:rsidRPr="005402D2">
        <w:rPr>
          <w:color w:val="auto"/>
          <w:sz w:val="26"/>
          <w:szCs w:val="26"/>
        </w:rPr>
        <w:t xml:space="preserve">2021 and March 2023, 60.1% </w:t>
      </w:r>
      <w:r w:rsidR="002E4A58">
        <w:rPr>
          <w:color w:val="auto"/>
          <w:sz w:val="26"/>
          <w:szCs w:val="26"/>
        </w:rPr>
        <w:t xml:space="preserve">(3,355) </w:t>
      </w:r>
      <w:r w:rsidR="00AB3798">
        <w:rPr>
          <w:color w:val="auto"/>
          <w:sz w:val="26"/>
          <w:szCs w:val="26"/>
        </w:rPr>
        <w:t>of d</w:t>
      </w:r>
      <w:r w:rsidR="00F11CD1">
        <w:rPr>
          <w:color w:val="auto"/>
          <w:sz w:val="26"/>
          <w:szCs w:val="26"/>
        </w:rPr>
        <w:t>isability a</w:t>
      </w:r>
      <w:r w:rsidR="00146540" w:rsidRPr="005402D2">
        <w:rPr>
          <w:color w:val="auto"/>
          <w:sz w:val="26"/>
          <w:szCs w:val="26"/>
        </w:rPr>
        <w:t xml:space="preserve">llowance appeals were found to be favourable to the appellant. </w:t>
      </w:r>
      <w:r w:rsidR="0091475B" w:rsidRPr="005402D2">
        <w:rPr>
          <w:color w:val="auto"/>
          <w:sz w:val="26"/>
          <w:szCs w:val="26"/>
        </w:rPr>
        <w:t xml:space="preserve">According to </w:t>
      </w:r>
      <w:r w:rsidR="00A718DF">
        <w:rPr>
          <w:color w:val="auto"/>
          <w:sz w:val="26"/>
          <w:szCs w:val="26"/>
        </w:rPr>
        <w:t>DSP</w:t>
      </w:r>
      <w:r w:rsidR="0091475B" w:rsidRPr="005402D2">
        <w:rPr>
          <w:color w:val="auto"/>
          <w:sz w:val="26"/>
          <w:szCs w:val="26"/>
        </w:rPr>
        <w:t xml:space="preserve">, this is partially due to additional information </w:t>
      </w:r>
      <w:r w:rsidR="00530C9C" w:rsidRPr="005402D2">
        <w:rPr>
          <w:color w:val="auto"/>
          <w:sz w:val="26"/>
          <w:szCs w:val="26"/>
        </w:rPr>
        <w:t>being</w:t>
      </w:r>
      <w:r w:rsidR="0091475B" w:rsidRPr="005402D2">
        <w:rPr>
          <w:color w:val="auto"/>
          <w:sz w:val="26"/>
          <w:szCs w:val="26"/>
        </w:rPr>
        <w:t xml:space="preserve"> submitted by the appellant, </w:t>
      </w:r>
      <w:r w:rsidR="00C13580" w:rsidRPr="005402D2">
        <w:rPr>
          <w:color w:val="auto"/>
          <w:sz w:val="26"/>
          <w:szCs w:val="26"/>
        </w:rPr>
        <w:t>a trend which</w:t>
      </w:r>
      <w:r w:rsidR="0091475B" w:rsidRPr="005402D2">
        <w:rPr>
          <w:color w:val="auto"/>
          <w:sz w:val="26"/>
          <w:szCs w:val="26"/>
        </w:rPr>
        <w:t xml:space="preserve"> is </w:t>
      </w:r>
      <w:r w:rsidR="0091475B" w:rsidRPr="005402D2">
        <w:rPr>
          <w:color w:val="auto"/>
          <w:sz w:val="26"/>
          <w:szCs w:val="26"/>
        </w:rPr>
        <w:lastRenderedPageBreak/>
        <w:t>particularly prevalent in medical schemes.</w:t>
      </w:r>
      <w:r w:rsidR="007907D6" w:rsidRPr="005402D2">
        <w:rPr>
          <w:rStyle w:val="FootnoteReference"/>
          <w:rFonts w:ascii="Gill Sans MT" w:hAnsi="Gill Sans MT"/>
          <w:color w:val="auto"/>
          <w:sz w:val="26"/>
          <w:szCs w:val="26"/>
        </w:rPr>
        <w:footnoteReference w:id="2"/>
      </w:r>
      <w:r w:rsidR="00101F5B" w:rsidRPr="005402D2">
        <w:rPr>
          <w:color w:val="auto"/>
          <w:sz w:val="26"/>
          <w:szCs w:val="26"/>
        </w:rPr>
        <w:t xml:space="preserve"> </w:t>
      </w:r>
      <w:r w:rsidR="00C317A5">
        <w:rPr>
          <w:color w:val="auto"/>
          <w:sz w:val="26"/>
          <w:szCs w:val="26"/>
        </w:rPr>
        <w:t>The NDA recommend</w:t>
      </w:r>
      <w:r w:rsidR="00DD4BD9">
        <w:rPr>
          <w:color w:val="auto"/>
          <w:sz w:val="26"/>
          <w:szCs w:val="26"/>
        </w:rPr>
        <w:t>s</w:t>
      </w:r>
      <w:r w:rsidR="002200AA" w:rsidRPr="005402D2">
        <w:rPr>
          <w:color w:val="auto"/>
          <w:sz w:val="26"/>
          <w:szCs w:val="26"/>
        </w:rPr>
        <w:t xml:space="preserve"> that further analysis is carried out on the num</w:t>
      </w:r>
      <w:r w:rsidR="004E61BB" w:rsidRPr="005402D2">
        <w:rPr>
          <w:color w:val="auto"/>
          <w:sz w:val="26"/>
          <w:szCs w:val="26"/>
        </w:rPr>
        <w:t>ber of applicants that provid</w:t>
      </w:r>
      <w:r w:rsidR="00530C9C" w:rsidRPr="005402D2">
        <w:rPr>
          <w:color w:val="auto"/>
          <w:sz w:val="26"/>
          <w:szCs w:val="26"/>
        </w:rPr>
        <w:t>e</w:t>
      </w:r>
      <w:r w:rsidR="002200AA" w:rsidRPr="005402D2">
        <w:rPr>
          <w:color w:val="auto"/>
          <w:sz w:val="26"/>
          <w:szCs w:val="26"/>
        </w:rPr>
        <w:t xml:space="preserve"> new information to support their application at appeal stage</w:t>
      </w:r>
      <w:r w:rsidR="004F52EC">
        <w:rPr>
          <w:color w:val="auto"/>
          <w:sz w:val="26"/>
          <w:szCs w:val="26"/>
        </w:rPr>
        <w:t>,</w:t>
      </w:r>
      <w:r w:rsidR="00530C9C" w:rsidRPr="005402D2">
        <w:rPr>
          <w:color w:val="auto"/>
          <w:sz w:val="26"/>
          <w:szCs w:val="26"/>
        </w:rPr>
        <w:t xml:space="preserve"> to examine </w:t>
      </w:r>
      <w:r w:rsidR="00FD159F">
        <w:rPr>
          <w:color w:val="auto"/>
          <w:sz w:val="26"/>
          <w:szCs w:val="26"/>
        </w:rPr>
        <w:t xml:space="preserve">the reasons </w:t>
      </w:r>
      <w:r w:rsidR="005038CF">
        <w:rPr>
          <w:color w:val="auto"/>
          <w:sz w:val="26"/>
          <w:szCs w:val="26"/>
        </w:rPr>
        <w:t xml:space="preserve">why </w:t>
      </w:r>
      <w:r w:rsidR="00FE23BE">
        <w:rPr>
          <w:color w:val="auto"/>
          <w:sz w:val="26"/>
          <w:szCs w:val="26"/>
        </w:rPr>
        <w:t xml:space="preserve">that </w:t>
      </w:r>
      <w:r w:rsidR="00530C9C" w:rsidRPr="005402D2">
        <w:rPr>
          <w:color w:val="auto"/>
          <w:sz w:val="26"/>
          <w:szCs w:val="26"/>
        </w:rPr>
        <w:t xml:space="preserve">information was not provided </w:t>
      </w:r>
      <w:r w:rsidR="00750C65">
        <w:rPr>
          <w:color w:val="auto"/>
          <w:sz w:val="26"/>
          <w:szCs w:val="26"/>
        </w:rPr>
        <w:t>during the application process</w:t>
      </w:r>
      <w:r w:rsidR="00230C4B" w:rsidRPr="005402D2">
        <w:rPr>
          <w:color w:val="auto"/>
          <w:sz w:val="26"/>
          <w:szCs w:val="26"/>
        </w:rPr>
        <w:t xml:space="preserve">. </w:t>
      </w:r>
    </w:p>
    <w:p w14:paraId="4E403726" w14:textId="77777777" w:rsidR="005402D2" w:rsidRDefault="005402D2" w:rsidP="006C1BCD">
      <w:pPr>
        <w:pStyle w:val="Default"/>
        <w:rPr>
          <w:color w:val="auto"/>
          <w:sz w:val="26"/>
          <w:szCs w:val="26"/>
        </w:rPr>
      </w:pPr>
    </w:p>
    <w:p w14:paraId="59DBDF67" w14:textId="3380C9FB" w:rsidR="00A972DB" w:rsidRPr="005402D2" w:rsidRDefault="00101F5B" w:rsidP="006C1BCD">
      <w:pPr>
        <w:pStyle w:val="Default"/>
        <w:rPr>
          <w:color w:val="auto"/>
          <w:sz w:val="26"/>
          <w:szCs w:val="26"/>
        </w:rPr>
      </w:pPr>
      <w:r w:rsidRPr="005402D2">
        <w:rPr>
          <w:color w:val="auto"/>
          <w:sz w:val="26"/>
          <w:szCs w:val="26"/>
        </w:rPr>
        <w:t xml:space="preserve">The ability to obtain medical information in a timely manner can be an issue for </w:t>
      </w:r>
      <w:r w:rsidR="0072637C" w:rsidRPr="005402D2">
        <w:rPr>
          <w:color w:val="auto"/>
          <w:sz w:val="26"/>
          <w:szCs w:val="26"/>
        </w:rPr>
        <w:t>disabled people</w:t>
      </w:r>
      <w:r w:rsidRPr="005402D2">
        <w:rPr>
          <w:color w:val="auto"/>
          <w:sz w:val="26"/>
          <w:szCs w:val="26"/>
        </w:rPr>
        <w:t xml:space="preserve">, as GPs may refer social welfare applicants to a medical specialist. </w:t>
      </w:r>
      <w:r w:rsidR="008B5A4C" w:rsidRPr="005402D2">
        <w:rPr>
          <w:color w:val="auto"/>
          <w:sz w:val="26"/>
          <w:szCs w:val="26"/>
        </w:rPr>
        <w:t>D</w:t>
      </w:r>
      <w:r w:rsidRPr="005402D2">
        <w:rPr>
          <w:color w:val="auto"/>
          <w:sz w:val="26"/>
          <w:szCs w:val="26"/>
        </w:rPr>
        <w:t xml:space="preserve">elays accessing medical specialists have been well documented and may be a factor in the </w:t>
      </w:r>
      <w:r w:rsidR="00E0415B" w:rsidRPr="005402D2">
        <w:rPr>
          <w:color w:val="auto"/>
          <w:sz w:val="26"/>
          <w:szCs w:val="26"/>
        </w:rPr>
        <w:t>late submission of</w:t>
      </w:r>
      <w:r w:rsidRPr="005402D2">
        <w:rPr>
          <w:color w:val="auto"/>
          <w:sz w:val="26"/>
          <w:szCs w:val="26"/>
        </w:rPr>
        <w:t xml:space="preserve"> medical information on specific </w:t>
      </w:r>
      <w:r w:rsidR="00C71F9B" w:rsidRPr="005402D2">
        <w:rPr>
          <w:color w:val="auto"/>
          <w:sz w:val="26"/>
          <w:szCs w:val="26"/>
        </w:rPr>
        <w:t xml:space="preserve">appeal </w:t>
      </w:r>
      <w:r w:rsidRPr="005402D2">
        <w:rPr>
          <w:color w:val="auto"/>
          <w:sz w:val="26"/>
          <w:szCs w:val="26"/>
        </w:rPr>
        <w:t xml:space="preserve">cases. </w:t>
      </w:r>
      <w:r w:rsidR="0075193D" w:rsidRPr="005402D2">
        <w:rPr>
          <w:color w:val="auto"/>
          <w:sz w:val="26"/>
          <w:szCs w:val="26"/>
        </w:rPr>
        <w:t xml:space="preserve">Furthermore, </w:t>
      </w:r>
      <w:r w:rsidR="00E20C60" w:rsidRPr="005402D2">
        <w:rPr>
          <w:color w:val="auto"/>
          <w:sz w:val="26"/>
          <w:szCs w:val="26"/>
        </w:rPr>
        <w:t>appellants</w:t>
      </w:r>
      <w:r w:rsidR="0075193D" w:rsidRPr="005402D2">
        <w:rPr>
          <w:color w:val="auto"/>
          <w:sz w:val="26"/>
          <w:szCs w:val="26"/>
        </w:rPr>
        <w:t xml:space="preserve"> may not be in the</w:t>
      </w:r>
      <w:r w:rsidR="00E97E1C" w:rsidRPr="005402D2">
        <w:rPr>
          <w:color w:val="auto"/>
          <w:sz w:val="26"/>
          <w:szCs w:val="26"/>
        </w:rPr>
        <w:t xml:space="preserve"> financial position to access medical services</w:t>
      </w:r>
      <w:r w:rsidR="0075193D" w:rsidRPr="005402D2">
        <w:rPr>
          <w:color w:val="auto"/>
          <w:sz w:val="26"/>
          <w:szCs w:val="26"/>
        </w:rPr>
        <w:t xml:space="preserve">. </w:t>
      </w:r>
      <w:r w:rsidR="00A972DB" w:rsidRPr="005402D2">
        <w:rPr>
          <w:color w:val="auto"/>
          <w:sz w:val="26"/>
          <w:szCs w:val="26"/>
        </w:rPr>
        <w:t>According to Citizen’</w:t>
      </w:r>
      <w:r w:rsidR="004D21B0" w:rsidRPr="005402D2">
        <w:rPr>
          <w:color w:val="auto"/>
          <w:sz w:val="26"/>
          <w:szCs w:val="26"/>
        </w:rPr>
        <w:t>s I</w:t>
      </w:r>
      <w:r w:rsidR="00A972DB" w:rsidRPr="005402D2">
        <w:rPr>
          <w:color w:val="auto"/>
          <w:sz w:val="26"/>
          <w:szCs w:val="26"/>
        </w:rPr>
        <w:t>nformation ther</w:t>
      </w:r>
      <w:r w:rsidR="004D21B0" w:rsidRPr="005402D2">
        <w:rPr>
          <w:color w:val="auto"/>
          <w:sz w:val="26"/>
          <w:szCs w:val="26"/>
        </w:rPr>
        <w:t>e are certain services that GPs are not obliged to provide free of charge, including medical cert</w:t>
      </w:r>
      <w:r w:rsidR="000509F9" w:rsidRPr="005402D2">
        <w:rPr>
          <w:color w:val="auto"/>
          <w:sz w:val="26"/>
          <w:szCs w:val="26"/>
        </w:rPr>
        <w:t>ificates for absence</w:t>
      </w:r>
      <w:r w:rsidR="003F7393" w:rsidRPr="005402D2">
        <w:rPr>
          <w:color w:val="auto"/>
          <w:sz w:val="26"/>
          <w:szCs w:val="26"/>
        </w:rPr>
        <w:t>s</w:t>
      </w:r>
      <w:r w:rsidR="000509F9" w:rsidRPr="005402D2">
        <w:rPr>
          <w:color w:val="auto"/>
          <w:sz w:val="26"/>
          <w:szCs w:val="26"/>
        </w:rPr>
        <w:t xml:space="preserve"> from work. Citizen’s </w:t>
      </w:r>
      <w:r w:rsidR="00D82FF7">
        <w:rPr>
          <w:color w:val="auto"/>
          <w:sz w:val="26"/>
          <w:szCs w:val="26"/>
        </w:rPr>
        <w:t>I</w:t>
      </w:r>
      <w:r w:rsidR="000509F9" w:rsidRPr="005402D2">
        <w:rPr>
          <w:color w:val="auto"/>
          <w:sz w:val="26"/>
          <w:szCs w:val="26"/>
        </w:rPr>
        <w:t>nformation notes that</w:t>
      </w:r>
      <w:r w:rsidR="00605B2E" w:rsidRPr="005402D2">
        <w:rPr>
          <w:color w:val="auto"/>
          <w:sz w:val="26"/>
          <w:szCs w:val="26"/>
        </w:rPr>
        <w:t xml:space="preserve"> ‘</w:t>
      </w:r>
      <w:r w:rsidR="00A26E9F" w:rsidRPr="005402D2">
        <w:rPr>
          <w:color w:val="auto"/>
          <w:sz w:val="26"/>
          <w:szCs w:val="26"/>
        </w:rPr>
        <w:t>i</w:t>
      </w:r>
      <w:r w:rsidR="00B94253" w:rsidRPr="005402D2">
        <w:rPr>
          <w:color w:val="auto"/>
          <w:sz w:val="26"/>
          <w:szCs w:val="26"/>
        </w:rPr>
        <w:t>f a medical report i</w:t>
      </w:r>
      <w:r w:rsidR="00D82FF7">
        <w:rPr>
          <w:color w:val="auto"/>
          <w:sz w:val="26"/>
          <w:szCs w:val="26"/>
        </w:rPr>
        <w:t>s</w:t>
      </w:r>
      <w:r w:rsidR="00B94253" w:rsidRPr="005402D2">
        <w:rPr>
          <w:color w:val="auto"/>
          <w:sz w:val="26"/>
          <w:szCs w:val="26"/>
        </w:rPr>
        <w:t xml:space="preserve"> required for a social welfare payment, the Department of Social Protection may cover the fee</w:t>
      </w:r>
      <w:r w:rsidR="00605B2E" w:rsidRPr="005402D2">
        <w:rPr>
          <w:color w:val="auto"/>
          <w:sz w:val="26"/>
          <w:szCs w:val="26"/>
        </w:rPr>
        <w:t>’</w:t>
      </w:r>
      <w:r w:rsidR="005F0B51" w:rsidRPr="005402D2">
        <w:rPr>
          <w:color w:val="auto"/>
          <w:sz w:val="26"/>
          <w:szCs w:val="26"/>
        </w:rPr>
        <w:t>.</w:t>
      </w:r>
      <w:r w:rsidR="005F0B51" w:rsidRPr="005402D2">
        <w:rPr>
          <w:rStyle w:val="FootnoteReference"/>
          <w:rFonts w:ascii="Gill Sans MT" w:hAnsi="Gill Sans MT"/>
          <w:color w:val="auto"/>
          <w:sz w:val="26"/>
          <w:szCs w:val="26"/>
        </w:rPr>
        <w:t xml:space="preserve"> </w:t>
      </w:r>
      <w:r w:rsidR="005F0B51" w:rsidRPr="005402D2">
        <w:rPr>
          <w:rStyle w:val="FootnoteReference"/>
          <w:rFonts w:ascii="Gill Sans MT" w:hAnsi="Gill Sans MT"/>
          <w:color w:val="auto"/>
          <w:sz w:val="26"/>
          <w:szCs w:val="26"/>
        </w:rPr>
        <w:footnoteReference w:id="3"/>
      </w:r>
      <w:r w:rsidR="005F0B51" w:rsidRPr="005402D2">
        <w:rPr>
          <w:color w:val="auto"/>
          <w:sz w:val="26"/>
          <w:szCs w:val="26"/>
        </w:rPr>
        <w:t xml:space="preserve"> The NDA recommends that further information be provided on how individuals can make this request to DSP, and the circumstance</w:t>
      </w:r>
      <w:r w:rsidR="00DF7A73" w:rsidRPr="005402D2">
        <w:rPr>
          <w:color w:val="auto"/>
          <w:sz w:val="26"/>
          <w:szCs w:val="26"/>
        </w:rPr>
        <w:t>s</w:t>
      </w:r>
      <w:r w:rsidR="005F0B51" w:rsidRPr="005402D2">
        <w:rPr>
          <w:color w:val="auto"/>
          <w:sz w:val="26"/>
          <w:szCs w:val="26"/>
        </w:rPr>
        <w:t xml:space="preserve"> in which DSP </w:t>
      </w:r>
      <w:r w:rsidR="002D53A4" w:rsidRPr="005402D2">
        <w:rPr>
          <w:color w:val="auto"/>
          <w:sz w:val="26"/>
          <w:szCs w:val="26"/>
        </w:rPr>
        <w:t xml:space="preserve">may </w:t>
      </w:r>
      <w:r w:rsidR="005F0B51" w:rsidRPr="005402D2">
        <w:rPr>
          <w:color w:val="auto"/>
          <w:sz w:val="26"/>
          <w:szCs w:val="26"/>
        </w:rPr>
        <w:t>cover this fee.</w:t>
      </w:r>
      <w:r w:rsidR="00B94253" w:rsidRPr="005402D2">
        <w:rPr>
          <w:color w:val="auto"/>
          <w:sz w:val="26"/>
          <w:szCs w:val="26"/>
        </w:rPr>
        <w:t xml:space="preserve"> </w:t>
      </w:r>
      <w:r w:rsidR="002200AA" w:rsidRPr="005402D2">
        <w:rPr>
          <w:color w:val="auto"/>
          <w:sz w:val="26"/>
          <w:szCs w:val="26"/>
        </w:rPr>
        <w:t xml:space="preserve">The proposed </w:t>
      </w:r>
      <w:proofErr w:type="gramStart"/>
      <w:r w:rsidR="002200AA" w:rsidRPr="005402D2">
        <w:rPr>
          <w:color w:val="auto"/>
          <w:sz w:val="26"/>
          <w:szCs w:val="26"/>
        </w:rPr>
        <w:t>changes</w:t>
      </w:r>
      <w:proofErr w:type="gramEnd"/>
      <w:r w:rsidR="002200AA" w:rsidRPr="005402D2">
        <w:rPr>
          <w:color w:val="auto"/>
          <w:sz w:val="26"/>
          <w:szCs w:val="26"/>
        </w:rPr>
        <w:t xml:space="preserve"> to the social welfare appeals system sets a 21 day</w:t>
      </w:r>
      <w:r w:rsidR="00C362A8" w:rsidRPr="005402D2">
        <w:rPr>
          <w:color w:val="auto"/>
          <w:sz w:val="26"/>
          <w:szCs w:val="26"/>
        </w:rPr>
        <w:t xml:space="preserve"> (3 week)</w:t>
      </w:r>
      <w:r w:rsidR="002200AA" w:rsidRPr="005402D2">
        <w:rPr>
          <w:color w:val="auto"/>
          <w:sz w:val="26"/>
          <w:szCs w:val="26"/>
        </w:rPr>
        <w:t xml:space="preserve"> timeframe to appellants to return documents with further extension on reasonable grounds. The </w:t>
      </w:r>
      <w:r w:rsidR="00C362A8" w:rsidRPr="005402D2">
        <w:rPr>
          <w:color w:val="auto"/>
          <w:sz w:val="26"/>
          <w:szCs w:val="26"/>
        </w:rPr>
        <w:t xml:space="preserve">NDA suggests that this timeframe be extended to give </w:t>
      </w:r>
      <w:r w:rsidR="00E20C60" w:rsidRPr="005402D2">
        <w:rPr>
          <w:color w:val="auto"/>
          <w:sz w:val="26"/>
          <w:szCs w:val="26"/>
        </w:rPr>
        <w:t>appellants</w:t>
      </w:r>
      <w:r w:rsidR="00C362A8" w:rsidRPr="005402D2">
        <w:rPr>
          <w:color w:val="auto"/>
          <w:sz w:val="26"/>
          <w:szCs w:val="26"/>
        </w:rPr>
        <w:t xml:space="preserve"> adequate time to prepare their documents, </w:t>
      </w:r>
      <w:r w:rsidR="00E20C60" w:rsidRPr="005402D2">
        <w:rPr>
          <w:color w:val="auto"/>
          <w:sz w:val="26"/>
          <w:szCs w:val="26"/>
        </w:rPr>
        <w:t>particularly</w:t>
      </w:r>
      <w:r w:rsidR="00C362A8" w:rsidRPr="005402D2">
        <w:rPr>
          <w:color w:val="auto"/>
          <w:sz w:val="26"/>
          <w:szCs w:val="26"/>
        </w:rPr>
        <w:t xml:space="preserve"> considering </w:t>
      </w:r>
      <w:r w:rsidR="006511C7" w:rsidRPr="005402D2">
        <w:rPr>
          <w:color w:val="auto"/>
          <w:sz w:val="26"/>
          <w:szCs w:val="26"/>
        </w:rPr>
        <w:t>difficulties</w:t>
      </w:r>
      <w:r w:rsidR="00C362A8" w:rsidRPr="005402D2">
        <w:rPr>
          <w:color w:val="auto"/>
          <w:sz w:val="26"/>
          <w:szCs w:val="26"/>
        </w:rPr>
        <w:t xml:space="preserve"> in accessing relevant medical professionals. </w:t>
      </w:r>
    </w:p>
    <w:p w14:paraId="5A3BF401" w14:textId="2842850D" w:rsidR="00565C6C" w:rsidRPr="005402D2" w:rsidRDefault="00565C6C" w:rsidP="006C1BCD">
      <w:pPr>
        <w:pStyle w:val="Default"/>
        <w:rPr>
          <w:color w:val="auto"/>
          <w:sz w:val="26"/>
          <w:szCs w:val="26"/>
        </w:rPr>
      </w:pPr>
    </w:p>
    <w:p w14:paraId="25A08FA4" w14:textId="5C845FA6" w:rsidR="00230C4B" w:rsidRPr="005402D2" w:rsidRDefault="00565C6C" w:rsidP="00A24C7B">
      <w:pPr>
        <w:pStyle w:val="Heading2"/>
        <w:rPr>
          <w:sz w:val="26"/>
          <w:szCs w:val="26"/>
        </w:rPr>
      </w:pPr>
      <w:r w:rsidRPr="005402D2">
        <w:rPr>
          <w:sz w:val="26"/>
          <w:szCs w:val="26"/>
        </w:rPr>
        <w:t>Consistency of Approach</w:t>
      </w:r>
    </w:p>
    <w:p w14:paraId="1BB35255" w14:textId="216DBF95" w:rsidR="00565C6C" w:rsidRPr="005402D2" w:rsidRDefault="0068376C" w:rsidP="006C1BCD">
      <w:pPr>
        <w:pStyle w:val="Default"/>
        <w:rPr>
          <w:sz w:val="26"/>
          <w:szCs w:val="26"/>
        </w:rPr>
      </w:pPr>
      <w:r>
        <w:rPr>
          <w:sz w:val="26"/>
          <w:szCs w:val="26"/>
        </w:rPr>
        <w:t xml:space="preserve">The NDA </w:t>
      </w:r>
      <w:r w:rsidRPr="005402D2">
        <w:rPr>
          <w:sz w:val="26"/>
          <w:szCs w:val="26"/>
        </w:rPr>
        <w:t xml:space="preserve">suggest that the Department could carry out periodic reviews of successfully appealed cases where no new or additional material information was provided. These reviews would assist the Department in learning from cases determined by </w:t>
      </w:r>
      <w:proofErr w:type="gramStart"/>
      <w:r w:rsidRPr="005402D2">
        <w:rPr>
          <w:sz w:val="26"/>
          <w:szCs w:val="26"/>
        </w:rPr>
        <w:t>appeals officers</w:t>
      </w:r>
      <w:r>
        <w:rPr>
          <w:sz w:val="26"/>
          <w:szCs w:val="26"/>
        </w:rPr>
        <w:t>,</w:t>
      </w:r>
      <w:r w:rsidRPr="005402D2">
        <w:rPr>
          <w:sz w:val="26"/>
          <w:szCs w:val="26"/>
        </w:rPr>
        <w:t xml:space="preserve"> and</w:t>
      </w:r>
      <w:proofErr w:type="gramEnd"/>
      <w:r w:rsidRPr="005402D2">
        <w:rPr>
          <w:sz w:val="26"/>
          <w:szCs w:val="26"/>
        </w:rPr>
        <w:t xml:space="preserve"> </w:t>
      </w:r>
      <w:r>
        <w:rPr>
          <w:sz w:val="26"/>
          <w:szCs w:val="26"/>
        </w:rPr>
        <w:t>would improve</w:t>
      </w:r>
      <w:r w:rsidRPr="005402D2">
        <w:rPr>
          <w:sz w:val="26"/>
          <w:szCs w:val="26"/>
        </w:rPr>
        <w:t xml:space="preserve"> the quality and consistency of decisions.</w:t>
      </w:r>
      <w:r>
        <w:rPr>
          <w:sz w:val="26"/>
          <w:szCs w:val="26"/>
        </w:rPr>
        <w:t xml:space="preserve"> </w:t>
      </w:r>
      <w:r w:rsidR="00565C6C" w:rsidRPr="005402D2">
        <w:rPr>
          <w:sz w:val="26"/>
          <w:szCs w:val="26"/>
        </w:rPr>
        <w:t xml:space="preserve">The proposed new legislation (Article 10 replaced by Article 8) does away with the requirement for a Deciding Officer to provide a statement in all appeal cases on the grounds that it imposes an unnecessary burden and causes delays. The NDA recommends that the legislation in this area </w:t>
      </w:r>
      <w:r w:rsidR="00F472CA">
        <w:rPr>
          <w:sz w:val="26"/>
          <w:szCs w:val="26"/>
        </w:rPr>
        <w:t xml:space="preserve">is not </w:t>
      </w:r>
      <w:proofErr w:type="gramStart"/>
      <w:r w:rsidR="00F472CA">
        <w:rPr>
          <w:sz w:val="26"/>
          <w:szCs w:val="26"/>
        </w:rPr>
        <w:t>amended</w:t>
      </w:r>
      <w:proofErr w:type="gramEnd"/>
      <w:r w:rsidR="00565C6C" w:rsidRPr="005402D2">
        <w:rPr>
          <w:sz w:val="26"/>
          <w:szCs w:val="26"/>
        </w:rPr>
        <w:t xml:space="preserve"> and that Appeals Officers continue to be required to set out detailed reasons for their decisions in all cases, in order to encourage consistency of decision making.</w:t>
      </w:r>
    </w:p>
    <w:p w14:paraId="496A52DB" w14:textId="77777777" w:rsidR="00BF66CE" w:rsidRPr="005402D2" w:rsidRDefault="00BF66CE" w:rsidP="00AC6516">
      <w:pPr>
        <w:pStyle w:val="Default"/>
        <w:rPr>
          <w:color w:val="auto"/>
          <w:sz w:val="26"/>
          <w:szCs w:val="26"/>
        </w:rPr>
      </w:pPr>
    </w:p>
    <w:p w14:paraId="0EF97C72" w14:textId="77777777" w:rsidR="00BF66CE" w:rsidRPr="005402D2" w:rsidRDefault="003D1F3B" w:rsidP="003D1F3B">
      <w:pPr>
        <w:pStyle w:val="Heading2"/>
        <w:rPr>
          <w:sz w:val="26"/>
          <w:szCs w:val="26"/>
        </w:rPr>
      </w:pPr>
      <w:r w:rsidRPr="005402D2">
        <w:rPr>
          <w:sz w:val="26"/>
          <w:szCs w:val="26"/>
        </w:rPr>
        <w:t>Accessibility of systems</w:t>
      </w:r>
    </w:p>
    <w:p w14:paraId="1427CF93" w14:textId="6DF36AB7" w:rsidR="006F1D9D" w:rsidRPr="005402D2" w:rsidRDefault="001B4626" w:rsidP="00461220">
      <w:pPr>
        <w:rPr>
          <w:szCs w:val="26"/>
        </w:rPr>
      </w:pPr>
      <w:r w:rsidRPr="005402D2">
        <w:rPr>
          <w:szCs w:val="26"/>
        </w:rPr>
        <w:t xml:space="preserve">The trend outlined by </w:t>
      </w:r>
      <w:r w:rsidR="00BF69CC" w:rsidRPr="005402D2">
        <w:rPr>
          <w:szCs w:val="26"/>
        </w:rPr>
        <w:t>DSP</w:t>
      </w:r>
      <w:r w:rsidRPr="005402D2">
        <w:rPr>
          <w:szCs w:val="26"/>
        </w:rPr>
        <w:t xml:space="preserve"> of a high number of cases providing additional information on appeal </w:t>
      </w:r>
      <w:r w:rsidR="00684064">
        <w:rPr>
          <w:szCs w:val="26"/>
        </w:rPr>
        <w:t>underlines</w:t>
      </w:r>
      <w:r w:rsidRPr="005402D2">
        <w:rPr>
          <w:szCs w:val="26"/>
        </w:rPr>
        <w:t xml:space="preserve"> the importance of the accessibility of the initial </w:t>
      </w:r>
      <w:r w:rsidRPr="005402D2">
        <w:rPr>
          <w:szCs w:val="26"/>
        </w:rPr>
        <w:lastRenderedPageBreak/>
        <w:t xml:space="preserve">appeals system, including modes of communication. </w:t>
      </w:r>
      <w:r w:rsidR="0055751D" w:rsidRPr="005402D2">
        <w:rPr>
          <w:szCs w:val="26"/>
        </w:rPr>
        <w:t xml:space="preserve">The NDA recommends that appeals forms are designed in such a way that </w:t>
      </w:r>
      <w:r w:rsidR="0054359E" w:rsidRPr="005402D2">
        <w:rPr>
          <w:szCs w:val="26"/>
        </w:rPr>
        <w:t>applicants</w:t>
      </w:r>
      <w:r w:rsidR="0055751D" w:rsidRPr="005402D2">
        <w:rPr>
          <w:szCs w:val="26"/>
        </w:rPr>
        <w:t xml:space="preserve"> find them easy to understand and complete, and it should not be presumed that all </w:t>
      </w:r>
      <w:r w:rsidR="00AF31B9" w:rsidRPr="005402D2">
        <w:rPr>
          <w:szCs w:val="26"/>
        </w:rPr>
        <w:t>applicants</w:t>
      </w:r>
      <w:r w:rsidR="0055751D" w:rsidRPr="005402D2">
        <w:rPr>
          <w:szCs w:val="26"/>
        </w:rPr>
        <w:t xml:space="preserve"> have the same literacy skill</w:t>
      </w:r>
      <w:r w:rsidR="00D25945" w:rsidRPr="005402D2">
        <w:rPr>
          <w:szCs w:val="26"/>
        </w:rPr>
        <w:t>s</w:t>
      </w:r>
      <w:r w:rsidR="0055751D" w:rsidRPr="005402D2">
        <w:rPr>
          <w:szCs w:val="26"/>
        </w:rPr>
        <w:t>, including digital literacy</w:t>
      </w:r>
      <w:r w:rsidR="00D25945" w:rsidRPr="005402D2">
        <w:rPr>
          <w:szCs w:val="26"/>
        </w:rPr>
        <w:t>, or understanding of evidence including medical evidence</w:t>
      </w:r>
      <w:r w:rsidR="0055751D" w:rsidRPr="005402D2">
        <w:rPr>
          <w:szCs w:val="26"/>
        </w:rPr>
        <w:t xml:space="preserve">. </w:t>
      </w:r>
      <w:r w:rsidR="00AF31B9" w:rsidRPr="005402D2">
        <w:rPr>
          <w:rFonts w:eastAsia="SimSun" w:cs="Gill Sans MT"/>
          <w:color w:val="000000"/>
          <w:szCs w:val="26"/>
          <w:lang w:eastAsia="en-IE"/>
        </w:rPr>
        <w:t>The NDA recommends the provision of a visual map or schematic of the appeals process</w:t>
      </w:r>
      <w:r w:rsidR="00A875B6">
        <w:rPr>
          <w:rFonts w:eastAsia="SimSun" w:cs="Gill Sans MT"/>
          <w:color w:val="000000"/>
          <w:szCs w:val="26"/>
          <w:lang w:eastAsia="en-IE"/>
        </w:rPr>
        <w:t>,</w:t>
      </w:r>
      <w:r w:rsidR="00AF31B9" w:rsidRPr="005402D2">
        <w:rPr>
          <w:rFonts w:eastAsia="SimSun" w:cs="Gill Sans MT"/>
          <w:color w:val="000000"/>
          <w:szCs w:val="26"/>
          <w:lang w:eastAsia="en-IE"/>
        </w:rPr>
        <w:t xml:space="preserve"> that would be made available to staff and appellants so that there is a clear understanding of the process, and where the appellant sits within in.</w:t>
      </w:r>
      <w:r w:rsidR="00AF31B9" w:rsidRPr="005402D2">
        <w:rPr>
          <w:szCs w:val="26"/>
          <w:lang w:eastAsia="en-IE"/>
        </w:rPr>
        <w:t xml:space="preserve"> </w:t>
      </w:r>
      <w:r w:rsidR="00D25945" w:rsidRPr="005402D2">
        <w:rPr>
          <w:szCs w:val="26"/>
        </w:rPr>
        <w:t xml:space="preserve">The NDA </w:t>
      </w:r>
      <w:r w:rsidR="00CC6A02" w:rsidRPr="005402D2">
        <w:rPr>
          <w:szCs w:val="26"/>
        </w:rPr>
        <w:t xml:space="preserve">further </w:t>
      </w:r>
      <w:r w:rsidR="00D25945" w:rsidRPr="005402D2">
        <w:rPr>
          <w:szCs w:val="26"/>
        </w:rPr>
        <w:t xml:space="preserve">recommends that </w:t>
      </w:r>
      <w:r w:rsidR="0046468E" w:rsidRPr="005402D2">
        <w:rPr>
          <w:szCs w:val="26"/>
        </w:rPr>
        <w:t xml:space="preserve">appeals have the right to request </w:t>
      </w:r>
      <w:r w:rsidR="00D25945" w:rsidRPr="005402D2">
        <w:rPr>
          <w:szCs w:val="26"/>
        </w:rPr>
        <w:t xml:space="preserve">reasonable </w:t>
      </w:r>
      <w:r w:rsidR="00540704" w:rsidRPr="005402D2">
        <w:rPr>
          <w:szCs w:val="26"/>
        </w:rPr>
        <w:t>accommodations</w:t>
      </w:r>
      <w:r w:rsidR="00D25945" w:rsidRPr="005402D2">
        <w:rPr>
          <w:szCs w:val="26"/>
        </w:rPr>
        <w:t xml:space="preserve"> </w:t>
      </w:r>
      <w:r w:rsidR="0046468E" w:rsidRPr="005402D2">
        <w:rPr>
          <w:szCs w:val="26"/>
        </w:rPr>
        <w:t xml:space="preserve">and that reasonable </w:t>
      </w:r>
      <w:r w:rsidR="009670AD" w:rsidRPr="005402D2">
        <w:rPr>
          <w:szCs w:val="26"/>
        </w:rPr>
        <w:t>accommodations are built</w:t>
      </w:r>
      <w:r w:rsidR="0046468E" w:rsidRPr="005402D2">
        <w:rPr>
          <w:szCs w:val="26"/>
        </w:rPr>
        <w:t xml:space="preserve"> into the system </w:t>
      </w:r>
      <w:r w:rsidR="00D25945" w:rsidRPr="005402D2">
        <w:rPr>
          <w:szCs w:val="26"/>
        </w:rPr>
        <w:t xml:space="preserve">to ensure the system is accessible to </w:t>
      </w:r>
      <w:r w:rsidR="0046468E" w:rsidRPr="005402D2">
        <w:rPr>
          <w:szCs w:val="26"/>
        </w:rPr>
        <w:t>persons with disabilities.</w:t>
      </w:r>
      <w:r w:rsidR="00E20C60" w:rsidRPr="005402D2">
        <w:rPr>
          <w:szCs w:val="26"/>
        </w:rPr>
        <w:t xml:space="preserve"> It is worth noting the increased likelihood of success on appeal where an oral hearing is held</w:t>
      </w:r>
      <w:r w:rsidR="00FA3888" w:rsidRPr="005402D2">
        <w:rPr>
          <w:szCs w:val="26"/>
        </w:rPr>
        <w:t>, the overall success rate of appeal was 54%, which went up to 69.8% where an oral hearing was held.</w:t>
      </w:r>
      <w:r w:rsidR="00FA3888" w:rsidRPr="005402D2">
        <w:rPr>
          <w:rStyle w:val="FootnoteReference"/>
          <w:rFonts w:ascii="Gill Sans MT" w:eastAsiaTheme="minorEastAsia" w:hAnsi="Gill Sans MT" w:cstheme="majorBidi"/>
          <w:sz w:val="26"/>
          <w:szCs w:val="26"/>
        </w:rPr>
        <w:footnoteReference w:id="4"/>
      </w:r>
      <w:r w:rsidR="00FA3888" w:rsidRPr="005402D2">
        <w:rPr>
          <w:szCs w:val="26"/>
          <w:lang w:eastAsia="en-IE"/>
        </w:rPr>
        <w:t xml:space="preserve"> </w:t>
      </w:r>
      <w:r w:rsidR="00E20C60" w:rsidRPr="005402D2">
        <w:rPr>
          <w:szCs w:val="26"/>
        </w:rPr>
        <w:t xml:space="preserve">It is important that appellants are made explicitly aware of their </w:t>
      </w:r>
      <w:r w:rsidR="0006111E" w:rsidRPr="005402D2">
        <w:rPr>
          <w:szCs w:val="26"/>
        </w:rPr>
        <w:t>right to request an oral appeal</w:t>
      </w:r>
      <w:r w:rsidR="00E20C60" w:rsidRPr="005402D2">
        <w:rPr>
          <w:szCs w:val="26"/>
        </w:rPr>
        <w:t xml:space="preserve"> as well as their right to access ISL Interpretation services for oral hearings. </w:t>
      </w:r>
    </w:p>
    <w:p w14:paraId="5652E9AE" w14:textId="77777777" w:rsidR="00AE4BA1" w:rsidRPr="005402D2" w:rsidRDefault="00AE4BA1" w:rsidP="00AE4BA1">
      <w:pPr>
        <w:pStyle w:val="Heading2"/>
        <w:rPr>
          <w:sz w:val="26"/>
          <w:szCs w:val="26"/>
          <w:lang w:eastAsia="en-IE"/>
        </w:rPr>
      </w:pPr>
      <w:r w:rsidRPr="005402D2">
        <w:rPr>
          <w:sz w:val="26"/>
          <w:szCs w:val="26"/>
          <w:lang w:eastAsia="en-IE"/>
        </w:rPr>
        <w:t>Compliance with Part 3 of Disability Act 2005</w:t>
      </w:r>
    </w:p>
    <w:p w14:paraId="45DBA9A7" w14:textId="60AAC865" w:rsidR="00DC1C5B" w:rsidRPr="005402D2" w:rsidRDefault="00AE4BA1" w:rsidP="008E1FA1">
      <w:pPr>
        <w:pStyle w:val="NormalWeb"/>
        <w:shd w:val="clear" w:color="auto" w:fill="FFFFFF"/>
        <w:spacing w:before="0" w:beforeAutospacing="0" w:after="150" w:afterAutospacing="0"/>
        <w:textAlignment w:val="baseline"/>
        <w:rPr>
          <w:rFonts w:ascii="Gill Sans MT" w:hAnsi="Gill Sans MT" w:cs="Calibri"/>
          <w:color w:val="000000"/>
          <w:sz w:val="26"/>
          <w:szCs w:val="26"/>
        </w:rPr>
      </w:pPr>
      <w:r w:rsidRPr="005402D2">
        <w:rPr>
          <w:rFonts w:ascii="Gill Sans MT" w:eastAsia="SimSun" w:hAnsi="Gill Sans MT" w:cs="Gill Sans MT"/>
          <w:color w:val="000000"/>
          <w:sz w:val="26"/>
          <w:szCs w:val="26"/>
        </w:rPr>
        <w:t xml:space="preserve">Part 3 of the Disability Act details obligations public bodies </w:t>
      </w:r>
      <w:proofErr w:type="gramStart"/>
      <w:r w:rsidRPr="005402D2">
        <w:rPr>
          <w:rFonts w:ascii="Gill Sans MT" w:eastAsia="SimSun" w:hAnsi="Gill Sans MT" w:cs="Gill Sans MT"/>
          <w:color w:val="000000"/>
          <w:sz w:val="26"/>
          <w:szCs w:val="26"/>
        </w:rPr>
        <w:t>have to</w:t>
      </w:r>
      <w:proofErr w:type="gramEnd"/>
      <w:r w:rsidRPr="005402D2">
        <w:rPr>
          <w:rFonts w:ascii="Gill Sans MT" w:eastAsia="SimSun" w:hAnsi="Gill Sans MT" w:cs="Gill Sans MT"/>
          <w:color w:val="000000"/>
          <w:sz w:val="26"/>
          <w:szCs w:val="26"/>
        </w:rPr>
        <w:t xml:space="preserve"> ensure that information and service are accessible to persons with disabilities. Where practical and appropriate, public bodies should ensure that services provided to disabled persons and persons without disabilities are integrated. The Centre for Excellence in Universal Design at the NDA developed a Customer Communications Toolkit for </w:t>
      </w:r>
      <w:r w:rsidR="00FC28CB" w:rsidRPr="005402D2">
        <w:rPr>
          <w:rFonts w:ascii="Gill Sans MT" w:eastAsia="SimSun" w:hAnsi="Gill Sans MT" w:cs="Gill Sans MT"/>
          <w:color w:val="000000"/>
          <w:sz w:val="26"/>
          <w:szCs w:val="26"/>
        </w:rPr>
        <w:t>Services to</w:t>
      </w:r>
      <w:r w:rsidR="00C63B1C" w:rsidRPr="005402D2">
        <w:rPr>
          <w:rFonts w:ascii="Gill Sans MT" w:eastAsia="SimSun" w:hAnsi="Gill Sans MT" w:cs="Gill Sans MT"/>
          <w:color w:val="000000"/>
          <w:sz w:val="26"/>
          <w:szCs w:val="26"/>
        </w:rPr>
        <w:t xml:space="preserve"> </w:t>
      </w:r>
      <w:r w:rsidRPr="005402D2">
        <w:rPr>
          <w:rFonts w:ascii="Gill Sans MT" w:eastAsia="SimSun" w:hAnsi="Gill Sans MT" w:cs="Gill Sans MT"/>
          <w:color w:val="000000"/>
          <w:sz w:val="26"/>
          <w:szCs w:val="26"/>
        </w:rPr>
        <w:t>the Public,</w:t>
      </w:r>
      <w:r w:rsidR="00FC28CB" w:rsidRPr="005402D2">
        <w:rPr>
          <w:rStyle w:val="FootnoteReference"/>
          <w:rFonts w:ascii="Gill Sans MT" w:eastAsia="SimSun" w:hAnsi="Gill Sans MT" w:cs="Gill Sans MT"/>
          <w:color w:val="000000"/>
          <w:sz w:val="26"/>
          <w:szCs w:val="26"/>
        </w:rPr>
        <w:footnoteReference w:id="5"/>
      </w:r>
      <w:r w:rsidRPr="005402D2">
        <w:rPr>
          <w:rFonts w:ascii="Gill Sans MT" w:eastAsia="SimSun" w:hAnsi="Gill Sans MT" w:cs="Gill Sans MT"/>
          <w:color w:val="000000"/>
          <w:sz w:val="26"/>
          <w:szCs w:val="26"/>
        </w:rPr>
        <w:t xml:space="preserve"> which provides guidance on how to communicate with the public using the simplest and clearest language possible and to ensure that all services are accessible, and meet the diverse needs of all customers.</w:t>
      </w:r>
      <w:r w:rsidRPr="005402D2">
        <w:rPr>
          <w:rStyle w:val="FootnoteReference"/>
          <w:rFonts w:ascii="Gill Sans MT" w:hAnsi="Gill Sans MT"/>
          <w:sz w:val="26"/>
          <w:szCs w:val="26"/>
        </w:rPr>
        <w:t xml:space="preserve"> </w:t>
      </w:r>
      <w:r w:rsidR="00616F26" w:rsidRPr="005402D2">
        <w:rPr>
          <w:rFonts w:ascii="Gill Sans MT" w:eastAsia="SimSun" w:hAnsi="Gill Sans MT" w:cs="Gill Sans MT"/>
          <w:color w:val="000000"/>
          <w:sz w:val="26"/>
          <w:szCs w:val="26"/>
        </w:rPr>
        <w:t>The Toolkit is</w:t>
      </w:r>
      <w:r w:rsidR="008E1FA1" w:rsidRPr="005402D2">
        <w:rPr>
          <w:rFonts w:ascii="Gill Sans MT" w:eastAsia="SimSun" w:hAnsi="Gill Sans MT" w:cs="Gill Sans MT"/>
          <w:color w:val="000000"/>
          <w:sz w:val="26"/>
          <w:szCs w:val="26"/>
        </w:rPr>
        <w:t xml:space="preserve"> based on the Universal Design approach and is</w:t>
      </w:r>
      <w:r w:rsidR="00616F26" w:rsidRPr="005402D2">
        <w:rPr>
          <w:rFonts w:ascii="Gill Sans MT" w:eastAsia="SimSun" w:hAnsi="Gill Sans MT" w:cs="Gill Sans MT"/>
          <w:color w:val="000000"/>
          <w:sz w:val="26"/>
          <w:szCs w:val="26"/>
        </w:rPr>
        <w:t xml:space="preserve"> for organisations who provide services to the public and can be used for planning communications, training staff, informing suppliers and procuring communication products and services. </w:t>
      </w:r>
      <w:r w:rsidR="008E1FA1" w:rsidRPr="005402D2">
        <w:rPr>
          <w:rFonts w:ascii="Gill Sans MT" w:eastAsia="SimSun" w:hAnsi="Gill Sans MT" w:cs="Gill Sans MT"/>
          <w:color w:val="000000"/>
          <w:sz w:val="26"/>
          <w:szCs w:val="26"/>
        </w:rPr>
        <w:t xml:space="preserve">The NDA recommends this toolkit is used by </w:t>
      </w:r>
      <w:proofErr w:type="spellStart"/>
      <w:r w:rsidR="008E1FA1" w:rsidRPr="005402D2">
        <w:rPr>
          <w:rFonts w:ascii="Gill Sans MT" w:eastAsia="SimSun" w:hAnsi="Gill Sans MT" w:cs="Gill Sans MT"/>
          <w:color w:val="000000"/>
          <w:sz w:val="26"/>
          <w:szCs w:val="26"/>
        </w:rPr>
        <w:t>Intreo</w:t>
      </w:r>
      <w:proofErr w:type="spellEnd"/>
      <w:r w:rsidR="008E1FA1" w:rsidRPr="005402D2">
        <w:rPr>
          <w:rFonts w:ascii="Gill Sans MT" w:eastAsia="SimSun" w:hAnsi="Gill Sans MT" w:cs="Gill Sans MT"/>
          <w:color w:val="000000"/>
          <w:sz w:val="26"/>
          <w:szCs w:val="26"/>
        </w:rPr>
        <w:t xml:space="preserve"> staff and Appeals Officers in all their communications with social welfare applicants and appellants. A</w:t>
      </w:r>
      <w:r w:rsidR="00424EDA" w:rsidRPr="005402D2">
        <w:rPr>
          <w:rFonts w:ascii="Gill Sans MT" w:eastAsia="SimSun" w:hAnsi="Gill Sans MT" w:cs="Gill Sans MT"/>
          <w:color w:val="000000"/>
          <w:sz w:val="26"/>
          <w:szCs w:val="26"/>
        </w:rPr>
        <w:t xml:space="preserve">rticle 21 of the proposed changes provides that any notice or document required shall be deemed to be duly sent if sent by post or by electronic means, updating it to provide for electronic communications. The NDA recommends that the appellant should be able to designate their preferred method of correspondence, and </w:t>
      </w:r>
      <w:r w:rsidR="00B21B9B">
        <w:rPr>
          <w:rFonts w:ascii="Gill Sans MT" w:eastAsia="SimSun" w:hAnsi="Gill Sans MT" w:cs="Gill Sans MT"/>
          <w:color w:val="000000"/>
          <w:sz w:val="26"/>
          <w:szCs w:val="26"/>
        </w:rPr>
        <w:t>that all</w:t>
      </w:r>
      <w:r w:rsidR="00424EDA" w:rsidRPr="005402D2">
        <w:rPr>
          <w:rFonts w:ascii="Gill Sans MT" w:eastAsia="SimSun" w:hAnsi="Gill Sans MT" w:cs="Gill Sans MT"/>
          <w:color w:val="000000"/>
          <w:sz w:val="26"/>
          <w:szCs w:val="26"/>
        </w:rPr>
        <w:t xml:space="preserve"> communications should be delivered in the method requested.</w:t>
      </w:r>
      <w:r w:rsidR="00424EDA" w:rsidRPr="005402D2">
        <w:rPr>
          <w:rFonts w:ascii="Gill Sans MT" w:hAnsi="Gill Sans MT" w:cstheme="majorHAnsi"/>
          <w:sz w:val="26"/>
          <w:szCs w:val="26"/>
        </w:rPr>
        <w:t xml:space="preserve"> </w:t>
      </w:r>
    </w:p>
    <w:p w14:paraId="492EEDBA" w14:textId="77777777" w:rsidR="008D1D64" w:rsidRPr="005402D2" w:rsidRDefault="008D1D64" w:rsidP="008D1D64">
      <w:pPr>
        <w:pStyle w:val="Heading2"/>
        <w:rPr>
          <w:rFonts w:eastAsia="SimSun"/>
          <w:sz w:val="26"/>
          <w:szCs w:val="26"/>
          <w:lang w:eastAsia="en-IE"/>
        </w:rPr>
      </w:pPr>
      <w:r w:rsidRPr="005402D2">
        <w:rPr>
          <w:rFonts w:eastAsia="SimSun"/>
          <w:sz w:val="26"/>
          <w:szCs w:val="26"/>
          <w:lang w:eastAsia="en-IE"/>
        </w:rPr>
        <w:lastRenderedPageBreak/>
        <w:t xml:space="preserve">EU Web Accessibility Obligations </w:t>
      </w:r>
    </w:p>
    <w:p w14:paraId="2862C78C" w14:textId="77777777" w:rsidR="005319F9" w:rsidRPr="005402D2" w:rsidRDefault="008D1D64" w:rsidP="008D1D64">
      <w:pPr>
        <w:pStyle w:val="NormalWeb"/>
        <w:spacing w:before="0" w:beforeAutospacing="0" w:after="0" w:afterAutospacing="0"/>
        <w:rPr>
          <w:rFonts w:ascii="Gill Sans MT" w:eastAsia="SimSun" w:hAnsi="Gill Sans MT" w:cs="Gill Sans MT"/>
          <w:sz w:val="26"/>
          <w:szCs w:val="26"/>
        </w:rPr>
      </w:pPr>
      <w:r w:rsidRPr="005402D2">
        <w:rPr>
          <w:rFonts w:ascii="Gill Sans MT" w:eastAsia="SimSun" w:hAnsi="Gill Sans MT" w:cs="Gill Sans MT"/>
          <w:sz w:val="26"/>
          <w:szCs w:val="26"/>
        </w:rPr>
        <w:t xml:space="preserve">The </w:t>
      </w:r>
      <w:hyperlink r:id="rId9" w:history="1">
        <w:r w:rsidRPr="005402D2">
          <w:rPr>
            <w:rStyle w:val="Hyperlink"/>
            <w:rFonts w:ascii="Gill Sans MT" w:eastAsia="SimSun" w:hAnsi="Gill Sans MT" w:cs="Gill Sans MT"/>
            <w:color w:val="auto"/>
            <w:sz w:val="26"/>
            <w:szCs w:val="26"/>
          </w:rPr>
          <w:t>EU Web Accessibility Directive</w:t>
        </w:r>
      </w:hyperlink>
      <w:r w:rsidRPr="005402D2">
        <w:rPr>
          <w:rFonts w:ascii="Gill Sans MT" w:eastAsia="SimSun" w:hAnsi="Gill Sans MT" w:cs="Gill Sans MT"/>
          <w:sz w:val="26"/>
          <w:szCs w:val="26"/>
        </w:rPr>
        <w:t>, which came into force in September 2020, requires Member States to ensure that websites and mobile applications of public sector bodies are fully accessible to persons with disabilities and comply with the harmonised standard EN 310 549 (v3.2.1).</w:t>
      </w:r>
      <w:r w:rsidR="0027495D" w:rsidRPr="005402D2">
        <w:rPr>
          <w:rFonts w:ascii="Gill Sans MT" w:eastAsia="SimSun" w:hAnsi="Gill Sans MT" w:cs="Gill Sans MT"/>
          <w:sz w:val="26"/>
          <w:szCs w:val="26"/>
        </w:rPr>
        <w:t xml:space="preserve"> The Department should be mindful of the EU Web Accessibility Directive in relation to the design, </w:t>
      </w:r>
      <w:proofErr w:type="gramStart"/>
      <w:r w:rsidR="0027495D" w:rsidRPr="005402D2">
        <w:rPr>
          <w:rFonts w:ascii="Gill Sans MT" w:eastAsia="SimSun" w:hAnsi="Gill Sans MT" w:cs="Gill Sans MT"/>
          <w:sz w:val="26"/>
          <w:szCs w:val="26"/>
        </w:rPr>
        <w:t>layout</w:t>
      </w:r>
      <w:proofErr w:type="gramEnd"/>
      <w:r w:rsidR="0027495D" w:rsidRPr="005402D2">
        <w:rPr>
          <w:rFonts w:ascii="Gill Sans MT" w:eastAsia="SimSun" w:hAnsi="Gill Sans MT" w:cs="Gill Sans MT"/>
          <w:sz w:val="26"/>
          <w:szCs w:val="26"/>
        </w:rPr>
        <w:t xml:space="preserve"> and content of appeals forms. </w:t>
      </w:r>
      <w:r w:rsidRPr="005402D2">
        <w:rPr>
          <w:rFonts w:ascii="Gill Sans MT" w:eastAsia="SimSun" w:hAnsi="Gill Sans MT" w:cs="Gill Sans MT"/>
          <w:sz w:val="26"/>
          <w:szCs w:val="26"/>
        </w:rPr>
        <w:t xml:space="preserve">The Directive requires public bodies to maintain an </w:t>
      </w:r>
      <w:hyperlink r:id="rId10" w:history="1">
        <w:r w:rsidRPr="005402D2">
          <w:rPr>
            <w:rStyle w:val="Hyperlink"/>
            <w:rFonts w:ascii="Gill Sans MT" w:eastAsia="SimSun" w:hAnsi="Gill Sans MT" w:cs="Gill Sans MT"/>
            <w:color w:val="auto"/>
            <w:sz w:val="26"/>
            <w:szCs w:val="26"/>
          </w:rPr>
          <w:t>Accessibility Statement</w:t>
        </w:r>
      </w:hyperlink>
      <w:r w:rsidRPr="005402D2">
        <w:rPr>
          <w:rFonts w:ascii="Gill Sans MT" w:eastAsia="SimSun" w:hAnsi="Gill Sans MT" w:cs="Gill Sans MT"/>
          <w:sz w:val="26"/>
          <w:szCs w:val="26"/>
        </w:rPr>
        <w:t xml:space="preserve"> in a prominent location on all its websites.  This must include a clear feedback mechanism for users to ask for assistance with inaccessible content and features as well as the statutory complaints mechanism through which a person can make a formal complaint about the website’s accessibility in-line with the Disability Act 2005 or the Equal Status Act 2000-2015, whichever so applies. </w:t>
      </w:r>
    </w:p>
    <w:p w14:paraId="708E0A91" w14:textId="77777777" w:rsidR="005319F9" w:rsidRPr="005402D2" w:rsidRDefault="005319F9" w:rsidP="008D1D64">
      <w:pPr>
        <w:pStyle w:val="NormalWeb"/>
        <w:spacing w:before="0" w:beforeAutospacing="0" w:after="0" w:afterAutospacing="0"/>
        <w:rPr>
          <w:rFonts w:ascii="Gill Sans MT" w:eastAsia="SimSun" w:hAnsi="Gill Sans MT" w:cs="Gill Sans MT"/>
          <w:sz w:val="26"/>
          <w:szCs w:val="26"/>
        </w:rPr>
      </w:pPr>
    </w:p>
    <w:p w14:paraId="14384C2C" w14:textId="01966726" w:rsidR="00721F03" w:rsidRPr="005402D2" w:rsidRDefault="008D1D64" w:rsidP="00347A5B">
      <w:pPr>
        <w:pStyle w:val="NormalWeb"/>
        <w:spacing w:before="0" w:beforeAutospacing="0" w:after="0" w:afterAutospacing="0"/>
        <w:rPr>
          <w:rFonts w:ascii="Gill Sans MT" w:eastAsia="SimSun" w:hAnsi="Gill Sans MT" w:cs="Gill Sans MT"/>
          <w:sz w:val="26"/>
          <w:szCs w:val="26"/>
        </w:rPr>
      </w:pPr>
      <w:r w:rsidRPr="005402D2">
        <w:rPr>
          <w:rFonts w:ascii="Gill Sans MT" w:eastAsia="SimSun" w:hAnsi="Gill Sans MT" w:cs="Gill Sans MT"/>
          <w:sz w:val="26"/>
          <w:szCs w:val="26"/>
        </w:rPr>
        <w:t xml:space="preserve">The National Disability Authority is named in Irish Regulations as the National Monitoring Body for the purposes of monitoring compliance with and reporting on the EU Web Accessibility Directive. The NDA has submitted </w:t>
      </w:r>
      <w:hyperlink r:id="rId11" w:history="1">
        <w:r w:rsidRPr="005402D2">
          <w:rPr>
            <w:rStyle w:val="Hyperlink"/>
            <w:rFonts w:ascii="Gill Sans MT" w:eastAsia="SimSun" w:hAnsi="Gill Sans MT" w:cs="Gill Sans MT"/>
            <w:color w:val="auto"/>
            <w:sz w:val="26"/>
            <w:szCs w:val="26"/>
          </w:rPr>
          <w:t>two monitoring reports</w:t>
        </w:r>
      </w:hyperlink>
      <w:r w:rsidRPr="005402D2">
        <w:rPr>
          <w:rFonts w:ascii="Gill Sans MT" w:eastAsia="SimSun" w:hAnsi="Gill Sans MT" w:cs="Gill Sans MT"/>
          <w:sz w:val="26"/>
          <w:szCs w:val="26"/>
        </w:rPr>
        <w:t xml:space="preserve"> to the European Commission in December 2011 and 2022 in this regard, and issued a Notice of Monitoring to the departments in November 2022.</w:t>
      </w:r>
      <w:r w:rsidRPr="005402D2">
        <w:rPr>
          <w:rStyle w:val="FootnoteReference"/>
          <w:rFonts w:ascii="Gill Sans MT" w:eastAsia="SimSun" w:hAnsi="Gill Sans MT" w:cs="Gill Sans MT"/>
          <w:sz w:val="26"/>
          <w:szCs w:val="26"/>
        </w:rPr>
        <w:footnoteReference w:id="6"/>
      </w:r>
      <w:r w:rsidRPr="005402D2">
        <w:rPr>
          <w:rFonts w:ascii="Gill Sans MT" w:eastAsia="SimSun" w:hAnsi="Gill Sans MT" w:cs="Gill Sans MT"/>
          <w:sz w:val="26"/>
          <w:szCs w:val="26"/>
        </w:rPr>
        <w:t xml:space="preserve"> NDA</w:t>
      </w:r>
      <w:r w:rsidR="005C2787" w:rsidRPr="005402D2">
        <w:rPr>
          <w:rFonts w:ascii="Gill Sans MT" w:eastAsia="SimSun" w:hAnsi="Gill Sans MT" w:cs="Gill Sans MT"/>
          <w:sz w:val="26"/>
          <w:szCs w:val="26"/>
        </w:rPr>
        <w:t xml:space="preserve">’s monitoring demonstrates that most </w:t>
      </w:r>
      <w:r w:rsidR="004E6688">
        <w:rPr>
          <w:rFonts w:ascii="Gill Sans MT" w:eastAsia="SimSun" w:hAnsi="Gill Sans MT" w:cs="Gill Sans MT"/>
          <w:sz w:val="26"/>
          <w:szCs w:val="26"/>
        </w:rPr>
        <w:t>of the Department of Social Protection’s</w:t>
      </w:r>
      <w:r w:rsidR="005C2787" w:rsidRPr="005402D2">
        <w:rPr>
          <w:rFonts w:ascii="Gill Sans MT" w:eastAsia="SimSun" w:hAnsi="Gill Sans MT" w:cs="Gill Sans MT"/>
          <w:sz w:val="26"/>
          <w:szCs w:val="26"/>
        </w:rPr>
        <w:t xml:space="preserve"> PDFs lack </w:t>
      </w:r>
      <w:r w:rsidR="00612DE1" w:rsidRPr="005402D2">
        <w:rPr>
          <w:rFonts w:ascii="Gill Sans MT" w:eastAsia="SimSun" w:hAnsi="Gill Sans MT" w:cs="Gill Sans MT"/>
          <w:sz w:val="26"/>
          <w:szCs w:val="26"/>
        </w:rPr>
        <w:t>accessibility</w:t>
      </w:r>
      <w:r w:rsidR="005C2787" w:rsidRPr="005402D2">
        <w:rPr>
          <w:rFonts w:ascii="Gill Sans MT" w:eastAsia="SimSun" w:hAnsi="Gill Sans MT" w:cs="Gill Sans MT"/>
          <w:sz w:val="26"/>
          <w:szCs w:val="26"/>
        </w:rPr>
        <w:t xml:space="preserve"> and the forms, including </w:t>
      </w:r>
      <w:r w:rsidR="00205203" w:rsidRPr="005402D2">
        <w:rPr>
          <w:rFonts w:ascii="Gill Sans MT" w:eastAsia="SimSun" w:hAnsi="Gill Sans MT" w:cs="Gill Sans MT"/>
          <w:sz w:val="26"/>
          <w:szCs w:val="26"/>
        </w:rPr>
        <w:t>the social welfare appeals form</w:t>
      </w:r>
      <w:r w:rsidR="00961B3C">
        <w:rPr>
          <w:rFonts w:ascii="Gill Sans MT" w:eastAsia="SimSun" w:hAnsi="Gill Sans MT" w:cs="Gill Sans MT"/>
          <w:sz w:val="26"/>
          <w:szCs w:val="26"/>
        </w:rPr>
        <w:t>s</w:t>
      </w:r>
      <w:r w:rsidR="0062398C">
        <w:rPr>
          <w:rFonts w:ascii="Gill Sans MT" w:eastAsia="SimSun" w:hAnsi="Gill Sans MT" w:cs="Gill Sans MT"/>
          <w:sz w:val="26"/>
          <w:szCs w:val="26"/>
        </w:rPr>
        <w:t xml:space="preserve">, published in PDF, </w:t>
      </w:r>
      <w:r w:rsidR="005C2787" w:rsidRPr="005402D2">
        <w:rPr>
          <w:rFonts w:ascii="Gill Sans MT" w:eastAsia="SimSun" w:hAnsi="Gill Sans MT" w:cs="Gill Sans MT"/>
          <w:sz w:val="26"/>
          <w:szCs w:val="26"/>
        </w:rPr>
        <w:t xml:space="preserve">are inaccessible and do not comply with the standard set out under the Directive. </w:t>
      </w:r>
      <w:r w:rsidR="00341EB9" w:rsidRPr="005402D2">
        <w:rPr>
          <w:rFonts w:ascii="Gill Sans MT" w:eastAsia="SimSun" w:hAnsi="Gill Sans MT" w:cs="Gill Sans MT"/>
          <w:sz w:val="26"/>
          <w:szCs w:val="26"/>
        </w:rPr>
        <w:t>The NDA recommends that DSP urgently make the appeals forms and relevant website</w:t>
      </w:r>
      <w:r w:rsidR="000105FD" w:rsidRPr="005402D2">
        <w:rPr>
          <w:rFonts w:ascii="Gill Sans MT" w:eastAsia="SimSun" w:hAnsi="Gill Sans MT" w:cs="Gill Sans MT"/>
          <w:sz w:val="26"/>
          <w:szCs w:val="26"/>
        </w:rPr>
        <w:t>s</w:t>
      </w:r>
      <w:r w:rsidR="00341EB9" w:rsidRPr="005402D2">
        <w:rPr>
          <w:rFonts w:ascii="Gill Sans MT" w:eastAsia="SimSun" w:hAnsi="Gill Sans MT" w:cs="Gill Sans MT"/>
          <w:sz w:val="26"/>
          <w:szCs w:val="26"/>
        </w:rPr>
        <w:t xml:space="preserve"> compliant under the EU Web Accessibility Directive. </w:t>
      </w:r>
    </w:p>
    <w:p w14:paraId="4ECEF240" w14:textId="77777777" w:rsidR="00347A5B" w:rsidRPr="005402D2" w:rsidRDefault="00347A5B" w:rsidP="00347A5B">
      <w:pPr>
        <w:pStyle w:val="NormalWeb"/>
        <w:spacing w:before="0" w:beforeAutospacing="0" w:after="0" w:afterAutospacing="0"/>
        <w:rPr>
          <w:rFonts w:ascii="Gill Sans MT" w:eastAsia="SimSun" w:hAnsi="Gill Sans MT" w:cs="Gill Sans MT"/>
          <w:sz w:val="26"/>
          <w:szCs w:val="26"/>
        </w:rPr>
      </w:pPr>
    </w:p>
    <w:p w14:paraId="562C40DB" w14:textId="77777777" w:rsidR="00D82FF7" w:rsidRPr="005402D2" w:rsidRDefault="00D82FF7" w:rsidP="00D82FF7">
      <w:pPr>
        <w:pStyle w:val="Heading2"/>
        <w:rPr>
          <w:sz w:val="26"/>
          <w:szCs w:val="26"/>
        </w:rPr>
      </w:pPr>
      <w:r w:rsidRPr="005402D2">
        <w:rPr>
          <w:sz w:val="26"/>
          <w:szCs w:val="26"/>
        </w:rPr>
        <w:t>Provision of Training</w:t>
      </w:r>
    </w:p>
    <w:p w14:paraId="7AC104DF" w14:textId="38C0AC82" w:rsidR="00D82FF7" w:rsidRPr="005402D2" w:rsidRDefault="00D82FF7" w:rsidP="00D82FF7">
      <w:pPr>
        <w:rPr>
          <w:szCs w:val="26"/>
        </w:rPr>
      </w:pPr>
      <w:r w:rsidRPr="005402D2">
        <w:rPr>
          <w:szCs w:val="26"/>
        </w:rPr>
        <w:t xml:space="preserve">The NDA welcomes the accredited training programme developed specifically for the Social Welfare Appeals Office for </w:t>
      </w:r>
      <w:proofErr w:type="gramStart"/>
      <w:r w:rsidRPr="005402D2">
        <w:rPr>
          <w:szCs w:val="26"/>
        </w:rPr>
        <w:t>Appeals Officers, and</w:t>
      </w:r>
      <w:proofErr w:type="gramEnd"/>
      <w:r w:rsidRPr="005402D2">
        <w:rPr>
          <w:szCs w:val="26"/>
        </w:rPr>
        <w:t xml:space="preserve"> looks forward to its continued roll-out to all Appeals Officers, noting that over half of the Appeals Officers have completed the programme. The Customer Communications Toolkit for Services to the Public, referenced above, would be a useful resource for training both </w:t>
      </w:r>
      <w:proofErr w:type="spellStart"/>
      <w:r w:rsidRPr="005402D2">
        <w:rPr>
          <w:szCs w:val="26"/>
        </w:rPr>
        <w:t>Intreo</w:t>
      </w:r>
      <w:proofErr w:type="spellEnd"/>
      <w:r w:rsidRPr="005402D2">
        <w:rPr>
          <w:szCs w:val="26"/>
        </w:rPr>
        <w:t xml:space="preserve"> officers and Appeals officers. The NDA recommends further development of training for </w:t>
      </w:r>
      <w:proofErr w:type="spellStart"/>
      <w:r w:rsidRPr="005402D2">
        <w:rPr>
          <w:szCs w:val="26"/>
        </w:rPr>
        <w:t>Intreo</w:t>
      </w:r>
      <w:proofErr w:type="spellEnd"/>
      <w:r w:rsidRPr="005402D2">
        <w:rPr>
          <w:szCs w:val="26"/>
        </w:rPr>
        <w:t xml:space="preserve"> officers for their role in advising disabled people, which would improve the experience of disabled people accessing social welfare services, and potentially lead to less social welfare appeals through improved communication and understanding of complex social welfare systems. </w:t>
      </w:r>
      <w:r w:rsidR="00105E1A">
        <w:rPr>
          <w:szCs w:val="26"/>
        </w:rPr>
        <w:t>The NDA recommend</w:t>
      </w:r>
      <w:r w:rsidR="008854BA">
        <w:rPr>
          <w:szCs w:val="26"/>
        </w:rPr>
        <w:t>s</w:t>
      </w:r>
      <w:r w:rsidR="00105E1A">
        <w:rPr>
          <w:szCs w:val="26"/>
        </w:rPr>
        <w:t xml:space="preserve"> </w:t>
      </w:r>
      <w:r w:rsidR="00912B70">
        <w:rPr>
          <w:szCs w:val="26"/>
        </w:rPr>
        <w:t>this</w:t>
      </w:r>
      <w:r w:rsidR="00105E1A">
        <w:rPr>
          <w:szCs w:val="26"/>
        </w:rPr>
        <w:t xml:space="preserve"> training be informed by engagement with disabled persons </w:t>
      </w:r>
      <w:r w:rsidR="00B471A4">
        <w:rPr>
          <w:szCs w:val="26"/>
        </w:rPr>
        <w:t xml:space="preserve">and their representative </w:t>
      </w:r>
      <w:r w:rsidR="00105E1A">
        <w:rPr>
          <w:szCs w:val="26"/>
        </w:rPr>
        <w:t>Disabled Persons’ Organisations.</w:t>
      </w:r>
    </w:p>
    <w:p w14:paraId="743058EA" w14:textId="77777777" w:rsidR="006A7FE8" w:rsidRPr="005402D2" w:rsidRDefault="00B077CC" w:rsidP="006A7FE8">
      <w:pPr>
        <w:pStyle w:val="Heading2"/>
        <w:rPr>
          <w:rFonts w:eastAsia="SimSun"/>
          <w:sz w:val="26"/>
          <w:szCs w:val="26"/>
          <w:lang w:eastAsia="en-IE"/>
        </w:rPr>
      </w:pPr>
      <w:r w:rsidRPr="005402D2">
        <w:rPr>
          <w:rFonts w:eastAsia="SimSun"/>
          <w:sz w:val="26"/>
          <w:szCs w:val="26"/>
          <w:lang w:eastAsia="en-IE"/>
        </w:rPr>
        <w:lastRenderedPageBreak/>
        <w:t>Further Consultation</w:t>
      </w:r>
    </w:p>
    <w:p w14:paraId="7DCFF6C6" w14:textId="6B9F0C79" w:rsidR="009C56E1" w:rsidRPr="005402D2" w:rsidRDefault="006A7FE8" w:rsidP="004E61BB">
      <w:pPr>
        <w:rPr>
          <w:rFonts w:eastAsia="SimSun" w:cs="Gill Sans MT"/>
          <w:szCs w:val="26"/>
          <w:lang w:eastAsia="en-IE"/>
        </w:rPr>
      </w:pPr>
      <w:r w:rsidRPr="005402D2">
        <w:rPr>
          <w:rFonts w:eastAsia="SimSun" w:cs="Gill Sans MT"/>
          <w:szCs w:val="26"/>
          <w:lang w:eastAsia="en-IE"/>
        </w:rPr>
        <w:t xml:space="preserve">The UNCRPD places an obligation on states to ensure that people with disabilities are included in policy development and decision-making. </w:t>
      </w:r>
      <w:r w:rsidR="005C2787" w:rsidRPr="005402D2">
        <w:rPr>
          <w:rFonts w:eastAsia="SimSun" w:cs="Gill Sans MT"/>
          <w:szCs w:val="26"/>
          <w:lang w:eastAsia="en-IE"/>
        </w:rPr>
        <w:t>The NDA published ‘Participation Matters: Guidelines on implementing the obligation to meaningfully engage with disabled people in public decision making’ in 2022 to support public bodies in achieving meaningful engagement with disabled people, especially through their representative DPOs.</w:t>
      </w:r>
      <w:r w:rsidR="005C2787" w:rsidRPr="005402D2">
        <w:rPr>
          <w:rStyle w:val="FootnoteReference"/>
          <w:rFonts w:ascii="Gill Sans MT" w:eastAsia="SimSun" w:hAnsi="Gill Sans MT" w:cs="Gill Sans MT"/>
          <w:sz w:val="26"/>
          <w:szCs w:val="26"/>
          <w:lang w:eastAsia="en-IE"/>
        </w:rPr>
        <w:footnoteReference w:id="7"/>
      </w:r>
      <w:r w:rsidR="005C2787" w:rsidRPr="005402D2">
        <w:rPr>
          <w:rFonts w:eastAsia="SimSun" w:cs="Gill Sans MT"/>
          <w:szCs w:val="26"/>
          <w:lang w:eastAsia="en-IE"/>
        </w:rPr>
        <w:t xml:space="preserve"> The NDA also produced an ‘Advice Paper on Disability Language and Terminology’ which is intended as a practical guide for departments and public bodies on the use of language about disability.</w:t>
      </w:r>
      <w:r w:rsidR="005C2787" w:rsidRPr="005402D2">
        <w:rPr>
          <w:rStyle w:val="FootnoteReference"/>
          <w:rFonts w:ascii="Gill Sans MT" w:eastAsia="SimSun" w:hAnsi="Gill Sans MT" w:cs="Gill Sans MT"/>
          <w:sz w:val="26"/>
          <w:szCs w:val="26"/>
          <w:lang w:eastAsia="en-IE"/>
        </w:rPr>
        <w:footnoteReference w:id="8"/>
      </w:r>
      <w:r w:rsidR="005C2787" w:rsidRPr="005402D2">
        <w:rPr>
          <w:rFonts w:eastAsia="SimSun" w:cs="Gill Sans MT"/>
          <w:szCs w:val="26"/>
          <w:lang w:eastAsia="en-IE"/>
        </w:rPr>
        <w:t xml:space="preserve"> The NDA recommends that the Department carry out further consultation with stakeholders, including Disabled Persons’ Organisations (DPOs), </w:t>
      </w:r>
      <w:r w:rsidR="00325E3E" w:rsidRPr="005402D2">
        <w:rPr>
          <w:rFonts w:eastAsia="SimSun" w:cs="Gill Sans MT"/>
          <w:szCs w:val="26"/>
          <w:lang w:eastAsia="en-IE"/>
        </w:rPr>
        <w:t xml:space="preserve">so that the proposed changes to social welfare appeals are disability-proofed and that the lived experience of </w:t>
      </w:r>
      <w:r w:rsidR="0072637C" w:rsidRPr="005402D2">
        <w:rPr>
          <w:rFonts w:eastAsia="SimSun" w:cs="Gill Sans MT"/>
          <w:szCs w:val="26"/>
          <w:lang w:eastAsia="en-IE"/>
        </w:rPr>
        <w:t>disabled people</w:t>
      </w:r>
      <w:r w:rsidR="00325E3E" w:rsidRPr="005402D2">
        <w:rPr>
          <w:rFonts w:eastAsia="SimSun" w:cs="Gill Sans MT"/>
          <w:szCs w:val="26"/>
          <w:lang w:eastAsia="en-IE"/>
        </w:rPr>
        <w:t xml:space="preserve"> is considered, particularly with regards to how </w:t>
      </w:r>
      <w:r w:rsidR="0072637C" w:rsidRPr="005402D2">
        <w:rPr>
          <w:rFonts w:eastAsia="SimSun" w:cs="Gill Sans MT"/>
          <w:szCs w:val="26"/>
          <w:lang w:eastAsia="en-IE"/>
        </w:rPr>
        <w:t>they</w:t>
      </w:r>
      <w:r w:rsidR="00325E3E" w:rsidRPr="005402D2">
        <w:rPr>
          <w:rFonts w:eastAsia="SimSun" w:cs="Gill Sans MT"/>
          <w:szCs w:val="26"/>
          <w:lang w:eastAsia="en-IE"/>
        </w:rPr>
        <w:t xml:space="preserve"> experience the social welfare appeals system. </w:t>
      </w:r>
    </w:p>
    <w:p w14:paraId="2E3B0E2E" w14:textId="77777777" w:rsidR="001E3F33" w:rsidRPr="005402D2" w:rsidRDefault="001E3F33" w:rsidP="00540A33">
      <w:pPr>
        <w:pStyle w:val="Heading2"/>
        <w:rPr>
          <w:sz w:val="26"/>
          <w:szCs w:val="26"/>
          <w:shd w:val="clear" w:color="auto" w:fill="FFFFFF"/>
        </w:rPr>
      </w:pPr>
      <w:r w:rsidRPr="005402D2">
        <w:rPr>
          <w:sz w:val="26"/>
          <w:szCs w:val="26"/>
          <w:shd w:val="clear" w:color="auto" w:fill="FFFFFF"/>
        </w:rPr>
        <w:t>Conclusion</w:t>
      </w:r>
    </w:p>
    <w:p w14:paraId="2A9BC51E" w14:textId="77777777" w:rsidR="001E3F33" w:rsidRPr="005402D2" w:rsidRDefault="001E3F33" w:rsidP="001E3F33">
      <w:pPr>
        <w:rPr>
          <w:szCs w:val="26"/>
        </w:rPr>
      </w:pPr>
      <w:r w:rsidRPr="005402D2">
        <w:rPr>
          <w:szCs w:val="26"/>
        </w:rPr>
        <w:t>The NDA are happy to advise further on any of the issues raised in this submission.</w:t>
      </w:r>
    </w:p>
    <w:p w14:paraId="34E5D189" w14:textId="77777777" w:rsidR="001E3F33" w:rsidRPr="004E61BB" w:rsidRDefault="001E3F33" w:rsidP="004E61BB">
      <w:pPr>
        <w:rPr>
          <w:rFonts w:eastAsia="SimSun" w:cs="Gill Sans MT"/>
          <w:sz w:val="24"/>
          <w:lang w:eastAsia="en-IE"/>
        </w:rPr>
      </w:pPr>
    </w:p>
    <w:sectPr w:rsidR="001E3F33" w:rsidRPr="004E61BB">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A9FB" w14:textId="77777777" w:rsidR="00AD15C7" w:rsidRDefault="00AD15C7">
      <w:r>
        <w:separator/>
      </w:r>
    </w:p>
  </w:endnote>
  <w:endnote w:type="continuationSeparator" w:id="0">
    <w:p w14:paraId="05E9CA53" w14:textId="77777777" w:rsidR="00AD15C7" w:rsidRDefault="00AD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A9C2" w14:textId="2B10140C" w:rsidR="009C4D62" w:rsidRDefault="00B6001A">
    <w:pPr>
      <w:pStyle w:val="Footer"/>
    </w:pPr>
    <w:r>
      <w:rPr>
        <w:color w:val="BF2296"/>
      </w:rPr>
      <w:t xml:space="preserve">NDA Submission to </w:t>
    </w:r>
    <w:r w:rsidR="004E61BB">
      <w:rPr>
        <w:color w:val="BF2296"/>
      </w:rPr>
      <w:t>Department of Social Protection on Proposed Changes to Social Welfare Appeals</w:t>
    </w:r>
    <w:r w:rsidR="009C4D62">
      <w:tab/>
    </w:r>
    <w:r w:rsidR="009C4D62">
      <w:tab/>
    </w:r>
    <w:r w:rsidR="009C4D62">
      <w:fldChar w:fldCharType="begin"/>
    </w:r>
    <w:r w:rsidR="009C4D62">
      <w:instrText xml:space="preserve"> PAGE  \* Arabic  \* MERGEFORMAT </w:instrText>
    </w:r>
    <w:r w:rsidR="009C4D62">
      <w:fldChar w:fldCharType="separate"/>
    </w:r>
    <w:r w:rsidR="008854BA">
      <w:rPr>
        <w:noProof/>
      </w:rPr>
      <w:t>4</w:t>
    </w:r>
    <w:r w:rsidR="009C4D6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3C05" w14:textId="77777777" w:rsidR="00AD15C7" w:rsidRDefault="00AD15C7">
      <w:r>
        <w:separator/>
      </w:r>
    </w:p>
  </w:footnote>
  <w:footnote w:type="continuationSeparator" w:id="0">
    <w:p w14:paraId="1CECB5CD" w14:textId="77777777" w:rsidR="00AD15C7" w:rsidRDefault="00AD15C7">
      <w:r>
        <w:continuationSeparator/>
      </w:r>
    </w:p>
  </w:footnote>
  <w:footnote w:id="1">
    <w:p w14:paraId="4BD3B036" w14:textId="77777777" w:rsidR="00530C9C" w:rsidRPr="00C63B1C" w:rsidRDefault="00530C9C">
      <w:pPr>
        <w:pStyle w:val="FootnoteText"/>
        <w:rPr>
          <w:sz w:val="18"/>
          <w:szCs w:val="18"/>
        </w:rPr>
      </w:pPr>
      <w:r w:rsidRPr="00C63B1C">
        <w:rPr>
          <w:rStyle w:val="FootnoteReference"/>
          <w:rFonts w:ascii="Gill Sans MT" w:hAnsi="Gill Sans MT"/>
          <w:sz w:val="18"/>
          <w:szCs w:val="18"/>
        </w:rPr>
        <w:footnoteRef/>
      </w:r>
      <w:r w:rsidRPr="00C63B1C">
        <w:rPr>
          <w:sz w:val="18"/>
          <w:szCs w:val="18"/>
        </w:rPr>
        <w:t xml:space="preserve"> </w:t>
      </w:r>
      <w:hyperlink r:id="rId1" w:history="1">
        <w:r w:rsidRPr="00C63B1C">
          <w:rPr>
            <w:rStyle w:val="Hyperlink"/>
            <w:sz w:val="18"/>
            <w:szCs w:val="18"/>
          </w:rPr>
          <w:t>gov.ie - Public Consultation on Important Changes to Social Welfare Appeals Regulations (www.gov.ie)</w:t>
        </w:r>
      </w:hyperlink>
    </w:p>
  </w:footnote>
  <w:footnote w:id="2">
    <w:p w14:paraId="131BE308" w14:textId="77777777" w:rsidR="007907D6" w:rsidRPr="004E61BB" w:rsidRDefault="007907D6" w:rsidP="00702F52">
      <w:pPr>
        <w:pStyle w:val="FootnoteText"/>
        <w:spacing w:after="0"/>
        <w:rPr>
          <w:rFonts w:cs="Arial"/>
          <w:sz w:val="18"/>
          <w:szCs w:val="18"/>
        </w:rPr>
      </w:pPr>
      <w:r w:rsidRPr="00C63B1C">
        <w:rPr>
          <w:rStyle w:val="FootnoteReference"/>
          <w:rFonts w:ascii="Gill Sans MT" w:hAnsi="Gill Sans MT" w:cs="Arial"/>
          <w:sz w:val="18"/>
          <w:szCs w:val="18"/>
        </w:rPr>
        <w:footnoteRef/>
      </w:r>
      <w:r w:rsidR="005F5027" w:rsidRPr="00C63B1C">
        <w:rPr>
          <w:rFonts w:cs="Arial"/>
          <w:sz w:val="18"/>
          <w:szCs w:val="18"/>
        </w:rPr>
        <w:t xml:space="preserve"> </w:t>
      </w:r>
      <w:hyperlink r:id="rId2" w:history="1">
        <w:r w:rsidR="006D4EE3" w:rsidRPr="00C63B1C">
          <w:rPr>
            <w:rStyle w:val="Hyperlink"/>
            <w:rFonts w:cs="Arial"/>
            <w:sz w:val="18"/>
            <w:szCs w:val="18"/>
          </w:rPr>
          <w:t>https://www.oireachtas.ie/en/debates/debate/joint_committee_on_social_protection_community_and_rural_development_and_the_islands/2022-11-09/2/</w:t>
        </w:r>
      </w:hyperlink>
      <w:r w:rsidR="006D4EE3" w:rsidRPr="004E61BB">
        <w:rPr>
          <w:rStyle w:val="Hyperlink"/>
          <w:rFonts w:cs="Arial"/>
          <w:sz w:val="18"/>
          <w:szCs w:val="18"/>
        </w:rPr>
        <w:t xml:space="preserve"> </w:t>
      </w:r>
    </w:p>
  </w:footnote>
  <w:footnote w:id="3">
    <w:p w14:paraId="2FE17476" w14:textId="77777777" w:rsidR="005F0B51" w:rsidRPr="004E61BB" w:rsidRDefault="005F0B51" w:rsidP="005F0B51">
      <w:pPr>
        <w:pStyle w:val="FootnoteText"/>
        <w:spacing w:after="0"/>
        <w:rPr>
          <w:sz w:val="18"/>
          <w:szCs w:val="18"/>
        </w:rPr>
      </w:pPr>
      <w:r w:rsidRPr="004E61BB">
        <w:rPr>
          <w:rStyle w:val="FootnoteReference"/>
          <w:rFonts w:ascii="Gill Sans MT" w:hAnsi="Gill Sans MT" w:cs="Arial"/>
          <w:sz w:val="18"/>
          <w:szCs w:val="18"/>
        </w:rPr>
        <w:footnoteRef/>
      </w:r>
      <w:r w:rsidRPr="004E61BB">
        <w:rPr>
          <w:rFonts w:cs="Arial"/>
          <w:sz w:val="18"/>
          <w:szCs w:val="18"/>
        </w:rPr>
        <w:t xml:space="preserve"> </w:t>
      </w:r>
      <w:hyperlink r:id="rId3" w:history="1">
        <w:r w:rsidRPr="004E61BB">
          <w:rPr>
            <w:rStyle w:val="Hyperlink"/>
            <w:rFonts w:cs="Arial"/>
            <w:sz w:val="18"/>
            <w:szCs w:val="18"/>
          </w:rPr>
          <w:t>https://www.citizensinformation.ie/en/health/health-services/gp-and-hospital-services/gp-services-to-medical-card-holders/</w:t>
        </w:r>
      </w:hyperlink>
      <w:r w:rsidRPr="004E61BB">
        <w:rPr>
          <w:sz w:val="18"/>
          <w:szCs w:val="18"/>
        </w:rPr>
        <w:t xml:space="preserve"> </w:t>
      </w:r>
    </w:p>
  </w:footnote>
  <w:footnote w:id="4">
    <w:p w14:paraId="128D9F26" w14:textId="77777777" w:rsidR="00FA3888" w:rsidRPr="00D24F6D" w:rsidRDefault="00FA3888" w:rsidP="00FA3888">
      <w:pPr>
        <w:pStyle w:val="FootnoteText"/>
        <w:spacing w:after="0"/>
        <w:rPr>
          <w:rFonts w:cstheme="minorBidi"/>
          <w:kern w:val="2"/>
          <w:sz w:val="18"/>
          <w:szCs w:val="18"/>
          <w:lang w:val="en-US"/>
          <w14:ligatures w14:val="standardContextual"/>
        </w:rPr>
      </w:pPr>
      <w:r w:rsidRPr="00D24F6D">
        <w:rPr>
          <w:rStyle w:val="FootnoteReference"/>
          <w:rFonts w:ascii="Gill Sans MT" w:hAnsi="Gill Sans MT"/>
          <w:sz w:val="18"/>
          <w:szCs w:val="18"/>
        </w:rPr>
        <w:footnoteRef/>
      </w:r>
      <w:r w:rsidRPr="00D24F6D">
        <w:rPr>
          <w:sz w:val="18"/>
          <w:szCs w:val="18"/>
        </w:rPr>
        <w:t xml:space="preserve"> </w:t>
      </w:r>
      <w:r w:rsidRPr="00D24F6D">
        <w:rPr>
          <w:rFonts w:eastAsia="Roboto" w:cstheme="minorHAnsi"/>
          <w:sz w:val="18"/>
          <w:szCs w:val="18"/>
        </w:rPr>
        <w:t xml:space="preserve">See pages 21 and 30, Social Welfare Appeals Office Annual Report 2021 available at: </w:t>
      </w:r>
      <w:hyperlink r:id="rId4" w:anchor="2021" w:history="1">
        <w:r w:rsidRPr="00D24F6D">
          <w:rPr>
            <w:rStyle w:val="Hyperlink"/>
            <w:rFonts w:eastAsia="Roboto" w:cstheme="minorHAnsi"/>
            <w:sz w:val="18"/>
            <w:szCs w:val="18"/>
          </w:rPr>
          <w:t>https://www.gov.ie/en/publication/888e0f-social-welfare-appeals-office-annual-report-2018/#2021</w:t>
        </w:r>
      </w:hyperlink>
    </w:p>
  </w:footnote>
  <w:footnote w:id="5">
    <w:p w14:paraId="5E1F1D0A" w14:textId="77777777" w:rsidR="00FC28CB" w:rsidRDefault="00FC28CB">
      <w:pPr>
        <w:pStyle w:val="FootnoteText"/>
      </w:pPr>
      <w:r w:rsidRPr="00D24F6D">
        <w:rPr>
          <w:rStyle w:val="FootnoteReference"/>
          <w:rFonts w:ascii="Gill Sans MT" w:hAnsi="Gill Sans MT"/>
          <w:sz w:val="18"/>
          <w:szCs w:val="18"/>
        </w:rPr>
        <w:footnoteRef/>
      </w:r>
      <w:r w:rsidRPr="00D24F6D">
        <w:rPr>
          <w:sz w:val="18"/>
          <w:szCs w:val="18"/>
        </w:rPr>
        <w:t xml:space="preserve"> </w:t>
      </w:r>
      <w:hyperlink r:id="rId5" w:history="1">
        <w:r w:rsidRPr="00D24F6D">
          <w:rPr>
            <w:rStyle w:val="Hyperlink"/>
            <w:sz w:val="18"/>
            <w:szCs w:val="18"/>
          </w:rPr>
          <w:t>Customer Communications Toolkit for Services to the Public - A Universal Design Approach | Centre for Excellence in Universal Design</w:t>
        </w:r>
      </w:hyperlink>
    </w:p>
  </w:footnote>
  <w:footnote w:id="6">
    <w:p w14:paraId="157E49CF" w14:textId="77777777" w:rsidR="008D1D64" w:rsidRPr="004E61BB" w:rsidRDefault="008D1D64" w:rsidP="008D1D64">
      <w:pPr>
        <w:pStyle w:val="FootnoteText"/>
        <w:spacing w:after="0"/>
        <w:rPr>
          <w:sz w:val="18"/>
          <w:szCs w:val="18"/>
        </w:rPr>
      </w:pPr>
      <w:r w:rsidRPr="004E61BB">
        <w:rPr>
          <w:rStyle w:val="FootnoteReference"/>
          <w:rFonts w:ascii="Gill Sans MT" w:hAnsi="Gill Sans MT"/>
          <w:sz w:val="18"/>
          <w:szCs w:val="18"/>
        </w:rPr>
        <w:footnoteRef/>
      </w:r>
      <w:r w:rsidRPr="004E61BB">
        <w:rPr>
          <w:sz w:val="18"/>
          <w:szCs w:val="18"/>
        </w:rPr>
        <w:t xml:space="preserve"> </w:t>
      </w:r>
      <w:hyperlink r:id="rId6" w:history="1">
        <w:r w:rsidRPr="004E61BB">
          <w:rPr>
            <w:rStyle w:val="Hyperlink"/>
            <w:sz w:val="18"/>
            <w:szCs w:val="18"/>
          </w:rPr>
          <w:t>Monitoring Report EU WAD Ireland 2021: NDA Report - National Disability Authority</w:t>
        </w:r>
      </w:hyperlink>
      <w:r w:rsidRPr="004E61BB">
        <w:rPr>
          <w:sz w:val="18"/>
          <w:szCs w:val="18"/>
        </w:rPr>
        <w:t xml:space="preserve"> </w:t>
      </w:r>
    </w:p>
  </w:footnote>
  <w:footnote w:id="7">
    <w:p w14:paraId="28E24698" w14:textId="77777777" w:rsidR="005C2787" w:rsidRPr="004E61BB" w:rsidRDefault="005C2787" w:rsidP="005C2787">
      <w:pPr>
        <w:pStyle w:val="FootnoteText"/>
        <w:spacing w:after="0"/>
        <w:rPr>
          <w:sz w:val="18"/>
          <w:szCs w:val="18"/>
        </w:rPr>
      </w:pPr>
      <w:r w:rsidRPr="004E61BB">
        <w:rPr>
          <w:rStyle w:val="FootnoteReference"/>
          <w:rFonts w:ascii="Gill Sans MT" w:hAnsi="Gill Sans MT"/>
          <w:sz w:val="18"/>
          <w:szCs w:val="18"/>
        </w:rPr>
        <w:footnoteRef/>
      </w:r>
      <w:r w:rsidRPr="004E61BB">
        <w:rPr>
          <w:sz w:val="18"/>
          <w:szCs w:val="18"/>
        </w:rPr>
        <w:t xml:space="preserve"> </w:t>
      </w:r>
      <w:hyperlink r:id="rId7" w:history="1">
        <w:r w:rsidRPr="004E61BB">
          <w:rPr>
            <w:rStyle w:val="Hyperlink"/>
            <w:sz w:val="18"/>
            <w:szCs w:val="18"/>
            <w:u w:val="none"/>
          </w:rPr>
          <w:t>h</w:t>
        </w:r>
        <w:r w:rsidRPr="004E61BB">
          <w:rPr>
            <w:rStyle w:val="Hyperlink"/>
            <w:sz w:val="18"/>
            <w:szCs w:val="18"/>
          </w:rPr>
          <w:t>ttps://nda.ie/publications/participation-matters-guidelines-on-implementing-the-obligation-to-meaningfully-engage-with-disabled-people-in-public-decision-making</w:t>
        </w:r>
      </w:hyperlink>
    </w:p>
  </w:footnote>
  <w:footnote w:id="8">
    <w:p w14:paraId="0BBAF822" w14:textId="77777777" w:rsidR="005C2787" w:rsidRDefault="005C2787" w:rsidP="005C2787">
      <w:pPr>
        <w:pStyle w:val="FootnoteText"/>
        <w:spacing w:after="0"/>
      </w:pPr>
      <w:r w:rsidRPr="004E61BB">
        <w:rPr>
          <w:rStyle w:val="FootnoteReference"/>
          <w:rFonts w:ascii="Gill Sans MT" w:hAnsi="Gill Sans MT"/>
          <w:sz w:val="18"/>
          <w:szCs w:val="18"/>
        </w:rPr>
        <w:footnoteRef/>
      </w:r>
      <w:r w:rsidRPr="004E61BB">
        <w:rPr>
          <w:sz w:val="18"/>
          <w:szCs w:val="18"/>
        </w:rPr>
        <w:t xml:space="preserve"> </w:t>
      </w:r>
      <w:hyperlink r:id="rId8" w:history="1">
        <w:r w:rsidRPr="004E61BB">
          <w:rPr>
            <w:rStyle w:val="Hyperlink"/>
            <w:sz w:val="18"/>
            <w:szCs w:val="18"/>
          </w:rPr>
          <w:t>https://nda.ie/publications/nda-advice-paper-on-disability-language-and-terminology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78A66D1"/>
    <w:multiLevelType w:val="multilevel"/>
    <w:tmpl w:val="66C0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F2AA8"/>
    <w:multiLevelType w:val="hybridMultilevel"/>
    <w:tmpl w:val="764CE18E"/>
    <w:lvl w:ilvl="0" w:tplc="18090001">
      <w:start w:val="1"/>
      <w:numFmt w:val="bullet"/>
      <w:lvlText w:val=""/>
      <w:lvlJc w:val="left"/>
      <w:pPr>
        <w:ind w:left="720" w:hanging="360"/>
      </w:pPr>
      <w:rPr>
        <w:rFonts w:ascii="Symbol" w:hAnsi="Symbol" w:hint="default"/>
        <w:b/>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E100A95"/>
    <w:multiLevelType w:val="hybridMultilevel"/>
    <w:tmpl w:val="58681B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6010065"/>
    <w:multiLevelType w:val="hybridMultilevel"/>
    <w:tmpl w:val="6B529444"/>
    <w:lvl w:ilvl="0" w:tplc="32A2DB4C">
      <w:start w:val="17"/>
      <w:numFmt w:val="bullet"/>
      <w:lvlText w:val="-"/>
      <w:lvlJc w:val="left"/>
      <w:pPr>
        <w:ind w:left="720" w:hanging="360"/>
      </w:pPr>
      <w:rPr>
        <w:rFonts w:ascii="Calibri Light" w:eastAsiaTheme="minorHAnsi" w:hAnsi="Calibri Light" w:cs="Calibri Light" w:hint="default"/>
        <w:strike w:val="0"/>
        <w:dstrike w:val="0"/>
        <w:u w:val="none"/>
        <w:effect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9DE2FC8"/>
    <w:multiLevelType w:val="multilevel"/>
    <w:tmpl w:val="A86E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8739B1"/>
    <w:multiLevelType w:val="hybridMultilevel"/>
    <w:tmpl w:val="FA2AD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013C53"/>
    <w:multiLevelType w:val="hybridMultilevel"/>
    <w:tmpl w:val="EDD48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4755572">
    <w:abstractNumId w:val="9"/>
  </w:num>
  <w:num w:numId="2" w16cid:durableId="1024205492">
    <w:abstractNumId w:val="9"/>
  </w:num>
  <w:num w:numId="3" w16cid:durableId="143933846">
    <w:abstractNumId w:val="7"/>
  </w:num>
  <w:num w:numId="4" w16cid:durableId="322709777">
    <w:abstractNumId w:val="7"/>
  </w:num>
  <w:num w:numId="5" w16cid:durableId="1796485704">
    <w:abstractNumId w:val="6"/>
  </w:num>
  <w:num w:numId="6" w16cid:durableId="383336392">
    <w:abstractNumId w:val="6"/>
  </w:num>
  <w:num w:numId="7" w16cid:durableId="331834487">
    <w:abstractNumId w:val="8"/>
  </w:num>
  <w:num w:numId="8" w16cid:durableId="239100400">
    <w:abstractNumId w:val="8"/>
  </w:num>
  <w:num w:numId="9" w16cid:durableId="1746145164">
    <w:abstractNumId w:val="3"/>
  </w:num>
  <w:num w:numId="10" w16cid:durableId="2130004953">
    <w:abstractNumId w:val="3"/>
  </w:num>
  <w:num w:numId="11" w16cid:durableId="1177698054">
    <w:abstractNumId w:val="2"/>
  </w:num>
  <w:num w:numId="12" w16cid:durableId="960302032">
    <w:abstractNumId w:val="2"/>
  </w:num>
  <w:num w:numId="13" w16cid:durableId="14430053">
    <w:abstractNumId w:val="5"/>
  </w:num>
  <w:num w:numId="14" w16cid:durableId="2056346482">
    <w:abstractNumId w:val="4"/>
  </w:num>
  <w:num w:numId="15" w16cid:durableId="2034108264">
    <w:abstractNumId w:val="1"/>
  </w:num>
  <w:num w:numId="16" w16cid:durableId="315769692">
    <w:abstractNumId w:val="0"/>
  </w:num>
  <w:num w:numId="17" w16cid:durableId="143358079">
    <w:abstractNumId w:val="16"/>
  </w:num>
  <w:num w:numId="18" w16cid:durableId="1733432114">
    <w:abstractNumId w:val="11"/>
  </w:num>
  <w:num w:numId="19" w16cid:durableId="862549859">
    <w:abstractNumId w:val="12"/>
  </w:num>
  <w:num w:numId="20" w16cid:durableId="1521158512">
    <w:abstractNumId w:val="15"/>
  </w:num>
  <w:num w:numId="21" w16cid:durableId="1037319915">
    <w:abstractNumId w:val="8"/>
    <w:lvlOverride w:ilvl="0">
      <w:startOverride w:val="1"/>
    </w:lvlOverride>
  </w:num>
  <w:num w:numId="22" w16cid:durableId="707074714">
    <w:abstractNumId w:val="14"/>
  </w:num>
  <w:num w:numId="23" w16cid:durableId="1145077262">
    <w:abstractNumId w:val="10"/>
  </w:num>
  <w:num w:numId="24" w16cid:durableId="1371221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D6"/>
    <w:rsid w:val="000105FD"/>
    <w:rsid w:val="00014284"/>
    <w:rsid w:val="00032A64"/>
    <w:rsid w:val="000509F9"/>
    <w:rsid w:val="00056C29"/>
    <w:rsid w:val="0006111E"/>
    <w:rsid w:val="000673B2"/>
    <w:rsid w:val="00076C46"/>
    <w:rsid w:val="000822BA"/>
    <w:rsid w:val="000A09EA"/>
    <w:rsid w:val="000A7B14"/>
    <w:rsid w:val="000C79F0"/>
    <w:rsid w:val="000E292E"/>
    <w:rsid w:val="000E34F1"/>
    <w:rsid w:val="00101F5B"/>
    <w:rsid w:val="00105E1A"/>
    <w:rsid w:val="0011721B"/>
    <w:rsid w:val="00145D8F"/>
    <w:rsid w:val="00146540"/>
    <w:rsid w:val="00152F71"/>
    <w:rsid w:val="00155FAC"/>
    <w:rsid w:val="0015660C"/>
    <w:rsid w:val="001652FF"/>
    <w:rsid w:val="001673D2"/>
    <w:rsid w:val="001770EF"/>
    <w:rsid w:val="00181FE6"/>
    <w:rsid w:val="001919EF"/>
    <w:rsid w:val="001A2C71"/>
    <w:rsid w:val="001B4626"/>
    <w:rsid w:val="001B7E11"/>
    <w:rsid w:val="001C4D9F"/>
    <w:rsid w:val="001C5338"/>
    <w:rsid w:val="001D3513"/>
    <w:rsid w:val="001E085B"/>
    <w:rsid w:val="001E3F33"/>
    <w:rsid w:val="001F00E1"/>
    <w:rsid w:val="001F21BC"/>
    <w:rsid w:val="00200ABF"/>
    <w:rsid w:val="00200D51"/>
    <w:rsid w:val="00205203"/>
    <w:rsid w:val="002200AA"/>
    <w:rsid w:val="002269C2"/>
    <w:rsid w:val="00230C4B"/>
    <w:rsid w:val="00234307"/>
    <w:rsid w:val="0027495D"/>
    <w:rsid w:val="002849AE"/>
    <w:rsid w:val="00287B8E"/>
    <w:rsid w:val="00292BDC"/>
    <w:rsid w:val="00296B81"/>
    <w:rsid w:val="002A68F7"/>
    <w:rsid w:val="002B3094"/>
    <w:rsid w:val="002D2168"/>
    <w:rsid w:val="002D53A4"/>
    <w:rsid w:val="002E4A58"/>
    <w:rsid w:val="002E7470"/>
    <w:rsid w:val="00302AD1"/>
    <w:rsid w:val="00322731"/>
    <w:rsid w:val="00325E3E"/>
    <w:rsid w:val="00341062"/>
    <w:rsid w:val="00341EB9"/>
    <w:rsid w:val="00347A5B"/>
    <w:rsid w:val="00355C21"/>
    <w:rsid w:val="00355E9C"/>
    <w:rsid w:val="003666FA"/>
    <w:rsid w:val="00366C4B"/>
    <w:rsid w:val="003A2D17"/>
    <w:rsid w:val="003A44C8"/>
    <w:rsid w:val="003A5143"/>
    <w:rsid w:val="003B10EC"/>
    <w:rsid w:val="003B4021"/>
    <w:rsid w:val="003B6299"/>
    <w:rsid w:val="003D01D5"/>
    <w:rsid w:val="003D1F3B"/>
    <w:rsid w:val="003D74A3"/>
    <w:rsid w:val="003E6811"/>
    <w:rsid w:val="003F7393"/>
    <w:rsid w:val="0040184C"/>
    <w:rsid w:val="00407ED9"/>
    <w:rsid w:val="00413DA9"/>
    <w:rsid w:val="00413E0F"/>
    <w:rsid w:val="00420364"/>
    <w:rsid w:val="004227EF"/>
    <w:rsid w:val="00424EDA"/>
    <w:rsid w:val="00447E00"/>
    <w:rsid w:val="00461220"/>
    <w:rsid w:val="0046468E"/>
    <w:rsid w:val="00486897"/>
    <w:rsid w:val="004902D9"/>
    <w:rsid w:val="004934C9"/>
    <w:rsid w:val="004C103D"/>
    <w:rsid w:val="004C5836"/>
    <w:rsid w:val="004D21B0"/>
    <w:rsid w:val="004E30AD"/>
    <w:rsid w:val="004E61BB"/>
    <w:rsid w:val="004E6688"/>
    <w:rsid w:val="004F1D3A"/>
    <w:rsid w:val="004F3FA5"/>
    <w:rsid w:val="004F52EC"/>
    <w:rsid w:val="005038CF"/>
    <w:rsid w:val="005135C0"/>
    <w:rsid w:val="00522B1B"/>
    <w:rsid w:val="005270D8"/>
    <w:rsid w:val="00530C9C"/>
    <w:rsid w:val="005319F9"/>
    <w:rsid w:val="00536D3C"/>
    <w:rsid w:val="005402D2"/>
    <w:rsid w:val="00540704"/>
    <w:rsid w:val="00540A33"/>
    <w:rsid w:val="0054359E"/>
    <w:rsid w:val="005549C2"/>
    <w:rsid w:val="00554EB0"/>
    <w:rsid w:val="0055751D"/>
    <w:rsid w:val="00565C6C"/>
    <w:rsid w:val="00580BCE"/>
    <w:rsid w:val="00582D2D"/>
    <w:rsid w:val="00594414"/>
    <w:rsid w:val="005A4C9A"/>
    <w:rsid w:val="005C03CE"/>
    <w:rsid w:val="005C2787"/>
    <w:rsid w:val="005C3FFA"/>
    <w:rsid w:val="005C75B4"/>
    <w:rsid w:val="005D085D"/>
    <w:rsid w:val="005D7548"/>
    <w:rsid w:val="005F0B51"/>
    <w:rsid w:val="005F36EB"/>
    <w:rsid w:val="005F5027"/>
    <w:rsid w:val="00604C21"/>
    <w:rsid w:val="00605B2E"/>
    <w:rsid w:val="00607BBF"/>
    <w:rsid w:val="00607CB4"/>
    <w:rsid w:val="00612DE1"/>
    <w:rsid w:val="00616F26"/>
    <w:rsid w:val="0062398C"/>
    <w:rsid w:val="006264AD"/>
    <w:rsid w:val="00632D6E"/>
    <w:rsid w:val="006349ED"/>
    <w:rsid w:val="006428D7"/>
    <w:rsid w:val="006511C7"/>
    <w:rsid w:val="0065316B"/>
    <w:rsid w:val="00671FAA"/>
    <w:rsid w:val="006834B3"/>
    <w:rsid w:val="0068376C"/>
    <w:rsid w:val="00684064"/>
    <w:rsid w:val="00690230"/>
    <w:rsid w:val="006A7FE8"/>
    <w:rsid w:val="006B6464"/>
    <w:rsid w:val="006C140C"/>
    <w:rsid w:val="006C1BCD"/>
    <w:rsid w:val="006D4EE3"/>
    <w:rsid w:val="006E6222"/>
    <w:rsid w:val="006F1D9D"/>
    <w:rsid w:val="006F31D0"/>
    <w:rsid w:val="006F4AF2"/>
    <w:rsid w:val="006F5ACF"/>
    <w:rsid w:val="00702F52"/>
    <w:rsid w:val="00712D7D"/>
    <w:rsid w:val="007147DF"/>
    <w:rsid w:val="00721F03"/>
    <w:rsid w:val="0072563B"/>
    <w:rsid w:val="0072637C"/>
    <w:rsid w:val="00727490"/>
    <w:rsid w:val="007275BB"/>
    <w:rsid w:val="00731205"/>
    <w:rsid w:val="00734C6A"/>
    <w:rsid w:val="00735336"/>
    <w:rsid w:val="00750C65"/>
    <w:rsid w:val="0075193D"/>
    <w:rsid w:val="00755553"/>
    <w:rsid w:val="007907D6"/>
    <w:rsid w:val="0079346B"/>
    <w:rsid w:val="00796FE7"/>
    <w:rsid w:val="007A4883"/>
    <w:rsid w:val="007B3E4B"/>
    <w:rsid w:val="007B5680"/>
    <w:rsid w:val="007C1D90"/>
    <w:rsid w:val="007F04C8"/>
    <w:rsid w:val="00811266"/>
    <w:rsid w:val="00814329"/>
    <w:rsid w:val="008147C6"/>
    <w:rsid w:val="00821E3B"/>
    <w:rsid w:val="00821FEE"/>
    <w:rsid w:val="00831FA1"/>
    <w:rsid w:val="00846FDB"/>
    <w:rsid w:val="008541D6"/>
    <w:rsid w:val="008738F1"/>
    <w:rsid w:val="00883E37"/>
    <w:rsid w:val="008854BA"/>
    <w:rsid w:val="00890584"/>
    <w:rsid w:val="00893BA3"/>
    <w:rsid w:val="008A2A2B"/>
    <w:rsid w:val="008A4A2B"/>
    <w:rsid w:val="008B5A4C"/>
    <w:rsid w:val="008D1D64"/>
    <w:rsid w:val="008D4D11"/>
    <w:rsid w:val="008D6280"/>
    <w:rsid w:val="008D6E02"/>
    <w:rsid w:val="008E1FA1"/>
    <w:rsid w:val="008E3478"/>
    <w:rsid w:val="008E3EE0"/>
    <w:rsid w:val="008E78D4"/>
    <w:rsid w:val="008F29EC"/>
    <w:rsid w:val="008F72B6"/>
    <w:rsid w:val="009108E6"/>
    <w:rsid w:val="00911D95"/>
    <w:rsid w:val="00912B70"/>
    <w:rsid w:val="0091475B"/>
    <w:rsid w:val="00961B3C"/>
    <w:rsid w:val="00961FA8"/>
    <w:rsid w:val="009670AD"/>
    <w:rsid w:val="00973C08"/>
    <w:rsid w:val="009842FA"/>
    <w:rsid w:val="00986027"/>
    <w:rsid w:val="009A4E0D"/>
    <w:rsid w:val="009C3BD7"/>
    <w:rsid w:val="009C3EEB"/>
    <w:rsid w:val="009C4D62"/>
    <w:rsid w:val="009C56E1"/>
    <w:rsid w:val="009D6C80"/>
    <w:rsid w:val="00A05270"/>
    <w:rsid w:val="00A05BD0"/>
    <w:rsid w:val="00A07A7D"/>
    <w:rsid w:val="00A123F7"/>
    <w:rsid w:val="00A13101"/>
    <w:rsid w:val="00A21EB0"/>
    <w:rsid w:val="00A24C7B"/>
    <w:rsid w:val="00A268FD"/>
    <w:rsid w:val="00A26E9F"/>
    <w:rsid w:val="00A31CDE"/>
    <w:rsid w:val="00A508D2"/>
    <w:rsid w:val="00A718DF"/>
    <w:rsid w:val="00A77FF9"/>
    <w:rsid w:val="00A8070D"/>
    <w:rsid w:val="00A875B6"/>
    <w:rsid w:val="00A972DB"/>
    <w:rsid w:val="00A977A3"/>
    <w:rsid w:val="00AB3798"/>
    <w:rsid w:val="00AC6516"/>
    <w:rsid w:val="00AD15C7"/>
    <w:rsid w:val="00AD2147"/>
    <w:rsid w:val="00AE4BA1"/>
    <w:rsid w:val="00AF31B9"/>
    <w:rsid w:val="00B04E91"/>
    <w:rsid w:val="00B077CC"/>
    <w:rsid w:val="00B11584"/>
    <w:rsid w:val="00B14618"/>
    <w:rsid w:val="00B21676"/>
    <w:rsid w:val="00B21B9B"/>
    <w:rsid w:val="00B266A6"/>
    <w:rsid w:val="00B26A85"/>
    <w:rsid w:val="00B37888"/>
    <w:rsid w:val="00B40BDE"/>
    <w:rsid w:val="00B471A4"/>
    <w:rsid w:val="00B540DB"/>
    <w:rsid w:val="00B6001A"/>
    <w:rsid w:val="00B67AF1"/>
    <w:rsid w:val="00B76547"/>
    <w:rsid w:val="00B904DB"/>
    <w:rsid w:val="00B94253"/>
    <w:rsid w:val="00BA2579"/>
    <w:rsid w:val="00BA2FF5"/>
    <w:rsid w:val="00BB472F"/>
    <w:rsid w:val="00BC74C2"/>
    <w:rsid w:val="00BD63F1"/>
    <w:rsid w:val="00BE3DCC"/>
    <w:rsid w:val="00BF66CE"/>
    <w:rsid w:val="00BF69CC"/>
    <w:rsid w:val="00C04AFB"/>
    <w:rsid w:val="00C11CEC"/>
    <w:rsid w:val="00C13580"/>
    <w:rsid w:val="00C154AE"/>
    <w:rsid w:val="00C317A5"/>
    <w:rsid w:val="00C362A8"/>
    <w:rsid w:val="00C4159D"/>
    <w:rsid w:val="00C63B1C"/>
    <w:rsid w:val="00C64F58"/>
    <w:rsid w:val="00C71F9B"/>
    <w:rsid w:val="00C77097"/>
    <w:rsid w:val="00C8267D"/>
    <w:rsid w:val="00C867C9"/>
    <w:rsid w:val="00CC6A02"/>
    <w:rsid w:val="00CD575C"/>
    <w:rsid w:val="00CF0EE9"/>
    <w:rsid w:val="00CF285B"/>
    <w:rsid w:val="00D061AD"/>
    <w:rsid w:val="00D1392E"/>
    <w:rsid w:val="00D24F6D"/>
    <w:rsid w:val="00D25945"/>
    <w:rsid w:val="00D3355D"/>
    <w:rsid w:val="00D41A25"/>
    <w:rsid w:val="00D42171"/>
    <w:rsid w:val="00D47A35"/>
    <w:rsid w:val="00D63B6F"/>
    <w:rsid w:val="00D70522"/>
    <w:rsid w:val="00D767C5"/>
    <w:rsid w:val="00D82FF7"/>
    <w:rsid w:val="00D8763C"/>
    <w:rsid w:val="00D90DBF"/>
    <w:rsid w:val="00DB3A45"/>
    <w:rsid w:val="00DB3D4A"/>
    <w:rsid w:val="00DB476F"/>
    <w:rsid w:val="00DB48FB"/>
    <w:rsid w:val="00DC1C5B"/>
    <w:rsid w:val="00DD4BD9"/>
    <w:rsid w:val="00DD525A"/>
    <w:rsid w:val="00DE18B2"/>
    <w:rsid w:val="00DF00F3"/>
    <w:rsid w:val="00DF5F9A"/>
    <w:rsid w:val="00DF60CB"/>
    <w:rsid w:val="00DF7A73"/>
    <w:rsid w:val="00E0415B"/>
    <w:rsid w:val="00E168AB"/>
    <w:rsid w:val="00E20C60"/>
    <w:rsid w:val="00E251C1"/>
    <w:rsid w:val="00E276C7"/>
    <w:rsid w:val="00E529F4"/>
    <w:rsid w:val="00E56A32"/>
    <w:rsid w:val="00E97E1C"/>
    <w:rsid w:val="00ED7D06"/>
    <w:rsid w:val="00F07BD5"/>
    <w:rsid w:val="00F11CD1"/>
    <w:rsid w:val="00F12674"/>
    <w:rsid w:val="00F1469B"/>
    <w:rsid w:val="00F278A7"/>
    <w:rsid w:val="00F351D6"/>
    <w:rsid w:val="00F472CA"/>
    <w:rsid w:val="00F5405C"/>
    <w:rsid w:val="00F76A0B"/>
    <w:rsid w:val="00F832E4"/>
    <w:rsid w:val="00F92A32"/>
    <w:rsid w:val="00FA18E0"/>
    <w:rsid w:val="00FA3888"/>
    <w:rsid w:val="00FC233A"/>
    <w:rsid w:val="00FC28CB"/>
    <w:rsid w:val="00FC61C2"/>
    <w:rsid w:val="00FD159F"/>
    <w:rsid w:val="00FE0C19"/>
    <w:rsid w:val="00FE23BE"/>
    <w:rsid w:val="00FE3860"/>
    <w:rsid w:val="00FE6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F399"/>
  <w15:chartTrackingRefBased/>
  <w15:docId w15:val="{04BF39A6-9833-4EF0-9606-5CE746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uiPriority w:val="99"/>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B6001A"/>
    <w:rPr>
      <w:sz w:val="16"/>
      <w:szCs w:val="16"/>
    </w:rPr>
  </w:style>
  <w:style w:type="paragraph" w:styleId="CommentSubject">
    <w:name w:val="annotation subject"/>
    <w:basedOn w:val="CommentText"/>
    <w:next w:val="CommentText"/>
    <w:link w:val="CommentSubjectChar"/>
    <w:rsid w:val="00B6001A"/>
    <w:rPr>
      <w:rFonts w:ascii="Gill Sans MT" w:hAnsi="Gill Sans MT"/>
      <w:b/>
      <w:bCs/>
      <w:szCs w:val="20"/>
      <w:lang w:val="en-IE"/>
    </w:rPr>
  </w:style>
  <w:style w:type="character" w:customStyle="1" w:styleId="CommentSubjectChar">
    <w:name w:val="Comment Subject Char"/>
    <w:basedOn w:val="CommentTextChar"/>
    <w:link w:val="CommentSubject"/>
    <w:rsid w:val="00B6001A"/>
    <w:rPr>
      <w:rFonts w:ascii="Gill Sans MT" w:eastAsia="Times New Roman" w:hAnsi="Gill Sans MT"/>
      <w:b/>
      <w:bCs/>
      <w:szCs w:val="24"/>
      <w:lang w:eastAsia="en-US"/>
    </w:rPr>
  </w:style>
  <w:style w:type="paragraph" w:styleId="BalloonText">
    <w:name w:val="Balloon Text"/>
    <w:basedOn w:val="Normal"/>
    <w:link w:val="BalloonTextChar"/>
    <w:rsid w:val="00B6001A"/>
    <w:pPr>
      <w:spacing w:after="0"/>
    </w:pPr>
    <w:rPr>
      <w:rFonts w:ascii="Segoe UI" w:hAnsi="Segoe UI" w:cs="Segoe UI"/>
      <w:sz w:val="18"/>
      <w:szCs w:val="18"/>
    </w:rPr>
  </w:style>
  <w:style w:type="character" w:customStyle="1" w:styleId="BalloonTextChar">
    <w:name w:val="Balloon Text Char"/>
    <w:basedOn w:val="DefaultParagraphFont"/>
    <w:link w:val="BalloonText"/>
    <w:rsid w:val="00B6001A"/>
    <w:rPr>
      <w:rFonts w:ascii="Segoe UI" w:eastAsia="Times New Roman" w:hAnsi="Segoe UI" w:cs="Segoe UI"/>
      <w:sz w:val="18"/>
      <w:szCs w:val="18"/>
      <w:lang w:eastAsia="en-US"/>
    </w:rPr>
  </w:style>
  <w:style w:type="paragraph" w:customStyle="1" w:styleId="Default">
    <w:name w:val="Default"/>
    <w:rsid w:val="00AC6516"/>
    <w:pPr>
      <w:autoSpaceDE w:val="0"/>
      <w:autoSpaceDN w:val="0"/>
      <w:adjustRightInd w:val="0"/>
    </w:pPr>
    <w:rPr>
      <w:rFonts w:ascii="Gill Sans MT" w:hAnsi="Gill Sans MT" w:cs="Gill Sans MT"/>
      <w:color w:val="000000"/>
      <w:sz w:val="24"/>
      <w:szCs w:val="24"/>
    </w:rPr>
  </w:style>
  <w:style w:type="paragraph" w:styleId="ListParagraph">
    <w:name w:val="List Paragraph"/>
    <w:aliases w:val="Subtitle Cover Page"/>
    <w:basedOn w:val="Normal"/>
    <w:link w:val="ListParagraphChar"/>
    <w:uiPriority w:val="34"/>
    <w:qFormat/>
    <w:rsid w:val="00DC1C5B"/>
    <w:pPr>
      <w:spacing w:after="0"/>
      <w:ind w:left="720"/>
    </w:pPr>
    <w:rPr>
      <w:rFonts w:ascii="Calibri" w:eastAsiaTheme="minorHAnsi" w:hAnsi="Calibri" w:cs="Calibri"/>
      <w:sz w:val="22"/>
      <w:szCs w:val="22"/>
    </w:rPr>
  </w:style>
  <w:style w:type="paragraph" w:styleId="NormalWeb">
    <w:name w:val="Normal (Web)"/>
    <w:basedOn w:val="Normal"/>
    <w:uiPriority w:val="99"/>
    <w:unhideWhenUsed/>
    <w:rsid w:val="008D1D64"/>
    <w:pPr>
      <w:spacing w:before="100" w:beforeAutospacing="1" w:after="100" w:afterAutospacing="1"/>
    </w:pPr>
    <w:rPr>
      <w:rFonts w:ascii="Times New Roman" w:hAnsi="Times New Roman"/>
      <w:sz w:val="24"/>
      <w:lang w:eastAsia="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
    <w:link w:val="FootnoteText"/>
    <w:uiPriority w:val="99"/>
    <w:semiHidden/>
    <w:rsid w:val="008D1D64"/>
    <w:rPr>
      <w:rFonts w:ascii="Gill Sans MT" w:eastAsia="Times New Roman" w:hAnsi="Gill Sans MT"/>
      <w:sz w:val="22"/>
      <w:lang w:eastAsia="en-US"/>
    </w:rPr>
  </w:style>
  <w:style w:type="character" w:customStyle="1" w:styleId="contentpasted1">
    <w:name w:val="contentpasted1"/>
    <w:basedOn w:val="DefaultParagraphFont"/>
    <w:rsid w:val="009C56E1"/>
  </w:style>
  <w:style w:type="character" w:customStyle="1" w:styleId="ListParagraphChar">
    <w:name w:val="List Paragraph Char"/>
    <w:aliases w:val="Subtitle Cover Page Char"/>
    <w:basedOn w:val="DefaultParagraphFont"/>
    <w:link w:val="ListParagraph"/>
    <w:uiPriority w:val="34"/>
    <w:locked/>
    <w:rsid w:val="003666F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771">
      <w:bodyDiv w:val="1"/>
      <w:marLeft w:val="0"/>
      <w:marRight w:val="0"/>
      <w:marTop w:val="0"/>
      <w:marBottom w:val="0"/>
      <w:divBdr>
        <w:top w:val="none" w:sz="0" w:space="0" w:color="auto"/>
        <w:left w:val="none" w:sz="0" w:space="0" w:color="auto"/>
        <w:bottom w:val="none" w:sz="0" w:space="0" w:color="auto"/>
        <w:right w:val="none" w:sz="0" w:space="0" w:color="auto"/>
      </w:divBdr>
    </w:div>
    <w:div w:id="38868621">
      <w:bodyDiv w:val="1"/>
      <w:marLeft w:val="0"/>
      <w:marRight w:val="0"/>
      <w:marTop w:val="0"/>
      <w:marBottom w:val="0"/>
      <w:divBdr>
        <w:top w:val="none" w:sz="0" w:space="0" w:color="auto"/>
        <w:left w:val="none" w:sz="0" w:space="0" w:color="auto"/>
        <w:bottom w:val="none" w:sz="0" w:space="0" w:color="auto"/>
        <w:right w:val="none" w:sz="0" w:space="0" w:color="auto"/>
      </w:divBdr>
    </w:div>
    <w:div w:id="41055258">
      <w:bodyDiv w:val="1"/>
      <w:marLeft w:val="0"/>
      <w:marRight w:val="0"/>
      <w:marTop w:val="0"/>
      <w:marBottom w:val="0"/>
      <w:divBdr>
        <w:top w:val="none" w:sz="0" w:space="0" w:color="auto"/>
        <w:left w:val="none" w:sz="0" w:space="0" w:color="auto"/>
        <w:bottom w:val="none" w:sz="0" w:space="0" w:color="auto"/>
        <w:right w:val="none" w:sz="0" w:space="0" w:color="auto"/>
      </w:divBdr>
      <w:divsChild>
        <w:div w:id="1009059106">
          <w:marLeft w:val="0"/>
          <w:marRight w:val="0"/>
          <w:marTop w:val="0"/>
          <w:marBottom w:val="0"/>
          <w:divBdr>
            <w:top w:val="none" w:sz="0" w:space="0" w:color="auto"/>
            <w:left w:val="none" w:sz="0" w:space="0" w:color="auto"/>
            <w:bottom w:val="none" w:sz="0" w:space="0" w:color="auto"/>
            <w:right w:val="none" w:sz="0" w:space="0" w:color="auto"/>
          </w:divBdr>
          <w:divsChild>
            <w:div w:id="1393655054">
              <w:marLeft w:val="0"/>
              <w:marRight w:val="0"/>
              <w:marTop w:val="0"/>
              <w:marBottom w:val="0"/>
              <w:divBdr>
                <w:top w:val="none" w:sz="0" w:space="0" w:color="auto"/>
                <w:left w:val="none" w:sz="0" w:space="0" w:color="auto"/>
                <w:bottom w:val="none" w:sz="0" w:space="0" w:color="auto"/>
                <w:right w:val="none" w:sz="0" w:space="0" w:color="auto"/>
              </w:divBdr>
              <w:divsChild>
                <w:div w:id="1021277201">
                  <w:marLeft w:val="0"/>
                  <w:marRight w:val="0"/>
                  <w:marTop w:val="0"/>
                  <w:marBottom w:val="0"/>
                  <w:divBdr>
                    <w:top w:val="none" w:sz="0" w:space="0" w:color="auto"/>
                    <w:left w:val="none" w:sz="0" w:space="0" w:color="auto"/>
                    <w:bottom w:val="none" w:sz="0" w:space="0" w:color="auto"/>
                    <w:right w:val="none" w:sz="0" w:space="0" w:color="auto"/>
                  </w:divBdr>
                  <w:divsChild>
                    <w:div w:id="14346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1396">
      <w:bodyDiv w:val="1"/>
      <w:marLeft w:val="0"/>
      <w:marRight w:val="0"/>
      <w:marTop w:val="0"/>
      <w:marBottom w:val="0"/>
      <w:divBdr>
        <w:top w:val="none" w:sz="0" w:space="0" w:color="auto"/>
        <w:left w:val="none" w:sz="0" w:space="0" w:color="auto"/>
        <w:bottom w:val="none" w:sz="0" w:space="0" w:color="auto"/>
        <w:right w:val="none" w:sz="0" w:space="0" w:color="auto"/>
      </w:divBdr>
    </w:div>
    <w:div w:id="80025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7396">
          <w:marLeft w:val="0"/>
          <w:marRight w:val="0"/>
          <w:marTop w:val="0"/>
          <w:marBottom w:val="0"/>
          <w:divBdr>
            <w:top w:val="none" w:sz="0" w:space="0" w:color="auto"/>
            <w:left w:val="none" w:sz="0" w:space="0" w:color="auto"/>
            <w:bottom w:val="none" w:sz="0" w:space="0" w:color="auto"/>
            <w:right w:val="none" w:sz="0" w:space="0" w:color="auto"/>
          </w:divBdr>
          <w:divsChild>
            <w:div w:id="1639991013">
              <w:marLeft w:val="0"/>
              <w:marRight w:val="0"/>
              <w:marTop w:val="0"/>
              <w:marBottom w:val="0"/>
              <w:divBdr>
                <w:top w:val="none" w:sz="0" w:space="0" w:color="auto"/>
                <w:left w:val="none" w:sz="0" w:space="0" w:color="auto"/>
                <w:bottom w:val="none" w:sz="0" w:space="0" w:color="auto"/>
                <w:right w:val="none" w:sz="0" w:space="0" w:color="auto"/>
              </w:divBdr>
              <w:divsChild>
                <w:div w:id="2127264475">
                  <w:marLeft w:val="0"/>
                  <w:marRight w:val="0"/>
                  <w:marTop w:val="0"/>
                  <w:marBottom w:val="0"/>
                  <w:divBdr>
                    <w:top w:val="none" w:sz="0" w:space="0" w:color="auto"/>
                    <w:left w:val="none" w:sz="0" w:space="0" w:color="auto"/>
                    <w:bottom w:val="none" w:sz="0" w:space="0" w:color="auto"/>
                    <w:right w:val="none" w:sz="0" w:space="0" w:color="auto"/>
                  </w:divBdr>
                  <w:divsChild>
                    <w:div w:id="8264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3232">
      <w:bodyDiv w:val="1"/>
      <w:marLeft w:val="0"/>
      <w:marRight w:val="0"/>
      <w:marTop w:val="0"/>
      <w:marBottom w:val="0"/>
      <w:divBdr>
        <w:top w:val="none" w:sz="0" w:space="0" w:color="auto"/>
        <w:left w:val="none" w:sz="0" w:space="0" w:color="auto"/>
        <w:bottom w:val="none" w:sz="0" w:space="0" w:color="auto"/>
        <w:right w:val="none" w:sz="0" w:space="0" w:color="auto"/>
      </w:divBdr>
    </w:div>
    <w:div w:id="237638465">
      <w:bodyDiv w:val="1"/>
      <w:marLeft w:val="0"/>
      <w:marRight w:val="0"/>
      <w:marTop w:val="0"/>
      <w:marBottom w:val="0"/>
      <w:divBdr>
        <w:top w:val="none" w:sz="0" w:space="0" w:color="auto"/>
        <w:left w:val="none" w:sz="0" w:space="0" w:color="auto"/>
        <w:bottom w:val="none" w:sz="0" w:space="0" w:color="auto"/>
        <w:right w:val="none" w:sz="0" w:space="0" w:color="auto"/>
      </w:divBdr>
    </w:div>
    <w:div w:id="509492859">
      <w:bodyDiv w:val="1"/>
      <w:marLeft w:val="0"/>
      <w:marRight w:val="0"/>
      <w:marTop w:val="0"/>
      <w:marBottom w:val="0"/>
      <w:divBdr>
        <w:top w:val="none" w:sz="0" w:space="0" w:color="auto"/>
        <w:left w:val="none" w:sz="0" w:space="0" w:color="auto"/>
        <w:bottom w:val="none" w:sz="0" w:space="0" w:color="auto"/>
        <w:right w:val="none" w:sz="0" w:space="0" w:color="auto"/>
      </w:divBdr>
    </w:div>
    <w:div w:id="934902943">
      <w:bodyDiv w:val="1"/>
      <w:marLeft w:val="0"/>
      <w:marRight w:val="0"/>
      <w:marTop w:val="0"/>
      <w:marBottom w:val="0"/>
      <w:divBdr>
        <w:top w:val="none" w:sz="0" w:space="0" w:color="auto"/>
        <w:left w:val="none" w:sz="0" w:space="0" w:color="auto"/>
        <w:bottom w:val="none" w:sz="0" w:space="0" w:color="auto"/>
        <w:right w:val="none" w:sz="0" w:space="0" w:color="auto"/>
      </w:divBdr>
      <w:divsChild>
        <w:div w:id="184489580">
          <w:marLeft w:val="0"/>
          <w:marRight w:val="0"/>
          <w:marTop w:val="0"/>
          <w:marBottom w:val="0"/>
          <w:divBdr>
            <w:top w:val="none" w:sz="0" w:space="0" w:color="auto"/>
            <w:left w:val="none" w:sz="0" w:space="0" w:color="auto"/>
            <w:bottom w:val="none" w:sz="0" w:space="0" w:color="auto"/>
            <w:right w:val="none" w:sz="0" w:space="0" w:color="auto"/>
          </w:divBdr>
          <w:divsChild>
            <w:div w:id="81605159">
              <w:marLeft w:val="0"/>
              <w:marRight w:val="0"/>
              <w:marTop w:val="0"/>
              <w:marBottom w:val="0"/>
              <w:divBdr>
                <w:top w:val="none" w:sz="0" w:space="0" w:color="auto"/>
                <w:left w:val="none" w:sz="0" w:space="0" w:color="auto"/>
                <w:bottom w:val="none" w:sz="0" w:space="0" w:color="auto"/>
                <w:right w:val="none" w:sz="0" w:space="0" w:color="auto"/>
              </w:divBdr>
              <w:divsChild>
                <w:div w:id="88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277">
      <w:bodyDiv w:val="1"/>
      <w:marLeft w:val="0"/>
      <w:marRight w:val="0"/>
      <w:marTop w:val="0"/>
      <w:marBottom w:val="0"/>
      <w:divBdr>
        <w:top w:val="none" w:sz="0" w:space="0" w:color="auto"/>
        <w:left w:val="none" w:sz="0" w:space="0" w:color="auto"/>
        <w:bottom w:val="none" w:sz="0" w:space="0" w:color="auto"/>
        <w:right w:val="none" w:sz="0" w:space="0" w:color="auto"/>
      </w:divBdr>
    </w:div>
    <w:div w:id="1253856202">
      <w:bodyDiv w:val="1"/>
      <w:marLeft w:val="0"/>
      <w:marRight w:val="0"/>
      <w:marTop w:val="0"/>
      <w:marBottom w:val="0"/>
      <w:divBdr>
        <w:top w:val="none" w:sz="0" w:space="0" w:color="auto"/>
        <w:left w:val="none" w:sz="0" w:space="0" w:color="auto"/>
        <w:bottom w:val="none" w:sz="0" w:space="0" w:color="auto"/>
        <w:right w:val="none" w:sz="0" w:space="0" w:color="auto"/>
      </w:divBdr>
    </w:div>
    <w:div w:id="1333604157">
      <w:bodyDiv w:val="1"/>
      <w:marLeft w:val="0"/>
      <w:marRight w:val="0"/>
      <w:marTop w:val="0"/>
      <w:marBottom w:val="0"/>
      <w:divBdr>
        <w:top w:val="none" w:sz="0" w:space="0" w:color="auto"/>
        <w:left w:val="none" w:sz="0" w:space="0" w:color="auto"/>
        <w:bottom w:val="none" w:sz="0" w:space="0" w:color="auto"/>
        <w:right w:val="none" w:sz="0" w:space="0" w:color="auto"/>
      </w:divBdr>
    </w:div>
    <w:div w:id="1421293659">
      <w:bodyDiv w:val="1"/>
      <w:marLeft w:val="0"/>
      <w:marRight w:val="0"/>
      <w:marTop w:val="0"/>
      <w:marBottom w:val="0"/>
      <w:divBdr>
        <w:top w:val="none" w:sz="0" w:space="0" w:color="auto"/>
        <w:left w:val="none" w:sz="0" w:space="0" w:color="auto"/>
        <w:bottom w:val="none" w:sz="0" w:space="0" w:color="auto"/>
        <w:right w:val="none" w:sz="0" w:space="0" w:color="auto"/>
      </w:divBdr>
    </w:div>
    <w:div w:id="1479305683">
      <w:bodyDiv w:val="1"/>
      <w:marLeft w:val="0"/>
      <w:marRight w:val="0"/>
      <w:marTop w:val="0"/>
      <w:marBottom w:val="0"/>
      <w:divBdr>
        <w:top w:val="none" w:sz="0" w:space="0" w:color="auto"/>
        <w:left w:val="none" w:sz="0" w:space="0" w:color="auto"/>
        <w:bottom w:val="none" w:sz="0" w:space="0" w:color="auto"/>
        <w:right w:val="none" w:sz="0" w:space="0" w:color="auto"/>
      </w:divBdr>
    </w:div>
    <w:div w:id="1505124050">
      <w:bodyDiv w:val="1"/>
      <w:marLeft w:val="0"/>
      <w:marRight w:val="0"/>
      <w:marTop w:val="0"/>
      <w:marBottom w:val="0"/>
      <w:divBdr>
        <w:top w:val="none" w:sz="0" w:space="0" w:color="auto"/>
        <w:left w:val="none" w:sz="0" w:space="0" w:color="auto"/>
        <w:bottom w:val="none" w:sz="0" w:space="0" w:color="auto"/>
        <w:right w:val="none" w:sz="0" w:space="0" w:color="auto"/>
      </w:divBdr>
    </w:div>
    <w:div w:id="1561332076">
      <w:bodyDiv w:val="1"/>
      <w:marLeft w:val="0"/>
      <w:marRight w:val="0"/>
      <w:marTop w:val="0"/>
      <w:marBottom w:val="0"/>
      <w:divBdr>
        <w:top w:val="none" w:sz="0" w:space="0" w:color="auto"/>
        <w:left w:val="none" w:sz="0" w:space="0" w:color="auto"/>
        <w:bottom w:val="none" w:sz="0" w:space="0" w:color="auto"/>
        <w:right w:val="none" w:sz="0" w:space="0" w:color="auto"/>
      </w:divBdr>
    </w:div>
    <w:div w:id="1600020383">
      <w:bodyDiv w:val="1"/>
      <w:marLeft w:val="0"/>
      <w:marRight w:val="0"/>
      <w:marTop w:val="0"/>
      <w:marBottom w:val="0"/>
      <w:divBdr>
        <w:top w:val="none" w:sz="0" w:space="0" w:color="auto"/>
        <w:left w:val="none" w:sz="0" w:space="0" w:color="auto"/>
        <w:bottom w:val="none" w:sz="0" w:space="0" w:color="auto"/>
        <w:right w:val="none" w:sz="0" w:space="0" w:color="auto"/>
      </w:divBdr>
    </w:div>
    <w:div w:id="18654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publications/monitoring-report-eu-wad-ireland-2021-nda-report" TargetMode="External"/><Relationship Id="rId5" Type="http://schemas.openxmlformats.org/officeDocument/2006/relationships/webSettings" Target="webSettings.xml"/><Relationship Id="rId10" Type="http://schemas.openxmlformats.org/officeDocument/2006/relationships/hyperlink" Target="https://nda.ie/monitoring/eu-web-accessibility-directive/accessibility-statements" TargetMode="External"/><Relationship Id="rId4" Type="http://schemas.openxmlformats.org/officeDocument/2006/relationships/settings" Target="settings.xml"/><Relationship Id="rId9" Type="http://schemas.openxmlformats.org/officeDocument/2006/relationships/hyperlink" Target="https://nda.ie/monitoring/eu-web-accessibility-directive/eu-web-accessibility-directive-monitoring-repor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da.ie/publications/nda-advice-paper-on-disability-language-and-terminology" TargetMode="External"/><Relationship Id="rId3" Type="http://schemas.openxmlformats.org/officeDocument/2006/relationships/hyperlink" Target="https://www.citizensinformation.ie/en/health/health-services/gp-and-hospital-services/gp-services-to-medical-card-holders/" TargetMode="External"/><Relationship Id="rId7" Type="http://schemas.openxmlformats.org/officeDocument/2006/relationships/hyperlink" Target="https://nda.ie/publications/participation-matters-guidelines-on-implementing-the-obligation-to-meaningfully-engage-with-disabled-people-in-public-decision-making" TargetMode="External"/><Relationship Id="rId2" Type="http://schemas.openxmlformats.org/officeDocument/2006/relationships/hyperlink" Target="https://www.oireachtas.ie/en/debates/debate/joint_committee_on_social_protection_community_and_rural_development_and_the_islands/2022-11-09/2/" TargetMode="External"/><Relationship Id="rId1" Type="http://schemas.openxmlformats.org/officeDocument/2006/relationships/hyperlink" Target="https://www.gov.ie/en/consultation/7ddab-public-consultation-on-the-new-social-welfare-appeals-regulations/" TargetMode="External"/><Relationship Id="rId6" Type="http://schemas.openxmlformats.org/officeDocument/2006/relationships/hyperlink" Target="https://nda.ie/publications/monitoring-report-eu-wad-ireland-2021-nda-report" TargetMode="External"/><Relationship Id="rId5" Type="http://schemas.openxmlformats.org/officeDocument/2006/relationships/hyperlink" Target="https://universaldesign.ie/products-services/customer-communications-toolkit-for-services-to-the-public-a-universal-design-approach/" TargetMode="External"/><Relationship Id="rId4" Type="http://schemas.openxmlformats.org/officeDocument/2006/relationships/hyperlink" Target="https://www.gov.ie/en/publication/888e0f-social-welfare-appeals-office-annual-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59DB-8897-4DF0-A2A0-ABA570A7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1588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Rosalyn Tamming (NDA)</cp:lastModifiedBy>
  <cp:revision>2</cp:revision>
  <cp:lastPrinted>2023-05-25T14:29:00Z</cp:lastPrinted>
  <dcterms:created xsi:type="dcterms:W3CDTF">2023-08-14T09:08:00Z</dcterms:created>
  <dcterms:modified xsi:type="dcterms:W3CDTF">2023-08-14T09:08:00Z</dcterms:modified>
</cp:coreProperties>
</file>