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54" w:rsidRDefault="00660202">
      <w:r>
        <w:t>06 January 2022</w:t>
      </w:r>
      <w:bookmarkStart w:id="0" w:name="_GoBack"/>
      <w:bookmarkEnd w:id="0"/>
    </w:p>
    <w:p w:rsidR="00B74954" w:rsidRDefault="004A75E7">
      <w:pPr>
        <w:pStyle w:val="Address"/>
      </w:pPr>
      <w:r>
        <w:t>Áine Flynn,</w:t>
      </w:r>
    </w:p>
    <w:p w:rsidR="004A75E7" w:rsidRDefault="004A75E7">
      <w:pPr>
        <w:pStyle w:val="Address"/>
      </w:pPr>
      <w:r>
        <w:t>Director,</w:t>
      </w:r>
    </w:p>
    <w:p w:rsidR="004A75E7" w:rsidRDefault="004A75E7">
      <w:pPr>
        <w:pStyle w:val="Address"/>
      </w:pPr>
      <w:r>
        <w:t>Decision Support Service,</w:t>
      </w:r>
    </w:p>
    <w:p w:rsidR="004A75E7" w:rsidRDefault="004A75E7">
      <w:pPr>
        <w:pStyle w:val="Address"/>
      </w:pPr>
      <w:r>
        <w:t>Waterloo Road,</w:t>
      </w:r>
    </w:p>
    <w:p w:rsidR="004A75E7" w:rsidRDefault="004A75E7">
      <w:pPr>
        <w:pStyle w:val="Address"/>
      </w:pPr>
      <w:r>
        <w:t>Dublin 4.</w:t>
      </w:r>
    </w:p>
    <w:p w:rsidR="00B74954" w:rsidRDefault="00B74954" w:rsidP="005A34E1">
      <w:pPr>
        <w:pStyle w:val="Heading1"/>
      </w:pPr>
      <w:r>
        <w:t xml:space="preserve">Subject: </w:t>
      </w:r>
      <w:r w:rsidR="004A75E7">
        <w:t>NDA Submission to the Public Consultation on six Codes of Practice under the Assisted Decision-Making (Capacity) Act 2015</w:t>
      </w:r>
    </w:p>
    <w:p w:rsidR="004A75E7" w:rsidRDefault="00B77EC5" w:rsidP="004A75E7">
      <w:r>
        <w:t>Dear Áine,</w:t>
      </w:r>
    </w:p>
    <w:p w:rsidR="00A271B3" w:rsidRDefault="00B77EC5" w:rsidP="004A75E7">
      <w:r>
        <w:t xml:space="preserve">We were delighted to see the first tranche of Codes of Practice </w:t>
      </w:r>
      <w:r w:rsidR="006F30BA">
        <w:t xml:space="preserve">in relation to the Assisted Decision-Making (Capacity) Act 2015 </w:t>
      </w:r>
      <w:r>
        <w:t>progress to public consultation stage.</w:t>
      </w:r>
      <w:r w:rsidR="004F1F69">
        <w:t xml:space="preserve"> </w:t>
      </w:r>
      <w:r>
        <w:t xml:space="preserve">Given our involvement in their </w:t>
      </w:r>
      <w:r w:rsidR="00366E7B">
        <w:t xml:space="preserve">initial </w:t>
      </w:r>
      <w:r>
        <w:t xml:space="preserve">drafting, the NDA </w:t>
      </w:r>
      <w:r w:rsidR="00366E7B">
        <w:t xml:space="preserve">offers this brief letter outlining a number of points that we suggest may merit further consideration, rather than a formal submission through the consultation process. </w:t>
      </w:r>
      <w:r>
        <w:t>We were very pleased to see that many of the headings,</w:t>
      </w:r>
      <w:r w:rsidR="00A442CD">
        <w:t xml:space="preserve"> several vignettes</w:t>
      </w:r>
      <w:r>
        <w:t xml:space="preserve"> and much of the original text</w:t>
      </w:r>
      <w:r w:rsidR="00366E7B">
        <w:t xml:space="preserve"> set out in the draft Codes we provided</w:t>
      </w:r>
      <w:r>
        <w:t xml:space="preserve">, </w:t>
      </w:r>
      <w:r w:rsidR="00A271B3">
        <w:t xml:space="preserve">have </w:t>
      </w:r>
      <w:r w:rsidR="00A442CD">
        <w:t xml:space="preserve">all </w:t>
      </w:r>
      <w:r w:rsidR="00A271B3">
        <w:t>been</w:t>
      </w:r>
      <w:r>
        <w:t xml:space="preserve"> retained</w:t>
      </w:r>
      <w:r w:rsidR="00A271B3">
        <w:t xml:space="preserve">, especially given the thorough process carried out with experts and other stakeholders in respect of the </w:t>
      </w:r>
      <w:r w:rsidR="007916F9">
        <w:t xml:space="preserve">proposed </w:t>
      </w:r>
      <w:r w:rsidR="00A271B3">
        <w:t>language used in the draft Codes of Practice</w:t>
      </w:r>
      <w:r>
        <w:t xml:space="preserve">. </w:t>
      </w:r>
      <w:r w:rsidR="00A271B3">
        <w:t xml:space="preserve">We also note that several </w:t>
      </w:r>
      <w:r w:rsidR="00366E7B">
        <w:t>issues</w:t>
      </w:r>
      <w:r w:rsidR="00A271B3">
        <w:t>, gaps or sticking points that we had flagged in accompanying cover letters to the DSS have been give</w:t>
      </w:r>
      <w:r w:rsidR="00366E7B">
        <w:t>n</w:t>
      </w:r>
      <w:r w:rsidR="00A271B3">
        <w:t xml:space="preserve"> due regard in the Codes. Following our reading of the Codes, we </w:t>
      </w:r>
      <w:r w:rsidR="00366E7B">
        <w:t>outline</w:t>
      </w:r>
      <w:r w:rsidR="00A271B3">
        <w:t xml:space="preserve"> some </w:t>
      </w:r>
      <w:r w:rsidR="00366E7B">
        <w:t xml:space="preserve">further </w:t>
      </w:r>
      <w:r w:rsidR="00A271B3">
        <w:t>considerations below</w:t>
      </w:r>
      <w:r w:rsidR="007916F9">
        <w:t>, focusing on the Code of Practice on Supporting Decision-Making and Assessing Capacity, Code of Practice for Financial Professionals and Code of Practice for Legal Professionals.</w:t>
      </w:r>
    </w:p>
    <w:p w:rsidR="00B77EC5" w:rsidRDefault="00A271B3" w:rsidP="004A75E7">
      <w:r>
        <w:rPr>
          <w:b/>
        </w:rPr>
        <w:t>Code of Practice on Supporting Decision-Making and Assessing Capacity</w:t>
      </w:r>
      <w:r w:rsidR="00B77EC5">
        <w:t xml:space="preserve">  </w:t>
      </w:r>
    </w:p>
    <w:p w:rsidR="00D8293D" w:rsidRDefault="00D8293D" w:rsidP="00D8293D">
      <w:pPr>
        <w:pStyle w:val="ListBullet"/>
      </w:pPr>
      <w:r>
        <w:t>Section 2.8.2 states, where will and preferences cannot be ascertained</w:t>
      </w:r>
      <w:r w:rsidR="00D02651">
        <w:t>,</w:t>
      </w:r>
      <w:r>
        <w:t xml:space="preserve"> “the best interpretation of will and preferences of the relevant person should be made”. </w:t>
      </w:r>
      <w:r w:rsidR="00366E7B">
        <w:t>The NDA advises that</w:t>
      </w:r>
      <w:r w:rsidR="00D02651">
        <w:t xml:space="preserve"> this guidance should be attributed to the </w:t>
      </w:r>
      <w:r>
        <w:t>CRPD General Comment No</w:t>
      </w:r>
      <w:r w:rsidR="00D02651">
        <w:t>.</w:t>
      </w:r>
      <w:r>
        <w:t xml:space="preserve"> 1, Section 20</w:t>
      </w:r>
      <w:r w:rsidR="00D02651">
        <w:t xml:space="preserve">, in order to lend it </w:t>
      </w:r>
      <w:r w:rsidR="00366E7B">
        <w:t>further support</w:t>
      </w:r>
      <w:r w:rsidR="00D02651">
        <w:t>.</w:t>
      </w:r>
    </w:p>
    <w:p w:rsidR="00D8293D" w:rsidRDefault="00D8293D" w:rsidP="00D8293D">
      <w:pPr>
        <w:pStyle w:val="ListBullet"/>
      </w:pPr>
      <w:r>
        <w:lastRenderedPageBreak/>
        <w:t>A vignette showing good practice in Section 3 (</w:t>
      </w:r>
      <w:r w:rsidR="00D02651">
        <w:t>how to support</w:t>
      </w:r>
      <w:r>
        <w:t xml:space="preserve"> decision</w:t>
      </w:r>
      <w:r w:rsidR="007916F9">
        <w:t>-</w:t>
      </w:r>
      <w:r>
        <w:t>making)</w:t>
      </w:r>
      <w:r w:rsidR="00D02651">
        <w:t xml:space="preserve"> was included in the NDA draft Code of Practice, but does not appear in the DSS Code. We believe this vignette was useful in</w:t>
      </w:r>
      <w:r>
        <w:t xml:space="preserve"> rounding up all the guidance contained in that section</w:t>
      </w:r>
      <w:r w:rsidR="00D02651">
        <w:t xml:space="preserve"> and giving it a practical context, and </w:t>
      </w:r>
      <w:r w:rsidR="007916F9">
        <w:t xml:space="preserve">we </w:t>
      </w:r>
      <w:r w:rsidR="00362CC9">
        <w:t xml:space="preserve">suggest </w:t>
      </w:r>
      <w:r w:rsidR="00D02651">
        <w:t>that it (or a similar vignette) be re-inserted.</w:t>
      </w:r>
      <w:r w:rsidR="00366E7B">
        <w:t xml:space="preserve"> Our work on the draft Codes indicates that </w:t>
      </w:r>
      <w:r w:rsidR="00362CC9">
        <w:t>those</w:t>
      </w:r>
      <w:r w:rsidR="00366E7B">
        <w:t xml:space="preserve"> who will be required to implement the Assisted Decision-Making legislation following its commencement, welcome practical examples of how the Act will impact on the real-world situations they are likely to encounter, and </w:t>
      </w:r>
      <w:r w:rsidR="00362CC9">
        <w:t>the vignettes offer an easily accessible way to outline same.</w:t>
      </w:r>
      <w:r w:rsidR="00D02651">
        <w:t xml:space="preserve"> </w:t>
      </w:r>
    </w:p>
    <w:p w:rsidR="00D8293D" w:rsidRDefault="00D8293D" w:rsidP="007916F9">
      <w:pPr>
        <w:pStyle w:val="ListBullet"/>
      </w:pPr>
      <w:r>
        <w:t xml:space="preserve">Section 6 of NDA </w:t>
      </w:r>
      <w:r w:rsidR="00D02651">
        <w:t xml:space="preserve">draft </w:t>
      </w:r>
      <w:r>
        <w:t>Code</w:t>
      </w:r>
      <w:r w:rsidR="00D02651">
        <w:t xml:space="preserve"> of Practice</w:t>
      </w:r>
      <w:r>
        <w:t xml:space="preserve"> contain</w:t>
      </w:r>
      <w:r w:rsidR="00D02651">
        <w:t xml:space="preserve">ed a short ‘FAQ’ style section, outlining </w:t>
      </w:r>
      <w:r>
        <w:t xml:space="preserve">practical issues that may arise. These are </w:t>
      </w:r>
      <w:r w:rsidR="00D02651">
        <w:t>issues</w:t>
      </w:r>
      <w:r>
        <w:t xml:space="preserve"> that our expert group had</w:t>
      </w:r>
      <w:r w:rsidR="00D02651">
        <w:t xml:space="preserve"> identified, or issues they suggested relevant persons or decision-making supporters may have. </w:t>
      </w:r>
      <w:r>
        <w:t xml:space="preserve">We suggest </w:t>
      </w:r>
      <w:r w:rsidR="00D02651">
        <w:t xml:space="preserve">including this section in the Code of Practice, or developing a wider FAQ </w:t>
      </w:r>
      <w:r>
        <w:t>document</w:t>
      </w:r>
      <w:r w:rsidR="00362CC9">
        <w:t>, again to ensure this Code, and the others drafted, can be of immediate practical use to all relevant stakeholders</w:t>
      </w:r>
      <w:r w:rsidR="00D02651">
        <w:t>.</w:t>
      </w:r>
    </w:p>
    <w:p w:rsidR="00197272" w:rsidRDefault="00366E7B" w:rsidP="00197272">
      <w:pPr>
        <w:pStyle w:val="ListBullet"/>
      </w:pPr>
      <w:r>
        <w:t>In the Glossary, we advise that ‘another person’ should be included in t</w:t>
      </w:r>
      <w:r w:rsidR="00197272">
        <w:t xml:space="preserve">he definition of ‘intervener’. </w:t>
      </w:r>
    </w:p>
    <w:p w:rsidR="00366E7B" w:rsidRDefault="00366E7B" w:rsidP="00197272">
      <w:pPr>
        <w:pStyle w:val="ListBullet"/>
      </w:pPr>
      <w:r>
        <w:t>The list of experts contained in the section entitled ‘Acknowledgements’ requires some updating. We have attached the correct list in an appendix to this letter.</w:t>
      </w:r>
    </w:p>
    <w:p w:rsidR="00D8293D" w:rsidRPr="00A271B3" w:rsidRDefault="00D8293D" w:rsidP="00D8293D">
      <w:pPr>
        <w:pStyle w:val="ListBullet"/>
        <w:numPr>
          <w:ilvl w:val="0"/>
          <w:numId w:val="0"/>
        </w:numPr>
        <w:rPr>
          <w:b/>
        </w:rPr>
      </w:pPr>
      <w:r w:rsidRPr="00A271B3">
        <w:rPr>
          <w:b/>
        </w:rPr>
        <w:t xml:space="preserve">Code </w:t>
      </w:r>
      <w:r w:rsidR="00A271B3" w:rsidRPr="00A271B3">
        <w:rPr>
          <w:b/>
        </w:rPr>
        <w:t xml:space="preserve">of Practice </w:t>
      </w:r>
      <w:r w:rsidRPr="00A271B3">
        <w:rPr>
          <w:b/>
        </w:rPr>
        <w:t xml:space="preserve">for </w:t>
      </w:r>
      <w:r w:rsidR="00A271B3">
        <w:rPr>
          <w:b/>
        </w:rPr>
        <w:t>F</w:t>
      </w:r>
      <w:r w:rsidRPr="00A271B3">
        <w:rPr>
          <w:b/>
        </w:rPr>
        <w:t>inancial</w:t>
      </w:r>
      <w:r w:rsidR="00A271B3">
        <w:rPr>
          <w:b/>
        </w:rPr>
        <w:t xml:space="preserve"> P</w:t>
      </w:r>
      <w:r w:rsidRPr="00A271B3">
        <w:rPr>
          <w:b/>
        </w:rPr>
        <w:t>rofessionals</w:t>
      </w:r>
    </w:p>
    <w:p w:rsidR="00A271B3" w:rsidRDefault="00A271B3" w:rsidP="00A271B3">
      <w:pPr>
        <w:pStyle w:val="ListBullet"/>
      </w:pPr>
      <w:r>
        <w:t>While the Technical Experts Group provided advice and guidance on this draft Code, the bulk of the writing was carried out by a Writing Group, which is not acknowledged in the DSS Code. A list of members of the Writing Group has been included in the appendix to this letter.</w:t>
      </w:r>
      <w:r w:rsidR="00362CC9">
        <w:t xml:space="preserve"> A similar approach was adopted in the case of the Code of Practice for Legal Professionals (see further below).</w:t>
      </w:r>
    </w:p>
    <w:p w:rsidR="00D8293D" w:rsidRDefault="00D8293D" w:rsidP="00D8293D">
      <w:pPr>
        <w:pStyle w:val="ListBullet"/>
      </w:pPr>
      <w:r>
        <w:t>From the outset, members of</w:t>
      </w:r>
      <w:r w:rsidR="00854748">
        <w:t xml:space="preserve"> both</w:t>
      </w:r>
      <w:r>
        <w:t xml:space="preserve"> Writing Groups </w:t>
      </w:r>
      <w:r w:rsidR="009D7F3D">
        <w:t xml:space="preserve">strongly advised </w:t>
      </w:r>
      <w:r>
        <w:t>that repetition of some main points</w:t>
      </w:r>
      <w:r w:rsidR="00854748">
        <w:t xml:space="preserve"> of the legislation</w:t>
      </w:r>
      <w:r>
        <w:t xml:space="preserve"> should appear in all Codes. This includes </w:t>
      </w:r>
      <w:r w:rsidR="00362CC9">
        <w:t xml:space="preserve">material on </w:t>
      </w:r>
      <w:r>
        <w:t xml:space="preserve">the guiding principles, </w:t>
      </w:r>
      <w:r w:rsidR="00854748">
        <w:t xml:space="preserve">guidance on </w:t>
      </w:r>
      <w:r>
        <w:t xml:space="preserve">how to support a person, how and when to assess capacity, and an outline of the </w:t>
      </w:r>
      <w:r w:rsidR="00854748">
        <w:t xml:space="preserve">five decision-making </w:t>
      </w:r>
      <w:r>
        <w:t>supporters.</w:t>
      </w:r>
      <w:r w:rsidR="004F1F69">
        <w:t xml:space="preserve"> </w:t>
      </w:r>
      <w:r>
        <w:t xml:space="preserve">They noted that their </w:t>
      </w:r>
      <w:r w:rsidR="00854748">
        <w:t>colleagues</w:t>
      </w:r>
      <w:r>
        <w:t xml:space="preserve"> </w:t>
      </w:r>
      <w:r w:rsidR="00362CC9">
        <w:t>working in the relevant field</w:t>
      </w:r>
      <w:r w:rsidR="00197272">
        <w:t>s</w:t>
      </w:r>
      <w:r w:rsidR="00362CC9">
        <w:t xml:space="preserve"> </w:t>
      </w:r>
      <w:r>
        <w:t xml:space="preserve">would be much more inclined to read one longer comprehensive code than have to </w:t>
      </w:r>
      <w:r w:rsidR="00D3577D">
        <w:t xml:space="preserve">find and </w:t>
      </w:r>
      <w:r>
        <w:t xml:space="preserve">read </w:t>
      </w:r>
      <w:r w:rsidR="00854748">
        <w:t>two</w:t>
      </w:r>
      <w:r>
        <w:t xml:space="preserve"> or more Codes</w:t>
      </w:r>
      <w:r w:rsidR="00854748">
        <w:t xml:space="preserve">. </w:t>
      </w:r>
      <w:r w:rsidR="004F1F69">
        <w:t xml:space="preserve">In one section of the DSS Codes for legal and financial professionals, the reader is advised to find and read five other Codes, to learn about the decision-making supporters. </w:t>
      </w:r>
      <w:r w:rsidR="00854748">
        <w:t>The NDA is aware that information on all the points mentioned above appear in various Codes, but advise that they also be included – perhaps as an appendix – in the two Codes</w:t>
      </w:r>
      <w:r w:rsidR="00362CC9">
        <w:t xml:space="preserve"> relevant to these professional areas</w:t>
      </w:r>
      <w:r w:rsidR="00854748">
        <w:t>, rather than referring to other Codes.</w:t>
      </w:r>
    </w:p>
    <w:p w:rsidR="00D3577D" w:rsidRDefault="00D3577D" w:rsidP="00DF24A2">
      <w:pPr>
        <w:pStyle w:val="ListBullet"/>
      </w:pPr>
      <w:r>
        <w:t xml:space="preserve">In the same vein, both Codes, as currently written, assume the reader has prior knowledge/experience of the legislation. This will not be the case for the majority </w:t>
      </w:r>
      <w:r>
        <w:lastRenderedPageBreak/>
        <w:t xml:space="preserve">of readers, especially in the financial services sector. The Codes </w:t>
      </w:r>
      <w:r w:rsidR="00362CC9">
        <w:t>provide only summary detail</w:t>
      </w:r>
      <w:r>
        <w:t xml:space="preserve"> in some areas, providing a sentence or two on ‘becoming a decision-making supporter’ or ‘providing an expert report in court’ without much context. Again, including some of the main boilerplate text on guiding principles/ supporting and building capacity, and the roles of the decision-making supporters in every Code may help to set the context for the reader. </w:t>
      </w:r>
    </w:p>
    <w:p w:rsidR="00D8293D" w:rsidRDefault="00D8293D" w:rsidP="00D8293D">
      <w:pPr>
        <w:pStyle w:val="ListBullet"/>
      </w:pPr>
      <w:r>
        <w:t>Vignettes seem to have been removed from th</w:t>
      </w:r>
      <w:r w:rsidR="00854748">
        <w:t>e</w:t>
      </w:r>
      <w:r>
        <w:t xml:space="preserve"> Code</w:t>
      </w:r>
      <w:r w:rsidR="00854748">
        <w:t xml:space="preserve"> for Financial Professionals</w:t>
      </w:r>
      <w:r>
        <w:t xml:space="preserve">. </w:t>
      </w:r>
      <w:r w:rsidR="009D7F3D">
        <w:t>We advise</w:t>
      </w:r>
      <w:r w:rsidR="00362CC9">
        <w:t xml:space="preserve"> that these vignettes in particular </w:t>
      </w:r>
      <w:r>
        <w:t>served an important purpose</w:t>
      </w:r>
      <w:r w:rsidR="00D3577D">
        <w:t>,</w:t>
      </w:r>
      <w:r>
        <w:t xml:space="preserve"> as they were written by members of the Writing Group, and therefore provided a nuanced insight into the types of issues that might arise</w:t>
      </w:r>
      <w:r w:rsidR="00362CC9">
        <w:t xml:space="preserve"> in</w:t>
      </w:r>
      <w:r w:rsidR="009D7F3D">
        <w:t xml:space="preserve"> day-to-day service provision in</w:t>
      </w:r>
      <w:r w:rsidR="00362CC9">
        <w:t xml:space="preserve"> this sector</w:t>
      </w:r>
      <w:r>
        <w:t>.</w:t>
      </w:r>
      <w:r w:rsidR="00854748">
        <w:t xml:space="preserve"> The vignettes showcased </w:t>
      </w:r>
      <w:r w:rsidR="00D3577D">
        <w:t xml:space="preserve">real-life </w:t>
      </w:r>
      <w:r w:rsidR="00854748">
        <w:t xml:space="preserve">scenarios that would occur in credit unions, MABS or a financial advisor’s office. </w:t>
      </w:r>
      <w:r>
        <w:t xml:space="preserve">We </w:t>
      </w:r>
      <w:r w:rsidR="00362CC9">
        <w:t xml:space="preserve">suggest </w:t>
      </w:r>
      <w:r>
        <w:t>re-inserting these vignettes</w:t>
      </w:r>
      <w:r w:rsidR="00362CC9">
        <w:t xml:space="preserve"> would be beneficial in supporting this sector to adopt and implement the spirit of the legislation as readily as possible</w:t>
      </w:r>
      <w:r w:rsidR="00854748">
        <w:t>.</w:t>
      </w:r>
    </w:p>
    <w:p w:rsidR="00D8293D" w:rsidRPr="00D02651" w:rsidRDefault="00D02651" w:rsidP="00D8293D">
      <w:pPr>
        <w:pStyle w:val="ListBullet"/>
        <w:numPr>
          <w:ilvl w:val="0"/>
          <w:numId w:val="0"/>
        </w:numPr>
        <w:rPr>
          <w:b/>
        </w:rPr>
      </w:pPr>
      <w:r w:rsidRPr="00D02651">
        <w:rPr>
          <w:b/>
        </w:rPr>
        <w:t>Code for Legal P</w:t>
      </w:r>
      <w:r w:rsidR="00D8293D" w:rsidRPr="00D02651">
        <w:rPr>
          <w:b/>
        </w:rPr>
        <w:t>rofessionals</w:t>
      </w:r>
    </w:p>
    <w:p w:rsidR="00CF63BB" w:rsidRDefault="004F1F69" w:rsidP="004F1F69">
      <w:pPr>
        <w:pStyle w:val="ListBullet"/>
      </w:pPr>
      <w:r>
        <w:t>Similar to the draft Code for Financial Professionals, a Writing Group was established to write this Code. A list of members has been included in the appendix below</w:t>
      </w:r>
      <w:r w:rsidR="00772F38">
        <w:t>, and the points made above remain relevant here.</w:t>
      </w:r>
    </w:p>
    <w:p w:rsidR="00F064C1" w:rsidRDefault="00772F38" w:rsidP="004F1F69">
      <w:pPr>
        <w:pStyle w:val="ListBullet"/>
        <w:numPr>
          <w:ilvl w:val="0"/>
          <w:numId w:val="0"/>
        </w:numPr>
      </w:pPr>
      <w:r>
        <w:t>In summary, the NDA advises</w:t>
      </w:r>
      <w:r w:rsidR="00F064C1">
        <w:t xml:space="preserve"> that each Code should contain a section on how to support a person to make a decision, when an assessment of capacity is needed, who should carry it out, and how it should be carried out. During our months of drafting, certain stakeholders </w:t>
      </w:r>
      <w:r>
        <w:t>did not consider themselves implicated in</w:t>
      </w:r>
      <w:r w:rsidR="00F064C1">
        <w:t xml:space="preserve"> the responsibilities of supporting</w:t>
      </w:r>
      <w:r w:rsidR="00A442CD">
        <w:t>, building</w:t>
      </w:r>
      <w:r w:rsidR="00F064C1">
        <w:t xml:space="preserve"> and assessing</w:t>
      </w:r>
      <w:r w:rsidR="00A442CD">
        <w:t xml:space="preserve"> decision-making capacity</w:t>
      </w:r>
      <w:r w:rsidR="00F064C1">
        <w:t xml:space="preserve">. By excluding these sections from Codes of Practice </w:t>
      </w:r>
      <w:r w:rsidR="00A442CD">
        <w:t xml:space="preserve">aimed at specific </w:t>
      </w:r>
      <w:r>
        <w:t xml:space="preserve">sectoral </w:t>
      </w:r>
      <w:r w:rsidR="00A442CD">
        <w:t>audiences,</w:t>
      </w:r>
      <w:r w:rsidR="00F064C1">
        <w:t xml:space="preserve"> it may </w:t>
      </w:r>
      <w:r>
        <w:t>support such</w:t>
      </w:r>
      <w:r w:rsidR="00F064C1">
        <w:t xml:space="preserve"> a belief that supporting</w:t>
      </w:r>
      <w:r w:rsidR="00A442CD">
        <w:t>, building</w:t>
      </w:r>
      <w:r w:rsidR="00F064C1">
        <w:t xml:space="preserve"> and assessing</w:t>
      </w:r>
      <w:r w:rsidR="00A442CD">
        <w:t xml:space="preserve"> capacity</w:t>
      </w:r>
      <w:r w:rsidR="00F064C1">
        <w:t xml:space="preserve"> is outside the remit of those professionals. </w:t>
      </w:r>
    </w:p>
    <w:p w:rsidR="004F1F69" w:rsidRDefault="00F064C1" w:rsidP="004F1F69">
      <w:pPr>
        <w:pStyle w:val="ListBullet"/>
        <w:numPr>
          <w:ilvl w:val="0"/>
          <w:numId w:val="0"/>
        </w:numPr>
      </w:pPr>
      <w:r>
        <w:t xml:space="preserve">We have examined the Codes of Practice for Healthcare Professionals, on Advance Healthcare Directives and for Designated Healthcare Representatives. We do not have any </w:t>
      </w:r>
      <w:r w:rsidR="00A318ED">
        <w:t xml:space="preserve">substantive </w:t>
      </w:r>
      <w:r>
        <w:t>comments to make on these Codes</w:t>
      </w:r>
      <w:r w:rsidR="00772F38">
        <w:t>, noting that the NDA also participated in the working groups established to draft same</w:t>
      </w:r>
      <w:r>
        <w:t>.</w:t>
      </w:r>
    </w:p>
    <w:p w:rsidR="00B74954" w:rsidRDefault="00A442CD" w:rsidP="00A442CD">
      <w:pPr>
        <w:pStyle w:val="ListBullet"/>
        <w:numPr>
          <w:ilvl w:val="0"/>
          <w:numId w:val="0"/>
        </w:numPr>
      </w:pPr>
      <w:r>
        <w:t>The NDA is more than happy to continue to engage with the Decision Support Service on the Codes of Practice, and look forward to examining the second tranche of Codes in the coming weeks.</w:t>
      </w:r>
    </w:p>
    <w:p w:rsidR="00A442CD" w:rsidRDefault="00A442CD" w:rsidP="00A442CD">
      <w:pPr>
        <w:pStyle w:val="ListBullet"/>
        <w:numPr>
          <w:ilvl w:val="0"/>
          <w:numId w:val="0"/>
        </w:numPr>
      </w:pPr>
    </w:p>
    <w:p w:rsidR="00B74954" w:rsidRDefault="00B74954" w:rsidP="007072E0">
      <w:pPr>
        <w:spacing w:after="600"/>
      </w:pPr>
      <w:r>
        <w:t>Yours sincerely,</w:t>
      </w:r>
    </w:p>
    <w:p w:rsidR="0056345C" w:rsidRDefault="0056345C" w:rsidP="007072E0">
      <w:pPr>
        <w:spacing w:after="600"/>
      </w:pPr>
    </w:p>
    <w:p w:rsidR="00B74954" w:rsidRPr="00EF1473" w:rsidRDefault="00A442CD">
      <w:pPr>
        <w:rPr>
          <w:b/>
        </w:rPr>
      </w:pPr>
      <w:r>
        <w:rPr>
          <w:b/>
        </w:rPr>
        <w:lastRenderedPageBreak/>
        <w:t>Dr Aideen Hartney</w:t>
      </w:r>
    </w:p>
    <w:p w:rsidR="00A442CD" w:rsidRDefault="00A442CD">
      <w:r>
        <w:t>Director</w:t>
      </w:r>
    </w:p>
    <w:p w:rsidR="00B74954" w:rsidRDefault="00A442CD" w:rsidP="00A442CD">
      <w:pPr>
        <w:pStyle w:val="Title"/>
      </w:pPr>
      <w:r>
        <w:br w:type="page"/>
      </w:r>
      <w:r>
        <w:lastRenderedPageBreak/>
        <w:t>Appendix 1</w:t>
      </w:r>
    </w:p>
    <w:p w:rsidR="00A442CD" w:rsidRDefault="00A442CD" w:rsidP="00090571">
      <w:pPr>
        <w:pStyle w:val="Heading1"/>
      </w:pPr>
      <w:r>
        <w:t>Members of the NDA</w:t>
      </w:r>
      <w:r w:rsidR="00CD24A2">
        <w:t xml:space="preserve"> Codes of Practice</w:t>
      </w:r>
      <w:r>
        <w:t xml:space="preserve"> Technical Expert Group</w:t>
      </w:r>
    </w:p>
    <w:tbl>
      <w:tblPr>
        <w:tblW w:w="9821" w:type="dxa"/>
        <w:tblInd w:w="108" w:type="dxa"/>
        <w:tblLook w:val="04A0" w:firstRow="1" w:lastRow="0" w:firstColumn="1" w:lastColumn="0" w:noHBand="0" w:noVBand="1"/>
      </w:tblPr>
      <w:tblGrid>
        <w:gridCol w:w="1221"/>
        <w:gridCol w:w="1120"/>
        <w:gridCol w:w="3040"/>
        <w:gridCol w:w="4440"/>
      </w:tblGrid>
      <w:tr w:rsidR="00D26EF8" w:rsidRPr="00CD24A2" w:rsidTr="00495B62">
        <w:trPr>
          <w:trHeight w:val="390"/>
        </w:trPr>
        <w:tc>
          <w:tcPr>
            <w:tcW w:w="1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b/>
                <w:bCs/>
                <w:sz w:val="22"/>
                <w:szCs w:val="22"/>
                <w:lang w:eastAsia="en-IE"/>
              </w:rPr>
            </w:pPr>
            <w:r w:rsidRPr="00CD24A2">
              <w:rPr>
                <w:rFonts w:ascii="Gill Sans MT" w:hAnsi="Gill Sans MT" w:cs="Calibri"/>
                <w:b/>
                <w:bCs/>
                <w:sz w:val="22"/>
                <w:szCs w:val="22"/>
                <w:lang w:eastAsia="en-IE"/>
              </w:rPr>
              <w:t>Surname</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b/>
                <w:bCs/>
                <w:sz w:val="22"/>
                <w:szCs w:val="22"/>
                <w:lang w:eastAsia="en-IE"/>
              </w:rPr>
            </w:pPr>
            <w:r w:rsidRPr="00CD24A2">
              <w:rPr>
                <w:rFonts w:ascii="Gill Sans MT" w:hAnsi="Gill Sans MT" w:cs="Calibri"/>
                <w:b/>
                <w:bCs/>
                <w:sz w:val="22"/>
                <w:szCs w:val="22"/>
                <w:lang w:eastAsia="en-IE"/>
              </w:rPr>
              <w:t>Name</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b/>
                <w:bCs/>
                <w:sz w:val="22"/>
                <w:szCs w:val="22"/>
                <w:lang w:eastAsia="en-IE"/>
              </w:rPr>
            </w:pPr>
            <w:r w:rsidRPr="00CD24A2">
              <w:rPr>
                <w:rFonts w:ascii="Gill Sans MT" w:hAnsi="Gill Sans MT" w:cs="Calibri"/>
                <w:b/>
                <w:bCs/>
                <w:sz w:val="22"/>
                <w:szCs w:val="22"/>
                <w:lang w:eastAsia="en-IE"/>
              </w:rPr>
              <w:t>Position</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b/>
                <w:bCs/>
                <w:sz w:val="22"/>
                <w:szCs w:val="22"/>
                <w:lang w:eastAsia="en-IE"/>
              </w:rPr>
            </w:pPr>
            <w:r w:rsidRPr="00CD24A2">
              <w:rPr>
                <w:rFonts w:ascii="Gill Sans MT" w:hAnsi="Gill Sans MT" w:cs="Calibri"/>
                <w:b/>
                <w:bCs/>
                <w:sz w:val="22"/>
                <w:szCs w:val="22"/>
                <w:lang w:eastAsia="en-IE"/>
              </w:rPr>
              <w:t>Organisation</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Donnelly</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Mary</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Professor of Law (Chair)</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UCC</w:t>
            </w:r>
          </w:p>
        </w:tc>
      </w:tr>
      <w:tr w:rsidR="00D26EF8" w:rsidRPr="00CD24A2" w:rsidTr="00495B62">
        <w:trPr>
          <w:trHeight w:val="705"/>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Rickard Clarke</w:t>
            </w:r>
          </w:p>
        </w:tc>
        <w:tc>
          <w:tcPr>
            <w:tcW w:w="1120" w:type="dxa"/>
            <w:tcBorders>
              <w:top w:val="nil"/>
              <w:left w:val="nil"/>
              <w:bottom w:val="single" w:sz="4" w:space="0" w:color="auto"/>
              <w:right w:val="single" w:sz="4" w:space="0" w:color="auto"/>
            </w:tcBorders>
            <w:shd w:val="clear" w:color="auto" w:fill="auto"/>
            <w:vAlign w:val="center"/>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Patricia</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Chair</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National Inter-Sectoral Safeguarding Committee</w:t>
            </w:r>
          </w:p>
        </w:tc>
      </w:tr>
      <w:tr w:rsidR="00D26EF8" w:rsidRPr="00CD24A2" w:rsidTr="00495B62">
        <w:trPr>
          <w:trHeight w:val="90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Smyth</w:t>
            </w:r>
            <w:r>
              <w:rPr>
                <w:rFonts w:ascii="Gill Sans MT" w:hAnsi="Gill Sans MT" w:cs="Calibri"/>
                <w:sz w:val="22"/>
                <w:szCs w:val="22"/>
                <w:lang w:eastAsia="en-IE"/>
              </w:rPr>
              <w:t>*</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Rosemary</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Director of Standards and Quality Assurance</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Mental Health Commission</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Quinn</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proofErr w:type="spellStart"/>
            <w:r w:rsidRPr="00CD24A2">
              <w:rPr>
                <w:rFonts w:ascii="Gill Sans MT" w:hAnsi="Gill Sans MT" w:cs="Calibri"/>
                <w:sz w:val="22"/>
                <w:szCs w:val="22"/>
                <w:lang w:eastAsia="en-IE"/>
              </w:rPr>
              <w:t>Phelim</w:t>
            </w:r>
            <w:proofErr w:type="spellEnd"/>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CEO</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 xml:space="preserve">Health Information and </w:t>
            </w:r>
            <w:proofErr w:type="spellStart"/>
            <w:r w:rsidRPr="00CD24A2">
              <w:rPr>
                <w:rFonts w:ascii="Gill Sans MT" w:hAnsi="Gill Sans MT" w:cs="Calibri"/>
                <w:sz w:val="22"/>
                <w:szCs w:val="22"/>
                <w:lang w:eastAsia="en-IE"/>
              </w:rPr>
              <w:t>and</w:t>
            </w:r>
            <w:proofErr w:type="spellEnd"/>
            <w:r w:rsidRPr="00CD24A2">
              <w:rPr>
                <w:rFonts w:ascii="Gill Sans MT" w:hAnsi="Gill Sans MT" w:cs="Calibri"/>
                <w:sz w:val="22"/>
                <w:szCs w:val="22"/>
                <w:lang w:eastAsia="en-IE"/>
              </w:rPr>
              <w:t xml:space="preserve"> Quality Authority</w:t>
            </w:r>
          </w:p>
        </w:tc>
      </w:tr>
      <w:tr w:rsidR="00D26EF8" w:rsidRPr="00CD24A2" w:rsidTr="00495B62">
        <w:trPr>
          <w:trHeight w:val="73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Doherty</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Noel</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Directorate of Reform and Development</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Courts Service</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Taylor</w:t>
            </w:r>
            <w:r>
              <w:rPr>
                <w:rFonts w:ascii="Gill Sans MT" w:hAnsi="Gill Sans MT" w:cs="Calibri"/>
                <w:sz w:val="22"/>
                <w:szCs w:val="22"/>
                <w:lang w:eastAsia="en-IE"/>
              </w:rPr>
              <w:t>**</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Mervyn</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Manager</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SAGE</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Pr>
                <w:rFonts w:ascii="Gill Sans MT" w:hAnsi="Gill Sans MT" w:cs="Calibri"/>
                <w:sz w:val="22"/>
                <w:szCs w:val="22"/>
                <w:lang w:eastAsia="en-IE"/>
              </w:rPr>
              <w:t>O’</w:t>
            </w:r>
            <w:r w:rsidRPr="00CD24A2">
              <w:rPr>
                <w:rFonts w:ascii="Gill Sans MT" w:hAnsi="Gill Sans MT" w:cs="Calibri"/>
                <w:sz w:val="22"/>
                <w:szCs w:val="22"/>
                <w:lang w:eastAsia="en-IE"/>
              </w:rPr>
              <w:t>Loughlin</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Louise</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 xml:space="preserve">Director </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National Advocacy Service</w:t>
            </w:r>
          </w:p>
        </w:tc>
      </w:tr>
      <w:tr w:rsidR="00D26EF8" w:rsidRPr="00CD24A2" w:rsidTr="00495B62">
        <w:trPr>
          <w:trHeight w:val="106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Gleeson</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proofErr w:type="spellStart"/>
            <w:r w:rsidRPr="00CD24A2">
              <w:rPr>
                <w:rFonts w:ascii="Gill Sans MT" w:hAnsi="Gill Sans MT" w:cs="Calibri"/>
                <w:sz w:val="22"/>
                <w:szCs w:val="22"/>
                <w:lang w:eastAsia="en-IE"/>
              </w:rPr>
              <w:t>Caoimhe</w:t>
            </w:r>
            <w:proofErr w:type="spellEnd"/>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ADM Act Steering Group and HSE Accessibility Expert</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HSE</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Pr>
                <w:rFonts w:ascii="Gill Sans MT" w:hAnsi="Gill Sans MT" w:cs="Calibri"/>
                <w:sz w:val="22"/>
                <w:szCs w:val="22"/>
                <w:lang w:eastAsia="en-IE"/>
              </w:rPr>
              <w:t>O’</w:t>
            </w:r>
            <w:r w:rsidRPr="00CD24A2">
              <w:rPr>
                <w:rFonts w:ascii="Gill Sans MT" w:hAnsi="Gill Sans MT" w:cs="Calibri"/>
                <w:sz w:val="22"/>
                <w:szCs w:val="22"/>
                <w:lang w:eastAsia="en-IE"/>
              </w:rPr>
              <w:t>Mahony</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Louise</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Head of Mortgage Policy</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Banking and Payments Federation Ireland</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proofErr w:type="spellStart"/>
            <w:r>
              <w:rPr>
                <w:rFonts w:ascii="Gill Sans MT" w:hAnsi="Gill Sans MT" w:cs="Calibri"/>
                <w:sz w:val="22"/>
                <w:szCs w:val="22"/>
                <w:lang w:eastAsia="en-IE"/>
              </w:rPr>
              <w:t>Evoy</w:t>
            </w:r>
            <w:proofErr w:type="spellEnd"/>
            <w:r>
              <w:rPr>
                <w:rFonts w:ascii="Gill Sans MT" w:hAnsi="Gill Sans MT" w:cs="Calibri"/>
                <w:sz w:val="22"/>
                <w:szCs w:val="22"/>
                <w:lang w:eastAsia="en-IE"/>
              </w:rPr>
              <w:t>***</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Bernice</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Legal Adviser</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Banking and Payments Federation Ireland***</w:t>
            </w:r>
          </w:p>
        </w:tc>
      </w:tr>
      <w:tr w:rsidR="00D26EF8" w:rsidRPr="00CD24A2" w:rsidTr="00495B62">
        <w:trPr>
          <w:trHeight w:val="70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Gibson</w:t>
            </w:r>
            <w:r>
              <w:rPr>
                <w:rFonts w:ascii="Gill Sans MT" w:hAnsi="Gill Sans MT" w:cs="Calibri"/>
                <w:sz w:val="22"/>
                <w:szCs w:val="22"/>
                <w:lang w:eastAsia="en-IE"/>
              </w:rPr>
              <w:t>****</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Gerry</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Manager of Group Financial Fraud Unit</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Bank of Ireland</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Condell</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Mary</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Solicitor</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Law Society</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Lillis</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Nora</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Solicitor</w:t>
            </w:r>
          </w:p>
        </w:tc>
        <w:tc>
          <w:tcPr>
            <w:tcW w:w="44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William Fry Solicitors</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Gorman</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James</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Finance Unit</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HSE</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Dunn</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Rachel</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Civil Law Section</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proofErr w:type="spellStart"/>
            <w:r w:rsidRPr="00CD24A2">
              <w:rPr>
                <w:rFonts w:ascii="Gill Sans MT" w:hAnsi="Gill Sans MT" w:cs="Calibri"/>
                <w:sz w:val="22"/>
                <w:szCs w:val="22"/>
                <w:lang w:eastAsia="en-IE"/>
              </w:rPr>
              <w:t>Dept</w:t>
            </w:r>
            <w:proofErr w:type="spellEnd"/>
            <w:r w:rsidRPr="00CD24A2">
              <w:rPr>
                <w:rFonts w:ascii="Gill Sans MT" w:hAnsi="Gill Sans MT" w:cs="Calibri"/>
                <w:sz w:val="22"/>
                <w:szCs w:val="22"/>
                <w:lang w:eastAsia="en-IE"/>
              </w:rPr>
              <w:t xml:space="preserve"> of Justice</w:t>
            </w:r>
          </w:p>
        </w:tc>
      </w:tr>
      <w:tr w:rsidR="00D26EF8" w:rsidRPr="00CD24A2" w:rsidTr="00495B62">
        <w:trPr>
          <w:trHeight w:val="39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Jones</w:t>
            </w:r>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Suzanne</w:t>
            </w:r>
          </w:p>
        </w:tc>
        <w:tc>
          <w:tcPr>
            <w:tcW w:w="304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Civil Law Section</w:t>
            </w:r>
          </w:p>
        </w:tc>
        <w:tc>
          <w:tcPr>
            <w:tcW w:w="4440" w:type="dxa"/>
            <w:tcBorders>
              <w:top w:val="nil"/>
              <w:left w:val="nil"/>
              <w:bottom w:val="single" w:sz="4" w:space="0" w:color="auto"/>
              <w:right w:val="single" w:sz="4" w:space="0" w:color="auto"/>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proofErr w:type="spellStart"/>
            <w:r w:rsidRPr="00CD24A2">
              <w:rPr>
                <w:rFonts w:ascii="Gill Sans MT" w:hAnsi="Gill Sans MT" w:cs="Calibri"/>
                <w:sz w:val="22"/>
                <w:szCs w:val="22"/>
                <w:lang w:eastAsia="en-IE"/>
              </w:rPr>
              <w:t>Dept</w:t>
            </w:r>
            <w:proofErr w:type="spellEnd"/>
            <w:r w:rsidRPr="00CD24A2">
              <w:rPr>
                <w:rFonts w:ascii="Gill Sans MT" w:hAnsi="Gill Sans MT" w:cs="Calibri"/>
                <w:sz w:val="22"/>
                <w:szCs w:val="22"/>
                <w:lang w:eastAsia="en-IE"/>
              </w:rPr>
              <w:t xml:space="preserve"> of Justice</w:t>
            </w:r>
          </w:p>
        </w:tc>
      </w:tr>
      <w:tr w:rsidR="00D26EF8" w:rsidRPr="00CD24A2" w:rsidTr="00495B62">
        <w:trPr>
          <w:trHeight w:val="70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proofErr w:type="spellStart"/>
            <w:r w:rsidRPr="00CD24A2">
              <w:rPr>
                <w:rFonts w:ascii="Gill Sans MT" w:hAnsi="Gill Sans MT" w:cs="Calibri"/>
                <w:sz w:val="22"/>
                <w:szCs w:val="22"/>
                <w:lang w:eastAsia="en-IE"/>
              </w:rPr>
              <w:t>Keville</w:t>
            </w:r>
            <w:proofErr w:type="spellEnd"/>
          </w:p>
        </w:tc>
        <w:tc>
          <w:tcPr>
            <w:tcW w:w="1120" w:type="dxa"/>
            <w:tcBorders>
              <w:top w:val="nil"/>
              <w:left w:val="nil"/>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Martin</w:t>
            </w:r>
          </w:p>
        </w:tc>
        <w:tc>
          <w:tcPr>
            <w:tcW w:w="3040" w:type="dxa"/>
            <w:tcBorders>
              <w:top w:val="nil"/>
              <w:left w:val="nil"/>
              <w:bottom w:val="single" w:sz="4" w:space="0" w:color="auto"/>
              <w:right w:val="nil"/>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State pension non-contributory</w:t>
            </w:r>
          </w:p>
        </w:tc>
        <w:tc>
          <w:tcPr>
            <w:tcW w:w="4440" w:type="dxa"/>
            <w:tcBorders>
              <w:top w:val="nil"/>
              <w:left w:val="single" w:sz="4" w:space="0" w:color="auto"/>
              <w:bottom w:val="single" w:sz="4" w:space="0" w:color="auto"/>
              <w:right w:val="single" w:sz="4" w:space="0" w:color="auto"/>
            </w:tcBorders>
            <w:shd w:val="clear" w:color="auto" w:fill="auto"/>
            <w:vAlign w:val="bottom"/>
            <w:hideMark/>
          </w:tcPr>
          <w:p w:rsidR="00D26EF8" w:rsidRPr="00CD24A2" w:rsidRDefault="00D26EF8" w:rsidP="00495B62">
            <w:pPr>
              <w:spacing w:after="0"/>
              <w:rPr>
                <w:rFonts w:ascii="Gill Sans MT" w:hAnsi="Gill Sans MT" w:cs="Calibri"/>
                <w:sz w:val="22"/>
                <w:szCs w:val="22"/>
                <w:lang w:eastAsia="en-IE"/>
              </w:rPr>
            </w:pPr>
            <w:r w:rsidRPr="00CD24A2">
              <w:rPr>
                <w:rFonts w:ascii="Gill Sans MT" w:hAnsi="Gill Sans MT" w:cs="Calibri"/>
                <w:sz w:val="22"/>
                <w:szCs w:val="22"/>
                <w:lang w:eastAsia="en-IE"/>
              </w:rPr>
              <w:t>Department of Employment Affairs and  Social Protection</w:t>
            </w:r>
          </w:p>
        </w:tc>
      </w:tr>
      <w:tr w:rsidR="00D26EF8" w:rsidRPr="00CD24A2" w:rsidTr="00495B62">
        <w:trPr>
          <w:trHeight w:val="300"/>
        </w:trPr>
        <w:tc>
          <w:tcPr>
            <w:tcW w:w="1221"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Gill Sans MT" w:hAnsi="Gill Sans MT" w:cs="Calibri"/>
                <w:sz w:val="22"/>
                <w:szCs w:val="22"/>
                <w:lang w:eastAsia="en-IE"/>
              </w:rPr>
            </w:pPr>
          </w:p>
        </w:tc>
        <w:tc>
          <w:tcPr>
            <w:tcW w:w="1120"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Times New Roman" w:hAnsi="Times New Roman"/>
                <w:sz w:val="20"/>
                <w:szCs w:val="20"/>
                <w:lang w:eastAsia="en-IE"/>
              </w:rPr>
            </w:pPr>
          </w:p>
        </w:tc>
        <w:tc>
          <w:tcPr>
            <w:tcW w:w="3040"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Times New Roman" w:hAnsi="Times New Roman"/>
                <w:sz w:val="20"/>
                <w:szCs w:val="20"/>
                <w:lang w:eastAsia="en-IE"/>
              </w:rPr>
            </w:pPr>
          </w:p>
        </w:tc>
        <w:tc>
          <w:tcPr>
            <w:tcW w:w="4440"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Times New Roman" w:hAnsi="Times New Roman"/>
                <w:sz w:val="20"/>
                <w:szCs w:val="20"/>
                <w:lang w:eastAsia="en-IE"/>
              </w:rPr>
            </w:pPr>
          </w:p>
        </w:tc>
      </w:tr>
      <w:tr w:rsidR="00D26EF8" w:rsidRPr="00CD24A2" w:rsidTr="00495B62">
        <w:trPr>
          <w:trHeight w:val="465"/>
        </w:trPr>
        <w:tc>
          <w:tcPr>
            <w:tcW w:w="5381" w:type="dxa"/>
            <w:gridSpan w:val="3"/>
            <w:tcBorders>
              <w:top w:val="nil"/>
              <w:left w:val="nil"/>
              <w:bottom w:val="nil"/>
              <w:right w:val="nil"/>
            </w:tcBorders>
            <w:shd w:val="clear" w:color="auto" w:fill="auto"/>
            <w:noWrap/>
            <w:vAlign w:val="bottom"/>
            <w:hideMark/>
          </w:tcPr>
          <w:p w:rsidR="00D26EF8" w:rsidRPr="00CD24A2" w:rsidRDefault="00D26EF8" w:rsidP="00495B62">
            <w:pPr>
              <w:spacing w:after="0"/>
              <w:rPr>
                <w:rFonts w:ascii="Calibri" w:hAnsi="Calibri" w:cs="Calibri"/>
                <w:sz w:val="22"/>
                <w:szCs w:val="22"/>
                <w:lang w:eastAsia="en-IE"/>
              </w:rPr>
            </w:pPr>
            <w:r w:rsidRPr="00CD24A2">
              <w:rPr>
                <w:rFonts w:ascii="Calibri" w:hAnsi="Calibri" w:cs="Calibri"/>
                <w:sz w:val="22"/>
                <w:szCs w:val="22"/>
                <w:lang w:eastAsia="en-IE"/>
              </w:rPr>
              <w:t>* Rosemary Smyth was replaced by Roisin Hennessy</w:t>
            </w:r>
          </w:p>
        </w:tc>
        <w:tc>
          <w:tcPr>
            <w:tcW w:w="4440"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Calibri" w:hAnsi="Calibri" w:cs="Calibri"/>
                <w:sz w:val="22"/>
                <w:szCs w:val="22"/>
                <w:lang w:eastAsia="en-IE"/>
              </w:rPr>
            </w:pPr>
          </w:p>
        </w:tc>
      </w:tr>
      <w:tr w:rsidR="00D26EF8" w:rsidRPr="00CD24A2" w:rsidTr="00495B62">
        <w:trPr>
          <w:trHeight w:val="300"/>
        </w:trPr>
        <w:tc>
          <w:tcPr>
            <w:tcW w:w="5381" w:type="dxa"/>
            <w:gridSpan w:val="3"/>
            <w:tcBorders>
              <w:top w:val="nil"/>
              <w:left w:val="nil"/>
              <w:bottom w:val="nil"/>
              <w:right w:val="nil"/>
            </w:tcBorders>
            <w:shd w:val="clear" w:color="auto" w:fill="auto"/>
            <w:noWrap/>
            <w:vAlign w:val="bottom"/>
            <w:hideMark/>
          </w:tcPr>
          <w:p w:rsidR="00D26EF8" w:rsidRPr="00CD24A2" w:rsidRDefault="00D26EF8" w:rsidP="00495B62">
            <w:pPr>
              <w:spacing w:after="0"/>
              <w:rPr>
                <w:rFonts w:ascii="Calibri" w:hAnsi="Calibri" w:cs="Calibri"/>
                <w:sz w:val="22"/>
                <w:szCs w:val="22"/>
                <w:lang w:eastAsia="en-IE"/>
              </w:rPr>
            </w:pPr>
            <w:r w:rsidRPr="00CD24A2">
              <w:rPr>
                <w:rFonts w:ascii="Calibri" w:hAnsi="Calibri" w:cs="Calibri"/>
                <w:sz w:val="22"/>
                <w:szCs w:val="22"/>
                <w:lang w:eastAsia="en-IE"/>
              </w:rPr>
              <w:t>** Mervyn Taylor stood down in 2017</w:t>
            </w:r>
          </w:p>
        </w:tc>
        <w:tc>
          <w:tcPr>
            <w:tcW w:w="4440"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Calibri" w:hAnsi="Calibri" w:cs="Calibri"/>
                <w:sz w:val="22"/>
                <w:szCs w:val="22"/>
                <w:lang w:eastAsia="en-IE"/>
              </w:rPr>
            </w:pPr>
          </w:p>
        </w:tc>
      </w:tr>
      <w:tr w:rsidR="00D26EF8" w:rsidRPr="00CD24A2" w:rsidTr="00495B62">
        <w:trPr>
          <w:trHeight w:val="300"/>
        </w:trPr>
        <w:tc>
          <w:tcPr>
            <w:tcW w:w="5381" w:type="dxa"/>
            <w:gridSpan w:val="3"/>
            <w:tcBorders>
              <w:top w:val="nil"/>
              <w:left w:val="nil"/>
              <w:bottom w:val="nil"/>
              <w:right w:val="nil"/>
            </w:tcBorders>
            <w:shd w:val="clear" w:color="auto" w:fill="auto"/>
            <w:noWrap/>
            <w:vAlign w:val="bottom"/>
            <w:hideMark/>
          </w:tcPr>
          <w:p w:rsidR="00D26EF8" w:rsidRPr="00CD24A2" w:rsidRDefault="00D26EF8" w:rsidP="00495B62">
            <w:pPr>
              <w:spacing w:after="0"/>
              <w:rPr>
                <w:rFonts w:ascii="Calibri" w:hAnsi="Calibri" w:cs="Calibri"/>
                <w:color w:val="000000"/>
                <w:sz w:val="22"/>
                <w:szCs w:val="22"/>
                <w:lang w:eastAsia="en-IE"/>
              </w:rPr>
            </w:pPr>
            <w:r w:rsidRPr="00CD24A2">
              <w:rPr>
                <w:rFonts w:ascii="Calibri" w:hAnsi="Calibri" w:cs="Calibri"/>
                <w:color w:val="000000"/>
                <w:sz w:val="22"/>
                <w:szCs w:val="22"/>
                <w:lang w:eastAsia="en-IE"/>
              </w:rPr>
              <w:lastRenderedPageBreak/>
              <w:t xml:space="preserve">***Bernice </w:t>
            </w:r>
            <w:proofErr w:type="spellStart"/>
            <w:r w:rsidRPr="00CD24A2">
              <w:rPr>
                <w:rFonts w:ascii="Calibri" w:hAnsi="Calibri" w:cs="Calibri"/>
                <w:color w:val="000000"/>
                <w:sz w:val="22"/>
                <w:szCs w:val="22"/>
                <w:lang w:eastAsia="en-IE"/>
              </w:rPr>
              <w:t>McAvoy</w:t>
            </w:r>
            <w:proofErr w:type="spellEnd"/>
            <w:r w:rsidRPr="00CD24A2">
              <w:rPr>
                <w:rFonts w:ascii="Calibri" w:hAnsi="Calibri" w:cs="Calibri"/>
                <w:color w:val="000000"/>
                <w:sz w:val="22"/>
                <w:szCs w:val="22"/>
                <w:lang w:eastAsia="en-IE"/>
              </w:rPr>
              <w:t xml:space="preserve"> is an alternate member for BPFI</w:t>
            </w:r>
          </w:p>
        </w:tc>
        <w:tc>
          <w:tcPr>
            <w:tcW w:w="4440"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Calibri" w:hAnsi="Calibri" w:cs="Calibri"/>
                <w:color w:val="000000"/>
                <w:sz w:val="22"/>
                <w:szCs w:val="22"/>
                <w:lang w:eastAsia="en-IE"/>
              </w:rPr>
            </w:pPr>
          </w:p>
        </w:tc>
      </w:tr>
      <w:tr w:rsidR="00D26EF8" w:rsidRPr="00CD24A2" w:rsidTr="00495B62">
        <w:trPr>
          <w:trHeight w:val="300"/>
        </w:trPr>
        <w:tc>
          <w:tcPr>
            <w:tcW w:w="5381" w:type="dxa"/>
            <w:gridSpan w:val="3"/>
            <w:tcBorders>
              <w:top w:val="nil"/>
              <w:left w:val="nil"/>
              <w:bottom w:val="nil"/>
              <w:right w:val="nil"/>
            </w:tcBorders>
            <w:shd w:val="clear" w:color="auto" w:fill="auto"/>
            <w:noWrap/>
            <w:vAlign w:val="bottom"/>
            <w:hideMark/>
          </w:tcPr>
          <w:p w:rsidR="00D26EF8" w:rsidRPr="00CD24A2" w:rsidRDefault="00D26EF8" w:rsidP="00D26EF8">
            <w:pPr>
              <w:spacing w:after="0"/>
              <w:rPr>
                <w:lang w:eastAsia="en-IE"/>
              </w:rPr>
            </w:pPr>
            <w:r w:rsidRPr="00CD24A2">
              <w:rPr>
                <w:rFonts w:ascii="Calibri" w:hAnsi="Calibri" w:cs="Calibri"/>
                <w:color w:val="000000"/>
                <w:sz w:val="22"/>
                <w:szCs w:val="22"/>
                <w:lang w:eastAsia="en-IE"/>
              </w:rPr>
              <w:t>****Gerry Gibson stood down in 2016</w:t>
            </w:r>
          </w:p>
        </w:tc>
        <w:tc>
          <w:tcPr>
            <w:tcW w:w="4440" w:type="dxa"/>
            <w:tcBorders>
              <w:top w:val="nil"/>
              <w:left w:val="nil"/>
              <w:bottom w:val="nil"/>
              <w:right w:val="nil"/>
            </w:tcBorders>
            <w:shd w:val="clear" w:color="auto" w:fill="auto"/>
            <w:noWrap/>
            <w:vAlign w:val="bottom"/>
            <w:hideMark/>
          </w:tcPr>
          <w:p w:rsidR="00D26EF8" w:rsidRPr="00CD24A2" w:rsidRDefault="00D26EF8" w:rsidP="00495B62">
            <w:pPr>
              <w:spacing w:after="0"/>
              <w:rPr>
                <w:rFonts w:ascii="Calibri" w:hAnsi="Calibri" w:cs="Calibri"/>
                <w:color w:val="000000"/>
                <w:sz w:val="22"/>
                <w:szCs w:val="22"/>
                <w:lang w:eastAsia="en-IE"/>
              </w:rPr>
            </w:pPr>
          </w:p>
        </w:tc>
      </w:tr>
    </w:tbl>
    <w:p w:rsidR="00090571" w:rsidRDefault="00090571" w:rsidP="00090571">
      <w:pPr>
        <w:pStyle w:val="Heading1"/>
        <w:rPr>
          <w:lang w:eastAsia="en-IE"/>
        </w:rPr>
      </w:pPr>
      <w:r>
        <w:rPr>
          <w:lang w:eastAsia="en-IE"/>
        </w:rPr>
        <w:t>Members of the Code of Practice for Financial Professionals Writing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68"/>
        <w:gridCol w:w="3093"/>
      </w:tblGrid>
      <w:tr w:rsidR="00D26EF8" w:rsidTr="00495B62">
        <w:tc>
          <w:tcPr>
            <w:tcW w:w="3152" w:type="dxa"/>
            <w:shd w:val="clear" w:color="auto" w:fill="auto"/>
          </w:tcPr>
          <w:p w:rsidR="00D26EF8" w:rsidRPr="00495B62" w:rsidRDefault="00D26EF8" w:rsidP="00090571">
            <w:pPr>
              <w:rPr>
                <w:b/>
                <w:lang w:eastAsia="en-IE"/>
              </w:rPr>
            </w:pPr>
            <w:r w:rsidRPr="00495B62">
              <w:rPr>
                <w:b/>
                <w:lang w:eastAsia="en-IE"/>
              </w:rPr>
              <w:t>Surname</w:t>
            </w:r>
          </w:p>
        </w:tc>
        <w:tc>
          <w:tcPr>
            <w:tcW w:w="3153" w:type="dxa"/>
            <w:shd w:val="clear" w:color="auto" w:fill="auto"/>
          </w:tcPr>
          <w:p w:rsidR="00D26EF8" w:rsidRPr="00495B62" w:rsidRDefault="00D26EF8" w:rsidP="00090571">
            <w:pPr>
              <w:rPr>
                <w:b/>
                <w:lang w:eastAsia="en-IE"/>
              </w:rPr>
            </w:pPr>
            <w:r w:rsidRPr="00495B62">
              <w:rPr>
                <w:b/>
                <w:lang w:eastAsia="en-IE"/>
              </w:rPr>
              <w:t>Name</w:t>
            </w:r>
          </w:p>
        </w:tc>
        <w:tc>
          <w:tcPr>
            <w:tcW w:w="3153" w:type="dxa"/>
            <w:shd w:val="clear" w:color="auto" w:fill="auto"/>
          </w:tcPr>
          <w:p w:rsidR="00D26EF8" w:rsidRPr="00495B62" w:rsidRDefault="00D26EF8" w:rsidP="00090571">
            <w:pPr>
              <w:rPr>
                <w:b/>
                <w:lang w:eastAsia="en-IE"/>
              </w:rPr>
            </w:pPr>
            <w:r w:rsidRPr="00495B62">
              <w:rPr>
                <w:b/>
                <w:lang w:eastAsia="en-IE"/>
              </w:rPr>
              <w:t>Organisation</w:t>
            </w:r>
          </w:p>
        </w:tc>
      </w:tr>
      <w:tr w:rsidR="00D26EF8" w:rsidTr="00495B62">
        <w:tc>
          <w:tcPr>
            <w:tcW w:w="3152" w:type="dxa"/>
            <w:shd w:val="clear" w:color="auto" w:fill="auto"/>
          </w:tcPr>
          <w:p w:rsidR="00D26EF8" w:rsidRDefault="00D26EF8" w:rsidP="00090571">
            <w:pPr>
              <w:rPr>
                <w:lang w:eastAsia="en-IE"/>
              </w:rPr>
            </w:pPr>
            <w:r>
              <w:rPr>
                <w:lang w:eastAsia="en-IE"/>
              </w:rPr>
              <w:t>McCarthy</w:t>
            </w:r>
          </w:p>
        </w:tc>
        <w:tc>
          <w:tcPr>
            <w:tcW w:w="3153" w:type="dxa"/>
            <w:shd w:val="clear" w:color="auto" w:fill="auto"/>
          </w:tcPr>
          <w:p w:rsidR="00D26EF8" w:rsidRDefault="00D26EF8" w:rsidP="00090571">
            <w:pPr>
              <w:rPr>
                <w:lang w:eastAsia="en-IE"/>
              </w:rPr>
            </w:pPr>
            <w:proofErr w:type="spellStart"/>
            <w:r>
              <w:rPr>
                <w:lang w:eastAsia="en-IE"/>
              </w:rPr>
              <w:t>Rosarie</w:t>
            </w:r>
            <w:proofErr w:type="spellEnd"/>
          </w:p>
        </w:tc>
        <w:tc>
          <w:tcPr>
            <w:tcW w:w="3153" w:type="dxa"/>
            <w:shd w:val="clear" w:color="auto" w:fill="auto"/>
          </w:tcPr>
          <w:p w:rsidR="00D26EF8" w:rsidRDefault="00D26EF8" w:rsidP="00090571">
            <w:pPr>
              <w:rPr>
                <w:lang w:eastAsia="en-IE"/>
              </w:rPr>
            </w:pPr>
            <w:r>
              <w:rPr>
                <w:lang w:eastAsia="en-IE"/>
              </w:rPr>
              <w:t>National Disability Authority</w:t>
            </w:r>
          </w:p>
        </w:tc>
      </w:tr>
      <w:tr w:rsidR="00D26EF8" w:rsidTr="00495B62">
        <w:tc>
          <w:tcPr>
            <w:tcW w:w="3152" w:type="dxa"/>
            <w:shd w:val="clear" w:color="auto" w:fill="auto"/>
          </w:tcPr>
          <w:p w:rsidR="00D26EF8" w:rsidRDefault="00D26EF8" w:rsidP="00090571">
            <w:pPr>
              <w:rPr>
                <w:lang w:eastAsia="en-IE"/>
              </w:rPr>
            </w:pPr>
            <w:r>
              <w:rPr>
                <w:lang w:eastAsia="en-IE"/>
              </w:rPr>
              <w:t>Kennefick</w:t>
            </w:r>
          </w:p>
        </w:tc>
        <w:tc>
          <w:tcPr>
            <w:tcW w:w="3153" w:type="dxa"/>
            <w:shd w:val="clear" w:color="auto" w:fill="auto"/>
          </w:tcPr>
          <w:p w:rsidR="00D26EF8" w:rsidRDefault="00D26EF8" w:rsidP="00090571">
            <w:pPr>
              <w:rPr>
                <w:lang w:eastAsia="en-IE"/>
              </w:rPr>
            </w:pPr>
            <w:r>
              <w:rPr>
                <w:lang w:eastAsia="en-IE"/>
              </w:rPr>
              <w:t>Susan</w:t>
            </w:r>
          </w:p>
        </w:tc>
        <w:tc>
          <w:tcPr>
            <w:tcW w:w="3153" w:type="dxa"/>
            <w:shd w:val="clear" w:color="auto" w:fill="auto"/>
          </w:tcPr>
          <w:p w:rsidR="00D26EF8" w:rsidRDefault="00D26EF8" w:rsidP="00090571">
            <w:pPr>
              <w:rPr>
                <w:lang w:eastAsia="en-IE"/>
              </w:rPr>
            </w:pPr>
            <w:r>
              <w:rPr>
                <w:lang w:eastAsia="en-IE"/>
              </w:rPr>
              <w:t>National Disability Authority</w:t>
            </w:r>
          </w:p>
        </w:tc>
      </w:tr>
      <w:tr w:rsidR="00D26EF8" w:rsidTr="00495B62">
        <w:tc>
          <w:tcPr>
            <w:tcW w:w="3152" w:type="dxa"/>
            <w:shd w:val="clear" w:color="auto" w:fill="auto"/>
          </w:tcPr>
          <w:p w:rsidR="00D26EF8" w:rsidRDefault="00D26EF8" w:rsidP="00090571">
            <w:pPr>
              <w:rPr>
                <w:lang w:eastAsia="en-IE"/>
              </w:rPr>
            </w:pPr>
            <w:r>
              <w:rPr>
                <w:lang w:eastAsia="en-IE"/>
              </w:rPr>
              <w:t>Rickard-Clarke</w:t>
            </w:r>
          </w:p>
        </w:tc>
        <w:tc>
          <w:tcPr>
            <w:tcW w:w="3153" w:type="dxa"/>
            <w:shd w:val="clear" w:color="auto" w:fill="auto"/>
          </w:tcPr>
          <w:p w:rsidR="00D26EF8" w:rsidRDefault="00D26EF8" w:rsidP="00090571">
            <w:pPr>
              <w:rPr>
                <w:lang w:eastAsia="en-IE"/>
              </w:rPr>
            </w:pPr>
            <w:r>
              <w:rPr>
                <w:lang w:eastAsia="en-IE"/>
              </w:rPr>
              <w:t>Patricia</w:t>
            </w:r>
          </w:p>
        </w:tc>
        <w:tc>
          <w:tcPr>
            <w:tcW w:w="3153" w:type="dxa"/>
            <w:shd w:val="clear" w:color="auto" w:fill="auto"/>
          </w:tcPr>
          <w:p w:rsidR="00D26EF8" w:rsidRDefault="00D26EF8" w:rsidP="00090571">
            <w:pPr>
              <w:rPr>
                <w:lang w:eastAsia="en-IE"/>
              </w:rPr>
            </w:pPr>
            <w:r>
              <w:rPr>
                <w:lang w:eastAsia="en-IE"/>
              </w:rPr>
              <w:t>Safeguarding Ireland</w:t>
            </w:r>
          </w:p>
        </w:tc>
      </w:tr>
      <w:tr w:rsidR="00D26EF8" w:rsidTr="00495B62">
        <w:tc>
          <w:tcPr>
            <w:tcW w:w="3152" w:type="dxa"/>
            <w:shd w:val="clear" w:color="auto" w:fill="auto"/>
          </w:tcPr>
          <w:p w:rsidR="00D26EF8" w:rsidRDefault="00D26EF8" w:rsidP="00090571">
            <w:pPr>
              <w:rPr>
                <w:lang w:eastAsia="en-IE"/>
              </w:rPr>
            </w:pPr>
            <w:proofErr w:type="spellStart"/>
            <w:r>
              <w:rPr>
                <w:lang w:eastAsia="en-IE"/>
              </w:rPr>
              <w:t>Evoy</w:t>
            </w:r>
            <w:proofErr w:type="spellEnd"/>
          </w:p>
        </w:tc>
        <w:tc>
          <w:tcPr>
            <w:tcW w:w="3153" w:type="dxa"/>
            <w:shd w:val="clear" w:color="auto" w:fill="auto"/>
          </w:tcPr>
          <w:p w:rsidR="00D26EF8" w:rsidRDefault="00D26EF8" w:rsidP="00090571">
            <w:pPr>
              <w:rPr>
                <w:lang w:eastAsia="en-IE"/>
              </w:rPr>
            </w:pPr>
            <w:r>
              <w:rPr>
                <w:lang w:eastAsia="en-IE"/>
              </w:rPr>
              <w:t>Bernice</w:t>
            </w:r>
          </w:p>
        </w:tc>
        <w:tc>
          <w:tcPr>
            <w:tcW w:w="3153" w:type="dxa"/>
            <w:shd w:val="clear" w:color="auto" w:fill="auto"/>
          </w:tcPr>
          <w:p w:rsidR="00D26EF8" w:rsidRDefault="00D26EF8" w:rsidP="00090571">
            <w:pPr>
              <w:rPr>
                <w:lang w:eastAsia="en-IE"/>
              </w:rPr>
            </w:pPr>
            <w:r>
              <w:rPr>
                <w:lang w:eastAsia="en-IE"/>
              </w:rPr>
              <w:t>Banking and Payments Federation Ireland</w:t>
            </w:r>
          </w:p>
        </w:tc>
      </w:tr>
      <w:tr w:rsidR="00D26EF8" w:rsidTr="00495B62">
        <w:tc>
          <w:tcPr>
            <w:tcW w:w="3152" w:type="dxa"/>
            <w:shd w:val="clear" w:color="auto" w:fill="auto"/>
          </w:tcPr>
          <w:p w:rsidR="00D26EF8" w:rsidRDefault="00D26EF8" w:rsidP="00090571">
            <w:pPr>
              <w:rPr>
                <w:lang w:eastAsia="en-IE"/>
              </w:rPr>
            </w:pPr>
            <w:r>
              <w:rPr>
                <w:lang w:eastAsia="en-IE"/>
              </w:rPr>
              <w:t>O’Mahony</w:t>
            </w:r>
          </w:p>
        </w:tc>
        <w:tc>
          <w:tcPr>
            <w:tcW w:w="3153" w:type="dxa"/>
            <w:shd w:val="clear" w:color="auto" w:fill="auto"/>
          </w:tcPr>
          <w:p w:rsidR="00D26EF8" w:rsidRDefault="00D26EF8" w:rsidP="00090571">
            <w:pPr>
              <w:rPr>
                <w:lang w:eastAsia="en-IE"/>
              </w:rPr>
            </w:pPr>
            <w:r>
              <w:rPr>
                <w:lang w:eastAsia="en-IE"/>
              </w:rPr>
              <w:t>Louise</w:t>
            </w:r>
          </w:p>
        </w:tc>
        <w:tc>
          <w:tcPr>
            <w:tcW w:w="3153" w:type="dxa"/>
            <w:shd w:val="clear" w:color="auto" w:fill="auto"/>
          </w:tcPr>
          <w:p w:rsidR="00D26EF8" w:rsidRDefault="00D26EF8" w:rsidP="00090571">
            <w:pPr>
              <w:rPr>
                <w:lang w:eastAsia="en-IE"/>
              </w:rPr>
            </w:pPr>
            <w:r>
              <w:rPr>
                <w:lang w:eastAsia="en-IE"/>
              </w:rPr>
              <w:t>Banking and Payments Federation Ireland</w:t>
            </w:r>
          </w:p>
        </w:tc>
      </w:tr>
      <w:tr w:rsidR="00D26EF8" w:rsidTr="00495B62">
        <w:tc>
          <w:tcPr>
            <w:tcW w:w="3152" w:type="dxa"/>
            <w:shd w:val="clear" w:color="auto" w:fill="auto"/>
          </w:tcPr>
          <w:p w:rsidR="00D26EF8" w:rsidRDefault="00D26EF8" w:rsidP="00090571">
            <w:pPr>
              <w:rPr>
                <w:lang w:eastAsia="en-IE"/>
              </w:rPr>
            </w:pPr>
            <w:r>
              <w:rPr>
                <w:lang w:eastAsia="en-IE"/>
              </w:rPr>
              <w:t>Nolan</w:t>
            </w:r>
          </w:p>
        </w:tc>
        <w:tc>
          <w:tcPr>
            <w:tcW w:w="3153" w:type="dxa"/>
            <w:shd w:val="clear" w:color="auto" w:fill="auto"/>
          </w:tcPr>
          <w:p w:rsidR="00D26EF8" w:rsidRDefault="00D26EF8" w:rsidP="00090571">
            <w:pPr>
              <w:rPr>
                <w:lang w:eastAsia="en-IE"/>
              </w:rPr>
            </w:pPr>
            <w:r>
              <w:rPr>
                <w:lang w:eastAsia="en-IE"/>
              </w:rPr>
              <w:t>Colm</w:t>
            </w:r>
          </w:p>
        </w:tc>
        <w:tc>
          <w:tcPr>
            <w:tcW w:w="3153" w:type="dxa"/>
            <w:shd w:val="clear" w:color="auto" w:fill="auto"/>
          </w:tcPr>
          <w:p w:rsidR="00D26EF8" w:rsidRDefault="00D26EF8" w:rsidP="00090571">
            <w:pPr>
              <w:rPr>
                <w:lang w:eastAsia="en-IE"/>
              </w:rPr>
            </w:pPr>
            <w:r>
              <w:rPr>
                <w:lang w:eastAsia="en-IE"/>
              </w:rPr>
              <w:t>Society of Financial Planners Ireland</w:t>
            </w:r>
          </w:p>
        </w:tc>
      </w:tr>
      <w:tr w:rsidR="00D26EF8" w:rsidTr="00495B62">
        <w:tc>
          <w:tcPr>
            <w:tcW w:w="3152" w:type="dxa"/>
            <w:shd w:val="clear" w:color="auto" w:fill="auto"/>
          </w:tcPr>
          <w:p w:rsidR="00D26EF8" w:rsidRDefault="00D26EF8" w:rsidP="00090571">
            <w:pPr>
              <w:rPr>
                <w:lang w:eastAsia="en-IE"/>
              </w:rPr>
            </w:pPr>
            <w:r>
              <w:rPr>
                <w:lang w:eastAsia="en-IE"/>
              </w:rPr>
              <w:t>O’Connor</w:t>
            </w:r>
          </w:p>
        </w:tc>
        <w:tc>
          <w:tcPr>
            <w:tcW w:w="3153" w:type="dxa"/>
            <w:shd w:val="clear" w:color="auto" w:fill="auto"/>
          </w:tcPr>
          <w:p w:rsidR="00D26EF8" w:rsidRDefault="00D26EF8" w:rsidP="00090571">
            <w:pPr>
              <w:rPr>
                <w:lang w:eastAsia="en-IE"/>
              </w:rPr>
            </w:pPr>
            <w:r>
              <w:rPr>
                <w:lang w:eastAsia="en-IE"/>
              </w:rPr>
              <w:t>Annmarie</w:t>
            </w:r>
          </w:p>
        </w:tc>
        <w:tc>
          <w:tcPr>
            <w:tcW w:w="3153" w:type="dxa"/>
            <w:shd w:val="clear" w:color="auto" w:fill="auto"/>
          </w:tcPr>
          <w:p w:rsidR="00D26EF8" w:rsidRDefault="00D26EF8" w:rsidP="00090571">
            <w:pPr>
              <w:rPr>
                <w:lang w:eastAsia="en-IE"/>
              </w:rPr>
            </w:pPr>
            <w:r>
              <w:rPr>
                <w:lang w:eastAsia="en-IE"/>
              </w:rPr>
              <w:t>Money Advice and Budgeting Service</w:t>
            </w:r>
          </w:p>
        </w:tc>
      </w:tr>
      <w:tr w:rsidR="00D26EF8" w:rsidTr="00495B62">
        <w:tc>
          <w:tcPr>
            <w:tcW w:w="3152" w:type="dxa"/>
            <w:shd w:val="clear" w:color="auto" w:fill="auto"/>
          </w:tcPr>
          <w:p w:rsidR="00D26EF8" w:rsidRDefault="00D26EF8" w:rsidP="00090571">
            <w:pPr>
              <w:rPr>
                <w:lang w:eastAsia="en-IE"/>
              </w:rPr>
            </w:pPr>
            <w:r>
              <w:rPr>
                <w:lang w:eastAsia="en-IE"/>
              </w:rPr>
              <w:t>Gill</w:t>
            </w:r>
          </w:p>
        </w:tc>
        <w:tc>
          <w:tcPr>
            <w:tcW w:w="3153" w:type="dxa"/>
            <w:shd w:val="clear" w:color="auto" w:fill="auto"/>
          </w:tcPr>
          <w:p w:rsidR="00D26EF8" w:rsidRDefault="00642EFF" w:rsidP="00090571">
            <w:pPr>
              <w:rPr>
                <w:lang w:eastAsia="en-IE"/>
              </w:rPr>
            </w:pPr>
            <w:r>
              <w:rPr>
                <w:lang w:eastAsia="en-IE"/>
              </w:rPr>
              <w:t>Meagan</w:t>
            </w:r>
          </w:p>
        </w:tc>
        <w:tc>
          <w:tcPr>
            <w:tcW w:w="3153" w:type="dxa"/>
            <w:shd w:val="clear" w:color="auto" w:fill="auto"/>
          </w:tcPr>
          <w:p w:rsidR="00D26EF8" w:rsidRDefault="00642EFF" w:rsidP="00090571">
            <w:pPr>
              <w:rPr>
                <w:lang w:eastAsia="en-IE"/>
              </w:rPr>
            </w:pPr>
            <w:r>
              <w:rPr>
                <w:lang w:eastAsia="en-IE"/>
              </w:rPr>
              <w:t>Financial Services and Pensions Ombudsman</w:t>
            </w:r>
          </w:p>
        </w:tc>
      </w:tr>
      <w:tr w:rsidR="00D26EF8" w:rsidTr="00495B62">
        <w:tc>
          <w:tcPr>
            <w:tcW w:w="3152" w:type="dxa"/>
            <w:shd w:val="clear" w:color="auto" w:fill="auto"/>
          </w:tcPr>
          <w:p w:rsidR="00D26EF8" w:rsidRDefault="00642EFF" w:rsidP="00090571">
            <w:pPr>
              <w:rPr>
                <w:lang w:eastAsia="en-IE"/>
              </w:rPr>
            </w:pPr>
            <w:r>
              <w:rPr>
                <w:lang w:eastAsia="en-IE"/>
              </w:rPr>
              <w:t>Hoban</w:t>
            </w:r>
          </w:p>
        </w:tc>
        <w:tc>
          <w:tcPr>
            <w:tcW w:w="3153" w:type="dxa"/>
            <w:shd w:val="clear" w:color="auto" w:fill="auto"/>
          </w:tcPr>
          <w:p w:rsidR="00D26EF8" w:rsidRDefault="00642EFF" w:rsidP="00090571">
            <w:pPr>
              <w:rPr>
                <w:lang w:eastAsia="en-IE"/>
              </w:rPr>
            </w:pPr>
            <w:r>
              <w:rPr>
                <w:lang w:eastAsia="en-IE"/>
              </w:rPr>
              <w:t>Jennifer</w:t>
            </w:r>
          </w:p>
        </w:tc>
        <w:tc>
          <w:tcPr>
            <w:tcW w:w="3153" w:type="dxa"/>
            <w:shd w:val="clear" w:color="auto" w:fill="auto"/>
          </w:tcPr>
          <w:p w:rsidR="00D26EF8" w:rsidRDefault="00642EFF" w:rsidP="00090571">
            <w:pPr>
              <w:rPr>
                <w:lang w:eastAsia="en-IE"/>
              </w:rPr>
            </w:pPr>
            <w:r>
              <w:rPr>
                <w:lang w:eastAsia="en-IE"/>
              </w:rPr>
              <w:t>Insurance Ireland</w:t>
            </w:r>
          </w:p>
        </w:tc>
      </w:tr>
      <w:tr w:rsidR="00D26EF8" w:rsidTr="00495B62">
        <w:tc>
          <w:tcPr>
            <w:tcW w:w="3152" w:type="dxa"/>
            <w:shd w:val="clear" w:color="auto" w:fill="auto"/>
          </w:tcPr>
          <w:p w:rsidR="00D26EF8" w:rsidRDefault="00642EFF" w:rsidP="00090571">
            <w:pPr>
              <w:rPr>
                <w:lang w:eastAsia="en-IE"/>
              </w:rPr>
            </w:pPr>
            <w:r>
              <w:rPr>
                <w:lang w:eastAsia="en-IE"/>
              </w:rPr>
              <w:t>Carrick</w:t>
            </w:r>
          </w:p>
        </w:tc>
        <w:tc>
          <w:tcPr>
            <w:tcW w:w="3153" w:type="dxa"/>
            <w:shd w:val="clear" w:color="auto" w:fill="auto"/>
          </w:tcPr>
          <w:p w:rsidR="00D26EF8" w:rsidRDefault="00642EFF" w:rsidP="00090571">
            <w:pPr>
              <w:rPr>
                <w:lang w:eastAsia="en-IE"/>
              </w:rPr>
            </w:pPr>
            <w:r>
              <w:rPr>
                <w:lang w:eastAsia="en-IE"/>
              </w:rPr>
              <w:t>Michael</w:t>
            </w:r>
          </w:p>
        </w:tc>
        <w:tc>
          <w:tcPr>
            <w:tcW w:w="3153" w:type="dxa"/>
            <w:shd w:val="clear" w:color="auto" w:fill="auto"/>
          </w:tcPr>
          <w:p w:rsidR="00D26EF8" w:rsidRDefault="00642EFF" w:rsidP="00090571">
            <w:pPr>
              <w:rPr>
                <w:lang w:eastAsia="en-IE"/>
              </w:rPr>
            </w:pPr>
            <w:r>
              <w:rPr>
                <w:lang w:eastAsia="en-IE"/>
              </w:rPr>
              <w:t>An Post</w:t>
            </w:r>
          </w:p>
        </w:tc>
      </w:tr>
      <w:tr w:rsidR="00642EFF" w:rsidTr="00495B62">
        <w:tc>
          <w:tcPr>
            <w:tcW w:w="3152" w:type="dxa"/>
            <w:shd w:val="clear" w:color="auto" w:fill="auto"/>
          </w:tcPr>
          <w:p w:rsidR="00642EFF" w:rsidRDefault="00642EFF" w:rsidP="00090571">
            <w:pPr>
              <w:rPr>
                <w:lang w:eastAsia="en-IE"/>
              </w:rPr>
            </w:pPr>
            <w:proofErr w:type="spellStart"/>
            <w:r>
              <w:rPr>
                <w:lang w:eastAsia="en-IE"/>
              </w:rPr>
              <w:t>Slowey</w:t>
            </w:r>
            <w:proofErr w:type="spellEnd"/>
          </w:p>
        </w:tc>
        <w:tc>
          <w:tcPr>
            <w:tcW w:w="3153" w:type="dxa"/>
            <w:shd w:val="clear" w:color="auto" w:fill="auto"/>
          </w:tcPr>
          <w:p w:rsidR="00642EFF" w:rsidRDefault="00642EFF" w:rsidP="00090571">
            <w:pPr>
              <w:rPr>
                <w:lang w:eastAsia="en-IE"/>
              </w:rPr>
            </w:pPr>
            <w:r>
              <w:rPr>
                <w:lang w:eastAsia="en-IE"/>
              </w:rPr>
              <w:t>Mary</w:t>
            </w:r>
          </w:p>
        </w:tc>
        <w:tc>
          <w:tcPr>
            <w:tcW w:w="3153" w:type="dxa"/>
            <w:shd w:val="clear" w:color="auto" w:fill="auto"/>
          </w:tcPr>
          <w:p w:rsidR="00642EFF" w:rsidRDefault="00642EFF" w:rsidP="00090571">
            <w:pPr>
              <w:rPr>
                <w:lang w:eastAsia="en-IE"/>
              </w:rPr>
            </w:pPr>
            <w:r>
              <w:rPr>
                <w:lang w:eastAsia="en-IE"/>
              </w:rPr>
              <w:t>Irish League of Credit Unions</w:t>
            </w:r>
          </w:p>
        </w:tc>
      </w:tr>
      <w:tr w:rsidR="00642EFF" w:rsidTr="00495B62">
        <w:tc>
          <w:tcPr>
            <w:tcW w:w="3152" w:type="dxa"/>
            <w:shd w:val="clear" w:color="auto" w:fill="auto"/>
          </w:tcPr>
          <w:p w:rsidR="00642EFF" w:rsidRDefault="00642EFF" w:rsidP="00090571">
            <w:pPr>
              <w:rPr>
                <w:lang w:eastAsia="en-IE"/>
              </w:rPr>
            </w:pPr>
            <w:proofErr w:type="spellStart"/>
            <w:r>
              <w:rPr>
                <w:lang w:eastAsia="en-IE"/>
              </w:rPr>
              <w:t>Larke</w:t>
            </w:r>
            <w:proofErr w:type="spellEnd"/>
          </w:p>
        </w:tc>
        <w:tc>
          <w:tcPr>
            <w:tcW w:w="3153" w:type="dxa"/>
            <w:shd w:val="clear" w:color="auto" w:fill="auto"/>
          </w:tcPr>
          <w:p w:rsidR="00642EFF" w:rsidRDefault="00642EFF" w:rsidP="00090571">
            <w:pPr>
              <w:rPr>
                <w:lang w:eastAsia="en-IE"/>
              </w:rPr>
            </w:pPr>
            <w:r>
              <w:rPr>
                <w:lang w:eastAsia="en-IE"/>
              </w:rPr>
              <w:t>Elaine</w:t>
            </w:r>
          </w:p>
        </w:tc>
        <w:tc>
          <w:tcPr>
            <w:tcW w:w="3153" w:type="dxa"/>
            <w:shd w:val="clear" w:color="auto" w:fill="auto"/>
          </w:tcPr>
          <w:p w:rsidR="00642EFF" w:rsidRDefault="00642EFF" w:rsidP="00090571">
            <w:pPr>
              <w:rPr>
                <w:lang w:eastAsia="en-IE"/>
              </w:rPr>
            </w:pPr>
            <w:r>
              <w:rPr>
                <w:lang w:eastAsia="en-IE"/>
              </w:rPr>
              <w:t>Credit Union Development Association</w:t>
            </w:r>
          </w:p>
        </w:tc>
      </w:tr>
      <w:tr w:rsidR="00642EFF" w:rsidTr="00495B62">
        <w:tc>
          <w:tcPr>
            <w:tcW w:w="3152" w:type="dxa"/>
            <w:shd w:val="clear" w:color="auto" w:fill="auto"/>
          </w:tcPr>
          <w:p w:rsidR="00642EFF" w:rsidRDefault="00642EFF" w:rsidP="00090571">
            <w:pPr>
              <w:rPr>
                <w:lang w:eastAsia="en-IE"/>
              </w:rPr>
            </w:pPr>
            <w:r>
              <w:rPr>
                <w:lang w:eastAsia="en-IE"/>
              </w:rPr>
              <w:t>Doyle</w:t>
            </w:r>
          </w:p>
        </w:tc>
        <w:tc>
          <w:tcPr>
            <w:tcW w:w="3153" w:type="dxa"/>
            <w:shd w:val="clear" w:color="auto" w:fill="auto"/>
          </w:tcPr>
          <w:p w:rsidR="00642EFF" w:rsidRDefault="00642EFF" w:rsidP="00090571">
            <w:pPr>
              <w:rPr>
                <w:lang w:eastAsia="en-IE"/>
              </w:rPr>
            </w:pPr>
            <w:r>
              <w:rPr>
                <w:lang w:eastAsia="en-IE"/>
              </w:rPr>
              <w:t>Linda</w:t>
            </w:r>
          </w:p>
        </w:tc>
        <w:tc>
          <w:tcPr>
            <w:tcW w:w="3153" w:type="dxa"/>
            <w:shd w:val="clear" w:color="auto" w:fill="auto"/>
          </w:tcPr>
          <w:p w:rsidR="00642EFF" w:rsidRDefault="00642EFF" w:rsidP="00090571">
            <w:pPr>
              <w:rPr>
                <w:lang w:eastAsia="en-IE"/>
              </w:rPr>
            </w:pPr>
            <w:r>
              <w:rPr>
                <w:lang w:eastAsia="en-IE"/>
              </w:rPr>
              <w:t>Brokers Ireland</w:t>
            </w:r>
          </w:p>
        </w:tc>
      </w:tr>
    </w:tbl>
    <w:p w:rsidR="00CD24A2" w:rsidRDefault="00CD24A2" w:rsidP="00CD24A2"/>
    <w:p w:rsidR="00642EFF" w:rsidRDefault="00642EFF" w:rsidP="00642EFF">
      <w:pPr>
        <w:pStyle w:val="Heading1"/>
      </w:pPr>
      <w:r>
        <w:lastRenderedPageBreak/>
        <w:t>Members of the Code of Practice for Legal Professionals Writing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62"/>
        <w:gridCol w:w="3095"/>
      </w:tblGrid>
      <w:tr w:rsidR="00642EFF" w:rsidTr="00495B62">
        <w:tc>
          <w:tcPr>
            <w:tcW w:w="3152" w:type="dxa"/>
            <w:shd w:val="clear" w:color="auto" w:fill="auto"/>
          </w:tcPr>
          <w:p w:rsidR="00642EFF" w:rsidRPr="00495B62" w:rsidRDefault="002F2020" w:rsidP="00642EFF">
            <w:pPr>
              <w:rPr>
                <w:b/>
              </w:rPr>
            </w:pPr>
            <w:r w:rsidRPr="00495B62">
              <w:rPr>
                <w:b/>
              </w:rPr>
              <w:t>Surname</w:t>
            </w:r>
          </w:p>
        </w:tc>
        <w:tc>
          <w:tcPr>
            <w:tcW w:w="3153" w:type="dxa"/>
            <w:shd w:val="clear" w:color="auto" w:fill="auto"/>
          </w:tcPr>
          <w:p w:rsidR="00642EFF" w:rsidRPr="00495B62" w:rsidRDefault="002F2020" w:rsidP="00642EFF">
            <w:pPr>
              <w:rPr>
                <w:b/>
              </w:rPr>
            </w:pPr>
            <w:r w:rsidRPr="00495B62">
              <w:rPr>
                <w:b/>
              </w:rPr>
              <w:t>Name</w:t>
            </w:r>
          </w:p>
        </w:tc>
        <w:tc>
          <w:tcPr>
            <w:tcW w:w="3153" w:type="dxa"/>
            <w:shd w:val="clear" w:color="auto" w:fill="auto"/>
          </w:tcPr>
          <w:p w:rsidR="00642EFF" w:rsidRPr="00495B62" w:rsidRDefault="002F2020" w:rsidP="00642EFF">
            <w:pPr>
              <w:rPr>
                <w:b/>
              </w:rPr>
            </w:pPr>
            <w:r w:rsidRPr="00495B62">
              <w:rPr>
                <w:b/>
              </w:rPr>
              <w:t>Organisation</w:t>
            </w:r>
          </w:p>
        </w:tc>
      </w:tr>
      <w:tr w:rsidR="00642EFF" w:rsidTr="00495B62">
        <w:tc>
          <w:tcPr>
            <w:tcW w:w="3152" w:type="dxa"/>
            <w:shd w:val="clear" w:color="auto" w:fill="auto"/>
          </w:tcPr>
          <w:p w:rsidR="00642EFF" w:rsidRDefault="002F2020" w:rsidP="00642EFF">
            <w:r>
              <w:t>Kennefick</w:t>
            </w:r>
          </w:p>
        </w:tc>
        <w:tc>
          <w:tcPr>
            <w:tcW w:w="3153" w:type="dxa"/>
            <w:shd w:val="clear" w:color="auto" w:fill="auto"/>
          </w:tcPr>
          <w:p w:rsidR="00642EFF" w:rsidRDefault="002F2020" w:rsidP="00642EFF">
            <w:r>
              <w:t>Susan</w:t>
            </w:r>
          </w:p>
        </w:tc>
        <w:tc>
          <w:tcPr>
            <w:tcW w:w="3153" w:type="dxa"/>
            <w:shd w:val="clear" w:color="auto" w:fill="auto"/>
          </w:tcPr>
          <w:p w:rsidR="00642EFF" w:rsidRDefault="002F2020" w:rsidP="00642EFF">
            <w:r>
              <w:t>National Disability Authority</w:t>
            </w:r>
          </w:p>
        </w:tc>
      </w:tr>
      <w:tr w:rsidR="00642EFF" w:rsidTr="00495B62">
        <w:tc>
          <w:tcPr>
            <w:tcW w:w="3152" w:type="dxa"/>
            <w:shd w:val="clear" w:color="auto" w:fill="auto"/>
          </w:tcPr>
          <w:p w:rsidR="00642EFF" w:rsidRDefault="0086079C" w:rsidP="00642EFF">
            <w:r>
              <w:t>Condell</w:t>
            </w:r>
          </w:p>
        </w:tc>
        <w:tc>
          <w:tcPr>
            <w:tcW w:w="3153" w:type="dxa"/>
            <w:shd w:val="clear" w:color="auto" w:fill="auto"/>
          </w:tcPr>
          <w:p w:rsidR="00642EFF" w:rsidRDefault="0086079C" w:rsidP="00642EFF">
            <w:r>
              <w:t>Mary</w:t>
            </w:r>
          </w:p>
        </w:tc>
        <w:tc>
          <w:tcPr>
            <w:tcW w:w="3153" w:type="dxa"/>
            <w:shd w:val="clear" w:color="auto" w:fill="auto"/>
          </w:tcPr>
          <w:p w:rsidR="00642EFF" w:rsidRDefault="0086079C" w:rsidP="00642EFF">
            <w:r>
              <w:t>Law Society</w:t>
            </w:r>
          </w:p>
        </w:tc>
      </w:tr>
      <w:tr w:rsidR="00642EFF" w:rsidTr="00495B62">
        <w:tc>
          <w:tcPr>
            <w:tcW w:w="3152" w:type="dxa"/>
            <w:shd w:val="clear" w:color="auto" w:fill="auto"/>
          </w:tcPr>
          <w:p w:rsidR="00642EFF" w:rsidRDefault="0086079C" w:rsidP="00642EFF">
            <w:r>
              <w:t>Walsh</w:t>
            </w:r>
          </w:p>
        </w:tc>
        <w:tc>
          <w:tcPr>
            <w:tcW w:w="3153" w:type="dxa"/>
            <w:shd w:val="clear" w:color="auto" w:fill="auto"/>
          </w:tcPr>
          <w:p w:rsidR="00642EFF" w:rsidRDefault="0086079C" w:rsidP="00642EFF">
            <w:r>
              <w:t>Keith</w:t>
            </w:r>
          </w:p>
        </w:tc>
        <w:tc>
          <w:tcPr>
            <w:tcW w:w="3153" w:type="dxa"/>
            <w:shd w:val="clear" w:color="auto" w:fill="auto"/>
          </w:tcPr>
          <w:p w:rsidR="00642EFF" w:rsidRDefault="0086079C" w:rsidP="00642EFF">
            <w:r>
              <w:t>Law Society</w:t>
            </w:r>
          </w:p>
        </w:tc>
      </w:tr>
      <w:tr w:rsidR="00642EFF" w:rsidTr="00495B62">
        <w:tc>
          <w:tcPr>
            <w:tcW w:w="3152" w:type="dxa"/>
            <w:shd w:val="clear" w:color="auto" w:fill="auto"/>
          </w:tcPr>
          <w:p w:rsidR="00642EFF" w:rsidRDefault="0086079C" w:rsidP="00642EFF">
            <w:r>
              <w:t>Kirwan</w:t>
            </w:r>
          </w:p>
        </w:tc>
        <w:tc>
          <w:tcPr>
            <w:tcW w:w="3153" w:type="dxa"/>
            <w:shd w:val="clear" w:color="auto" w:fill="auto"/>
          </w:tcPr>
          <w:p w:rsidR="00642EFF" w:rsidRDefault="0086079C" w:rsidP="00642EFF">
            <w:r>
              <w:t>Linda</w:t>
            </w:r>
          </w:p>
        </w:tc>
        <w:tc>
          <w:tcPr>
            <w:tcW w:w="3153" w:type="dxa"/>
            <w:shd w:val="clear" w:color="auto" w:fill="auto"/>
          </w:tcPr>
          <w:p w:rsidR="00642EFF" w:rsidRDefault="0086079C" w:rsidP="00642EFF">
            <w:r>
              <w:t>Law Society</w:t>
            </w:r>
          </w:p>
        </w:tc>
      </w:tr>
      <w:tr w:rsidR="00642EFF" w:rsidTr="00495B62">
        <w:tc>
          <w:tcPr>
            <w:tcW w:w="3152" w:type="dxa"/>
            <w:shd w:val="clear" w:color="auto" w:fill="auto"/>
          </w:tcPr>
          <w:p w:rsidR="00642EFF" w:rsidRDefault="0086079C" w:rsidP="00642EFF">
            <w:r>
              <w:t>Doyle</w:t>
            </w:r>
          </w:p>
        </w:tc>
        <w:tc>
          <w:tcPr>
            <w:tcW w:w="3153" w:type="dxa"/>
            <w:shd w:val="clear" w:color="auto" w:fill="auto"/>
          </w:tcPr>
          <w:p w:rsidR="00642EFF" w:rsidRDefault="0086079C" w:rsidP="00642EFF">
            <w:r>
              <w:t>Olive</w:t>
            </w:r>
          </w:p>
        </w:tc>
        <w:tc>
          <w:tcPr>
            <w:tcW w:w="3153" w:type="dxa"/>
            <w:shd w:val="clear" w:color="auto" w:fill="auto"/>
          </w:tcPr>
          <w:p w:rsidR="00642EFF" w:rsidRDefault="0086079C" w:rsidP="00642EFF">
            <w:r>
              <w:t>Law Society</w:t>
            </w:r>
          </w:p>
        </w:tc>
      </w:tr>
      <w:tr w:rsidR="00642EFF" w:rsidTr="00495B62">
        <w:tc>
          <w:tcPr>
            <w:tcW w:w="3152" w:type="dxa"/>
            <w:shd w:val="clear" w:color="auto" w:fill="auto"/>
          </w:tcPr>
          <w:p w:rsidR="00642EFF" w:rsidRDefault="0086079C" w:rsidP="00642EFF">
            <w:r>
              <w:t>Hynes</w:t>
            </w:r>
          </w:p>
        </w:tc>
        <w:tc>
          <w:tcPr>
            <w:tcW w:w="3153" w:type="dxa"/>
            <w:shd w:val="clear" w:color="auto" w:fill="auto"/>
          </w:tcPr>
          <w:p w:rsidR="00642EFF" w:rsidRDefault="0086079C" w:rsidP="00642EFF">
            <w:r>
              <w:t>Áine</w:t>
            </w:r>
          </w:p>
        </w:tc>
        <w:tc>
          <w:tcPr>
            <w:tcW w:w="3153" w:type="dxa"/>
            <w:shd w:val="clear" w:color="auto" w:fill="auto"/>
          </w:tcPr>
          <w:p w:rsidR="00642EFF" w:rsidRDefault="0086079C" w:rsidP="00642EFF">
            <w:r>
              <w:t>Law Society</w:t>
            </w:r>
          </w:p>
        </w:tc>
      </w:tr>
      <w:tr w:rsidR="0086079C" w:rsidTr="00495B62">
        <w:tc>
          <w:tcPr>
            <w:tcW w:w="3152" w:type="dxa"/>
            <w:shd w:val="clear" w:color="auto" w:fill="auto"/>
          </w:tcPr>
          <w:p w:rsidR="0086079C" w:rsidRDefault="0086079C" w:rsidP="00642EFF">
            <w:r>
              <w:t>Hammond</w:t>
            </w:r>
          </w:p>
        </w:tc>
        <w:tc>
          <w:tcPr>
            <w:tcW w:w="3153" w:type="dxa"/>
            <w:shd w:val="clear" w:color="auto" w:fill="auto"/>
          </w:tcPr>
          <w:p w:rsidR="0086079C" w:rsidRDefault="0086079C" w:rsidP="00642EFF">
            <w:r>
              <w:t>Richard</w:t>
            </w:r>
          </w:p>
        </w:tc>
        <w:tc>
          <w:tcPr>
            <w:tcW w:w="3153" w:type="dxa"/>
            <w:shd w:val="clear" w:color="auto" w:fill="auto"/>
          </w:tcPr>
          <w:p w:rsidR="0086079C" w:rsidRDefault="0086079C" w:rsidP="00642EFF">
            <w:r>
              <w:t>Law Society</w:t>
            </w:r>
          </w:p>
        </w:tc>
      </w:tr>
      <w:tr w:rsidR="0086079C" w:rsidTr="00495B62">
        <w:tc>
          <w:tcPr>
            <w:tcW w:w="3152" w:type="dxa"/>
            <w:shd w:val="clear" w:color="auto" w:fill="auto"/>
          </w:tcPr>
          <w:p w:rsidR="0086079C" w:rsidRDefault="0086079C" w:rsidP="00642EFF">
            <w:r>
              <w:t>Brady</w:t>
            </w:r>
          </w:p>
        </w:tc>
        <w:tc>
          <w:tcPr>
            <w:tcW w:w="3153" w:type="dxa"/>
            <w:shd w:val="clear" w:color="auto" w:fill="auto"/>
          </w:tcPr>
          <w:p w:rsidR="0086079C" w:rsidRDefault="0086079C" w:rsidP="00642EFF">
            <w:r>
              <w:t>Paul</w:t>
            </w:r>
          </w:p>
        </w:tc>
        <w:tc>
          <w:tcPr>
            <w:tcW w:w="3153" w:type="dxa"/>
            <w:shd w:val="clear" w:color="auto" w:fill="auto"/>
          </w:tcPr>
          <w:p w:rsidR="0086079C" w:rsidRDefault="0086079C" w:rsidP="00642EFF">
            <w:r>
              <w:t>Bar Council</w:t>
            </w:r>
          </w:p>
        </w:tc>
      </w:tr>
    </w:tbl>
    <w:p w:rsidR="00642EFF" w:rsidRPr="00642EFF" w:rsidRDefault="00642EFF" w:rsidP="00642EFF"/>
    <w:sectPr w:rsidR="00642EFF" w:rsidRPr="00642EFF">
      <w:headerReference w:type="default" r:id="rId7"/>
      <w:footerReference w:type="default" r:id="rId8"/>
      <w:headerReference w:type="first" r:id="rId9"/>
      <w:pgSz w:w="11907" w:h="16840" w:code="9"/>
      <w:pgMar w:top="851" w:right="851" w:bottom="2552"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0B" w:rsidRDefault="00AF750B">
      <w:r>
        <w:separator/>
      </w:r>
    </w:p>
  </w:endnote>
  <w:endnote w:type="continuationSeparator" w:id="0">
    <w:p w:rsidR="00AF750B" w:rsidRDefault="00AF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w:altName w:val="Gill Sans MT"/>
    <w:charset w:val="00"/>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harlotte Sans">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0B" w:rsidRDefault="00AF750B">
      <w:r>
        <w:separator/>
      </w:r>
    </w:p>
  </w:footnote>
  <w:footnote w:type="continuationSeparator" w:id="0">
    <w:p w:rsidR="00AF750B" w:rsidRDefault="00AF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73" w:rsidRDefault="00EF147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p w:rsidR="00EF1473" w:rsidRDefault="00EF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2"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3"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4"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num w:numId="1">
    <w:abstractNumId w:val="5"/>
  </w:num>
  <w:num w:numId="2">
    <w:abstractNumId w:val="5"/>
  </w:num>
  <w:num w:numId="3">
    <w:abstractNumId w:val="3"/>
  </w:num>
  <w:num w:numId="4">
    <w:abstractNumId w:val="3"/>
  </w:num>
  <w:num w:numId="5">
    <w:abstractNumId w:val="2"/>
  </w:num>
  <w:num w:numId="6">
    <w:abstractNumId w:val="2"/>
  </w:num>
  <w:num w:numId="7">
    <w:abstractNumId w:val="4"/>
  </w:num>
  <w:num w:numId="8">
    <w:abstractNumId w:val="4"/>
  </w:num>
  <w:num w:numId="9">
    <w:abstractNumId w:val="1"/>
  </w:num>
  <w:num w:numId="10">
    <w:abstractNumId w:val="1"/>
  </w:num>
  <w:num w:numId="11">
    <w:abstractNumId w:val="0"/>
  </w:num>
  <w:num w:numId="12">
    <w:abstractNumId w:val="0"/>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E7"/>
    <w:rsid w:val="00090571"/>
    <w:rsid w:val="0018623B"/>
    <w:rsid w:val="00197272"/>
    <w:rsid w:val="001B51BD"/>
    <w:rsid w:val="001D628A"/>
    <w:rsid w:val="00223A56"/>
    <w:rsid w:val="00236CA9"/>
    <w:rsid w:val="0027386D"/>
    <w:rsid w:val="002B75A1"/>
    <w:rsid w:val="002F2020"/>
    <w:rsid w:val="00321D42"/>
    <w:rsid w:val="00362CC9"/>
    <w:rsid w:val="00366E7B"/>
    <w:rsid w:val="00381EFF"/>
    <w:rsid w:val="003A2068"/>
    <w:rsid w:val="00495B62"/>
    <w:rsid w:val="004A75E7"/>
    <w:rsid w:val="004F1F69"/>
    <w:rsid w:val="00516CD6"/>
    <w:rsid w:val="0056345C"/>
    <w:rsid w:val="005A34E1"/>
    <w:rsid w:val="00610202"/>
    <w:rsid w:val="00642EFF"/>
    <w:rsid w:val="00660202"/>
    <w:rsid w:val="00695716"/>
    <w:rsid w:val="006F30BA"/>
    <w:rsid w:val="007072E0"/>
    <w:rsid w:val="0075428A"/>
    <w:rsid w:val="0077187F"/>
    <w:rsid w:val="00772F38"/>
    <w:rsid w:val="007916F9"/>
    <w:rsid w:val="00796B83"/>
    <w:rsid w:val="00811421"/>
    <w:rsid w:val="00854748"/>
    <w:rsid w:val="0086079C"/>
    <w:rsid w:val="0088099E"/>
    <w:rsid w:val="00884C3A"/>
    <w:rsid w:val="0096166E"/>
    <w:rsid w:val="009D7F3D"/>
    <w:rsid w:val="00A271B3"/>
    <w:rsid w:val="00A318ED"/>
    <w:rsid w:val="00A442CD"/>
    <w:rsid w:val="00AF750B"/>
    <w:rsid w:val="00B74954"/>
    <w:rsid w:val="00B77EC5"/>
    <w:rsid w:val="00B8685C"/>
    <w:rsid w:val="00CD24A2"/>
    <w:rsid w:val="00CF63BB"/>
    <w:rsid w:val="00D02651"/>
    <w:rsid w:val="00D26EF8"/>
    <w:rsid w:val="00D3577D"/>
    <w:rsid w:val="00D8293D"/>
    <w:rsid w:val="00DF24A2"/>
    <w:rsid w:val="00E443D4"/>
    <w:rsid w:val="00EE1C66"/>
    <w:rsid w:val="00EF067F"/>
    <w:rsid w:val="00EF1473"/>
    <w:rsid w:val="00F064C1"/>
    <w:rsid w:val="00FF6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9CC299"/>
  <w15:chartTrackingRefBased/>
  <w15:docId w15:val="{6B5919CF-E5CE-453B-A7E2-EB13CE22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86D"/>
    <w:pPr>
      <w:spacing w:after="240"/>
    </w:pPr>
    <w:rPr>
      <w:rFonts w:ascii="Gill Sans" w:eastAsia="Times New Roman" w:hAnsi="Gill Sans"/>
      <w:sz w:val="26"/>
      <w:szCs w:val="24"/>
      <w:lang w:eastAsia="en-US"/>
    </w:rPr>
  </w:style>
  <w:style w:type="paragraph" w:styleId="Heading1">
    <w:name w:val="heading 1"/>
    <w:basedOn w:val="Normal"/>
    <w:next w:val="Normal"/>
    <w:qFormat/>
    <w:rsid w:val="00223A56"/>
    <w:pPr>
      <w:keepNext/>
      <w:spacing w:before="3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ascii="Arial Bold" w:hAnsi="Arial Bold" w:cs="Arial"/>
      <w:b/>
      <w:bCs/>
      <w:iCs/>
      <w:sz w:val="28"/>
      <w:szCs w:val="28"/>
    </w:rPr>
  </w:style>
  <w:style w:type="paragraph" w:styleId="Heading3">
    <w:name w:val="heading 3"/>
    <w:basedOn w:val="Normal"/>
    <w:next w:val="Normal"/>
    <w:qFormat/>
    <w:pPr>
      <w:keepNext/>
      <w:spacing w:before="240" w:after="0"/>
      <w:outlineLvl w:val="2"/>
    </w:pPr>
    <w:rPr>
      <w:rFonts w:ascii="Arial Bold" w:hAnsi="Arial Bold" w:cs="Arial"/>
      <w:b/>
      <w:bCs/>
    </w:rPr>
  </w:style>
  <w:style w:type="paragraph" w:styleId="Heading4">
    <w:name w:val="heading 4"/>
    <w:basedOn w:val="Normal"/>
    <w:next w:val="Normal"/>
    <w:qFormat/>
    <w:pPr>
      <w:keepNext/>
      <w:spacing w:before="240" w:after="60"/>
      <w:outlineLvl w:val="3"/>
    </w:pPr>
    <w:rPr>
      <w:rFonts w:ascii="Arial Bold" w:hAnsi="Arial Bold"/>
      <w:b/>
      <w:bCs/>
      <w:color w:val="333333"/>
    </w:rPr>
  </w:style>
  <w:style w:type="paragraph" w:styleId="Heading5">
    <w:name w:val="heading 5"/>
    <w:basedOn w:val="Normal"/>
    <w:next w:val="Normal"/>
    <w:qFormat/>
    <w:pPr>
      <w:spacing w:before="240"/>
      <w:outlineLvl w:val="4"/>
    </w:pPr>
    <w:rPr>
      <w:b/>
      <w:bCs/>
      <w:i/>
      <w:iCs/>
      <w:szCs w:val="26"/>
    </w:rPr>
  </w:style>
  <w:style w:type="paragraph" w:styleId="Heading6">
    <w:name w:val="heading 6"/>
    <w:basedOn w:val="Normal"/>
    <w:next w:val="Normal"/>
    <w:qFormat/>
    <w:pPr>
      <w:spacing w:before="240"/>
      <w:outlineLvl w:val="5"/>
    </w:pPr>
    <w:rPr>
      <w:rFonts w:ascii="Times New Roman" w:hAnsi="Times New Roman"/>
      <w:b/>
      <w:bCs/>
      <w:sz w:val="22"/>
      <w:szCs w:val="22"/>
    </w:rPr>
  </w:style>
  <w:style w:type="paragraph" w:styleId="Heading7">
    <w:name w:val="heading 7"/>
    <w:basedOn w:val="Normal"/>
    <w:next w:val="Normal"/>
    <w:qFormat/>
    <w:pPr>
      <w:keepNext/>
      <w:spacing w:before="240"/>
      <w:jc w:val="center"/>
      <w:outlineLvl w:val="6"/>
    </w:pPr>
    <w:rPr>
      <w:rFonts w:cs="Arial"/>
      <w:b/>
      <w:sz w:val="48"/>
      <w:szCs w:val="40"/>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spacing w:before="240"/>
      <w:outlineLvl w:val="8"/>
    </w:pPr>
    <w:rPr>
      <w:rFonts w:cs="Arial"/>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character" w:customStyle="1" w:styleId="attribute-value">
    <w:name w:val="attribute-value"/>
    <w:basedOn w:val="DefaultParagraphFont"/>
  </w:style>
  <w:style w:type="paragraph" w:styleId="CommentText">
    <w:name w:val="annotation text"/>
    <w:basedOn w:val="Normal"/>
    <w:link w:val="CommentTextChar"/>
    <w:semiHidden/>
    <w:rPr>
      <w:sz w:val="20"/>
    </w:rPr>
  </w:style>
  <w:style w:type="paragraph" w:customStyle="1" w:styleId="BlockQuote">
    <w:name w:val="Block Quote"/>
    <w:basedOn w:val="CommentText"/>
    <w:pPr>
      <w:ind w:left="1134"/>
    </w:pPr>
    <w:rPr>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customStyle="1" w:styleId="Byline">
    <w:name w:val="Byline"/>
    <w:basedOn w:val="Normal"/>
    <w:next w:val="Normal"/>
    <w:pPr>
      <w:spacing w:after="0"/>
    </w:pPr>
    <w:rPr>
      <w:rFonts w:ascii="Times New Roman" w:hAnsi="Times New Roman"/>
      <w:i/>
      <w:iCs/>
      <w:lang w:val="en-GB" w:eastAsia="en-GB"/>
    </w:rPr>
  </w:style>
  <w:style w:type="paragraph" w:styleId="Caption">
    <w:name w:val="caption"/>
    <w:basedOn w:val="Normal"/>
    <w:next w:val="Normal"/>
    <w:qFormat/>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pPr>
      <w:keepNext/>
      <w:spacing w:after="120"/>
      <w:jc w:val="center"/>
    </w:pPr>
    <w:rPr>
      <w:rFonts w:ascii="Arial Bold" w:hAnsi="Arial Bold"/>
      <w:b/>
    </w:rPr>
  </w:style>
  <w:style w:type="paragraph" w:styleId="Header">
    <w:name w:val="header"/>
    <w:basedOn w:val="Normal"/>
    <w:pPr>
      <w:tabs>
        <w:tab w:val="center" w:pos="4320"/>
        <w:tab w:val="right" w:pos="8640"/>
      </w:tabs>
      <w:spacing w:after="0"/>
    </w:pPr>
    <w:rPr>
      <w:color w:val="333333"/>
      <w:sz w:val="20"/>
      <w:szCs w:val="20"/>
    </w:rPr>
  </w:style>
  <w:style w:type="character" w:styleId="Hyperlink">
    <w:name w:val="Hyperlink"/>
    <w:rPr>
      <w:color w:val="0000FF"/>
      <w:u w:val="single"/>
    </w:rPr>
  </w:style>
  <w:style w:type="paragraph" w:styleId="ListBullet">
    <w:name w:val="List Bullet"/>
    <w:basedOn w:val="Normal"/>
    <w:rsid w:val="001D628A"/>
    <w:pPr>
      <w:numPr>
        <w:numId w:val="14"/>
      </w:numPr>
      <w:spacing w:after="120"/>
    </w:pPr>
  </w:style>
  <w:style w:type="paragraph" w:styleId="ListBullet2">
    <w:name w:val="List Bullet 2"/>
    <w:basedOn w:val="Normal"/>
    <w:pPr>
      <w:numPr>
        <w:numId w:val="4"/>
      </w:numPr>
      <w:spacing w:before="60" w:after="60"/>
    </w:pPr>
  </w:style>
  <w:style w:type="paragraph" w:styleId="ListBullet3">
    <w:name w:val="List Bullet 3"/>
    <w:basedOn w:val="Normal"/>
    <w:rsid w:val="0061020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610202"/>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BodyText"/>
    <w:pPr>
      <w:pBdr>
        <w:top w:val="single" w:sz="12" w:space="1" w:color="808080"/>
        <w:bottom w:val="single" w:sz="12" w:space="1" w:color="808080"/>
      </w:pBdr>
    </w:pPr>
    <w:rPr>
      <w:rFonts w:ascii="Charlotte Sans" w:hAnsi="Charlotte Sans"/>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3A2068"/>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pPr>
      <w:keepNext/>
      <w:spacing w:before="24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pPr>
      <w:spacing w:before="240" w:after="60"/>
      <w:jc w:val="center"/>
      <w:outlineLvl w:val="0"/>
    </w:pPr>
    <w:rPr>
      <w:rFonts w:ascii="Arial Bold" w:hAnsi="Arial Bold" w:cs="Arial"/>
      <w:b/>
      <w:bCs/>
      <w:kern w:val="28"/>
      <w:sz w:val="32"/>
      <w:szCs w:val="32"/>
    </w:rPr>
  </w:style>
  <w:style w:type="paragraph" w:customStyle="1" w:styleId="JobTitle">
    <w:name w:val="JobTitle"/>
    <w:basedOn w:val="Normal"/>
    <w:pPr>
      <w:tabs>
        <w:tab w:val="left" w:pos="567"/>
        <w:tab w:val="left" w:pos="1134"/>
        <w:tab w:val="left" w:pos="1701"/>
        <w:tab w:val="right" w:pos="9044"/>
      </w:tabs>
      <w:spacing w:after="0"/>
      <w:jc w:val="both"/>
    </w:pPr>
    <w:rPr>
      <w:rFonts w:ascii="Times New Roman" w:hAnsi="Times New Roman"/>
      <w:szCs w:val="20"/>
    </w:r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customStyle="1" w:styleId="NormalAfterList">
    <w:name w:val="Normal (After List)"/>
    <w:basedOn w:val="Normal"/>
    <w:next w:val="Normal"/>
    <w:qFormat/>
    <w:rsid w:val="001D628A"/>
    <w:pPr>
      <w:spacing w:before="120"/>
    </w:pPr>
  </w:style>
  <w:style w:type="paragraph" w:customStyle="1" w:styleId="Address">
    <w:name w:val="Address"/>
    <w:basedOn w:val="Normal"/>
    <w:pPr>
      <w:spacing w:after="0"/>
    </w:pPr>
  </w:style>
  <w:style w:type="paragraph" w:styleId="FootnoteText">
    <w:name w:val="footnote text"/>
    <w:basedOn w:val="Normal"/>
    <w:semiHidden/>
    <w:rsid w:val="001D628A"/>
    <w:pPr>
      <w:spacing w:after="80"/>
    </w:pPr>
    <w:rPr>
      <w:sz w:val="22"/>
      <w:szCs w:val="20"/>
    </w:rPr>
  </w:style>
  <w:style w:type="paragraph" w:customStyle="1" w:styleId="NormalBeforeList">
    <w:name w:val="Normal (Before List)"/>
    <w:basedOn w:val="Normal"/>
    <w:next w:val="ListBullet"/>
    <w:qFormat/>
    <w:rsid w:val="001D628A"/>
    <w:pPr>
      <w:spacing w:after="120"/>
    </w:pPr>
  </w:style>
  <w:style w:type="character" w:styleId="FootnoteReference">
    <w:name w:val="footnote reference"/>
    <w:rsid w:val="001D628A"/>
    <w:rPr>
      <w:rFonts w:ascii="Gill Sans" w:hAnsi="Gill Sans"/>
      <w:sz w:val="26"/>
      <w:vertAlign w:val="superscript"/>
    </w:rPr>
  </w:style>
  <w:style w:type="paragraph" w:styleId="BalloonText">
    <w:name w:val="Balloon Text"/>
    <w:basedOn w:val="Normal"/>
    <w:link w:val="BalloonTextChar"/>
    <w:rsid w:val="0096166E"/>
    <w:pPr>
      <w:spacing w:after="0"/>
    </w:pPr>
    <w:rPr>
      <w:rFonts w:ascii="Tahoma" w:hAnsi="Tahoma" w:cs="Tahoma"/>
      <w:sz w:val="16"/>
      <w:szCs w:val="16"/>
    </w:rPr>
  </w:style>
  <w:style w:type="character" w:customStyle="1" w:styleId="BalloonTextChar">
    <w:name w:val="Balloon Text Char"/>
    <w:link w:val="BalloonText"/>
    <w:rsid w:val="0096166E"/>
    <w:rPr>
      <w:rFonts w:ascii="Tahoma" w:eastAsia="Times New Roman" w:hAnsi="Tahoma" w:cs="Tahoma"/>
      <w:sz w:val="16"/>
      <w:szCs w:val="16"/>
      <w:lang w:val="en-IE" w:eastAsia="en-US"/>
    </w:rPr>
  </w:style>
  <w:style w:type="table" w:styleId="TableGrid">
    <w:name w:val="Table Grid"/>
    <w:basedOn w:val="TableNormal"/>
    <w:rsid w:val="00D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66E7B"/>
    <w:rPr>
      <w:sz w:val="16"/>
      <w:szCs w:val="16"/>
    </w:rPr>
  </w:style>
  <w:style w:type="paragraph" w:styleId="CommentSubject">
    <w:name w:val="annotation subject"/>
    <w:basedOn w:val="CommentText"/>
    <w:next w:val="CommentText"/>
    <w:link w:val="CommentSubjectChar"/>
    <w:rsid w:val="00366E7B"/>
    <w:rPr>
      <w:b/>
      <w:bCs/>
      <w:szCs w:val="20"/>
    </w:rPr>
  </w:style>
  <w:style w:type="character" w:customStyle="1" w:styleId="CommentTextChar">
    <w:name w:val="Comment Text Char"/>
    <w:link w:val="CommentText"/>
    <w:semiHidden/>
    <w:rsid w:val="00366E7B"/>
    <w:rPr>
      <w:rFonts w:ascii="Gill Sans" w:eastAsia="Times New Roman" w:hAnsi="Gill Sans"/>
      <w:szCs w:val="24"/>
      <w:lang w:eastAsia="en-US"/>
    </w:rPr>
  </w:style>
  <w:style w:type="character" w:customStyle="1" w:styleId="CommentSubjectChar">
    <w:name w:val="Comment Subject Char"/>
    <w:link w:val="CommentSubject"/>
    <w:rsid w:val="00366E7B"/>
    <w:rPr>
      <w:rFonts w:ascii="Gill Sans" w:eastAsia="Times New Roman" w:hAnsi="Gill Sans"/>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letter-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NDA-letter-2011</Template>
  <TotalTime>2</TotalTime>
  <Pages>7</Pages>
  <Words>1466</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 Kennefick</dc:creator>
  <cp:keywords/>
  <dc:description/>
  <cp:lastModifiedBy>Damhnait M. O' Malley</cp:lastModifiedBy>
  <cp:revision>3</cp:revision>
  <cp:lastPrinted>2008-02-15T11:42:00Z</cp:lastPrinted>
  <dcterms:created xsi:type="dcterms:W3CDTF">2023-04-18T11:27:00Z</dcterms:created>
  <dcterms:modified xsi:type="dcterms:W3CDTF">2023-04-27T13:17:00Z</dcterms:modified>
</cp:coreProperties>
</file>