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127C" w14:textId="77777777" w:rsidR="008508B4" w:rsidRDefault="000D4482" w:rsidP="002E6F62">
      <w:pPr>
        <w:pStyle w:val="Title"/>
      </w:pPr>
      <w:bookmarkStart w:id="0" w:name="_GoBack"/>
      <w:r w:rsidRPr="001615F5">
        <w:rPr>
          <w:noProof/>
          <w:lang w:eastAsia="en-IE"/>
        </w:rPr>
        <w:drawing>
          <wp:inline distT="0" distB="0" distL="0" distR="0" wp14:anchorId="2FB8BDA1" wp14:editId="258061F7">
            <wp:extent cx="1114425" cy="714375"/>
            <wp:effectExtent l="0" t="0" r="9525" b="9525"/>
            <wp:docPr id="1" name="Picture 1"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bookmarkEnd w:id="0"/>
    </w:p>
    <w:p w14:paraId="7D958B70" w14:textId="469DA76E" w:rsidR="009C4D62" w:rsidRDefault="00146FBF" w:rsidP="002E6F62">
      <w:pPr>
        <w:pStyle w:val="Title"/>
      </w:pPr>
      <w:r>
        <w:t xml:space="preserve">NDA submission to </w:t>
      </w:r>
      <w:r w:rsidR="00AA1325">
        <w:t>Department of Transport on Electric Vehicle Charging Infrastructure Strategy 2022-2025</w:t>
      </w:r>
    </w:p>
    <w:p w14:paraId="6D13415E" w14:textId="5674DE06" w:rsidR="002E5657" w:rsidRDefault="00146FBF" w:rsidP="002E5657">
      <w:pPr>
        <w:pStyle w:val="Heading2"/>
        <w:jc w:val="center"/>
      </w:pPr>
      <w:r>
        <w:t>May 2022</w:t>
      </w:r>
    </w:p>
    <w:p w14:paraId="16BFB2C1" w14:textId="77777777" w:rsidR="002E5657" w:rsidRPr="002E5657" w:rsidRDefault="002E5657" w:rsidP="002E5657">
      <w:pPr>
        <w:pStyle w:val="Heading1"/>
      </w:pPr>
      <w:r>
        <w:t xml:space="preserve">Introduction </w:t>
      </w:r>
    </w:p>
    <w:p w14:paraId="7FEEB91C" w14:textId="20206214" w:rsidR="00522365" w:rsidRDefault="00522365" w:rsidP="00C3706E">
      <w:pPr>
        <w:rPr>
          <w:lang w:val="en" w:eastAsia="en-IE"/>
        </w:rPr>
      </w:pPr>
      <w:r w:rsidRPr="001615F5">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w:t>
      </w:r>
      <w:r>
        <w:rPr>
          <w:lang w:val="en" w:eastAsia="en-IE"/>
        </w:rPr>
        <w:t xml:space="preserve">Children, Equality, Disability, Integration and Youth </w:t>
      </w:r>
      <w:r w:rsidRPr="001615F5">
        <w:rPr>
          <w:lang w:val="en" w:eastAsia="en-IE"/>
        </w:rPr>
        <w:t xml:space="preserve">in the co-ordination of disability policy. We work through our </w:t>
      </w:r>
      <w:hyperlink r:id="rId9" w:history="1">
        <w:r w:rsidRPr="001615F5">
          <w:rPr>
            <w:color w:val="000000" w:themeColor="text1"/>
            <w:lang w:val="en" w:eastAsia="en-IE"/>
          </w:rPr>
          <w:t>Centre for Excellence in Universal Design</w:t>
        </w:r>
      </w:hyperlink>
      <w:r w:rsidRPr="001615F5">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3634A333" w14:textId="77777777" w:rsidR="00522365" w:rsidRDefault="00522365" w:rsidP="00C3706E">
      <w:pPr>
        <w:rPr>
          <w:lang w:val="en" w:eastAsia="en-IE"/>
        </w:rPr>
      </w:pPr>
      <w:r>
        <w:rPr>
          <w:lang w:val="en" w:eastAsia="en-IE"/>
        </w:rPr>
        <w:t>The NDA welcomes the opportunity to submit feedback on the Electric Vehicle Charging Infrastructure Strategy 2022-2025 which aims to consider the changing and increasing charging needs of the population in both urban and rural settings and will detail the charging infrastructure needs in four main categories:</w:t>
      </w:r>
    </w:p>
    <w:p w14:paraId="6DF48ABD" w14:textId="77777777" w:rsidR="00522365" w:rsidRDefault="00522365" w:rsidP="00522365">
      <w:pPr>
        <w:pStyle w:val="ListBullet"/>
        <w:rPr>
          <w:lang w:val="en" w:eastAsia="en-IE"/>
        </w:rPr>
      </w:pPr>
      <w:r>
        <w:rPr>
          <w:lang w:val="en" w:eastAsia="en-IE"/>
        </w:rPr>
        <w:t>Home/apartment charging</w:t>
      </w:r>
    </w:p>
    <w:p w14:paraId="5C5C05CC" w14:textId="77777777" w:rsidR="00522365" w:rsidRDefault="00522365" w:rsidP="00522365">
      <w:pPr>
        <w:pStyle w:val="ListBullet"/>
        <w:rPr>
          <w:lang w:val="en" w:eastAsia="en-IE"/>
        </w:rPr>
      </w:pPr>
      <w:r>
        <w:rPr>
          <w:lang w:val="en" w:eastAsia="en-IE"/>
        </w:rPr>
        <w:t xml:space="preserve">Residential </w:t>
      </w:r>
      <w:r w:rsidRPr="00522365">
        <w:rPr>
          <w:lang w:eastAsia="en-IE"/>
        </w:rPr>
        <w:t>Neighbourhood</w:t>
      </w:r>
      <w:r>
        <w:rPr>
          <w:lang w:val="en" w:eastAsia="en-IE"/>
        </w:rPr>
        <w:t xml:space="preserve"> charging</w:t>
      </w:r>
    </w:p>
    <w:p w14:paraId="3B8A7BAC" w14:textId="40A75F9F" w:rsidR="00522365" w:rsidRDefault="00522365" w:rsidP="00522365">
      <w:pPr>
        <w:pStyle w:val="ListBullet"/>
        <w:rPr>
          <w:lang w:val="en" w:eastAsia="en-IE"/>
        </w:rPr>
      </w:pPr>
      <w:r>
        <w:rPr>
          <w:lang w:val="en" w:eastAsia="en-IE"/>
        </w:rPr>
        <w:t>Destination Charging and</w:t>
      </w:r>
    </w:p>
    <w:p w14:paraId="6A0A3426" w14:textId="18C7372F" w:rsidR="00AA1325" w:rsidRDefault="00522365" w:rsidP="009F2BB6">
      <w:pPr>
        <w:pStyle w:val="ListBullet"/>
        <w:rPr>
          <w:lang w:val="en" w:eastAsia="en-IE"/>
        </w:rPr>
      </w:pPr>
      <w:r>
        <w:rPr>
          <w:lang w:val="en" w:eastAsia="en-IE"/>
        </w:rPr>
        <w:t xml:space="preserve">Motorway/En-route charging </w:t>
      </w:r>
    </w:p>
    <w:p w14:paraId="06807164" w14:textId="4B65BFB0" w:rsidR="001834DC" w:rsidRDefault="001834DC" w:rsidP="001834DC">
      <w:pPr>
        <w:pStyle w:val="ListBullet"/>
        <w:numPr>
          <w:ilvl w:val="0"/>
          <w:numId w:val="0"/>
        </w:numPr>
        <w:rPr>
          <w:lang w:val="en" w:eastAsia="en-IE"/>
        </w:rPr>
      </w:pPr>
      <w:r>
        <w:rPr>
          <w:lang w:val="en" w:eastAsia="en-IE"/>
        </w:rPr>
        <w:t xml:space="preserve">The NDA wishes to provide some key information and advice to the Department of Transport to assist them in taking a universal design approach as outlined in the strategy. </w:t>
      </w:r>
    </w:p>
    <w:p w14:paraId="583A7427" w14:textId="451EF902" w:rsidR="009F2BB6" w:rsidRPr="009F2BB6" w:rsidRDefault="001834DC" w:rsidP="001834DC">
      <w:pPr>
        <w:pStyle w:val="Heading1"/>
        <w:rPr>
          <w:lang w:val="en" w:eastAsia="en-IE"/>
        </w:rPr>
      </w:pPr>
      <w:r>
        <w:rPr>
          <w:lang w:val="en" w:eastAsia="en-IE"/>
        </w:rPr>
        <w:lastRenderedPageBreak/>
        <w:t xml:space="preserve">Transport for People with Disabilities </w:t>
      </w:r>
    </w:p>
    <w:p w14:paraId="5190F385" w14:textId="77777777" w:rsidR="0071707F" w:rsidRPr="00361E5E" w:rsidRDefault="0071707F" w:rsidP="0071707F">
      <w:pPr>
        <w:rPr>
          <w:color w:val="000000"/>
          <w:szCs w:val="26"/>
          <w:shd w:val="clear" w:color="auto" w:fill="FFFFFF"/>
        </w:rPr>
      </w:pPr>
      <w:r>
        <w:t>Ireland’s population is changing. In the 2016 Census</w:t>
      </w:r>
      <w:r w:rsidRPr="00686463">
        <w:t>, the overall number of people with disabilities has increased, comprising 13.5% of the total population compared to 13% in 201</w:t>
      </w:r>
      <w:r>
        <w:t>1</w:t>
      </w:r>
      <w:r w:rsidRPr="00686463">
        <w:t>.</w:t>
      </w:r>
      <w:r w:rsidRPr="003A3563">
        <w:rPr>
          <w:rFonts w:cs="Arial"/>
          <w:color w:val="000000"/>
          <w:shd w:val="clear" w:color="auto" w:fill="FFFFFF"/>
        </w:rPr>
        <w:t xml:space="preserve"> </w:t>
      </w:r>
      <w:r>
        <w:rPr>
          <w:rFonts w:cs="Arial"/>
          <w:color w:val="000000"/>
          <w:shd w:val="clear" w:color="auto" w:fill="FFFFFF"/>
        </w:rPr>
        <w:t xml:space="preserve">There are now </w:t>
      </w:r>
      <w:r w:rsidRPr="00361E5E">
        <w:rPr>
          <w:color w:val="000000"/>
          <w:szCs w:val="26"/>
        </w:rPr>
        <w:t>643,131 people with a disability living in Ireland.</w:t>
      </w:r>
      <w:r w:rsidRPr="00361E5E">
        <w:rPr>
          <w:rStyle w:val="FootnoteReference"/>
          <w:color w:val="000000"/>
          <w:szCs w:val="26"/>
        </w:rPr>
        <w:footnoteReference w:id="1"/>
      </w:r>
      <w:r w:rsidRPr="00361E5E">
        <w:rPr>
          <w:color w:val="000000"/>
          <w:szCs w:val="26"/>
        </w:rPr>
        <w:t xml:space="preserve"> </w:t>
      </w:r>
      <w:r w:rsidRPr="00FA6051">
        <w:t>People are living longer</w:t>
      </w:r>
      <w:r>
        <w:t>,</w:t>
      </w:r>
      <w:r w:rsidRPr="00FA6051">
        <w:t xml:space="preserve"> as can be seen in the changes in the population aged over 65 which has increas</w:t>
      </w:r>
      <w:r>
        <w:t>ed by 19.1% since 2011</w:t>
      </w:r>
      <w:r w:rsidRPr="00FA6051">
        <w:t>.</w:t>
      </w:r>
      <w:r>
        <w:rPr>
          <w:rFonts w:ascii="Calibri" w:hAnsi="Calibri"/>
          <w:sz w:val="22"/>
          <w:szCs w:val="22"/>
        </w:rPr>
        <w:t xml:space="preserve"> </w:t>
      </w:r>
      <w:r>
        <w:rPr>
          <w:rFonts w:cs="Arial"/>
          <w:color w:val="000000"/>
          <w:shd w:val="clear" w:color="auto" w:fill="FFFFFF"/>
        </w:rPr>
        <w:t xml:space="preserve">According to the 2016 Census figures the number of people aged </w:t>
      </w:r>
      <w:r w:rsidRPr="00361E5E">
        <w:rPr>
          <w:color w:val="000000"/>
          <w:szCs w:val="26"/>
          <w:shd w:val="clear" w:color="auto" w:fill="FFFFFF"/>
        </w:rPr>
        <w:t>66 has increased to 637,567 people (13.4% of the population).</w:t>
      </w:r>
      <w:r w:rsidRPr="00361E5E">
        <w:rPr>
          <w:rStyle w:val="FootnoteReference"/>
          <w:color w:val="000000"/>
          <w:szCs w:val="26"/>
          <w:shd w:val="clear" w:color="auto" w:fill="FFFFFF"/>
        </w:rPr>
        <w:footnoteReference w:id="2"/>
      </w:r>
    </w:p>
    <w:p w14:paraId="5F60479B" w14:textId="5DB9F99A" w:rsidR="00435572" w:rsidRPr="0071707F" w:rsidRDefault="0071707F" w:rsidP="00435572">
      <w:pPr>
        <w:rPr>
          <w:lang w:val="en" w:eastAsia="en-IE"/>
        </w:rPr>
      </w:pPr>
      <w:r>
        <w:t xml:space="preserve">The importance of integrated universally designed transport services that include the built environment and information and communication technologies is underpinned by </w:t>
      </w:r>
      <w:hyperlink r:id="rId10" w:history="1">
        <w:r w:rsidRPr="00E034CE">
          <w:rPr>
            <w:rStyle w:val="Hyperlink"/>
            <w:szCs w:val="26"/>
            <w:shd w:val="clear" w:color="auto" w:fill="FFFFFF"/>
          </w:rPr>
          <w:t>Article 9 of the UN Convention on the Rights of Persons with Disabilities.</w:t>
        </w:r>
      </w:hyperlink>
      <w:r w:rsidRPr="00361E5E">
        <w:rPr>
          <w:color w:val="000000"/>
          <w:szCs w:val="26"/>
          <w:shd w:val="clear" w:color="auto" w:fill="FFFFFF"/>
        </w:rPr>
        <w:t xml:space="preserve"> Ireland ratified the UN Convention in 2018. Article 9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p>
    <w:p w14:paraId="1E852CEB" w14:textId="13FA3722" w:rsidR="00855571" w:rsidRDefault="00B618C4" w:rsidP="00BD1FAC">
      <w:pPr>
        <w:pStyle w:val="Heading1"/>
        <w:rPr>
          <w:lang w:val="en" w:eastAsia="en-IE"/>
        </w:rPr>
      </w:pPr>
      <w:r>
        <w:rPr>
          <w:lang w:val="en" w:eastAsia="en-IE"/>
        </w:rPr>
        <w:t>Universally Designed Consultation</w:t>
      </w:r>
    </w:p>
    <w:p w14:paraId="26ED7CE0" w14:textId="77777777" w:rsidR="00BD1FAC" w:rsidRDefault="00BD1FAC" w:rsidP="00BD1FAC">
      <w:pPr>
        <w:pStyle w:val="ListBullet"/>
        <w:numPr>
          <w:ilvl w:val="0"/>
          <w:numId w:val="0"/>
        </w:numPr>
        <w:rPr>
          <w:lang w:val="en" w:eastAsia="en-IE"/>
        </w:rPr>
      </w:pPr>
      <w:r w:rsidRPr="00855571">
        <w:rPr>
          <w:lang w:val="en" w:eastAsia="en-IE"/>
        </w:rPr>
        <w:t xml:space="preserve">The NDA </w:t>
      </w:r>
      <w:r>
        <w:rPr>
          <w:lang w:val="en" w:eastAsia="en-IE"/>
        </w:rPr>
        <w:t xml:space="preserve">welcomes the commitment under Principle 2.2 of the Strategy which states that the strategy aims to ensure: </w:t>
      </w:r>
    </w:p>
    <w:p w14:paraId="7FDC76D6" w14:textId="77777777" w:rsidR="00BD1FAC" w:rsidRDefault="00BD1FAC" w:rsidP="00BD1FAC">
      <w:pPr>
        <w:pStyle w:val="ListBullet"/>
        <w:numPr>
          <w:ilvl w:val="0"/>
          <w:numId w:val="0"/>
        </w:numPr>
        <w:rPr>
          <w:lang w:val="en" w:eastAsia="en-IE"/>
        </w:rPr>
      </w:pPr>
      <w:r>
        <w:rPr>
          <w:lang w:val="en" w:eastAsia="en-IE"/>
        </w:rPr>
        <w:t>“</w:t>
      </w:r>
      <w:r w:rsidRPr="00C3706E">
        <w:rPr>
          <w:lang w:val="en" w:eastAsia="en-IE"/>
        </w:rPr>
        <w:t>A fully inclu</w:t>
      </w:r>
      <w:r>
        <w:rPr>
          <w:lang w:val="en" w:eastAsia="en-IE"/>
        </w:rPr>
        <w:t xml:space="preserve">sive EV charging infrastructure </w:t>
      </w:r>
      <w:r w:rsidRPr="00C3706E">
        <w:rPr>
          <w:lang w:val="en" w:eastAsia="en-IE"/>
        </w:rPr>
        <w:t xml:space="preserve">network will work </w:t>
      </w:r>
      <w:r>
        <w:rPr>
          <w:lang w:val="en" w:eastAsia="en-IE"/>
        </w:rPr>
        <w:t xml:space="preserve">for everyone regardless of age, </w:t>
      </w:r>
      <w:r w:rsidRPr="00C3706E">
        <w:rPr>
          <w:lang w:val="en" w:eastAsia="en-IE"/>
        </w:rPr>
        <w:t>health, income or o</w:t>
      </w:r>
      <w:r>
        <w:rPr>
          <w:lang w:val="en" w:eastAsia="en-IE"/>
        </w:rPr>
        <w:t xml:space="preserve">ther needs to ensure a fair and </w:t>
      </w:r>
      <w:r w:rsidRPr="00C3706E">
        <w:rPr>
          <w:lang w:val="en" w:eastAsia="en-IE"/>
        </w:rPr>
        <w:t>equitable tr</w:t>
      </w:r>
      <w:r>
        <w:rPr>
          <w:lang w:val="en" w:eastAsia="en-IE"/>
        </w:rPr>
        <w:t xml:space="preserve">ansition to large-scale EV use. </w:t>
      </w:r>
      <w:r w:rsidRPr="00C3706E">
        <w:rPr>
          <w:lang w:val="en" w:eastAsia="en-IE"/>
        </w:rPr>
        <w:t xml:space="preserve">To ensure access </w:t>
      </w:r>
      <w:r>
        <w:rPr>
          <w:lang w:val="en" w:eastAsia="en-IE"/>
        </w:rPr>
        <w:t xml:space="preserve">for all citizens, principles of </w:t>
      </w:r>
      <w:r w:rsidRPr="00C3706E">
        <w:rPr>
          <w:lang w:val="en" w:eastAsia="en-IE"/>
        </w:rPr>
        <w:t>universal acce</w:t>
      </w:r>
      <w:r>
        <w:rPr>
          <w:lang w:val="en" w:eastAsia="en-IE"/>
        </w:rPr>
        <w:t xml:space="preserve">ss and universal design will be </w:t>
      </w:r>
      <w:r w:rsidRPr="00C3706E">
        <w:rPr>
          <w:lang w:val="en" w:eastAsia="en-IE"/>
        </w:rPr>
        <w:t xml:space="preserve">considered at </w:t>
      </w:r>
      <w:r>
        <w:rPr>
          <w:lang w:val="en" w:eastAsia="en-IE"/>
        </w:rPr>
        <w:t xml:space="preserve">all stages of EV infrastructure development, from planning and design stages to </w:t>
      </w:r>
      <w:r w:rsidRPr="00C3706E">
        <w:rPr>
          <w:lang w:val="en" w:eastAsia="en-IE"/>
        </w:rPr>
        <w:t>operation and use.</w:t>
      </w:r>
      <w:r>
        <w:rPr>
          <w:lang w:val="en" w:eastAsia="en-IE"/>
        </w:rPr>
        <w:t>”</w:t>
      </w:r>
    </w:p>
    <w:p w14:paraId="47C7EB4C" w14:textId="0A9CD9A7" w:rsidR="00BD1FAC" w:rsidRPr="00B81333" w:rsidRDefault="00BD1FAC" w:rsidP="00B81333">
      <w:pPr>
        <w:rPr>
          <w:rFonts w:ascii="Gill Sans" w:hAnsi="Gill Sans"/>
          <w:sz w:val="24"/>
          <w:lang w:eastAsia="en-IE"/>
        </w:rPr>
      </w:pPr>
      <w:r>
        <w:rPr>
          <w:lang w:val="en" w:eastAsia="en-IE"/>
        </w:rPr>
        <w:t xml:space="preserve">The NDA </w:t>
      </w:r>
      <w:r w:rsidR="003327CF">
        <w:rPr>
          <w:lang w:val="en" w:eastAsia="en-IE"/>
        </w:rPr>
        <w:t>recognises</w:t>
      </w:r>
      <w:r>
        <w:rPr>
          <w:lang w:val="en" w:eastAsia="en-IE"/>
        </w:rPr>
        <w:t xml:space="preserve"> the commitment to universal design </w:t>
      </w:r>
      <w:r w:rsidRPr="00855571">
        <w:rPr>
          <w:lang w:val="en" w:eastAsia="en-IE"/>
        </w:rPr>
        <w:t xml:space="preserve">at </w:t>
      </w:r>
      <w:r>
        <w:rPr>
          <w:lang w:val="en" w:eastAsia="en-IE"/>
        </w:rPr>
        <w:t xml:space="preserve">all stages of EV infrastructure </w:t>
      </w:r>
      <w:r w:rsidRPr="00855571">
        <w:rPr>
          <w:lang w:val="en" w:eastAsia="en-IE"/>
        </w:rPr>
        <w:t>development, fro</w:t>
      </w:r>
      <w:r>
        <w:rPr>
          <w:lang w:val="en" w:eastAsia="en-IE"/>
        </w:rPr>
        <w:t xml:space="preserve">m planning and design stages to </w:t>
      </w:r>
      <w:r w:rsidRPr="00855571">
        <w:rPr>
          <w:lang w:val="en" w:eastAsia="en-IE"/>
        </w:rPr>
        <w:t>operation and use</w:t>
      </w:r>
      <w:r>
        <w:rPr>
          <w:lang w:val="en" w:eastAsia="en-IE"/>
        </w:rPr>
        <w:t xml:space="preserve"> to ensure access for all citizens. However, we </w:t>
      </w:r>
      <w:r w:rsidR="003327CF">
        <w:rPr>
          <w:lang w:val="en" w:eastAsia="en-IE"/>
        </w:rPr>
        <w:t>note</w:t>
      </w:r>
      <w:r>
        <w:rPr>
          <w:lang w:val="en" w:eastAsia="en-IE"/>
        </w:rPr>
        <w:t xml:space="preserve"> that on the </w:t>
      </w:r>
      <w:hyperlink r:id="rId11" w:history="1">
        <w:r w:rsidRPr="00BD1FAC">
          <w:rPr>
            <w:rStyle w:val="Hyperlink"/>
            <w:lang w:val="en" w:eastAsia="en-IE"/>
          </w:rPr>
          <w:t>webpage promoting the strategy</w:t>
        </w:r>
      </w:hyperlink>
      <w:r>
        <w:rPr>
          <w:lang w:val="en" w:eastAsia="en-IE"/>
        </w:rPr>
        <w:t xml:space="preserve"> no alternative or accessible formats of the strategy are available, nor is there a clear way for those who may require the document in </w:t>
      </w:r>
      <w:r w:rsidR="007D5D92">
        <w:rPr>
          <w:lang w:val="en" w:eastAsia="en-IE"/>
        </w:rPr>
        <w:t>alternative formats</w:t>
      </w:r>
      <w:r w:rsidR="003327CF">
        <w:rPr>
          <w:lang w:val="en" w:eastAsia="en-IE"/>
        </w:rPr>
        <w:t xml:space="preserve"> to obtain same</w:t>
      </w:r>
      <w:r w:rsidR="007D5D92">
        <w:rPr>
          <w:lang w:val="en" w:eastAsia="en-IE"/>
        </w:rPr>
        <w:t>.</w:t>
      </w:r>
      <w:r w:rsidR="00AB7D7C">
        <w:rPr>
          <w:lang w:val="en" w:eastAsia="en-IE"/>
        </w:rPr>
        <w:t xml:space="preserve"> Under section 28</w:t>
      </w:r>
      <w:r w:rsidR="00B81333">
        <w:rPr>
          <w:lang w:val="en" w:eastAsia="en-IE"/>
        </w:rPr>
        <w:t xml:space="preserve"> </w:t>
      </w:r>
      <w:r w:rsidR="00AB7D7C">
        <w:rPr>
          <w:lang w:val="en" w:eastAsia="en-IE"/>
        </w:rPr>
        <w:t xml:space="preserve">of the </w:t>
      </w:r>
      <w:hyperlink r:id="rId12" w:history="1">
        <w:r w:rsidR="00AB7D7C" w:rsidRPr="00AB7D7C">
          <w:rPr>
            <w:rStyle w:val="Hyperlink"/>
            <w:lang w:val="en" w:eastAsia="en-IE"/>
          </w:rPr>
          <w:t>Disability Act, 2005</w:t>
        </w:r>
      </w:hyperlink>
      <w:r w:rsidR="00AB7D7C">
        <w:rPr>
          <w:lang w:val="en" w:eastAsia="en-IE"/>
        </w:rPr>
        <w:t xml:space="preserve"> </w:t>
      </w:r>
      <w:r w:rsidR="00AB7D7C" w:rsidRPr="00B81333">
        <w:rPr>
          <w:szCs w:val="26"/>
          <w:lang w:val="en" w:eastAsia="en-IE"/>
        </w:rPr>
        <w:t>public bodies should, as far as is practicable</w:t>
      </w:r>
      <w:r w:rsidR="003327CF">
        <w:rPr>
          <w:szCs w:val="26"/>
          <w:lang w:val="en" w:eastAsia="en-IE"/>
        </w:rPr>
        <w:t>,</w:t>
      </w:r>
      <w:r w:rsidR="00AB7D7C" w:rsidRPr="00B81333">
        <w:rPr>
          <w:szCs w:val="26"/>
          <w:lang w:val="en" w:eastAsia="en-IE"/>
        </w:rPr>
        <w:t xml:space="preserve"> </w:t>
      </w:r>
      <w:r w:rsidR="00B81333" w:rsidRPr="00B81333">
        <w:rPr>
          <w:szCs w:val="26"/>
          <w:lang w:eastAsia="en-IE"/>
        </w:rPr>
        <w:t xml:space="preserve">make oral and written </w:t>
      </w:r>
      <w:r w:rsidR="00B81333" w:rsidRPr="00B81333">
        <w:rPr>
          <w:szCs w:val="26"/>
          <w:lang w:eastAsia="en-IE"/>
        </w:rPr>
        <w:lastRenderedPageBreak/>
        <w:t>communication accessible when customers with impairments request them</w:t>
      </w:r>
      <w:r w:rsidR="00B81333">
        <w:rPr>
          <w:szCs w:val="26"/>
          <w:lang w:eastAsia="en-IE"/>
        </w:rPr>
        <w:t>,</w:t>
      </w:r>
      <w:r w:rsidR="00B81333" w:rsidRPr="00B81333">
        <w:rPr>
          <w:szCs w:val="26"/>
          <w:lang w:eastAsia="en-IE"/>
        </w:rPr>
        <w:t xml:space="preserve"> make electronic communication accessible to customers with vision impairmen</w:t>
      </w:r>
      <w:r w:rsidR="00B81333">
        <w:rPr>
          <w:szCs w:val="26"/>
          <w:lang w:eastAsia="en-IE"/>
        </w:rPr>
        <w:t xml:space="preserve">ts who use assistive technology, and </w:t>
      </w:r>
      <w:r w:rsidR="00B81333" w:rsidRPr="00B81333">
        <w:rPr>
          <w:szCs w:val="26"/>
          <w:lang w:eastAsia="en-IE"/>
        </w:rPr>
        <w:t>make relevant information accessible to customers with intellectual disabilities.</w:t>
      </w:r>
      <w:r w:rsidR="00B81333">
        <w:rPr>
          <w:szCs w:val="26"/>
          <w:lang w:eastAsia="en-IE"/>
        </w:rPr>
        <w:t xml:space="preserve"> The most efficient way of ensuring this is to provide alternative formats of documentation or provide the public with a clear way of requesting alternative formats. </w:t>
      </w:r>
    </w:p>
    <w:p w14:paraId="0E647860" w14:textId="3E567F1C" w:rsidR="00AB7D7C" w:rsidRDefault="007867CE" w:rsidP="00AB7D7C">
      <w:pPr>
        <w:pStyle w:val="ListBullet"/>
        <w:numPr>
          <w:ilvl w:val="0"/>
          <w:numId w:val="0"/>
        </w:numPr>
        <w:rPr>
          <w:lang w:val="en"/>
        </w:rPr>
      </w:pPr>
      <w:r>
        <w:rPr>
          <w:lang w:val="en"/>
        </w:rPr>
        <w:t>Additionally, accessible</w:t>
      </w:r>
      <w:r w:rsidR="00B81333" w:rsidRPr="007867CE">
        <w:rPr>
          <w:lang w:val="en"/>
        </w:rPr>
        <w:t xml:space="preserve"> information</w:t>
      </w:r>
      <w:r w:rsidR="00AB7D7C" w:rsidRPr="006E6713">
        <w:rPr>
          <w:lang w:val="en"/>
        </w:rPr>
        <w:t xml:space="preserve"> is one of the key criteria for universally designed services that should be incorporated into the consultation process for this </w:t>
      </w:r>
      <w:r w:rsidR="00B81333">
        <w:rPr>
          <w:lang w:val="en"/>
        </w:rPr>
        <w:t>project</w:t>
      </w:r>
      <w:r w:rsidR="00AB7D7C" w:rsidRPr="006E6713">
        <w:rPr>
          <w:lang w:val="en"/>
        </w:rPr>
        <w:t xml:space="preserve">. All information (written, spoken, signed and digital) delivered by public </w:t>
      </w:r>
      <w:r>
        <w:rPr>
          <w:lang w:val="en"/>
        </w:rPr>
        <w:t xml:space="preserve">services </w:t>
      </w:r>
      <w:r w:rsidR="00AB7D7C" w:rsidRPr="006E6713">
        <w:rPr>
          <w:lang w:val="en"/>
        </w:rPr>
        <w:t xml:space="preserve">(which includes consultation information), should be universally designed. </w:t>
      </w:r>
      <w:r w:rsidR="00AB7D7C" w:rsidRPr="00E67C66">
        <w:rPr>
          <w:lang w:val="en"/>
        </w:rPr>
        <w:t>Accessible information</w:t>
      </w:r>
      <w:r w:rsidR="00AB7D7C">
        <w:rPr>
          <w:lang w:val="en"/>
        </w:rPr>
        <w:t xml:space="preserve"> includes; </w:t>
      </w:r>
      <w:r>
        <w:rPr>
          <w:lang w:val="en"/>
        </w:rPr>
        <w:t>audio visual announcements</w:t>
      </w:r>
      <w:r w:rsidR="00AB7D7C" w:rsidRPr="00E67C66">
        <w:rPr>
          <w:lang w:val="en"/>
        </w:rPr>
        <w:t>, information received from self-service terminals, processes for requesting information and making complaints.</w:t>
      </w:r>
    </w:p>
    <w:p w14:paraId="69981DE7" w14:textId="2366E3EF" w:rsidR="00B618C4" w:rsidRDefault="007867CE" w:rsidP="00F65187">
      <w:pPr>
        <w:pStyle w:val="ListBullet"/>
        <w:numPr>
          <w:ilvl w:val="0"/>
          <w:numId w:val="0"/>
        </w:numPr>
        <w:rPr>
          <w:lang w:val="en"/>
        </w:rPr>
      </w:pPr>
      <w:r w:rsidRPr="00E67C66">
        <w:t>The NDA suggests that</w:t>
      </w:r>
      <w:r w:rsidRPr="006E6713">
        <w:rPr>
          <w:b/>
          <w:lang w:val="en"/>
        </w:rPr>
        <w:t xml:space="preserve"> </w:t>
      </w:r>
      <w:r w:rsidRPr="006E6713">
        <w:rPr>
          <w:lang w:val="en"/>
        </w:rPr>
        <w:t xml:space="preserve">the </w:t>
      </w:r>
      <w:r w:rsidR="00D52540">
        <w:rPr>
          <w:lang w:val="en"/>
        </w:rPr>
        <w:t>Department of Transport</w:t>
      </w:r>
      <w:r w:rsidRPr="006E6713">
        <w:rPr>
          <w:lang w:val="en"/>
        </w:rPr>
        <w:t xml:space="preserve"> </w:t>
      </w:r>
      <w:r w:rsidR="003327CF">
        <w:rPr>
          <w:lang w:val="en"/>
        </w:rPr>
        <w:t>can</w:t>
      </w:r>
      <w:r w:rsidR="003327CF" w:rsidRPr="006E6713">
        <w:rPr>
          <w:lang w:val="en"/>
        </w:rPr>
        <w:t xml:space="preserve"> </w:t>
      </w:r>
      <w:r w:rsidR="003327CF">
        <w:rPr>
          <w:lang w:val="en"/>
        </w:rPr>
        <w:t>refer to</w:t>
      </w:r>
      <w:r w:rsidR="003327CF" w:rsidRPr="006E6713">
        <w:rPr>
          <w:b/>
          <w:lang w:val="en"/>
        </w:rPr>
        <w:t xml:space="preserve"> </w:t>
      </w:r>
      <w:r w:rsidRPr="00D52540">
        <w:rPr>
          <w:lang w:val="en"/>
        </w:rPr>
        <w:t xml:space="preserve">the </w:t>
      </w:r>
      <w:hyperlink r:id="rId13" w:history="1">
        <w:r w:rsidRPr="00D52540">
          <w:rPr>
            <w:rStyle w:val="Hyperlink"/>
            <w:lang w:val="en"/>
          </w:rPr>
          <w:t>Customer Communications Toolkit for the Public Service - A Universal Design Approach</w:t>
        </w:r>
      </w:hyperlink>
      <w:r>
        <w:rPr>
          <w:rStyle w:val="FootnoteReference"/>
          <w:b/>
          <w:lang w:val="en"/>
        </w:rPr>
        <w:footnoteReference w:id="3"/>
      </w:r>
      <w:r w:rsidRPr="006E6713">
        <w:rPr>
          <w:lang w:val="en"/>
        </w:rPr>
        <w:t xml:space="preserve"> which will help to produce universally designed written, verbal and digital communications that can be easily accessed, </w:t>
      </w:r>
      <w:r w:rsidR="00D52540">
        <w:rPr>
          <w:lang w:val="en"/>
        </w:rPr>
        <w:t xml:space="preserve">understood and used by everyone for this consultation, future consultations and all stages of this project. </w:t>
      </w:r>
    </w:p>
    <w:p w14:paraId="3BFC6DBE" w14:textId="0BE46B5D" w:rsidR="00061C02" w:rsidRPr="00061C02" w:rsidRDefault="00C50353" w:rsidP="00061C02">
      <w:r>
        <w:t>We</w:t>
      </w:r>
      <w:r w:rsidR="00061C02">
        <w:t xml:space="preserve"> wish to stress that services cannot be universally designed unless they take into account a wide range of individuals. </w:t>
      </w:r>
      <w:r w:rsidR="00061C02" w:rsidRPr="00595D52">
        <w:t>There is no “average” or “ideal” person. For example, two</w:t>
      </w:r>
      <w:r w:rsidR="00061C02">
        <w:t xml:space="preserve"> individuals of average height, </w:t>
      </w:r>
      <w:r w:rsidR="00061C02" w:rsidRPr="00595D52">
        <w:t xml:space="preserve">might have very different arm lengths, leg lengths, and capabilities. Those </w:t>
      </w:r>
      <w:r w:rsidR="003327CF">
        <w:t>implementing</w:t>
      </w:r>
      <w:r w:rsidR="003327CF" w:rsidRPr="00595D52">
        <w:t xml:space="preserve"> </w:t>
      </w:r>
      <w:r w:rsidR="00061C02" w:rsidRPr="00595D52">
        <w:t>Universal Design seek to consider human variability in their work and produce designs that</w:t>
      </w:r>
      <w:r w:rsidR="00061C02">
        <w:t xml:space="preserve"> work equally well for everyone- this is why the NDA encourages ‘sampling the tails’ when seeking out input and feedback from the public.</w:t>
      </w:r>
      <w:r w:rsidR="00061C02">
        <w:rPr>
          <w:rStyle w:val="FootnoteReference"/>
        </w:rPr>
        <w:footnoteReference w:id="4"/>
      </w:r>
      <w:r w:rsidR="00061C02">
        <w:t xml:space="preserve"> </w:t>
      </w:r>
    </w:p>
    <w:p w14:paraId="49C9A2F0" w14:textId="104A2A96" w:rsidR="00B618C4" w:rsidRDefault="006A3B59" w:rsidP="006A3B59">
      <w:pPr>
        <w:pStyle w:val="Heading1"/>
        <w:ind w:left="0"/>
        <w:rPr>
          <w:lang w:val="en"/>
        </w:rPr>
      </w:pPr>
      <w:r>
        <w:rPr>
          <w:lang w:val="en"/>
        </w:rPr>
        <w:t xml:space="preserve">Accessibility of Charging Infrastructure </w:t>
      </w:r>
    </w:p>
    <w:p w14:paraId="762E7617" w14:textId="54F791B2" w:rsidR="0074629B" w:rsidRDefault="00CE2525" w:rsidP="00F65187">
      <w:pPr>
        <w:pStyle w:val="ListBullet"/>
        <w:numPr>
          <w:ilvl w:val="0"/>
          <w:numId w:val="0"/>
        </w:numPr>
        <w:rPr>
          <w:lang w:val="en"/>
        </w:rPr>
      </w:pPr>
      <w:r>
        <w:rPr>
          <w:lang w:val="en"/>
        </w:rPr>
        <w:t xml:space="preserve">The NDA </w:t>
      </w:r>
      <w:r w:rsidR="00255C26">
        <w:rPr>
          <w:lang w:val="en"/>
        </w:rPr>
        <w:t xml:space="preserve">also </w:t>
      </w:r>
      <w:r>
        <w:rPr>
          <w:lang w:val="en"/>
        </w:rPr>
        <w:t xml:space="preserve">wishes to </w:t>
      </w:r>
      <w:r w:rsidR="003327CF">
        <w:rPr>
          <w:lang w:val="en"/>
        </w:rPr>
        <w:t xml:space="preserve">emphasise </w:t>
      </w:r>
      <w:r>
        <w:rPr>
          <w:lang w:val="en"/>
        </w:rPr>
        <w:t>that the design and procurement of c</w:t>
      </w:r>
      <w:r w:rsidRPr="00E67C66">
        <w:rPr>
          <w:lang w:val="en"/>
        </w:rPr>
        <w:t xml:space="preserve">ertain products and services must comply with </w:t>
      </w:r>
      <w:hyperlink r:id="rId14" w:history="1">
        <w:r w:rsidRPr="00424CEE">
          <w:rPr>
            <w:rStyle w:val="Hyperlink"/>
            <w:lang w:val="en"/>
          </w:rPr>
          <w:t>EU Directive 2019/882</w:t>
        </w:r>
      </w:hyperlink>
      <w:r w:rsidRPr="00E67C66">
        <w:rPr>
          <w:b/>
          <w:lang w:val="en"/>
        </w:rPr>
        <w:t xml:space="preserve"> </w:t>
      </w:r>
      <w:r w:rsidRPr="00CE2525">
        <w:rPr>
          <w:lang w:val="en"/>
        </w:rPr>
        <w:t>on the accessibility requirements for procurement of products and services</w:t>
      </w:r>
      <w:r>
        <w:rPr>
          <w:b/>
          <w:lang w:val="en"/>
        </w:rPr>
        <w:t xml:space="preserve"> </w:t>
      </w:r>
      <w:r w:rsidRPr="00CE2525">
        <w:rPr>
          <w:lang w:val="en"/>
        </w:rPr>
        <w:t>and</w:t>
      </w:r>
      <w:r>
        <w:rPr>
          <w:b/>
          <w:lang w:val="en"/>
        </w:rPr>
        <w:t xml:space="preserve"> </w:t>
      </w:r>
      <w:r w:rsidRPr="00CE2525">
        <w:rPr>
          <w:lang w:val="en"/>
        </w:rPr>
        <w:t xml:space="preserve">in particular </w:t>
      </w:r>
      <w:r w:rsidRPr="005E1CD8">
        <w:rPr>
          <w:lang w:val="en"/>
        </w:rPr>
        <w:t>for information and communications technology to be accessib</w:t>
      </w:r>
      <w:r>
        <w:rPr>
          <w:lang w:val="en"/>
        </w:rPr>
        <w:t>le for people with disabilities (harmonised standard EN 301 549).</w:t>
      </w:r>
      <w:r w:rsidR="00424CEE">
        <w:rPr>
          <w:lang w:val="en"/>
        </w:rPr>
        <w:t xml:space="preserve"> This includes requirements to do with user interface.</w:t>
      </w:r>
      <w:r>
        <w:rPr>
          <w:lang w:val="en"/>
        </w:rPr>
        <w:t xml:space="preserve"> It is important to keep these requirements in mind, particularly at the procurement phase of the project. </w:t>
      </w:r>
    </w:p>
    <w:p w14:paraId="0991E10F" w14:textId="1131579D" w:rsidR="00255C26" w:rsidRDefault="00255C26" w:rsidP="00255C26">
      <w:pPr>
        <w:rPr>
          <w:lang w:val="en" w:eastAsia="en-IE"/>
        </w:rPr>
      </w:pPr>
      <w:r>
        <w:rPr>
          <w:lang w:val="en" w:eastAsia="en-IE"/>
        </w:rPr>
        <w:t>L</w:t>
      </w:r>
      <w:r w:rsidRPr="0074629B">
        <w:rPr>
          <w:lang w:val="en" w:eastAsia="en-IE"/>
        </w:rPr>
        <w:t xml:space="preserve">ast year Irish EVs published an article regarding </w:t>
      </w:r>
      <w:hyperlink r:id="rId15" w:history="1">
        <w:r w:rsidRPr="00255C26">
          <w:rPr>
            <w:rStyle w:val="Hyperlink"/>
            <w:lang w:val="en" w:eastAsia="en-IE"/>
          </w:rPr>
          <w:t>EV charging availability</w:t>
        </w:r>
      </w:hyperlink>
      <w:r w:rsidRPr="0074629B">
        <w:rPr>
          <w:lang w:val="en" w:eastAsia="en-IE"/>
        </w:rPr>
        <w:t xml:space="preserve">. At the time this article was written Irish EVs found there were only 4 wheelchair accessible ESB electric vehicle chargers in Ireland: </w:t>
      </w:r>
      <w:r w:rsidR="00F67837">
        <w:rPr>
          <w:lang w:val="en" w:eastAsia="en-IE"/>
        </w:rPr>
        <w:t>It</w:t>
      </w:r>
      <w:r w:rsidRPr="0074629B">
        <w:rPr>
          <w:lang w:val="en" w:eastAsia="en-IE"/>
        </w:rPr>
        <w:t xml:space="preserve"> should be </w:t>
      </w:r>
      <w:r w:rsidR="00F67837">
        <w:rPr>
          <w:lang w:val="en" w:eastAsia="en-IE"/>
        </w:rPr>
        <w:t>stressed</w:t>
      </w:r>
      <w:r w:rsidRPr="0074629B">
        <w:rPr>
          <w:lang w:val="en" w:eastAsia="en-IE"/>
        </w:rPr>
        <w:t xml:space="preserve"> that accessible spaces at EV charging stations should not count toward the minimum number of accessible car and van parking spaces required in a parking facility</w:t>
      </w:r>
      <w:r w:rsidR="00F67837">
        <w:rPr>
          <w:lang w:val="en" w:eastAsia="en-IE"/>
        </w:rPr>
        <w:t>.</w:t>
      </w:r>
    </w:p>
    <w:p w14:paraId="0A6A328F" w14:textId="266D6017" w:rsidR="0074629B" w:rsidRPr="0074629B" w:rsidRDefault="00AA7BD1" w:rsidP="0074629B">
      <w:pPr>
        <w:rPr>
          <w:lang w:val="en" w:eastAsia="en-IE"/>
        </w:rPr>
      </w:pPr>
      <w:r>
        <w:rPr>
          <w:lang w:val="en" w:eastAsia="en-IE"/>
        </w:rPr>
        <w:t xml:space="preserve">On this subject, the NDA’s Centre for Excellence in Universal Design provides </w:t>
      </w:r>
      <w:hyperlink r:id="rId16" w:history="1">
        <w:r w:rsidRPr="00AA7BD1">
          <w:rPr>
            <w:rStyle w:val="Hyperlink"/>
            <w:lang w:val="en" w:eastAsia="en-IE"/>
          </w:rPr>
          <w:t>guidance on the built environment</w:t>
        </w:r>
      </w:hyperlink>
      <w:r>
        <w:rPr>
          <w:lang w:val="en" w:eastAsia="en-IE"/>
        </w:rPr>
        <w:t xml:space="preserve"> which provides </w:t>
      </w:r>
      <w:r w:rsidR="00F65187" w:rsidRPr="0074629B">
        <w:rPr>
          <w:lang w:val="en" w:eastAsia="en-IE"/>
        </w:rPr>
        <w:t xml:space="preserve">technical specifications for </w:t>
      </w:r>
      <w:r w:rsidR="00606E41">
        <w:rPr>
          <w:lang w:val="en" w:eastAsia="en-IE"/>
        </w:rPr>
        <w:t>accessible</w:t>
      </w:r>
      <w:r w:rsidR="00606E41" w:rsidRPr="0074629B">
        <w:rPr>
          <w:lang w:val="en" w:eastAsia="en-IE"/>
        </w:rPr>
        <w:t xml:space="preserve"> </w:t>
      </w:r>
      <w:r w:rsidR="00F65187" w:rsidRPr="0074629B">
        <w:rPr>
          <w:lang w:val="en" w:eastAsia="en-IE"/>
        </w:rPr>
        <w:t>parking spaces. It also provides guidance on the amount of car parking spaces generally which should b</w:t>
      </w:r>
      <w:r>
        <w:rPr>
          <w:lang w:val="en" w:eastAsia="en-IE"/>
        </w:rPr>
        <w:t xml:space="preserve">e allocated </w:t>
      </w:r>
      <w:r w:rsidR="001C00AB">
        <w:rPr>
          <w:lang w:val="en" w:eastAsia="en-IE"/>
        </w:rPr>
        <w:t>as accessible</w:t>
      </w:r>
      <w:r>
        <w:rPr>
          <w:lang w:val="en" w:eastAsia="en-IE"/>
        </w:rPr>
        <w:t xml:space="preserve"> parking and would be a useful guide for the Department to follow when designing and building EV charging facilities in residential </w:t>
      </w:r>
      <w:r w:rsidRPr="00AA7BD1">
        <w:rPr>
          <w:lang w:eastAsia="en-IE"/>
        </w:rPr>
        <w:t>neighbourhoods</w:t>
      </w:r>
      <w:r>
        <w:rPr>
          <w:lang w:val="en" w:eastAsia="en-IE"/>
        </w:rPr>
        <w:t xml:space="preserve">, destination charging and motorway charging. </w:t>
      </w:r>
      <w:r w:rsidR="00761254">
        <w:rPr>
          <w:lang w:val="en" w:eastAsia="en-IE"/>
        </w:rPr>
        <w:t xml:space="preserve">This guide also provides details on pavement width to facilitate walkability. The NDA recommends that the Department take this into account when considering charging infrastructure in order to ensure paths are not made inaccessible for persons with disabilities but also for people who are using prams, shopping trollies etc. </w:t>
      </w:r>
    </w:p>
    <w:p w14:paraId="69DF91FC" w14:textId="2A97DA2A" w:rsidR="0074629B" w:rsidRDefault="00540DDE" w:rsidP="0074629B">
      <w:pPr>
        <w:rPr>
          <w:lang w:val="en" w:eastAsia="en-IE"/>
        </w:rPr>
      </w:pPr>
      <w:r>
        <w:rPr>
          <w:lang w:val="en" w:eastAsia="en-IE"/>
        </w:rPr>
        <w:t>In</w:t>
      </w:r>
      <w:r w:rsidR="00226C1F">
        <w:rPr>
          <w:lang w:val="en" w:eastAsia="en-IE"/>
        </w:rPr>
        <w:t xml:space="preserve"> determining key areas of focus of consultations with persons with disabilities, </w:t>
      </w:r>
      <w:r w:rsidR="0074629B" w:rsidRPr="0074629B">
        <w:rPr>
          <w:lang w:val="en" w:eastAsia="en-IE"/>
        </w:rPr>
        <w:t xml:space="preserve">Motability UK published </w:t>
      </w:r>
      <w:hyperlink r:id="rId17" w:history="1">
        <w:r w:rsidR="00226C1F">
          <w:rPr>
            <w:rStyle w:val="Hyperlink"/>
            <w:lang w:val="en" w:eastAsia="en-IE"/>
          </w:rPr>
          <w:t>a scoping and discovery report on Accessible EV Charging</w:t>
        </w:r>
      </w:hyperlink>
      <w:r w:rsidR="00E034CE">
        <w:rPr>
          <w:lang w:val="en" w:eastAsia="en-IE"/>
        </w:rPr>
        <w:t>, which</w:t>
      </w:r>
      <w:r w:rsidR="00226C1F">
        <w:rPr>
          <w:lang w:val="en" w:eastAsia="en-IE"/>
        </w:rPr>
        <w:t xml:space="preserve"> </w:t>
      </w:r>
      <w:r w:rsidR="0074629B" w:rsidRPr="0074629B">
        <w:rPr>
          <w:lang w:val="en" w:eastAsia="en-IE"/>
        </w:rPr>
        <w:t xml:space="preserve">may be useful in providing an overview of the issues faced. </w:t>
      </w:r>
      <w:r w:rsidR="00226C1F">
        <w:rPr>
          <w:lang w:val="en" w:eastAsia="en-IE"/>
        </w:rPr>
        <w:t xml:space="preserve">The main issues which were presented from the findings were; </w:t>
      </w:r>
      <w:r w:rsidR="0074629B" w:rsidRPr="0074629B">
        <w:rPr>
          <w:lang w:val="en" w:eastAsia="en-IE"/>
        </w:rPr>
        <w:t xml:space="preserve">lack of adequate space for </w:t>
      </w:r>
      <w:r w:rsidR="00226C1F" w:rsidRPr="0074629B">
        <w:rPr>
          <w:lang w:val="en" w:eastAsia="en-IE"/>
        </w:rPr>
        <w:t>maneuvering</w:t>
      </w:r>
      <w:r w:rsidR="0074629B" w:rsidRPr="0074629B">
        <w:rPr>
          <w:lang w:val="en" w:eastAsia="en-IE"/>
        </w:rPr>
        <w:t xml:space="preserve">, </w:t>
      </w:r>
      <w:r w:rsidR="00C4131C">
        <w:rPr>
          <w:lang w:val="en" w:eastAsia="en-IE"/>
        </w:rPr>
        <w:t xml:space="preserve">lack of </w:t>
      </w:r>
      <w:r w:rsidR="0074629B" w:rsidRPr="0074629B">
        <w:rPr>
          <w:lang w:val="en" w:eastAsia="en-IE"/>
        </w:rPr>
        <w:t xml:space="preserve">clear access ways to the charging station, variability in operation of the charging machines, charge points which were not designed with a variety of users in mind, and lack of accessible and easy to understand information about charging </w:t>
      </w:r>
      <w:r w:rsidR="00226C1F">
        <w:rPr>
          <w:lang w:val="en" w:eastAsia="en-IE"/>
        </w:rPr>
        <w:t xml:space="preserve">points. </w:t>
      </w:r>
    </w:p>
    <w:p w14:paraId="359CEDF3" w14:textId="4A0F1BD7" w:rsidR="00F912AB" w:rsidRPr="00F912AB" w:rsidRDefault="00F912AB" w:rsidP="00F912AB">
      <w:pPr>
        <w:rPr>
          <w:lang w:val="en" w:eastAsia="en-IE"/>
        </w:rPr>
      </w:pPr>
      <w:r w:rsidRPr="00F912AB">
        <w:rPr>
          <w:lang w:val="en" w:eastAsia="en-IE"/>
        </w:rPr>
        <w:t xml:space="preserve">The NDA would like to remind the </w:t>
      </w:r>
      <w:r>
        <w:rPr>
          <w:lang w:val="en" w:eastAsia="en-IE"/>
        </w:rPr>
        <w:t>Department</w:t>
      </w:r>
      <w:r w:rsidRPr="00F912AB">
        <w:rPr>
          <w:lang w:val="en" w:eastAsia="en-IE"/>
        </w:rPr>
        <w:t xml:space="preserve"> that a Disability Impact Assessment is an obligatory requirement of all substantive proposals requiring Government approval as stipulated in The Cabinet Handbook when there is: </w:t>
      </w:r>
    </w:p>
    <w:p w14:paraId="6061626F" w14:textId="77777777" w:rsidR="00F912AB" w:rsidRPr="00F912AB" w:rsidRDefault="00F912AB" w:rsidP="00F912AB">
      <w:pPr>
        <w:rPr>
          <w:lang w:val="en" w:eastAsia="en-IE"/>
        </w:rPr>
      </w:pPr>
      <w:r w:rsidRPr="00F912AB">
        <w:rPr>
          <w:lang w:val="en" w:eastAsia="en-IE"/>
        </w:rPr>
        <w:t>•</w:t>
      </w:r>
      <w:r w:rsidRPr="00F912AB">
        <w:rPr>
          <w:lang w:val="en" w:eastAsia="en-IE"/>
        </w:rPr>
        <w:tab/>
        <w:t xml:space="preserve">a change in policy; </w:t>
      </w:r>
    </w:p>
    <w:p w14:paraId="130A3064" w14:textId="77777777" w:rsidR="00F912AB" w:rsidRPr="00F912AB" w:rsidRDefault="00F912AB" w:rsidP="00F912AB">
      <w:pPr>
        <w:rPr>
          <w:lang w:val="en" w:eastAsia="en-IE"/>
        </w:rPr>
      </w:pPr>
      <w:r w:rsidRPr="00F912AB">
        <w:rPr>
          <w:lang w:val="en" w:eastAsia="en-IE"/>
        </w:rPr>
        <w:t>•</w:t>
      </w:r>
      <w:r w:rsidRPr="00F912AB">
        <w:rPr>
          <w:lang w:val="en" w:eastAsia="en-IE"/>
        </w:rPr>
        <w:tab/>
        <w:t xml:space="preserve">the introduction, abolition or significant change in an existing scheme; or </w:t>
      </w:r>
    </w:p>
    <w:p w14:paraId="08EF2DAB" w14:textId="77777777" w:rsidR="00F912AB" w:rsidRPr="00F912AB" w:rsidRDefault="00F912AB" w:rsidP="00F912AB">
      <w:pPr>
        <w:rPr>
          <w:lang w:val="en" w:eastAsia="en-IE"/>
        </w:rPr>
      </w:pPr>
      <w:r w:rsidRPr="00F912AB">
        <w:rPr>
          <w:lang w:val="en" w:eastAsia="en-IE"/>
        </w:rPr>
        <w:t>•</w:t>
      </w:r>
      <w:r w:rsidRPr="00F912AB">
        <w:rPr>
          <w:lang w:val="en" w:eastAsia="en-IE"/>
        </w:rPr>
        <w:tab/>
        <w:t xml:space="preserve">a decision which impacts on the public at large, or </w:t>
      </w:r>
    </w:p>
    <w:p w14:paraId="55A42163" w14:textId="014D6491" w:rsidR="00F912AB" w:rsidRPr="00F912AB" w:rsidRDefault="00F912AB" w:rsidP="00F912AB">
      <w:pPr>
        <w:rPr>
          <w:lang w:val="en" w:eastAsia="en-IE"/>
        </w:rPr>
      </w:pPr>
      <w:r w:rsidRPr="00F912AB">
        <w:rPr>
          <w:lang w:val="en" w:eastAsia="en-IE"/>
        </w:rPr>
        <w:t>•</w:t>
      </w:r>
      <w:r w:rsidRPr="00F912AB">
        <w:rPr>
          <w:lang w:val="en" w:eastAsia="en-IE"/>
        </w:rPr>
        <w:tab/>
        <w:t>on a signific</w:t>
      </w:r>
      <w:r>
        <w:rPr>
          <w:lang w:val="en" w:eastAsia="en-IE"/>
        </w:rPr>
        <w:t xml:space="preserve">ant subset of that population. </w:t>
      </w:r>
    </w:p>
    <w:p w14:paraId="6990ED3B" w14:textId="2E95C90C" w:rsidR="00F912AB" w:rsidRDefault="00F912AB" w:rsidP="00F912AB">
      <w:pPr>
        <w:rPr>
          <w:lang w:val="en" w:eastAsia="en-IE"/>
        </w:rPr>
      </w:pPr>
      <w:r w:rsidRPr="00F912AB">
        <w:rPr>
          <w:lang w:val="en" w:eastAsia="en-IE"/>
        </w:rPr>
        <w:t xml:space="preserve">It is evident that the </w:t>
      </w:r>
      <w:r>
        <w:rPr>
          <w:lang w:val="en" w:eastAsia="en-IE"/>
        </w:rPr>
        <w:t>Electric Vehicle Charging Infrastructure Strategy</w:t>
      </w:r>
      <w:r w:rsidRPr="00F912AB">
        <w:rPr>
          <w:lang w:val="en" w:eastAsia="en-IE"/>
        </w:rPr>
        <w:t xml:space="preserve"> represents a significant change and would impact the public at large, therefore the requirement for such an assessment is evident. The Department of Justice provides Guidelines on How to Conduct a Disability Impact Assessment.</w:t>
      </w:r>
    </w:p>
    <w:p w14:paraId="75652C96" w14:textId="79EB43B3" w:rsidR="00F912AB" w:rsidRDefault="004E2868" w:rsidP="0074629B">
      <w:pPr>
        <w:rPr>
          <w:szCs w:val="26"/>
        </w:rPr>
      </w:pPr>
      <w:r w:rsidRPr="00BA211B">
        <w:rPr>
          <w:szCs w:val="26"/>
        </w:rPr>
        <w:t xml:space="preserve">The NDA </w:t>
      </w:r>
      <w:r>
        <w:rPr>
          <w:szCs w:val="26"/>
        </w:rPr>
        <w:t>also wishes to advise that the Department of Transport</w:t>
      </w:r>
      <w:r w:rsidRPr="00BA211B">
        <w:rPr>
          <w:szCs w:val="26"/>
        </w:rPr>
        <w:t xml:space="preserve"> </w:t>
      </w:r>
      <w:r>
        <w:rPr>
          <w:szCs w:val="26"/>
        </w:rPr>
        <w:t xml:space="preserve">will need to take account of </w:t>
      </w:r>
      <w:r w:rsidRPr="00BA211B">
        <w:rPr>
          <w:szCs w:val="26"/>
        </w:rPr>
        <w:t>the European Accessibility Directive (EU) 2019/882</w:t>
      </w:r>
      <w:r>
        <w:rPr>
          <w:szCs w:val="26"/>
        </w:rPr>
        <w:t>, o</w:t>
      </w:r>
      <w:r w:rsidRPr="00BA211B">
        <w:rPr>
          <w:szCs w:val="26"/>
        </w:rPr>
        <w:t xml:space="preserve">n the Accessibility Requirements for Products and Services (European Accessibility Act). Member states are obliged to transpose the European Accessibility Act (EAA) into national legislation by 28th June 2022 with implementation commencing from June 2025. Accessibility requirements are binding on public administration organisations </w:t>
      </w:r>
      <w:r w:rsidRPr="00BA211B">
        <w:rPr>
          <w:b/>
          <w:bCs/>
          <w:szCs w:val="26"/>
        </w:rPr>
        <w:t xml:space="preserve">and </w:t>
      </w:r>
      <w:r w:rsidRPr="00BA211B">
        <w:rPr>
          <w:szCs w:val="26"/>
        </w:rPr>
        <w:t>the private sector, that is, anyone who produces or provides products or services falling within the scope of the EAA. From 28 June 2025 the legislation will apply to a wide range of products and services, including Payment terminals and certain self-service terminals</w:t>
      </w:r>
      <w:r>
        <w:rPr>
          <w:szCs w:val="26"/>
        </w:rPr>
        <w:t>.</w:t>
      </w:r>
    </w:p>
    <w:p w14:paraId="57214026" w14:textId="710C6DE4" w:rsidR="00246DDE" w:rsidRDefault="004E2868" w:rsidP="0074629B">
      <w:pPr>
        <w:rPr>
          <w:rFonts w:cs="Arial"/>
          <w:color w:val="000000"/>
          <w:szCs w:val="26"/>
          <w:lang w:eastAsia="en-IE"/>
        </w:rPr>
      </w:pPr>
      <w:r>
        <w:rPr>
          <w:rFonts w:eastAsia="SimSun" w:cs="Calibri"/>
          <w:color w:val="000000"/>
          <w:szCs w:val="26"/>
          <w:lang w:eastAsia="en-IE"/>
        </w:rPr>
        <w:t xml:space="preserve">Further to this, </w:t>
      </w:r>
      <w:r>
        <w:t xml:space="preserve">the NDA would like to remind the Department that Section 27 of the Disability Act, 2005 </w:t>
      </w:r>
      <w:r w:rsidRPr="00431069">
        <w:t xml:space="preserve">requires the head of a public body to ensure that services provided and goods supplied </w:t>
      </w:r>
      <w:r w:rsidRPr="001C5190">
        <w:t>to t</w:t>
      </w:r>
      <w:r w:rsidRPr="00431069">
        <w:t>he public body are accessible to people with disabilities, unless that would not be practicable, would be too expensive, or would cause an unreasonable delay.</w:t>
      </w:r>
      <w:r>
        <w:t xml:space="preserve"> </w:t>
      </w:r>
      <w:r>
        <w:rPr>
          <w:rStyle w:val="FootnoteReference"/>
        </w:rPr>
        <w:footnoteReference w:id="5"/>
      </w:r>
      <w:r>
        <w:t xml:space="preserve"> As such the </w:t>
      </w:r>
      <w:hyperlink r:id="rId18" w:history="1">
        <w:r w:rsidRPr="001C5190">
          <w:rPr>
            <w:rStyle w:val="Hyperlink"/>
          </w:rPr>
          <w:t>Code of Practice on Accessible Public Services and Information provided by Public Bodies</w:t>
        </w:r>
      </w:hyperlink>
      <w:r>
        <w:t xml:space="preserve"> highlights that </w:t>
      </w:r>
      <w:r w:rsidRPr="001C5190">
        <w:rPr>
          <w:szCs w:val="26"/>
        </w:rPr>
        <w:t xml:space="preserve">procurers in public bodies should </w:t>
      </w:r>
      <w:r w:rsidRPr="001C5190">
        <w:rPr>
          <w:rFonts w:cs="Arial"/>
          <w:color w:val="000000"/>
          <w:szCs w:val="26"/>
          <w:lang w:eastAsia="en-IE"/>
        </w:rPr>
        <w:t>highlight accessibility "as a criterion to be considered throughout the entire tendering process (from drawing up and running tender competitions through tender evaluation and placing the contract to final debriefing)".</w:t>
      </w:r>
    </w:p>
    <w:p w14:paraId="592C589F" w14:textId="48DA9A9F" w:rsidR="00246DDE" w:rsidRDefault="00246DDE" w:rsidP="00246DDE">
      <w:pPr>
        <w:pStyle w:val="ListNumber"/>
        <w:numPr>
          <w:ilvl w:val="0"/>
          <w:numId w:val="0"/>
        </w:numPr>
        <w:rPr>
          <w:bCs/>
          <w:szCs w:val="26"/>
        </w:rPr>
      </w:pPr>
      <w:r w:rsidRPr="00780B44">
        <w:rPr>
          <w:szCs w:val="26"/>
        </w:rPr>
        <w:t xml:space="preserve">To assist the </w:t>
      </w:r>
      <w:r>
        <w:rPr>
          <w:szCs w:val="26"/>
        </w:rPr>
        <w:t>Department</w:t>
      </w:r>
      <w:r w:rsidRPr="00780B44">
        <w:rPr>
          <w:szCs w:val="26"/>
        </w:rPr>
        <w:t xml:space="preserve"> in meeting these requirement the NDA recommends communication and consultation with persons with disabilities and older people to determine their needs with regards to any changes </w:t>
      </w:r>
      <w:r>
        <w:rPr>
          <w:szCs w:val="26"/>
        </w:rPr>
        <w:t>and updates to charging</w:t>
      </w:r>
      <w:r w:rsidRPr="00780B44">
        <w:rPr>
          <w:szCs w:val="26"/>
        </w:rPr>
        <w:t xml:space="preserve"> infrastructure. This will ensure that </w:t>
      </w:r>
      <w:r>
        <w:rPr>
          <w:szCs w:val="26"/>
        </w:rPr>
        <w:t xml:space="preserve">EV charging </w:t>
      </w:r>
      <w:r w:rsidRPr="00780B44">
        <w:rPr>
          <w:szCs w:val="26"/>
        </w:rPr>
        <w:t>infrastructure takes a universal design approach</w:t>
      </w:r>
      <w:r>
        <w:rPr>
          <w:bCs/>
          <w:szCs w:val="26"/>
        </w:rPr>
        <w:t>.</w:t>
      </w:r>
    </w:p>
    <w:p w14:paraId="582B3ABA" w14:textId="556CEAF7" w:rsidR="00E034CE" w:rsidRDefault="00E034CE" w:rsidP="00E034CE">
      <w:pPr>
        <w:pStyle w:val="Heading1"/>
        <w:rPr>
          <w:lang w:val="en" w:eastAsia="en-IE"/>
        </w:rPr>
      </w:pPr>
      <w:r>
        <w:rPr>
          <w:lang w:val="en" w:eastAsia="en-IE"/>
        </w:rPr>
        <w:t xml:space="preserve">Conclusion </w:t>
      </w:r>
    </w:p>
    <w:p w14:paraId="00EBBCFE" w14:textId="023C5CB4" w:rsidR="0074629B" w:rsidRPr="00172E92" w:rsidRDefault="00E034CE" w:rsidP="0074629B">
      <w:pPr>
        <w:rPr>
          <w:szCs w:val="26"/>
          <w:lang w:val="en" w:eastAsia="en-IE"/>
        </w:rPr>
      </w:pPr>
      <w:r w:rsidRPr="00172E92">
        <w:rPr>
          <w:szCs w:val="26"/>
          <w:lang w:val="en" w:eastAsia="en-IE"/>
        </w:rPr>
        <w:t xml:space="preserve">Taking a universal design approach can help address commonly encountered barriers with regards to EV charging as well as assist the Department in meeting all legislative requirements. </w:t>
      </w:r>
      <w:r w:rsidR="0074629B" w:rsidRPr="00172E92">
        <w:rPr>
          <w:szCs w:val="26"/>
          <w:lang w:val="en" w:eastAsia="en-IE"/>
        </w:rPr>
        <w:t xml:space="preserve">When looking at implementing or improving infrastructure the NDA always promotes taking a universal design approach. Universal design promotes design and composition of an environment so that it can be accessed, understood and used to the greatest extent possible by all people regardless of their age, size, ability or disability. </w:t>
      </w:r>
    </w:p>
    <w:p w14:paraId="68E86CE1" w14:textId="77777777" w:rsidR="00172E92" w:rsidRPr="00172E92" w:rsidRDefault="00172E92" w:rsidP="00172E92">
      <w:pPr>
        <w:rPr>
          <w:rFonts w:eastAsia="SimSun"/>
          <w:szCs w:val="26"/>
          <w:lang w:eastAsia="en-IE"/>
        </w:rPr>
      </w:pPr>
      <w:r w:rsidRPr="00172E92">
        <w:rPr>
          <w:color w:val="000000"/>
          <w:szCs w:val="26"/>
        </w:rPr>
        <w:t>Transport plays a crucial role in empowering people with disabilities to participate in everyday life and the activities of their communities. Approximately one in ten people with disabilities said that inadequate/inaccessible transport systems prevented them from participating in social events.</w:t>
      </w:r>
      <w:r w:rsidRPr="00172E92">
        <w:rPr>
          <w:rStyle w:val="FootnoteReference"/>
          <w:rFonts w:ascii="Gill Sans MT" w:eastAsia="SimSun" w:hAnsi="Gill Sans MT"/>
          <w:color w:val="000000"/>
          <w:sz w:val="26"/>
          <w:szCs w:val="26"/>
          <w:lang w:eastAsia="en-IE"/>
        </w:rPr>
        <w:footnoteReference w:id="6"/>
      </w:r>
      <w:r w:rsidRPr="00172E92">
        <w:rPr>
          <w:color w:val="000000"/>
          <w:szCs w:val="26"/>
        </w:rPr>
        <w:t xml:space="preserve"> </w:t>
      </w:r>
      <w:r w:rsidRPr="00172E92">
        <w:rPr>
          <w:szCs w:val="26"/>
        </w:rPr>
        <w:t>About one in six people with a disability are not in work who would be interested in a job, cite transport or parking as an issue for them.</w:t>
      </w:r>
      <w:r w:rsidRPr="00172E92">
        <w:rPr>
          <w:rFonts w:eastAsia="SimSun"/>
          <w:szCs w:val="26"/>
          <w:lang w:eastAsia="en-IE"/>
        </w:rPr>
        <w:t xml:space="preserve"> Those with sight, mobility or intellectual disabilities are most likely to cite transport as an issue for employment.</w:t>
      </w:r>
      <w:r w:rsidRPr="00172E92">
        <w:rPr>
          <w:rStyle w:val="FootnoteReference"/>
          <w:rFonts w:ascii="Gill Sans MT" w:eastAsia="SimSun" w:hAnsi="Gill Sans MT"/>
          <w:sz w:val="26"/>
          <w:szCs w:val="26"/>
          <w:lang w:eastAsia="en-IE"/>
        </w:rPr>
        <w:footnoteReference w:id="7"/>
      </w:r>
    </w:p>
    <w:p w14:paraId="74137BA7" w14:textId="78935F83" w:rsidR="00172E92" w:rsidRPr="00172E92" w:rsidRDefault="00172E92" w:rsidP="00172E92">
      <w:pPr>
        <w:rPr>
          <w:szCs w:val="26"/>
        </w:rPr>
      </w:pPr>
      <w:r w:rsidRPr="00172E92">
        <w:rPr>
          <w:szCs w:val="26"/>
        </w:rPr>
        <w:t xml:space="preserve">The NDA is happy to meet with the </w:t>
      </w:r>
      <w:r>
        <w:rPr>
          <w:szCs w:val="26"/>
        </w:rPr>
        <w:t>Department</w:t>
      </w:r>
      <w:r w:rsidRPr="00172E92">
        <w:rPr>
          <w:szCs w:val="26"/>
        </w:rPr>
        <w:t xml:space="preserve"> to discuss this submission. The NDA is looking forward to continuing to work with the </w:t>
      </w:r>
      <w:r>
        <w:rPr>
          <w:szCs w:val="26"/>
        </w:rPr>
        <w:t>Department</w:t>
      </w:r>
      <w:r w:rsidRPr="00172E92">
        <w:rPr>
          <w:szCs w:val="26"/>
        </w:rPr>
        <w:t xml:space="preserve"> to develop and implement </w:t>
      </w:r>
      <w:r w:rsidRPr="00172E92">
        <w:rPr>
          <w:rFonts w:eastAsia="SimSun"/>
          <w:szCs w:val="26"/>
          <w:lang w:eastAsia="en-IE"/>
        </w:rPr>
        <w:t>integrated universally designed transport services.</w:t>
      </w:r>
      <w:r w:rsidRPr="00172E92">
        <w:rPr>
          <w:szCs w:val="26"/>
        </w:rPr>
        <w:t xml:space="preserve"> </w:t>
      </w:r>
    </w:p>
    <w:p w14:paraId="60BD0C0D" w14:textId="77777777" w:rsidR="00172E92" w:rsidRDefault="00172E92" w:rsidP="0074629B">
      <w:pPr>
        <w:rPr>
          <w:lang w:val="en" w:eastAsia="en-IE"/>
        </w:rPr>
      </w:pPr>
    </w:p>
    <w:p w14:paraId="5B6D3112" w14:textId="77777777" w:rsidR="00F912AB" w:rsidRPr="0074629B" w:rsidRDefault="00F912AB" w:rsidP="0074629B">
      <w:pPr>
        <w:rPr>
          <w:lang w:val="en" w:eastAsia="en-IE"/>
        </w:rPr>
      </w:pPr>
    </w:p>
    <w:p w14:paraId="4117E282" w14:textId="3DB82F4F" w:rsidR="00A371C6" w:rsidRPr="00127ECC" w:rsidRDefault="00AD4468" w:rsidP="00A371C6">
      <w:pPr>
        <w:rPr>
          <w:lang w:val="en"/>
        </w:rPr>
      </w:pPr>
      <w:r w:rsidRPr="00AD4468">
        <w:rPr>
          <w:lang w:val="en"/>
        </w:rPr>
        <w:t xml:space="preserve"> </w:t>
      </w:r>
    </w:p>
    <w:sectPr w:rsidR="00A371C6" w:rsidRPr="00127ECC">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4AD9" w14:textId="77777777" w:rsidR="00A65112" w:rsidRDefault="00A65112">
      <w:r>
        <w:separator/>
      </w:r>
    </w:p>
  </w:endnote>
  <w:endnote w:type="continuationSeparator" w:id="0">
    <w:p w14:paraId="51C695D4" w14:textId="77777777" w:rsidR="00A65112" w:rsidRDefault="00A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ardian Egyp Regular">
    <w:altName w:val="Guardian Egyp Regular"/>
    <w:panose1 w:val="00000000000000000000"/>
    <w:charset w:val="00"/>
    <w:family w:val="roman"/>
    <w:notTrueType/>
    <w:pitch w:val="default"/>
    <w:sig w:usb0="00000003" w:usb1="00000000" w:usb2="00000000" w:usb3="00000000" w:csb0="00000001" w:csb1="00000000"/>
  </w:font>
  <w:font w:name="Guardian Egyp Bold">
    <w:altName w:val="Guardian Egyp Bold"/>
    <w:panose1 w:val="00000000000000000000"/>
    <w:charset w:val="00"/>
    <w:family w:val="roman"/>
    <w:notTrueType/>
    <w:pitch w:val="default"/>
    <w:sig w:usb0="00000003" w:usb1="00000000" w:usb2="00000000" w:usb3="00000000" w:csb0="00000001" w:csb1="00000000"/>
  </w:font>
  <w:font w:name="RANFG O+ Gotham">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D6C5" w14:textId="5718AC06" w:rsidR="00A65112" w:rsidRDefault="00A65112">
    <w:pPr>
      <w:pStyle w:val="Footer"/>
    </w:pPr>
    <w:r>
      <w:tab/>
    </w:r>
    <w:r>
      <w:tab/>
    </w:r>
    <w:r>
      <w:fldChar w:fldCharType="begin"/>
    </w:r>
    <w:r>
      <w:instrText xml:space="preserve"> PAGE  \* Arabic  \* MERGEFORMAT </w:instrText>
    </w:r>
    <w:r>
      <w:fldChar w:fldCharType="separate"/>
    </w:r>
    <w:r w:rsidR="008508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FF0B" w14:textId="77777777" w:rsidR="00A65112" w:rsidRDefault="00A65112">
      <w:r>
        <w:separator/>
      </w:r>
    </w:p>
  </w:footnote>
  <w:footnote w:type="continuationSeparator" w:id="0">
    <w:p w14:paraId="5CAFEF97" w14:textId="77777777" w:rsidR="00A65112" w:rsidRDefault="00A65112">
      <w:r>
        <w:continuationSeparator/>
      </w:r>
    </w:p>
  </w:footnote>
  <w:footnote w:id="1">
    <w:p w14:paraId="2F7F5C17" w14:textId="77777777" w:rsidR="0071707F" w:rsidRPr="00FD5708" w:rsidRDefault="0071707F" w:rsidP="0071707F">
      <w:pPr>
        <w:pStyle w:val="FootnoteText"/>
        <w:rPr>
          <w:sz w:val="20"/>
        </w:rPr>
      </w:pPr>
      <w:r>
        <w:rPr>
          <w:rStyle w:val="FootnoteReference"/>
        </w:rPr>
        <w:footnoteRef/>
      </w:r>
      <w:r>
        <w:t xml:space="preserve"> </w:t>
      </w:r>
      <w:r w:rsidRPr="00FD5708">
        <w:rPr>
          <w:sz w:val="20"/>
        </w:rPr>
        <w:t>Census 2016</w:t>
      </w:r>
    </w:p>
  </w:footnote>
  <w:footnote w:id="2">
    <w:p w14:paraId="43FCBB44" w14:textId="77777777" w:rsidR="0071707F" w:rsidRDefault="0071707F" w:rsidP="0071707F">
      <w:pPr>
        <w:pStyle w:val="FootnoteText"/>
      </w:pPr>
      <w:r w:rsidRPr="00FD5708">
        <w:rPr>
          <w:rStyle w:val="FootnoteReference"/>
          <w:sz w:val="20"/>
        </w:rPr>
        <w:footnoteRef/>
      </w:r>
      <w:r w:rsidRPr="00FD5708">
        <w:rPr>
          <w:sz w:val="20"/>
        </w:rPr>
        <w:t xml:space="preserve"> Census 2016</w:t>
      </w:r>
    </w:p>
  </w:footnote>
  <w:footnote w:id="3">
    <w:p w14:paraId="5863213B" w14:textId="49A812B8" w:rsidR="007867CE" w:rsidRDefault="007867CE">
      <w:pPr>
        <w:pStyle w:val="FootnoteText"/>
      </w:pPr>
      <w:r>
        <w:rPr>
          <w:rStyle w:val="FootnoteReference"/>
        </w:rPr>
        <w:footnoteRef/>
      </w:r>
      <w:r>
        <w:t xml:space="preserve"> </w:t>
      </w:r>
      <w:r w:rsidRPr="007867CE">
        <w:t>https://universaldesign.ie/products-services/customer-communications-toolkit-for-the-public-service-a-universal-design-approach/customer-communications-toolkit-for-the-public-services-a-universal-design-approach.pdf</w:t>
      </w:r>
    </w:p>
  </w:footnote>
  <w:footnote w:id="4">
    <w:p w14:paraId="1D93DFD9" w14:textId="77777777" w:rsidR="00061C02" w:rsidRDefault="00061C02" w:rsidP="00061C02">
      <w:pPr>
        <w:pStyle w:val="ListBullet"/>
        <w:numPr>
          <w:ilvl w:val="0"/>
          <w:numId w:val="0"/>
        </w:numPr>
        <w:ind w:left="360" w:hanging="360"/>
      </w:pPr>
      <w:r>
        <w:rPr>
          <w:rStyle w:val="FootnoteReference"/>
        </w:rPr>
        <w:footnoteRef/>
      </w:r>
      <w:r>
        <w:t xml:space="preserve"> </w:t>
      </w:r>
      <w:hyperlink r:id="rId1" w:history="1">
        <w:r w:rsidRPr="00116CBF">
          <w:rPr>
            <w:rStyle w:val="Hyperlink"/>
          </w:rPr>
          <w:t>https://universaldesign.ie/products-services/guidelines-on-body-size/</w:t>
        </w:r>
      </w:hyperlink>
      <w:r>
        <w:t xml:space="preserve"> </w:t>
      </w:r>
    </w:p>
    <w:p w14:paraId="4CFF5139" w14:textId="77777777" w:rsidR="00061C02" w:rsidRDefault="00061C02" w:rsidP="00061C02">
      <w:pPr>
        <w:pStyle w:val="FootnoteText"/>
      </w:pPr>
    </w:p>
  </w:footnote>
  <w:footnote w:id="5">
    <w:p w14:paraId="034E1AE6" w14:textId="77777777" w:rsidR="004E2868" w:rsidRDefault="004E2868" w:rsidP="004E2868">
      <w:pPr>
        <w:pStyle w:val="FootnoteText"/>
      </w:pPr>
      <w:r>
        <w:rPr>
          <w:rStyle w:val="FootnoteReference"/>
        </w:rPr>
        <w:footnoteRef/>
      </w:r>
      <w:r>
        <w:t xml:space="preserve"> </w:t>
      </w:r>
      <w:hyperlink r:id="rId2" w:history="1">
        <w:r w:rsidRPr="000B1847">
          <w:rPr>
            <w:rStyle w:val="Hyperlink"/>
          </w:rPr>
          <w:t>https://www.irishstatutebook.ie/eli/2005/act/14/enacted/en/html</w:t>
        </w:r>
      </w:hyperlink>
      <w:r>
        <w:t xml:space="preserve"> </w:t>
      </w:r>
    </w:p>
  </w:footnote>
  <w:footnote w:id="6">
    <w:p w14:paraId="2A7BA2B1" w14:textId="77777777" w:rsidR="00172E92" w:rsidRPr="00D341C8" w:rsidRDefault="00172E92" w:rsidP="00172E92">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7">
    <w:p w14:paraId="641D1EDD" w14:textId="77777777" w:rsidR="00172E92" w:rsidRPr="001D4CE2" w:rsidRDefault="00172E92" w:rsidP="00172E92">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5421E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A560E7"/>
    <w:multiLevelType w:val="hybridMultilevel"/>
    <w:tmpl w:val="99028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1553D4B"/>
    <w:multiLevelType w:val="hybridMultilevel"/>
    <w:tmpl w:val="94448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B3040F"/>
    <w:multiLevelType w:val="hybridMultilevel"/>
    <w:tmpl w:val="A080D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6E34FED"/>
    <w:multiLevelType w:val="hybridMultilevel"/>
    <w:tmpl w:val="F52E96E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4" w15:restartNumberingAfterBreak="0">
    <w:nsid w:val="110A5432"/>
    <w:multiLevelType w:val="hybridMultilevel"/>
    <w:tmpl w:val="129E9D1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235D5D5D"/>
    <w:multiLevelType w:val="hybridMultilevel"/>
    <w:tmpl w:val="E1AAFA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2D2EAA"/>
    <w:multiLevelType w:val="hybridMultilevel"/>
    <w:tmpl w:val="F1D05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70235C"/>
    <w:multiLevelType w:val="hybridMultilevel"/>
    <w:tmpl w:val="FAFA037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D635A64"/>
    <w:multiLevelType w:val="hybridMultilevel"/>
    <w:tmpl w:val="CAC8D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5B3518"/>
    <w:multiLevelType w:val="hybridMultilevel"/>
    <w:tmpl w:val="21A2A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58D6D53"/>
    <w:multiLevelType w:val="multilevel"/>
    <w:tmpl w:val="23F82B18"/>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 w15:restartNumberingAfterBreak="0">
    <w:nsid w:val="4AAA1C48"/>
    <w:multiLevelType w:val="hybridMultilevel"/>
    <w:tmpl w:val="060AE5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D9334C"/>
    <w:multiLevelType w:val="hybridMultilevel"/>
    <w:tmpl w:val="4588C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9B41C3"/>
    <w:multiLevelType w:val="hybridMultilevel"/>
    <w:tmpl w:val="20EA0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2153A7"/>
    <w:multiLevelType w:val="hybridMultilevel"/>
    <w:tmpl w:val="09E01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AF3857"/>
    <w:multiLevelType w:val="hybridMultilevel"/>
    <w:tmpl w:val="CE3662D6"/>
    <w:lvl w:ilvl="0" w:tplc="CC72B8CA">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C633BF"/>
    <w:multiLevelType w:val="hybridMultilevel"/>
    <w:tmpl w:val="11D6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880197"/>
    <w:multiLevelType w:val="hybridMultilevel"/>
    <w:tmpl w:val="4502F12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B3264AB"/>
    <w:multiLevelType w:val="hybridMultilevel"/>
    <w:tmpl w:val="97AAD7F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066A1"/>
    <w:multiLevelType w:val="multilevel"/>
    <w:tmpl w:val="0D0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62FBA"/>
    <w:multiLevelType w:val="hybridMultilevel"/>
    <w:tmpl w:val="6A68B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C45A3F"/>
    <w:multiLevelType w:val="hybridMultilevel"/>
    <w:tmpl w:val="9D485CA8"/>
    <w:lvl w:ilvl="0" w:tplc="B478F354">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6439D8"/>
    <w:multiLevelType w:val="hybridMultilevel"/>
    <w:tmpl w:val="930CA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3"/>
  </w:num>
  <w:num w:numId="18">
    <w:abstractNumId w:val="3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25"/>
  </w:num>
  <w:num w:numId="2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12"/>
  </w:num>
  <w:num w:numId="27">
    <w:abstractNumId w:val="13"/>
  </w:num>
  <w:num w:numId="28">
    <w:abstractNumId w:val="30"/>
  </w:num>
  <w:num w:numId="29">
    <w:abstractNumId w:val="10"/>
  </w:num>
  <w:num w:numId="30">
    <w:abstractNumId w:val="32"/>
  </w:num>
  <w:num w:numId="31">
    <w:abstractNumId w:val="9"/>
  </w:num>
  <w:num w:numId="32">
    <w:abstractNumId w:val="16"/>
  </w:num>
  <w:num w:numId="33">
    <w:abstractNumId w:val="21"/>
  </w:num>
  <w:num w:numId="34">
    <w:abstractNumId w:val="26"/>
  </w:num>
  <w:num w:numId="35">
    <w:abstractNumId w:val="17"/>
  </w:num>
  <w:num w:numId="36">
    <w:abstractNumId w:val="22"/>
  </w:num>
  <w:num w:numId="37">
    <w:abstractNumId w:val="15"/>
  </w:num>
  <w:num w:numId="38">
    <w:abstractNumId w:val="27"/>
  </w:num>
  <w:num w:numId="39">
    <w:abstractNumId w:val="24"/>
  </w:num>
  <w:num w:numId="40">
    <w:abstractNumId w:val="9"/>
  </w:num>
  <w:num w:numId="41">
    <w:abstractNumId w:val="9"/>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06"/>
    <w:rsid w:val="0000040B"/>
    <w:rsid w:val="0000357C"/>
    <w:rsid w:val="00005E66"/>
    <w:rsid w:val="00011C94"/>
    <w:rsid w:val="000165DD"/>
    <w:rsid w:val="00021AAF"/>
    <w:rsid w:val="00024173"/>
    <w:rsid w:val="00024892"/>
    <w:rsid w:val="00026248"/>
    <w:rsid w:val="00031716"/>
    <w:rsid w:val="00034BF2"/>
    <w:rsid w:val="00037677"/>
    <w:rsid w:val="000442BE"/>
    <w:rsid w:val="00051F89"/>
    <w:rsid w:val="000520C1"/>
    <w:rsid w:val="00053C52"/>
    <w:rsid w:val="00061C02"/>
    <w:rsid w:val="00066C32"/>
    <w:rsid w:val="00067B38"/>
    <w:rsid w:val="00072B70"/>
    <w:rsid w:val="00084779"/>
    <w:rsid w:val="0008529E"/>
    <w:rsid w:val="00085F87"/>
    <w:rsid w:val="000907FE"/>
    <w:rsid w:val="00094866"/>
    <w:rsid w:val="00095E6B"/>
    <w:rsid w:val="00096565"/>
    <w:rsid w:val="000A0FE5"/>
    <w:rsid w:val="000A17E6"/>
    <w:rsid w:val="000A6176"/>
    <w:rsid w:val="000B3BAE"/>
    <w:rsid w:val="000C371D"/>
    <w:rsid w:val="000D333C"/>
    <w:rsid w:val="000D4482"/>
    <w:rsid w:val="000D7F81"/>
    <w:rsid w:val="000E0924"/>
    <w:rsid w:val="000E3BC7"/>
    <w:rsid w:val="000E468D"/>
    <w:rsid w:val="000E61F2"/>
    <w:rsid w:val="000F1D37"/>
    <w:rsid w:val="000F3A2B"/>
    <w:rsid w:val="00106F69"/>
    <w:rsid w:val="001210EF"/>
    <w:rsid w:val="001215B2"/>
    <w:rsid w:val="00127ECC"/>
    <w:rsid w:val="00130825"/>
    <w:rsid w:val="0013354A"/>
    <w:rsid w:val="001447DE"/>
    <w:rsid w:val="00146FBF"/>
    <w:rsid w:val="00150550"/>
    <w:rsid w:val="00150FD1"/>
    <w:rsid w:val="00153312"/>
    <w:rsid w:val="00163182"/>
    <w:rsid w:val="001652E7"/>
    <w:rsid w:val="00166451"/>
    <w:rsid w:val="00172E92"/>
    <w:rsid w:val="00177C44"/>
    <w:rsid w:val="00181118"/>
    <w:rsid w:val="00181FE6"/>
    <w:rsid w:val="001834DC"/>
    <w:rsid w:val="0019677E"/>
    <w:rsid w:val="001A164E"/>
    <w:rsid w:val="001A1E88"/>
    <w:rsid w:val="001A3F5C"/>
    <w:rsid w:val="001A63FB"/>
    <w:rsid w:val="001A7088"/>
    <w:rsid w:val="001A7912"/>
    <w:rsid w:val="001B4571"/>
    <w:rsid w:val="001C00AB"/>
    <w:rsid w:val="001D109E"/>
    <w:rsid w:val="001E1E5C"/>
    <w:rsid w:val="001E236D"/>
    <w:rsid w:val="001E38EF"/>
    <w:rsid w:val="001E437F"/>
    <w:rsid w:val="002025DE"/>
    <w:rsid w:val="00204B6E"/>
    <w:rsid w:val="002071D0"/>
    <w:rsid w:val="0022074E"/>
    <w:rsid w:val="00221326"/>
    <w:rsid w:val="002234D1"/>
    <w:rsid w:val="00226C1F"/>
    <w:rsid w:val="002279FC"/>
    <w:rsid w:val="00236BC3"/>
    <w:rsid w:val="00243382"/>
    <w:rsid w:val="00246DDE"/>
    <w:rsid w:val="00254AB9"/>
    <w:rsid w:val="00255C26"/>
    <w:rsid w:val="0025675F"/>
    <w:rsid w:val="0025706F"/>
    <w:rsid w:val="00257329"/>
    <w:rsid w:val="0026283E"/>
    <w:rsid w:val="00266209"/>
    <w:rsid w:val="00266302"/>
    <w:rsid w:val="00267CB2"/>
    <w:rsid w:val="0027140B"/>
    <w:rsid w:val="00272BC2"/>
    <w:rsid w:val="00274FC5"/>
    <w:rsid w:val="002756AB"/>
    <w:rsid w:val="002803AE"/>
    <w:rsid w:val="002875DA"/>
    <w:rsid w:val="00287B8E"/>
    <w:rsid w:val="002960E2"/>
    <w:rsid w:val="002A2719"/>
    <w:rsid w:val="002B1D47"/>
    <w:rsid w:val="002B54B6"/>
    <w:rsid w:val="002B6D25"/>
    <w:rsid w:val="002B78FC"/>
    <w:rsid w:val="002B791B"/>
    <w:rsid w:val="002C7404"/>
    <w:rsid w:val="002C7B15"/>
    <w:rsid w:val="002D4787"/>
    <w:rsid w:val="002D4DE5"/>
    <w:rsid w:val="002D7FE7"/>
    <w:rsid w:val="002E5657"/>
    <w:rsid w:val="002E6F62"/>
    <w:rsid w:val="002F2894"/>
    <w:rsid w:val="002F3A10"/>
    <w:rsid w:val="002F4F28"/>
    <w:rsid w:val="002F6609"/>
    <w:rsid w:val="003145BF"/>
    <w:rsid w:val="00315092"/>
    <w:rsid w:val="003156DB"/>
    <w:rsid w:val="00317ADB"/>
    <w:rsid w:val="00317F14"/>
    <w:rsid w:val="00317F9F"/>
    <w:rsid w:val="00330850"/>
    <w:rsid w:val="003311A7"/>
    <w:rsid w:val="003327CF"/>
    <w:rsid w:val="00333705"/>
    <w:rsid w:val="00350754"/>
    <w:rsid w:val="00350823"/>
    <w:rsid w:val="00353E71"/>
    <w:rsid w:val="00355041"/>
    <w:rsid w:val="003563A2"/>
    <w:rsid w:val="003612B6"/>
    <w:rsid w:val="003726F0"/>
    <w:rsid w:val="00386A82"/>
    <w:rsid w:val="00390631"/>
    <w:rsid w:val="00393E33"/>
    <w:rsid w:val="0039567F"/>
    <w:rsid w:val="003A44C8"/>
    <w:rsid w:val="003A7B04"/>
    <w:rsid w:val="003B10EC"/>
    <w:rsid w:val="003B1116"/>
    <w:rsid w:val="003D0A2E"/>
    <w:rsid w:val="003D5D67"/>
    <w:rsid w:val="003D6BCE"/>
    <w:rsid w:val="003E2AF8"/>
    <w:rsid w:val="003E6FAB"/>
    <w:rsid w:val="003F4227"/>
    <w:rsid w:val="003F43C7"/>
    <w:rsid w:val="003F6CBF"/>
    <w:rsid w:val="00413973"/>
    <w:rsid w:val="004231F7"/>
    <w:rsid w:val="00423A83"/>
    <w:rsid w:val="00424CEE"/>
    <w:rsid w:val="00427E84"/>
    <w:rsid w:val="0043029D"/>
    <w:rsid w:val="004304AE"/>
    <w:rsid w:val="00435572"/>
    <w:rsid w:val="004425CF"/>
    <w:rsid w:val="00444C4B"/>
    <w:rsid w:val="00457B8A"/>
    <w:rsid w:val="00461962"/>
    <w:rsid w:val="004715B6"/>
    <w:rsid w:val="00471876"/>
    <w:rsid w:val="00471C7A"/>
    <w:rsid w:val="00471D97"/>
    <w:rsid w:val="00475F4F"/>
    <w:rsid w:val="0048090B"/>
    <w:rsid w:val="004934C9"/>
    <w:rsid w:val="00497000"/>
    <w:rsid w:val="004A39FB"/>
    <w:rsid w:val="004B2A16"/>
    <w:rsid w:val="004B4411"/>
    <w:rsid w:val="004C15A4"/>
    <w:rsid w:val="004C5524"/>
    <w:rsid w:val="004C5836"/>
    <w:rsid w:val="004D0A80"/>
    <w:rsid w:val="004D7229"/>
    <w:rsid w:val="004D779B"/>
    <w:rsid w:val="004E218F"/>
    <w:rsid w:val="004E2868"/>
    <w:rsid w:val="004E49A4"/>
    <w:rsid w:val="004E5810"/>
    <w:rsid w:val="004E7B6A"/>
    <w:rsid w:val="004F1F8A"/>
    <w:rsid w:val="004F5466"/>
    <w:rsid w:val="004F71EF"/>
    <w:rsid w:val="00501174"/>
    <w:rsid w:val="00501DCF"/>
    <w:rsid w:val="00506244"/>
    <w:rsid w:val="005072B0"/>
    <w:rsid w:val="005114D9"/>
    <w:rsid w:val="00514906"/>
    <w:rsid w:val="005206EB"/>
    <w:rsid w:val="00522365"/>
    <w:rsid w:val="005234C0"/>
    <w:rsid w:val="00523966"/>
    <w:rsid w:val="00525016"/>
    <w:rsid w:val="00531736"/>
    <w:rsid w:val="00535193"/>
    <w:rsid w:val="00540DDE"/>
    <w:rsid w:val="0054142D"/>
    <w:rsid w:val="00544673"/>
    <w:rsid w:val="00546455"/>
    <w:rsid w:val="0055199D"/>
    <w:rsid w:val="0056270C"/>
    <w:rsid w:val="00564931"/>
    <w:rsid w:val="00582087"/>
    <w:rsid w:val="00584B39"/>
    <w:rsid w:val="00590ACC"/>
    <w:rsid w:val="00595D52"/>
    <w:rsid w:val="005A3FF3"/>
    <w:rsid w:val="005B21DB"/>
    <w:rsid w:val="005B47EF"/>
    <w:rsid w:val="005C1FD7"/>
    <w:rsid w:val="005C416A"/>
    <w:rsid w:val="005C5213"/>
    <w:rsid w:val="005C5408"/>
    <w:rsid w:val="005C7B7E"/>
    <w:rsid w:val="005D0219"/>
    <w:rsid w:val="005D11A2"/>
    <w:rsid w:val="005D13B5"/>
    <w:rsid w:val="005D504B"/>
    <w:rsid w:val="005D72C6"/>
    <w:rsid w:val="005E6CD7"/>
    <w:rsid w:val="005F3C7D"/>
    <w:rsid w:val="00600AFA"/>
    <w:rsid w:val="00605F03"/>
    <w:rsid w:val="00606E41"/>
    <w:rsid w:val="00607268"/>
    <w:rsid w:val="006130D0"/>
    <w:rsid w:val="00614388"/>
    <w:rsid w:val="00615224"/>
    <w:rsid w:val="006273D5"/>
    <w:rsid w:val="006349ED"/>
    <w:rsid w:val="006352A3"/>
    <w:rsid w:val="00636A98"/>
    <w:rsid w:val="006375F2"/>
    <w:rsid w:val="006453F3"/>
    <w:rsid w:val="00656ADB"/>
    <w:rsid w:val="006633D4"/>
    <w:rsid w:val="0066577E"/>
    <w:rsid w:val="006659D1"/>
    <w:rsid w:val="00666C37"/>
    <w:rsid w:val="00667C22"/>
    <w:rsid w:val="0067101F"/>
    <w:rsid w:val="00672254"/>
    <w:rsid w:val="00675B44"/>
    <w:rsid w:val="006769AE"/>
    <w:rsid w:val="00681363"/>
    <w:rsid w:val="00695F55"/>
    <w:rsid w:val="006A37EE"/>
    <w:rsid w:val="006A3B59"/>
    <w:rsid w:val="006A7238"/>
    <w:rsid w:val="006A7C0E"/>
    <w:rsid w:val="006A7CD6"/>
    <w:rsid w:val="006B4739"/>
    <w:rsid w:val="006B7BF6"/>
    <w:rsid w:val="006C5483"/>
    <w:rsid w:val="006D6430"/>
    <w:rsid w:val="006E2AF8"/>
    <w:rsid w:val="006E2D59"/>
    <w:rsid w:val="006F79D3"/>
    <w:rsid w:val="0070414A"/>
    <w:rsid w:val="007057F9"/>
    <w:rsid w:val="0070590F"/>
    <w:rsid w:val="00710B13"/>
    <w:rsid w:val="00712175"/>
    <w:rsid w:val="007139FA"/>
    <w:rsid w:val="00716EB8"/>
    <w:rsid w:val="0071707F"/>
    <w:rsid w:val="00720584"/>
    <w:rsid w:val="0072460C"/>
    <w:rsid w:val="00727A53"/>
    <w:rsid w:val="0073081B"/>
    <w:rsid w:val="00730ED0"/>
    <w:rsid w:val="00737409"/>
    <w:rsid w:val="00741DCA"/>
    <w:rsid w:val="0074629B"/>
    <w:rsid w:val="007464BF"/>
    <w:rsid w:val="007608BF"/>
    <w:rsid w:val="00761254"/>
    <w:rsid w:val="007622A5"/>
    <w:rsid w:val="00766493"/>
    <w:rsid w:val="0077272D"/>
    <w:rsid w:val="00774982"/>
    <w:rsid w:val="00775B73"/>
    <w:rsid w:val="00776B0C"/>
    <w:rsid w:val="0078463B"/>
    <w:rsid w:val="007867CE"/>
    <w:rsid w:val="00790577"/>
    <w:rsid w:val="007932C0"/>
    <w:rsid w:val="00795337"/>
    <w:rsid w:val="007A1B93"/>
    <w:rsid w:val="007A4968"/>
    <w:rsid w:val="007A52EF"/>
    <w:rsid w:val="007A7922"/>
    <w:rsid w:val="007B3471"/>
    <w:rsid w:val="007B4498"/>
    <w:rsid w:val="007B48F3"/>
    <w:rsid w:val="007C1D90"/>
    <w:rsid w:val="007D16DF"/>
    <w:rsid w:val="007D5D92"/>
    <w:rsid w:val="007F229E"/>
    <w:rsid w:val="008020B0"/>
    <w:rsid w:val="00807C10"/>
    <w:rsid w:val="00811CCF"/>
    <w:rsid w:val="00815A11"/>
    <w:rsid w:val="00817621"/>
    <w:rsid w:val="00821266"/>
    <w:rsid w:val="00822A20"/>
    <w:rsid w:val="008247C8"/>
    <w:rsid w:val="008265DD"/>
    <w:rsid w:val="00830D86"/>
    <w:rsid w:val="00831FA1"/>
    <w:rsid w:val="008508B4"/>
    <w:rsid w:val="00855571"/>
    <w:rsid w:val="008561D0"/>
    <w:rsid w:val="00862111"/>
    <w:rsid w:val="00862CD7"/>
    <w:rsid w:val="008673DB"/>
    <w:rsid w:val="008708AC"/>
    <w:rsid w:val="008777A1"/>
    <w:rsid w:val="008802C5"/>
    <w:rsid w:val="008861D9"/>
    <w:rsid w:val="00887368"/>
    <w:rsid w:val="00891226"/>
    <w:rsid w:val="00895F70"/>
    <w:rsid w:val="008A29B9"/>
    <w:rsid w:val="008A4658"/>
    <w:rsid w:val="008A4F4E"/>
    <w:rsid w:val="008A706B"/>
    <w:rsid w:val="008B4B0D"/>
    <w:rsid w:val="008B5AB7"/>
    <w:rsid w:val="008B5D62"/>
    <w:rsid w:val="008B6C2C"/>
    <w:rsid w:val="008C3B1E"/>
    <w:rsid w:val="008C3B63"/>
    <w:rsid w:val="008C7036"/>
    <w:rsid w:val="008C7218"/>
    <w:rsid w:val="008D06E2"/>
    <w:rsid w:val="008E0938"/>
    <w:rsid w:val="008E0B8F"/>
    <w:rsid w:val="008E434A"/>
    <w:rsid w:val="008F0BAD"/>
    <w:rsid w:val="008F29EC"/>
    <w:rsid w:val="00900247"/>
    <w:rsid w:val="0090259B"/>
    <w:rsid w:val="009045BB"/>
    <w:rsid w:val="00915C37"/>
    <w:rsid w:val="00917DFB"/>
    <w:rsid w:val="00921BB5"/>
    <w:rsid w:val="009252D6"/>
    <w:rsid w:val="00926330"/>
    <w:rsid w:val="0092634F"/>
    <w:rsid w:val="00935950"/>
    <w:rsid w:val="009512A6"/>
    <w:rsid w:val="009550ED"/>
    <w:rsid w:val="00975020"/>
    <w:rsid w:val="00990F7B"/>
    <w:rsid w:val="00993269"/>
    <w:rsid w:val="009A0C90"/>
    <w:rsid w:val="009A11DC"/>
    <w:rsid w:val="009B03D1"/>
    <w:rsid w:val="009B2A0F"/>
    <w:rsid w:val="009C3BD7"/>
    <w:rsid w:val="009C4D62"/>
    <w:rsid w:val="009C744B"/>
    <w:rsid w:val="009D3E43"/>
    <w:rsid w:val="009E234F"/>
    <w:rsid w:val="009E7B79"/>
    <w:rsid w:val="009F2BB6"/>
    <w:rsid w:val="00A0021B"/>
    <w:rsid w:val="00A04F14"/>
    <w:rsid w:val="00A05270"/>
    <w:rsid w:val="00A052DA"/>
    <w:rsid w:val="00A10A6A"/>
    <w:rsid w:val="00A11305"/>
    <w:rsid w:val="00A17CA8"/>
    <w:rsid w:val="00A25186"/>
    <w:rsid w:val="00A2579A"/>
    <w:rsid w:val="00A25A16"/>
    <w:rsid w:val="00A26558"/>
    <w:rsid w:val="00A268FD"/>
    <w:rsid w:val="00A309F8"/>
    <w:rsid w:val="00A32F0B"/>
    <w:rsid w:val="00A33B8E"/>
    <w:rsid w:val="00A3553F"/>
    <w:rsid w:val="00A371C6"/>
    <w:rsid w:val="00A44250"/>
    <w:rsid w:val="00A52BDE"/>
    <w:rsid w:val="00A57029"/>
    <w:rsid w:val="00A5740A"/>
    <w:rsid w:val="00A577DD"/>
    <w:rsid w:val="00A60071"/>
    <w:rsid w:val="00A60ADE"/>
    <w:rsid w:val="00A61171"/>
    <w:rsid w:val="00A61FEF"/>
    <w:rsid w:val="00A63EF3"/>
    <w:rsid w:val="00A64FBE"/>
    <w:rsid w:val="00A65112"/>
    <w:rsid w:val="00A678F5"/>
    <w:rsid w:val="00A701F3"/>
    <w:rsid w:val="00A731EE"/>
    <w:rsid w:val="00A77B19"/>
    <w:rsid w:val="00A84BC5"/>
    <w:rsid w:val="00A85F82"/>
    <w:rsid w:val="00A93A35"/>
    <w:rsid w:val="00A95107"/>
    <w:rsid w:val="00AA00B0"/>
    <w:rsid w:val="00AA1325"/>
    <w:rsid w:val="00AA7BD1"/>
    <w:rsid w:val="00AB1069"/>
    <w:rsid w:val="00AB7D7C"/>
    <w:rsid w:val="00AC0DF3"/>
    <w:rsid w:val="00AC1DAC"/>
    <w:rsid w:val="00AC6989"/>
    <w:rsid w:val="00AD161E"/>
    <w:rsid w:val="00AD4468"/>
    <w:rsid w:val="00AE580A"/>
    <w:rsid w:val="00AE68A1"/>
    <w:rsid w:val="00AF1505"/>
    <w:rsid w:val="00AF46C0"/>
    <w:rsid w:val="00B024E7"/>
    <w:rsid w:val="00B025EC"/>
    <w:rsid w:val="00B04D4D"/>
    <w:rsid w:val="00B060DC"/>
    <w:rsid w:val="00B06E6F"/>
    <w:rsid w:val="00B14618"/>
    <w:rsid w:val="00B1689F"/>
    <w:rsid w:val="00B21D0A"/>
    <w:rsid w:val="00B243CD"/>
    <w:rsid w:val="00B32579"/>
    <w:rsid w:val="00B34B5D"/>
    <w:rsid w:val="00B466DF"/>
    <w:rsid w:val="00B61184"/>
    <w:rsid w:val="00B618C4"/>
    <w:rsid w:val="00B713F5"/>
    <w:rsid w:val="00B7362D"/>
    <w:rsid w:val="00B743BA"/>
    <w:rsid w:val="00B76547"/>
    <w:rsid w:val="00B81333"/>
    <w:rsid w:val="00B825BC"/>
    <w:rsid w:val="00BA0F1C"/>
    <w:rsid w:val="00BA2579"/>
    <w:rsid w:val="00BA2DDB"/>
    <w:rsid w:val="00BB1B98"/>
    <w:rsid w:val="00BB612E"/>
    <w:rsid w:val="00BC20CF"/>
    <w:rsid w:val="00BC62B8"/>
    <w:rsid w:val="00BC715B"/>
    <w:rsid w:val="00BC74C2"/>
    <w:rsid w:val="00BD09B7"/>
    <w:rsid w:val="00BD1FAC"/>
    <w:rsid w:val="00BD2B00"/>
    <w:rsid w:val="00BD43DB"/>
    <w:rsid w:val="00BE07BD"/>
    <w:rsid w:val="00BE18B2"/>
    <w:rsid w:val="00BE3CD9"/>
    <w:rsid w:val="00BE3DCC"/>
    <w:rsid w:val="00BE4291"/>
    <w:rsid w:val="00BF112F"/>
    <w:rsid w:val="00BF3CE9"/>
    <w:rsid w:val="00BF4009"/>
    <w:rsid w:val="00BF5E00"/>
    <w:rsid w:val="00BF7932"/>
    <w:rsid w:val="00C01D59"/>
    <w:rsid w:val="00C02529"/>
    <w:rsid w:val="00C13349"/>
    <w:rsid w:val="00C14374"/>
    <w:rsid w:val="00C154AE"/>
    <w:rsid w:val="00C26D1C"/>
    <w:rsid w:val="00C32DC6"/>
    <w:rsid w:val="00C357D6"/>
    <w:rsid w:val="00C36B6A"/>
    <w:rsid w:val="00C3706E"/>
    <w:rsid w:val="00C40595"/>
    <w:rsid w:val="00C4131C"/>
    <w:rsid w:val="00C477BF"/>
    <w:rsid w:val="00C50353"/>
    <w:rsid w:val="00C661D3"/>
    <w:rsid w:val="00C6645E"/>
    <w:rsid w:val="00C71C84"/>
    <w:rsid w:val="00C7612C"/>
    <w:rsid w:val="00C8217D"/>
    <w:rsid w:val="00C82186"/>
    <w:rsid w:val="00C84A6A"/>
    <w:rsid w:val="00C85970"/>
    <w:rsid w:val="00C867C9"/>
    <w:rsid w:val="00C87921"/>
    <w:rsid w:val="00C92938"/>
    <w:rsid w:val="00C9588C"/>
    <w:rsid w:val="00CB27D5"/>
    <w:rsid w:val="00CC729B"/>
    <w:rsid w:val="00CE2525"/>
    <w:rsid w:val="00CE6983"/>
    <w:rsid w:val="00CF6BB8"/>
    <w:rsid w:val="00CF771E"/>
    <w:rsid w:val="00D06B90"/>
    <w:rsid w:val="00D13E4C"/>
    <w:rsid w:val="00D14F4E"/>
    <w:rsid w:val="00D15362"/>
    <w:rsid w:val="00D22580"/>
    <w:rsid w:val="00D24E1D"/>
    <w:rsid w:val="00D24FD4"/>
    <w:rsid w:val="00D30E20"/>
    <w:rsid w:val="00D34222"/>
    <w:rsid w:val="00D342A6"/>
    <w:rsid w:val="00D34F7F"/>
    <w:rsid w:val="00D35FB6"/>
    <w:rsid w:val="00D408C5"/>
    <w:rsid w:val="00D44B12"/>
    <w:rsid w:val="00D52540"/>
    <w:rsid w:val="00D574D2"/>
    <w:rsid w:val="00D66401"/>
    <w:rsid w:val="00D70522"/>
    <w:rsid w:val="00D72EC2"/>
    <w:rsid w:val="00D74CF1"/>
    <w:rsid w:val="00D753BA"/>
    <w:rsid w:val="00D75BF9"/>
    <w:rsid w:val="00D76A24"/>
    <w:rsid w:val="00D87443"/>
    <w:rsid w:val="00D95FE0"/>
    <w:rsid w:val="00DA7038"/>
    <w:rsid w:val="00DC0E8E"/>
    <w:rsid w:val="00DD4D43"/>
    <w:rsid w:val="00DE4398"/>
    <w:rsid w:val="00DE72AF"/>
    <w:rsid w:val="00DF00F3"/>
    <w:rsid w:val="00DF161A"/>
    <w:rsid w:val="00DF36C0"/>
    <w:rsid w:val="00DF6873"/>
    <w:rsid w:val="00E034CE"/>
    <w:rsid w:val="00E1361E"/>
    <w:rsid w:val="00E14281"/>
    <w:rsid w:val="00E1593D"/>
    <w:rsid w:val="00E163FE"/>
    <w:rsid w:val="00E23D73"/>
    <w:rsid w:val="00E24FFB"/>
    <w:rsid w:val="00E30C38"/>
    <w:rsid w:val="00E34CCF"/>
    <w:rsid w:val="00E35F18"/>
    <w:rsid w:val="00E36CDA"/>
    <w:rsid w:val="00E36DDC"/>
    <w:rsid w:val="00E37A06"/>
    <w:rsid w:val="00E37AF6"/>
    <w:rsid w:val="00E37B7F"/>
    <w:rsid w:val="00E4737D"/>
    <w:rsid w:val="00E676E7"/>
    <w:rsid w:val="00E70651"/>
    <w:rsid w:val="00E7194E"/>
    <w:rsid w:val="00E727E6"/>
    <w:rsid w:val="00E765B6"/>
    <w:rsid w:val="00E769CC"/>
    <w:rsid w:val="00E77621"/>
    <w:rsid w:val="00E822C9"/>
    <w:rsid w:val="00EA3EE5"/>
    <w:rsid w:val="00EA41CD"/>
    <w:rsid w:val="00EB2458"/>
    <w:rsid w:val="00EB39AE"/>
    <w:rsid w:val="00EB7783"/>
    <w:rsid w:val="00EC75A3"/>
    <w:rsid w:val="00ED0634"/>
    <w:rsid w:val="00ED0B9D"/>
    <w:rsid w:val="00ED12BB"/>
    <w:rsid w:val="00ED13EB"/>
    <w:rsid w:val="00ED213C"/>
    <w:rsid w:val="00ED29C2"/>
    <w:rsid w:val="00ED421D"/>
    <w:rsid w:val="00ED7C2E"/>
    <w:rsid w:val="00EE0AE4"/>
    <w:rsid w:val="00EE4246"/>
    <w:rsid w:val="00EE45C9"/>
    <w:rsid w:val="00EF2C37"/>
    <w:rsid w:val="00F012DE"/>
    <w:rsid w:val="00F124FF"/>
    <w:rsid w:val="00F2571F"/>
    <w:rsid w:val="00F31043"/>
    <w:rsid w:val="00F31F4D"/>
    <w:rsid w:val="00F338E2"/>
    <w:rsid w:val="00F351D6"/>
    <w:rsid w:val="00F36B31"/>
    <w:rsid w:val="00F40B63"/>
    <w:rsid w:val="00F43BBD"/>
    <w:rsid w:val="00F54DBA"/>
    <w:rsid w:val="00F6296A"/>
    <w:rsid w:val="00F65187"/>
    <w:rsid w:val="00F66135"/>
    <w:rsid w:val="00F67837"/>
    <w:rsid w:val="00F74198"/>
    <w:rsid w:val="00F82703"/>
    <w:rsid w:val="00F8684A"/>
    <w:rsid w:val="00F912AB"/>
    <w:rsid w:val="00F9792B"/>
    <w:rsid w:val="00FA1A97"/>
    <w:rsid w:val="00FA557C"/>
    <w:rsid w:val="00FA7F2B"/>
    <w:rsid w:val="00FA7FFC"/>
    <w:rsid w:val="00FB11C7"/>
    <w:rsid w:val="00FC0B69"/>
    <w:rsid w:val="00FC23CB"/>
    <w:rsid w:val="00FE55CE"/>
    <w:rsid w:val="00FE6719"/>
    <w:rsid w:val="00FE710E"/>
    <w:rsid w:val="00FE7834"/>
    <w:rsid w:val="00FF0E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21901"/>
  <w15:chartTrackingRefBased/>
  <w15:docId w15:val="{2AC5D39C-4146-4246-8CC2-F7D19762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Allmärkuse tekst Märk,fn,footnote text"/>
    <w:basedOn w:val="Normal"/>
    <w:link w:val="FootnoteTextChar"/>
    <w:uiPriority w:val="99"/>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Footnot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e24kjd">
    <w:name w:val="e24kjd"/>
    <w:basedOn w:val="DefaultParagraphFont"/>
    <w:rsid w:val="0022074E"/>
  </w:style>
  <w:style w:type="paragraph" w:customStyle="1" w:styleId="m8229412398326656946msolistbullet">
    <w:name w:val="m_8229412398326656946msolistbullet"/>
    <w:basedOn w:val="Normal"/>
    <w:rsid w:val="00353E71"/>
    <w:pPr>
      <w:spacing w:before="100" w:beforeAutospacing="1" w:after="100" w:afterAutospacing="1"/>
    </w:pPr>
    <w:rPr>
      <w:rFonts w:ascii="Times New Roman" w:hAnsi="Times New Roman"/>
      <w:sz w:val="24"/>
      <w:lang w:eastAsia="en-IE"/>
    </w:rPr>
  </w:style>
  <w:style w:type="paragraph" w:styleId="ListParagraph">
    <w:name w:val="List Paragraph"/>
    <w:basedOn w:val="Normal"/>
    <w:link w:val="ListParagraphChar"/>
    <w:uiPriority w:val="34"/>
    <w:qFormat/>
    <w:rsid w:val="00B04D4D"/>
    <w:pPr>
      <w:ind w:left="720"/>
      <w:contextualSpacing/>
    </w:pPr>
  </w:style>
  <w:style w:type="character" w:customStyle="1" w:styleId="UnresolvedMention">
    <w:name w:val="Unresolved Mention"/>
    <w:basedOn w:val="DefaultParagraphFont"/>
    <w:uiPriority w:val="99"/>
    <w:semiHidden/>
    <w:unhideWhenUsed/>
    <w:rsid w:val="004D7229"/>
    <w:rPr>
      <w:color w:val="605E5C"/>
      <w:shd w:val="clear" w:color="auto" w:fill="E1DFDD"/>
    </w:rPr>
  </w:style>
  <w:style w:type="paragraph" w:styleId="EndnoteText">
    <w:name w:val="endnote text"/>
    <w:basedOn w:val="Normal"/>
    <w:link w:val="EndnoteTextChar"/>
    <w:rsid w:val="00272BC2"/>
    <w:pPr>
      <w:spacing w:after="0"/>
    </w:pPr>
    <w:rPr>
      <w:sz w:val="20"/>
      <w:szCs w:val="20"/>
    </w:rPr>
  </w:style>
  <w:style w:type="character" w:customStyle="1" w:styleId="EndnoteTextChar">
    <w:name w:val="Endnote Text Char"/>
    <w:basedOn w:val="DefaultParagraphFont"/>
    <w:link w:val="EndnoteText"/>
    <w:rsid w:val="00272BC2"/>
    <w:rPr>
      <w:rFonts w:ascii="Gill Sans MT" w:eastAsia="Times New Roman" w:hAnsi="Gill Sans MT"/>
      <w:lang w:eastAsia="en-US"/>
    </w:rPr>
  </w:style>
  <w:style w:type="character" w:styleId="EndnoteReference">
    <w:name w:val="endnote reference"/>
    <w:basedOn w:val="DefaultParagraphFont"/>
    <w:rsid w:val="00272BC2"/>
    <w:rPr>
      <w:vertAlign w:val="superscript"/>
    </w:rPr>
  </w:style>
  <w:style w:type="paragraph" w:styleId="BalloonText">
    <w:name w:val="Balloon Text"/>
    <w:basedOn w:val="Normal"/>
    <w:link w:val="BalloonTextChar"/>
    <w:semiHidden/>
    <w:unhideWhenUsed/>
    <w:rsid w:val="00E769C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769CC"/>
    <w:rPr>
      <w:rFonts w:ascii="Segoe UI" w:eastAsia="Times New Roman" w:hAnsi="Segoe UI" w:cs="Segoe UI"/>
      <w:sz w:val="18"/>
      <w:szCs w:val="18"/>
      <w:lang w:eastAsia="en-US"/>
    </w:rPr>
  </w:style>
  <w:style w:type="character" w:styleId="CommentReference">
    <w:name w:val="annotation reference"/>
    <w:basedOn w:val="DefaultParagraphFont"/>
    <w:rsid w:val="00D342A6"/>
    <w:rPr>
      <w:sz w:val="16"/>
      <w:szCs w:val="16"/>
    </w:rPr>
  </w:style>
  <w:style w:type="paragraph" w:styleId="CommentSubject">
    <w:name w:val="annotation subject"/>
    <w:basedOn w:val="CommentText"/>
    <w:next w:val="CommentText"/>
    <w:link w:val="CommentSubjectChar"/>
    <w:semiHidden/>
    <w:unhideWhenUsed/>
    <w:rsid w:val="00D342A6"/>
    <w:rPr>
      <w:rFonts w:ascii="Gill Sans MT" w:hAnsi="Gill Sans MT"/>
      <w:b/>
      <w:bCs/>
      <w:szCs w:val="20"/>
      <w:lang w:val="en-IE"/>
    </w:rPr>
  </w:style>
  <w:style w:type="character" w:customStyle="1" w:styleId="CommentSubjectChar">
    <w:name w:val="Comment Subject Char"/>
    <w:basedOn w:val="CommentTextChar"/>
    <w:link w:val="CommentSubject"/>
    <w:semiHidden/>
    <w:rsid w:val="00D342A6"/>
    <w:rPr>
      <w:rFonts w:ascii="Gill Sans MT" w:eastAsia="Times New Roman" w:hAnsi="Gill Sans MT"/>
      <w:b/>
      <w:bCs/>
      <w:szCs w:val="24"/>
      <w:lang w:eastAsia="en-US"/>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locked/>
    <w:rsid w:val="008C3B63"/>
    <w:rPr>
      <w:rFonts w:ascii="Gill Sans MT" w:eastAsia="Times New Roman" w:hAnsi="Gill Sans MT"/>
      <w:sz w:val="22"/>
      <w:lang w:eastAsia="en-US"/>
    </w:rPr>
  </w:style>
  <w:style w:type="paragraph" w:styleId="NormalWeb">
    <w:name w:val="Normal (Web)"/>
    <w:basedOn w:val="Normal"/>
    <w:uiPriority w:val="99"/>
    <w:unhideWhenUsed/>
    <w:rsid w:val="00350823"/>
    <w:pPr>
      <w:spacing w:after="150"/>
    </w:pPr>
    <w:rPr>
      <w:rFonts w:ascii="Times New Roman" w:hAnsi="Times New Roman"/>
      <w:sz w:val="24"/>
      <w:lang w:eastAsia="en-IE"/>
    </w:rPr>
  </w:style>
  <w:style w:type="paragraph" w:customStyle="1" w:styleId="Default">
    <w:name w:val="Default"/>
    <w:rsid w:val="00636A98"/>
    <w:pPr>
      <w:autoSpaceDE w:val="0"/>
      <w:autoSpaceDN w:val="0"/>
      <w:adjustRightInd w:val="0"/>
    </w:pPr>
    <w:rPr>
      <w:rFonts w:ascii="Guardian Egyp Regular" w:hAnsi="Guardian Egyp Regular" w:cs="Guardian Egyp Regular"/>
      <w:color w:val="000000"/>
      <w:sz w:val="24"/>
      <w:szCs w:val="24"/>
    </w:rPr>
  </w:style>
  <w:style w:type="paragraph" w:customStyle="1" w:styleId="Pa40">
    <w:name w:val="Pa40"/>
    <w:basedOn w:val="Default"/>
    <w:next w:val="Default"/>
    <w:uiPriority w:val="99"/>
    <w:rsid w:val="00B024E7"/>
    <w:pPr>
      <w:spacing w:line="361" w:lineRule="atLeast"/>
    </w:pPr>
    <w:rPr>
      <w:rFonts w:ascii="Guardian Egyp Bold" w:hAnsi="Guardian Egyp Bold" w:cs="Times New Roman"/>
      <w:color w:val="auto"/>
    </w:rPr>
  </w:style>
  <w:style w:type="paragraph" w:customStyle="1" w:styleId="Pa6">
    <w:name w:val="Pa6"/>
    <w:basedOn w:val="Normal"/>
    <w:uiPriority w:val="99"/>
    <w:rsid w:val="00266302"/>
    <w:pPr>
      <w:autoSpaceDE w:val="0"/>
      <w:autoSpaceDN w:val="0"/>
      <w:spacing w:after="0" w:line="261" w:lineRule="atLeast"/>
    </w:pPr>
    <w:rPr>
      <w:rFonts w:ascii="RANFG O+ Gotham" w:eastAsiaTheme="minorHAnsi" w:hAnsi="RANFG O+ Gotham"/>
      <w:sz w:val="24"/>
      <w:lang w:eastAsia="en-IE"/>
    </w:rPr>
  </w:style>
  <w:style w:type="paragraph" w:customStyle="1" w:styleId="Pa2">
    <w:name w:val="Pa2"/>
    <w:basedOn w:val="Normal"/>
    <w:uiPriority w:val="99"/>
    <w:rsid w:val="00266302"/>
    <w:pPr>
      <w:autoSpaceDE w:val="0"/>
      <w:autoSpaceDN w:val="0"/>
      <w:spacing w:after="0" w:line="201" w:lineRule="atLeast"/>
    </w:pPr>
    <w:rPr>
      <w:rFonts w:ascii="RANFG O+ Gotham" w:eastAsiaTheme="minorHAnsi" w:hAnsi="RANFG O+ Gotham"/>
      <w:sz w:val="24"/>
      <w:lang w:eastAsia="en-IE"/>
    </w:rPr>
  </w:style>
  <w:style w:type="character" w:customStyle="1" w:styleId="A3">
    <w:name w:val="A3"/>
    <w:basedOn w:val="DefaultParagraphFont"/>
    <w:uiPriority w:val="99"/>
    <w:rsid w:val="00266302"/>
    <w:rPr>
      <w:rFonts w:ascii="Monotype Sorts" w:hAnsi="Monotype Sorts" w:hint="default"/>
      <w:color w:val="000000"/>
    </w:rPr>
  </w:style>
  <w:style w:type="paragraph" w:customStyle="1" w:styleId="Pa22">
    <w:name w:val="Pa22"/>
    <w:basedOn w:val="Default"/>
    <w:next w:val="Default"/>
    <w:uiPriority w:val="99"/>
    <w:rsid w:val="00531736"/>
    <w:pPr>
      <w:spacing w:line="211" w:lineRule="atLeast"/>
    </w:pPr>
    <w:rPr>
      <w:rFonts w:ascii="Cambria" w:hAnsi="Cambria" w:cs="Times New Roman"/>
      <w:color w:val="auto"/>
    </w:rPr>
  </w:style>
  <w:style w:type="character" w:customStyle="1" w:styleId="ListParagraphChar">
    <w:name w:val="List Paragraph Char"/>
    <w:basedOn w:val="DefaultParagraphFont"/>
    <w:link w:val="ListParagraph"/>
    <w:uiPriority w:val="34"/>
    <w:locked/>
    <w:rsid w:val="00435572"/>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285">
      <w:bodyDiv w:val="1"/>
      <w:marLeft w:val="0"/>
      <w:marRight w:val="0"/>
      <w:marTop w:val="0"/>
      <w:marBottom w:val="0"/>
      <w:divBdr>
        <w:top w:val="none" w:sz="0" w:space="0" w:color="auto"/>
        <w:left w:val="none" w:sz="0" w:space="0" w:color="auto"/>
        <w:bottom w:val="none" w:sz="0" w:space="0" w:color="auto"/>
        <w:right w:val="none" w:sz="0" w:space="0" w:color="auto"/>
      </w:divBdr>
    </w:div>
    <w:div w:id="103155033">
      <w:bodyDiv w:val="1"/>
      <w:marLeft w:val="0"/>
      <w:marRight w:val="0"/>
      <w:marTop w:val="0"/>
      <w:marBottom w:val="0"/>
      <w:divBdr>
        <w:top w:val="none" w:sz="0" w:space="0" w:color="auto"/>
        <w:left w:val="none" w:sz="0" w:space="0" w:color="auto"/>
        <w:bottom w:val="none" w:sz="0" w:space="0" w:color="auto"/>
        <w:right w:val="none" w:sz="0" w:space="0" w:color="auto"/>
      </w:divBdr>
    </w:div>
    <w:div w:id="230311173">
      <w:bodyDiv w:val="1"/>
      <w:marLeft w:val="0"/>
      <w:marRight w:val="0"/>
      <w:marTop w:val="0"/>
      <w:marBottom w:val="0"/>
      <w:divBdr>
        <w:top w:val="none" w:sz="0" w:space="0" w:color="auto"/>
        <w:left w:val="none" w:sz="0" w:space="0" w:color="auto"/>
        <w:bottom w:val="none" w:sz="0" w:space="0" w:color="auto"/>
        <w:right w:val="none" w:sz="0" w:space="0" w:color="auto"/>
      </w:divBdr>
    </w:div>
    <w:div w:id="503865894">
      <w:bodyDiv w:val="1"/>
      <w:marLeft w:val="0"/>
      <w:marRight w:val="0"/>
      <w:marTop w:val="0"/>
      <w:marBottom w:val="0"/>
      <w:divBdr>
        <w:top w:val="none" w:sz="0" w:space="0" w:color="auto"/>
        <w:left w:val="none" w:sz="0" w:space="0" w:color="auto"/>
        <w:bottom w:val="none" w:sz="0" w:space="0" w:color="auto"/>
        <w:right w:val="none" w:sz="0" w:space="0" w:color="auto"/>
      </w:divBdr>
    </w:div>
    <w:div w:id="679090755">
      <w:bodyDiv w:val="1"/>
      <w:marLeft w:val="0"/>
      <w:marRight w:val="0"/>
      <w:marTop w:val="0"/>
      <w:marBottom w:val="0"/>
      <w:divBdr>
        <w:top w:val="none" w:sz="0" w:space="0" w:color="auto"/>
        <w:left w:val="none" w:sz="0" w:space="0" w:color="auto"/>
        <w:bottom w:val="none" w:sz="0" w:space="0" w:color="auto"/>
        <w:right w:val="none" w:sz="0" w:space="0" w:color="auto"/>
      </w:divBdr>
    </w:div>
    <w:div w:id="734281198">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0"/>
          <w:marRight w:val="0"/>
          <w:marTop w:val="0"/>
          <w:marBottom w:val="0"/>
          <w:divBdr>
            <w:top w:val="none" w:sz="0" w:space="0" w:color="auto"/>
            <w:left w:val="none" w:sz="0" w:space="0" w:color="auto"/>
            <w:bottom w:val="none" w:sz="0" w:space="0" w:color="auto"/>
            <w:right w:val="none" w:sz="0" w:space="0" w:color="auto"/>
          </w:divBdr>
          <w:divsChild>
            <w:div w:id="63767659">
              <w:marLeft w:val="-225"/>
              <w:marRight w:val="-225"/>
              <w:marTop w:val="0"/>
              <w:marBottom w:val="0"/>
              <w:divBdr>
                <w:top w:val="none" w:sz="0" w:space="0" w:color="auto"/>
                <w:left w:val="none" w:sz="0" w:space="0" w:color="auto"/>
                <w:bottom w:val="none" w:sz="0" w:space="0" w:color="auto"/>
                <w:right w:val="none" w:sz="0" w:space="0" w:color="auto"/>
              </w:divBdr>
              <w:divsChild>
                <w:div w:id="38208182">
                  <w:marLeft w:val="0"/>
                  <w:marRight w:val="0"/>
                  <w:marTop w:val="0"/>
                  <w:marBottom w:val="0"/>
                  <w:divBdr>
                    <w:top w:val="none" w:sz="0" w:space="0" w:color="auto"/>
                    <w:left w:val="none" w:sz="0" w:space="0" w:color="auto"/>
                    <w:bottom w:val="none" w:sz="0" w:space="0" w:color="auto"/>
                    <w:right w:val="none" w:sz="0" w:space="0" w:color="auto"/>
                  </w:divBdr>
                  <w:divsChild>
                    <w:div w:id="988438238">
                      <w:marLeft w:val="-225"/>
                      <w:marRight w:val="-225"/>
                      <w:marTop w:val="0"/>
                      <w:marBottom w:val="0"/>
                      <w:divBdr>
                        <w:top w:val="none" w:sz="0" w:space="0" w:color="auto"/>
                        <w:left w:val="none" w:sz="0" w:space="0" w:color="auto"/>
                        <w:bottom w:val="none" w:sz="0" w:space="0" w:color="auto"/>
                        <w:right w:val="none" w:sz="0" w:space="0" w:color="auto"/>
                      </w:divBdr>
                      <w:divsChild>
                        <w:div w:id="2014531000">
                          <w:marLeft w:val="0"/>
                          <w:marRight w:val="0"/>
                          <w:marTop w:val="0"/>
                          <w:marBottom w:val="0"/>
                          <w:divBdr>
                            <w:top w:val="none" w:sz="0" w:space="0" w:color="auto"/>
                            <w:left w:val="none" w:sz="0" w:space="0" w:color="auto"/>
                            <w:bottom w:val="none" w:sz="0" w:space="0" w:color="auto"/>
                            <w:right w:val="none" w:sz="0" w:space="0" w:color="auto"/>
                          </w:divBdr>
                          <w:divsChild>
                            <w:div w:id="929390553">
                              <w:marLeft w:val="0"/>
                              <w:marRight w:val="0"/>
                              <w:marTop w:val="0"/>
                              <w:marBottom w:val="0"/>
                              <w:divBdr>
                                <w:top w:val="none" w:sz="0" w:space="0" w:color="auto"/>
                                <w:left w:val="none" w:sz="0" w:space="0" w:color="auto"/>
                                <w:bottom w:val="none" w:sz="0" w:space="0" w:color="auto"/>
                                <w:right w:val="none" w:sz="0" w:space="0" w:color="auto"/>
                              </w:divBdr>
                              <w:divsChild>
                                <w:div w:id="978070112">
                                  <w:marLeft w:val="-225"/>
                                  <w:marRight w:val="-225"/>
                                  <w:marTop w:val="0"/>
                                  <w:marBottom w:val="0"/>
                                  <w:divBdr>
                                    <w:top w:val="none" w:sz="0" w:space="0" w:color="auto"/>
                                    <w:left w:val="none" w:sz="0" w:space="0" w:color="auto"/>
                                    <w:bottom w:val="none" w:sz="0" w:space="0" w:color="auto"/>
                                    <w:right w:val="none" w:sz="0" w:space="0" w:color="auto"/>
                                  </w:divBdr>
                                </w:div>
                              </w:divsChild>
                            </w:div>
                            <w:div w:id="1472792739">
                              <w:marLeft w:val="0"/>
                              <w:marRight w:val="0"/>
                              <w:marTop w:val="0"/>
                              <w:marBottom w:val="0"/>
                              <w:divBdr>
                                <w:top w:val="none" w:sz="0" w:space="0" w:color="auto"/>
                                <w:left w:val="none" w:sz="0" w:space="0" w:color="auto"/>
                                <w:bottom w:val="none" w:sz="0" w:space="0" w:color="auto"/>
                                <w:right w:val="none" w:sz="0" w:space="0" w:color="auto"/>
                              </w:divBdr>
                              <w:divsChild>
                                <w:div w:id="779689781">
                                  <w:marLeft w:val="-225"/>
                                  <w:marRight w:val="-225"/>
                                  <w:marTop w:val="0"/>
                                  <w:marBottom w:val="0"/>
                                  <w:divBdr>
                                    <w:top w:val="none" w:sz="0" w:space="0" w:color="auto"/>
                                    <w:left w:val="none" w:sz="0" w:space="0" w:color="auto"/>
                                    <w:bottom w:val="none" w:sz="0" w:space="0" w:color="auto"/>
                                    <w:right w:val="none" w:sz="0" w:space="0" w:color="auto"/>
                                  </w:divBdr>
                                </w:div>
                              </w:divsChild>
                            </w:div>
                            <w:div w:id="2028171907">
                              <w:marLeft w:val="0"/>
                              <w:marRight w:val="0"/>
                              <w:marTop w:val="0"/>
                              <w:marBottom w:val="0"/>
                              <w:divBdr>
                                <w:top w:val="none" w:sz="0" w:space="0" w:color="auto"/>
                                <w:left w:val="none" w:sz="0" w:space="0" w:color="auto"/>
                                <w:bottom w:val="none" w:sz="0" w:space="0" w:color="auto"/>
                                <w:right w:val="none" w:sz="0" w:space="0" w:color="auto"/>
                              </w:divBdr>
                              <w:divsChild>
                                <w:div w:id="1549414056">
                                  <w:marLeft w:val="-225"/>
                                  <w:marRight w:val="-225"/>
                                  <w:marTop w:val="0"/>
                                  <w:marBottom w:val="0"/>
                                  <w:divBdr>
                                    <w:top w:val="none" w:sz="0" w:space="0" w:color="auto"/>
                                    <w:left w:val="none" w:sz="0" w:space="0" w:color="auto"/>
                                    <w:bottom w:val="none" w:sz="0" w:space="0" w:color="auto"/>
                                    <w:right w:val="none" w:sz="0" w:space="0" w:color="auto"/>
                                  </w:divBdr>
                                </w:div>
                              </w:divsChild>
                            </w:div>
                            <w:div w:id="1286038334">
                              <w:marLeft w:val="0"/>
                              <w:marRight w:val="0"/>
                              <w:marTop w:val="0"/>
                              <w:marBottom w:val="0"/>
                              <w:divBdr>
                                <w:top w:val="none" w:sz="0" w:space="0" w:color="auto"/>
                                <w:left w:val="none" w:sz="0" w:space="0" w:color="auto"/>
                                <w:bottom w:val="none" w:sz="0" w:space="0" w:color="auto"/>
                                <w:right w:val="none" w:sz="0" w:space="0" w:color="auto"/>
                              </w:divBdr>
                              <w:divsChild>
                                <w:div w:id="588657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06044">
      <w:bodyDiv w:val="1"/>
      <w:marLeft w:val="0"/>
      <w:marRight w:val="0"/>
      <w:marTop w:val="0"/>
      <w:marBottom w:val="0"/>
      <w:divBdr>
        <w:top w:val="none" w:sz="0" w:space="0" w:color="auto"/>
        <w:left w:val="none" w:sz="0" w:space="0" w:color="auto"/>
        <w:bottom w:val="none" w:sz="0" w:space="0" w:color="auto"/>
        <w:right w:val="none" w:sz="0" w:space="0" w:color="auto"/>
      </w:divBdr>
    </w:div>
    <w:div w:id="1155534961">
      <w:bodyDiv w:val="1"/>
      <w:marLeft w:val="0"/>
      <w:marRight w:val="0"/>
      <w:marTop w:val="0"/>
      <w:marBottom w:val="0"/>
      <w:divBdr>
        <w:top w:val="none" w:sz="0" w:space="0" w:color="auto"/>
        <w:left w:val="none" w:sz="0" w:space="0" w:color="auto"/>
        <w:bottom w:val="none" w:sz="0" w:space="0" w:color="auto"/>
        <w:right w:val="none" w:sz="0" w:space="0" w:color="auto"/>
      </w:divBdr>
    </w:div>
    <w:div w:id="1294016445">
      <w:bodyDiv w:val="1"/>
      <w:marLeft w:val="0"/>
      <w:marRight w:val="0"/>
      <w:marTop w:val="0"/>
      <w:marBottom w:val="0"/>
      <w:divBdr>
        <w:top w:val="none" w:sz="0" w:space="0" w:color="auto"/>
        <w:left w:val="none" w:sz="0" w:space="0" w:color="auto"/>
        <w:bottom w:val="none" w:sz="0" w:space="0" w:color="auto"/>
        <w:right w:val="none" w:sz="0" w:space="0" w:color="auto"/>
      </w:divBdr>
    </w:div>
    <w:div w:id="1424839141">
      <w:bodyDiv w:val="1"/>
      <w:marLeft w:val="0"/>
      <w:marRight w:val="0"/>
      <w:marTop w:val="0"/>
      <w:marBottom w:val="0"/>
      <w:divBdr>
        <w:top w:val="none" w:sz="0" w:space="0" w:color="auto"/>
        <w:left w:val="none" w:sz="0" w:space="0" w:color="auto"/>
        <w:bottom w:val="none" w:sz="0" w:space="0" w:color="auto"/>
        <w:right w:val="none" w:sz="0" w:space="0" w:color="auto"/>
      </w:divBdr>
    </w:div>
    <w:div w:id="1498307577">
      <w:bodyDiv w:val="1"/>
      <w:marLeft w:val="0"/>
      <w:marRight w:val="0"/>
      <w:marTop w:val="0"/>
      <w:marBottom w:val="0"/>
      <w:divBdr>
        <w:top w:val="none" w:sz="0" w:space="0" w:color="auto"/>
        <w:left w:val="none" w:sz="0" w:space="0" w:color="auto"/>
        <w:bottom w:val="none" w:sz="0" w:space="0" w:color="auto"/>
        <w:right w:val="none" w:sz="0" w:space="0" w:color="auto"/>
      </w:divBdr>
    </w:div>
    <w:div w:id="16413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18" Type="http://schemas.openxmlformats.org/officeDocument/2006/relationships/hyperlink" Target="https://nda.ie/Good-practice/Codes-of-Practice/Code-of-Practice-on-Accessibility-of-Public-Services-and-Information-Provided-by-Public-Bodies-/Code-of-Practice-on-Accessibility-of-Public-Services-and-Information-Provided-by-Public-Bodi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ishstatutebook.ie/eli/2005/act/14/enacted/en/print.html" TargetMode="External"/><Relationship Id="rId17" Type="http://schemas.openxmlformats.org/officeDocument/2006/relationships/hyperlink" Target="https://www.motability.org.uk/media/rp4l5tdu/ev-charging-scoping-and-discovery-report.pdf" TargetMode="External"/><Relationship Id="rId2" Type="http://schemas.openxmlformats.org/officeDocument/2006/relationships/numbering" Target="numbering.xml"/><Relationship Id="rId16" Type="http://schemas.openxmlformats.org/officeDocument/2006/relationships/hyperlink" Target="https://universaldesign.ie/Built-Environment/Building-for-Everyone/1-External-Environ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nsultation/0a579-public-consultation-on-the-electrical-vehicle-charging-infrastructure-strategy/?referrer=http://www.gov.ie/EVconsultation/" TargetMode="External"/><Relationship Id="rId5" Type="http://schemas.openxmlformats.org/officeDocument/2006/relationships/webSettings" Target="webSettings.xml"/><Relationship Id="rId15" Type="http://schemas.openxmlformats.org/officeDocument/2006/relationships/hyperlink" Target="https://www.irishevs.com/ev-charging-accessibility-failing-disabled-drivers" TargetMode="External"/><Relationship Id="rId10" Type="http://schemas.openxmlformats.org/officeDocument/2006/relationships/hyperlink" Target="https://www.un.org/development/desa/disabilities/convention-on-the-rights-of-persons-with-disabilities/article-9-accessibilit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eur-lex.europa.eu/legal-content/EN/TXT/?uri=CELEX%3A32019L088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rishstatutebook.ie/eli/2005/act/14/enacted/en/html" TargetMode="External"/><Relationship Id="rId1" Type="http://schemas.openxmlformats.org/officeDocument/2006/relationships/hyperlink" Target="https://universaldesign.ie/products-services/guidelines-on-body-siz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2858-267B-4BF1-9C80-68BCF121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6</Pages>
  <Words>1738</Words>
  <Characters>11272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A. Fawl</dc:creator>
  <cp:keywords/>
  <cp:lastModifiedBy>Heather C. O'Leary</cp:lastModifiedBy>
  <cp:revision>2</cp:revision>
  <cp:lastPrinted>2019-12-11T15:31:00Z</cp:lastPrinted>
  <dcterms:created xsi:type="dcterms:W3CDTF">2023-06-14T09:32:00Z</dcterms:created>
  <dcterms:modified xsi:type="dcterms:W3CDTF">2023-06-14T09:32:00Z</dcterms:modified>
</cp:coreProperties>
</file>