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3F13" w14:textId="77777777" w:rsidR="00107189" w:rsidRDefault="000D4482" w:rsidP="002E6F62">
      <w:pPr>
        <w:pStyle w:val="Title"/>
      </w:pPr>
      <w:r w:rsidRPr="001615F5">
        <w:rPr>
          <w:noProof/>
          <w:lang w:eastAsia="en-IE"/>
        </w:rPr>
        <w:drawing>
          <wp:inline distT="0" distB="0" distL="0" distR="0" wp14:anchorId="1B163199" wp14:editId="599FAC88">
            <wp:extent cx="1114425" cy="714375"/>
            <wp:effectExtent l="0" t="0" r="9525" b="9525"/>
            <wp:docPr id="1" name="Picture 1"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_2010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p w14:paraId="7D958B70" w14:textId="0E86AC36" w:rsidR="009C4D62" w:rsidRDefault="00146FBF" w:rsidP="002E6F62">
      <w:pPr>
        <w:pStyle w:val="Title"/>
      </w:pPr>
      <w:bookmarkStart w:id="0" w:name="_GoBack"/>
      <w:bookmarkEnd w:id="0"/>
      <w:r>
        <w:t xml:space="preserve">NDA submission to An Bord Pleanála regarding </w:t>
      </w:r>
      <w:r w:rsidRPr="00146FBF">
        <w:t xml:space="preserve">proposed road development consisting of the construction of the </w:t>
      </w:r>
      <w:r>
        <w:t xml:space="preserve">BusConnects </w:t>
      </w:r>
      <w:r w:rsidRPr="00146FBF">
        <w:t>Clongriffin to City Centre Core Bus Corridor Scheme</w:t>
      </w:r>
    </w:p>
    <w:p w14:paraId="6D13415E" w14:textId="5674DE06" w:rsidR="002E5657" w:rsidRDefault="00146FBF" w:rsidP="002E5657">
      <w:pPr>
        <w:pStyle w:val="Heading2"/>
        <w:jc w:val="center"/>
      </w:pPr>
      <w:r>
        <w:t>May 2022</w:t>
      </w:r>
    </w:p>
    <w:p w14:paraId="16BFB2C1" w14:textId="77777777" w:rsidR="002E5657" w:rsidRPr="002E5657" w:rsidRDefault="002E5657" w:rsidP="002E5657">
      <w:pPr>
        <w:pStyle w:val="Heading1"/>
      </w:pPr>
      <w:r>
        <w:t xml:space="preserve">Introduction </w:t>
      </w:r>
    </w:p>
    <w:p w14:paraId="5339567A" w14:textId="23E7CC88" w:rsidR="002E5657" w:rsidRPr="001615F5" w:rsidRDefault="002E5657" w:rsidP="002E5657">
      <w:pPr>
        <w:rPr>
          <w:lang w:val="en" w:eastAsia="en-IE"/>
        </w:rPr>
      </w:pPr>
      <w:r w:rsidRPr="001615F5">
        <w:rPr>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for </w:t>
      </w:r>
      <w:r w:rsidR="00034BF2">
        <w:rPr>
          <w:lang w:val="en" w:eastAsia="en-IE"/>
        </w:rPr>
        <w:t xml:space="preserve">Children, Equality, Disability, Integration and Youth </w:t>
      </w:r>
      <w:r w:rsidRPr="001615F5">
        <w:rPr>
          <w:lang w:val="en" w:eastAsia="en-IE"/>
        </w:rPr>
        <w:t xml:space="preserve">in the co-ordination of disability policy. We work through our </w:t>
      </w:r>
      <w:hyperlink r:id="rId9" w:history="1">
        <w:r w:rsidRPr="001615F5">
          <w:rPr>
            <w:color w:val="000000" w:themeColor="text1"/>
            <w:lang w:val="en" w:eastAsia="en-IE"/>
          </w:rPr>
          <w:t>Centre for Excellence in Universal Design</w:t>
        </w:r>
      </w:hyperlink>
      <w:r w:rsidRPr="001615F5">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08647DB7" w14:textId="7B4DBAF1" w:rsidR="001652E7" w:rsidRDefault="00350754" w:rsidP="000D4482">
      <w:pPr>
        <w:rPr>
          <w:lang w:val="en" w:eastAsia="en-IE"/>
        </w:rPr>
      </w:pPr>
      <w:r>
        <w:rPr>
          <w:lang w:val="en" w:eastAsia="en-IE"/>
        </w:rPr>
        <w:t>The NDA submitted responses to th</w:t>
      </w:r>
      <w:r w:rsidR="008B5AB7">
        <w:rPr>
          <w:lang w:val="en" w:eastAsia="en-IE"/>
        </w:rPr>
        <w:t xml:space="preserve">e BusConnects proposals to the National Transport Authority (NTA) in 2018, 2019 and 2020 </w:t>
      </w:r>
      <w:r w:rsidR="00774982">
        <w:rPr>
          <w:lang w:val="en" w:eastAsia="en-IE"/>
        </w:rPr>
        <w:t>based on our areas of expertise and competency</w:t>
      </w:r>
      <w:r>
        <w:rPr>
          <w:lang w:val="en" w:eastAsia="en-IE"/>
        </w:rPr>
        <w:t xml:space="preserve">. </w:t>
      </w:r>
      <w:r w:rsidR="00FE710E">
        <w:rPr>
          <w:lang w:val="en" w:eastAsia="en-IE"/>
        </w:rPr>
        <w:t xml:space="preserve">The NDA wishes to make </w:t>
      </w:r>
      <w:r w:rsidR="005234C0">
        <w:rPr>
          <w:lang w:val="en" w:eastAsia="en-IE"/>
        </w:rPr>
        <w:t xml:space="preserve">a </w:t>
      </w:r>
      <w:r w:rsidR="00FE710E">
        <w:rPr>
          <w:lang w:val="en" w:eastAsia="en-IE"/>
        </w:rPr>
        <w:t xml:space="preserve">submission to </w:t>
      </w:r>
      <w:r w:rsidR="008B5AB7">
        <w:t xml:space="preserve">An Bord Pleanála </w:t>
      </w:r>
      <w:r w:rsidR="00FE710E">
        <w:rPr>
          <w:lang w:val="en" w:eastAsia="en-IE"/>
        </w:rPr>
        <w:t xml:space="preserve">with regards to </w:t>
      </w:r>
      <w:r w:rsidR="005234C0">
        <w:rPr>
          <w:lang w:val="en" w:eastAsia="en-IE"/>
        </w:rPr>
        <w:t>the proposed road development consisting of the construction of the BusConnects Clo</w:t>
      </w:r>
      <w:r w:rsidR="00413973">
        <w:rPr>
          <w:lang w:val="en" w:eastAsia="en-IE"/>
        </w:rPr>
        <w:t>n</w:t>
      </w:r>
      <w:r w:rsidR="005234C0">
        <w:rPr>
          <w:lang w:val="en" w:eastAsia="en-IE"/>
        </w:rPr>
        <w:t>griffin to City Centre Bus Corridor Scheme</w:t>
      </w:r>
      <w:r w:rsidR="00FE710E">
        <w:rPr>
          <w:lang w:val="en" w:eastAsia="en-IE"/>
        </w:rPr>
        <w:t xml:space="preserve">. </w:t>
      </w:r>
    </w:p>
    <w:p w14:paraId="441938A2" w14:textId="6F756BFB" w:rsidR="00350754" w:rsidRDefault="00ED0B9D" w:rsidP="00150FD1">
      <w:pPr>
        <w:pStyle w:val="ListBullet"/>
        <w:numPr>
          <w:ilvl w:val="0"/>
          <w:numId w:val="0"/>
        </w:numPr>
        <w:rPr>
          <w:rFonts w:eastAsia="SimSun"/>
          <w:lang w:eastAsia="en-IE"/>
        </w:rPr>
      </w:pPr>
      <w:r>
        <w:rPr>
          <w:rFonts w:eastAsia="SimSun"/>
          <w:lang w:eastAsia="en-IE"/>
        </w:rPr>
        <w:t xml:space="preserve">The NDA notes with concern that this </w:t>
      </w:r>
      <w:r w:rsidR="00150FD1">
        <w:rPr>
          <w:rFonts w:eastAsia="SimSun"/>
          <w:lang w:eastAsia="en-IE"/>
        </w:rPr>
        <w:t xml:space="preserve">proposal </w:t>
      </w:r>
      <w:r w:rsidR="00350754">
        <w:rPr>
          <w:rFonts w:eastAsia="SimSun"/>
          <w:lang w:eastAsia="en-IE"/>
        </w:rPr>
        <w:t xml:space="preserve">has </w:t>
      </w:r>
      <w:r w:rsidR="00F43BBD">
        <w:rPr>
          <w:rFonts w:eastAsia="SimSun"/>
          <w:lang w:eastAsia="en-IE"/>
        </w:rPr>
        <w:t>not</w:t>
      </w:r>
      <w:r w:rsidR="00350754">
        <w:rPr>
          <w:rFonts w:eastAsia="SimSun"/>
          <w:lang w:eastAsia="en-IE"/>
        </w:rPr>
        <w:t xml:space="preserve"> </w:t>
      </w:r>
      <w:r w:rsidR="00C87921">
        <w:rPr>
          <w:rFonts w:eastAsia="SimSun"/>
          <w:lang w:eastAsia="en-IE"/>
        </w:rPr>
        <w:t xml:space="preserve">clearly </w:t>
      </w:r>
      <w:r w:rsidR="00350754">
        <w:rPr>
          <w:rFonts w:eastAsia="SimSun"/>
          <w:lang w:eastAsia="en-IE"/>
        </w:rPr>
        <w:t>demonstrate</w:t>
      </w:r>
      <w:r w:rsidR="00F43BBD">
        <w:rPr>
          <w:rFonts w:eastAsia="SimSun"/>
          <w:lang w:eastAsia="en-IE"/>
        </w:rPr>
        <w:t>d</w:t>
      </w:r>
      <w:r w:rsidR="00350754">
        <w:rPr>
          <w:rFonts w:eastAsia="SimSun"/>
          <w:lang w:eastAsia="en-IE"/>
        </w:rPr>
        <w:t xml:space="preserve"> </w:t>
      </w:r>
      <w:r w:rsidR="00A57029">
        <w:rPr>
          <w:rFonts w:eastAsia="SimSun"/>
          <w:lang w:eastAsia="en-IE"/>
        </w:rPr>
        <w:t>the implementation of</w:t>
      </w:r>
      <w:r w:rsidR="004F1F8A">
        <w:rPr>
          <w:rFonts w:eastAsia="SimSun"/>
          <w:lang w:eastAsia="en-IE"/>
        </w:rPr>
        <w:t xml:space="preserve"> a</w:t>
      </w:r>
      <w:r w:rsidR="00350754">
        <w:rPr>
          <w:rFonts w:eastAsia="SimSun"/>
          <w:lang w:eastAsia="en-IE"/>
        </w:rPr>
        <w:t xml:space="preserve"> universally designed </w:t>
      </w:r>
      <w:r w:rsidR="00A10A6A">
        <w:rPr>
          <w:rFonts w:eastAsia="SimSun"/>
          <w:lang w:eastAsia="en-IE"/>
        </w:rPr>
        <w:t>approach to designing th</w:t>
      </w:r>
      <w:r w:rsidR="008802C5">
        <w:rPr>
          <w:rFonts w:eastAsia="SimSun"/>
          <w:lang w:eastAsia="en-IE"/>
        </w:rPr>
        <w:t>is Core Bus Corridor</w:t>
      </w:r>
      <w:r w:rsidR="004F1F8A">
        <w:rPr>
          <w:rFonts w:eastAsia="SimSun"/>
          <w:lang w:eastAsia="en-IE"/>
        </w:rPr>
        <w:t>:</w:t>
      </w:r>
    </w:p>
    <w:p w14:paraId="681CB86C" w14:textId="3766AD44" w:rsidR="00E028E8" w:rsidRDefault="004F1F8A" w:rsidP="00E028E8">
      <w:pPr>
        <w:pStyle w:val="ListBullet"/>
        <w:numPr>
          <w:ilvl w:val="0"/>
          <w:numId w:val="1"/>
        </w:numPr>
      </w:pPr>
      <w:r>
        <w:rPr>
          <w:rFonts w:eastAsia="SimSun"/>
          <w:lang w:eastAsia="en-IE"/>
        </w:rPr>
        <w:t xml:space="preserve">There is </w:t>
      </w:r>
      <w:r w:rsidR="00A57029">
        <w:rPr>
          <w:rFonts w:eastAsia="SimSun"/>
          <w:lang w:eastAsia="en-IE"/>
        </w:rPr>
        <w:t>no</w:t>
      </w:r>
      <w:r w:rsidR="008802C5">
        <w:rPr>
          <w:rFonts w:eastAsia="SimSun"/>
          <w:lang w:eastAsia="en-IE"/>
        </w:rPr>
        <w:t xml:space="preserve"> detailed</w:t>
      </w:r>
      <w:r w:rsidR="00A57029">
        <w:rPr>
          <w:rFonts w:eastAsia="SimSun"/>
          <w:lang w:eastAsia="en-IE"/>
        </w:rPr>
        <w:t xml:space="preserve"> explanation </w:t>
      </w:r>
      <w:r w:rsidR="00774982">
        <w:rPr>
          <w:rFonts w:eastAsia="SimSun"/>
          <w:lang w:eastAsia="en-IE"/>
        </w:rPr>
        <w:t>of</w:t>
      </w:r>
      <w:r>
        <w:rPr>
          <w:rFonts w:eastAsia="SimSun"/>
          <w:lang w:eastAsia="en-IE"/>
        </w:rPr>
        <w:t xml:space="preserve"> how the</w:t>
      </w:r>
      <w:r w:rsidR="00150FD1" w:rsidRPr="00FF0E7F">
        <w:rPr>
          <w:rFonts w:eastAsia="SimSun"/>
          <w:lang w:eastAsia="en-IE"/>
        </w:rPr>
        <w:t xml:space="preserve"> proposed </w:t>
      </w:r>
      <w:r w:rsidR="008802C5">
        <w:rPr>
          <w:rFonts w:eastAsia="SimSun"/>
          <w:lang w:eastAsia="en-IE"/>
        </w:rPr>
        <w:t>corridor</w:t>
      </w:r>
      <w:r w:rsidR="00150FD1" w:rsidRPr="00FF0E7F">
        <w:rPr>
          <w:rFonts w:eastAsia="SimSun"/>
          <w:lang w:eastAsia="en-IE"/>
        </w:rPr>
        <w:t xml:space="preserve"> will </w:t>
      </w:r>
      <w:r>
        <w:rPr>
          <w:rFonts w:eastAsia="SimSun"/>
          <w:lang w:eastAsia="en-IE"/>
        </w:rPr>
        <w:t xml:space="preserve">improve accessibility and </w:t>
      </w:r>
      <w:r w:rsidR="00150FD1" w:rsidRPr="00FF0E7F">
        <w:rPr>
          <w:rFonts w:eastAsia="SimSun"/>
          <w:lang w:eastAsia="en-IE"/>
        </w:rPr>
        <w:t xml:space="preserve">support persons with disabilities, older people and other travellers to complete their end to end journey </w:t>
      </w:r>
      <w:r w:rsidR="00350754">
        <w:rPr>
          <w:lang w:val="en"/>
        </w:rPr>
        <w:t xml:space="preserve">safely </w:t>
      </w:r>
      <w:r w:rsidR="00E35F18">
        <w:rPr>
          <w:lang w:val="en"/>
        </w:rPr>
        <w:t>with ease and efficiency</w:t>
      </w:r>
      <w:r w:rsidR="00E028E8">
        <w:rPr>
          <w:lang w:val="en"/>
        </w:rPr>
        <w:t xml:space="preserve">. The NDA wishes to highlight to </w:t>
      </w:r>
      <w:r w:rsidR="0006503E">
        <w:t>An Bord Pleanála</w:t>
      </w:r>
      <w:r w:rsidR="0006503E">
        <w:rPr>
          <w:lang w:val="en"/>
        </w:rPr>
        <w:t xml:space="preserve"> </w:t>
      </w:r>
      <w:r w:rsidR="00E028E8">
        <w:rPr>
          <w:lang w:val="en"/>
        </w:rPr>
        <w:t xml:space="preserve">that we have previously highlighted to the NTA that accessibility </w:t>
      </w:r>
      <w:r w:rsidR="0006503E">
        <w:rPr>
          <w:lang w:val="en"/>
        </w:rPr>
        <w:t xml:space="preserve">is not simply about distances to bus stops and </w:t>
      </w:r>
      <w:r w:rsidR="00E028E8">
        <w:rPr>
          <w:lang w:val="en"/>
        </w:rPr>
        <w:t xml:space="preserve">should be understood </w:t>
      </w:r>
      <w:r w:rsidR="00E028E8" w:rsidRPr="00FF0E7F">
        <w:rPr>
          <w:rFonts w:eastAsia="SimSun"/>
          <w:lang w:eastAsia="en-IE"/>
        </w:rPr>
        <w:t xml:space="preserve">using the definition of accessibility as detailed in </w:t>
      </w:r>
      <w:r w:rsidR="00E028E8" w:rsidRPr="00FF0E7F">
        <w:rPr>
          <w:b/>
        </w:rPr>
        <w:t xml:space="preserve">International Organisation for Standardization’s (ISO) and the </w:t>
      </w:r>
      <w:r w:rsidR="00E028E8" w:rsidRPr="00FF0E7F">
        <w:rPr>
          <w:b/>
        </w:rPr>
        <w:lastRenderedPageBreak/>
        <w:t xml:space="preserve">International Electrotechnical Commission’s (IEC) Guide 71: 2014 (E), a Guide for addressing accessibility in standards which is  </w:t>
      </w:r>
      <w:r w:rsidR="00E028E8" w:rsidRPr="00FF0E7F">
        <w:t>“</w:t>
      </w:r>
      <w:r w:rsidR="00E028E8" w:rsidRPr="00FF0E7F">
        <w:rPr>
          <w:rFonts w:eastAsia="SimSun"/>
          <w:lang w:eastAsia="en-IE"/>
        </w:rPr>
        <w:t>the extent to which products, systems, services, environments and facilities can be used by people from a population with the widest range of characteristics and capabilities to achieve a specified goal in a specified context of use”</w:t>
      </w:r>
      <w:r w:rsidR="00E028E8" w:rsidRPr="00FF0E7F">
        <w:rPr>
          <w:rStyle w:val="FootnoteReference"/>
          <w:rFonts w:eastAsia="SimSun"/>
          <w:lang w:eastAsia="en-IE"/>
        </w:rPr>
        <w:footnoteReference w:id="1"/>
      </w:r>
      <w:r w:rsidR="00E028E8" w:rsidRPr="00FF0E7F">
        <w:rPr>
          <w:rFonts w:eastAsia="SimSun"/>
          <w:lang w:eastAsia="en-IE"/>
        </w:rPr>
        <w:t xml:space="preserve"> </w:t>
      </w:r>
      <w:r w:rsidR="00E028E8" w:rsidRPr="00FF0E7F">
        <w:rPr>
          <w:rStyle w:val="FootnoteReference"/>
          <w:rFonts w:eastAsia="SimSun"/>
          <w:lang w:eastAsia="en-IE"/>
        </w:rPr>
        <w:footnoteReference w:id="2"/>
      </w:r>
      <w:r w:rsidR="00E028E8" w:rsidRPr="00FF0E7F">
        <w:rPr>
          <w:rFonts w:eastAsia="SimSun"/>
          <w:lang w:eastAsia="en-IE"/>
        </w:rPr>
        <w:t xml:space="preserve"> </w:t>
      </w:r>
      <w:r w:rsidR="00E028E8" w:rsidRPr="00FF0E7F">
        <w:rPr>
          <w:rStyle w:val="FootnoteReference"/>
          <w:rFonts w:eastAsia="SimSun"/>
          <w:lang w:eastAsia="en-IE"/>
        </w:rPr>
        <w:footnoteReference w:id="3"/>
      </w:r>
      <w:r w:rsidR="00774982" w:rsidRPr="00E028E8">
        <w:rPr>
          <w:lang w:val="en"/>
        </w:rPr>
        <w:t>;</w:t>
      </w:r>
    </w:p>
    <w:p w14:paraId="0CED54FD" w14:textId="2EAE19B3" w:rsidR="00F36B31" w:rsidRPr="00E028E8" w:rsidRDefault="00F36B31" w:rsidP="00E028E8">
      <w:pPr>
        <w:pStyle w:val="ListBullet"/>
        <w:numPr>
          <w:ilvl w:val="0"/>
          <w:numId w:val="1"/>
        </w:numPr>
      </w:pPr>
      <w:r w:rsidRPr="00E028E8">
        <w:rPr>
          <w:rFonts w:eastAsia="SimSun"/>
          <w:lang w:eastAsia="en-IE"/>
        </w:rPr>
        <w:t xml:space="preserve">There </w:t>
      </w:r>
      <w:r w:rsidR="00774982" w:rsidRPr="00E028E8">
        <w:rPr>
          <w:rFonts w:eastAsia="SimSun"/>
          <w:lang w:eastAsia="en-IE"/>
        </w:rPr>
        <w:t xml:space="preserve">are </w:t>
      </w:r>
      <w:r w:rsidRPr="00E028E8">
        <w:rPr>
          <w:rFonts w:eastAsia="SimSun"/>
          <w:lang w:eastAsia="en-IE"/>
        </w:rPr>
        <w:t xml:space="preserve">no details to show that the needs of persons with disabilities and older users </w:t>
      </w:r>
      <w:r w:rsidR="00774982" w:rsidRPr="00E028E8">
        <w:rPr>
          <w:rFonts w:eastAsia="SimSun"/>
          <w:lang w:eastAsia="en-IE"/>
        </w:rPr>
        <w:t>have been considered in each</w:t>
      </w:r>
      <w:r w:rsidRPr="00E028E8">
        <w:rPr>
          <w:rFonts w:eastAsia="SimSun"/>
          <w:lang w:eastAsia="en-IE"/>
        </w:rPr>
        <w:t xml:space="preserve"> step in the development and delivery of the Bus Connects programme</w:t>
      </w:r>
      <w:r w:rsidR="008802C5" w:rsidRPr="00E028E8">
        <w:rPr>
          <w:rFonts w:eastAsia="SimSun"/>
          <w:lang w:eastAsia="en-IE"/>
        </w:rPr>
        <w:t xml:space="preserve"> up to this point of the process. </w:t>
      </w:r>
    </w:p>
    <w:p w14:paraId="07FFDD2D" w14:textId="58FD727A" w:rsidR="00D35FB6" w:rsidRDefault="005D11A2" w:rsidP="00F36B31">
      <w:pPr>
        <w:pStyle w:val="ListBullet"/>
        <w:numPr>
          <w:ilvl w:val="0"/>
          <w:numId w:val="0"/>
        </w:numPr>
        <w:rPr>
          <w:szCs w:val="26"/>
        </w:rPr>
      </w:pPr>
      <w:r>
        <w:t xml:space="preserve">In all </w:t>
      </w:r>
      <w:r w:rsidR="0006503E">
        <w:t>submissions on this plan to the NTA</w:t>
      </w:r>
      <w:r>
        <w:t>, the</w:t>
      </w:r>
      <w:r w:rsidR="00A57029" w:rsidRPr="00A57029">
        <w:t xml:space="preserve"> NDA has </w:t>
      </w:r>
      <w:r w:rsidR="0006503E">
        <w:t>advised</w:t>
      </w:r>
      <w:r w:rsidR="00A57029" w:rsidRPr="00A57029">
        <w:t xml:space="preserve"> on the importance of implementing</w:t>
      </w:r>
      <w:r w:rsidR="00A57029">
        <w:t xml:space="preserve"> a</w:t>
      </w:r>
      <w:r w:rsidR="00A57029" w:rsidRPr="00A57029">
        <w:t xml:space="preserve"> </w:t>
      </w:r>
      <w:r w:rsidR="000F0230">
        <w:rPr>
          <w:rFonts w:eastAsia="SimSun"/>
          <w:lang w:eastAsia="en-IE"/>
        </w:rPr>
        <w:t>universal</w:t>
      </w:r>
      <w:r w:rsidR="00A57029">
        <w:rPr>
          <w:rFonts w:eastAsia="SimSun"/>
          <w:lang w:eastAsia="en-IE"/>
        </w:rPr>
        <w:t xml:space="preserve"> desi</w:t>
      </w:r>
      <w:r w:rsidR="00F43BBD">
        <w:rPr>
          <w:rFonts w:eastAsia="SimSun"/>
          <w:lang w:eastAsia="en-IE"/>
        </w:rPr>
        <w:t>gn</w:t>
      </w:r>
      <w:r w:rsidR="00A10A6A">
        <w:rPr>
          <w:rFonts w:eastAsia="SimSun"/>
          <w:lang w:eastAsia="en-IE"/>
        </w:rPr>
        <w:t xml:space="preserve"> approach to designing the Core Bus C</w:t>
      </w:r>
      <w:r w:rsidR="00A57029">
        <w:rPr>
          <w:rFonts w:eastAsia="SimSun"/>
          <w:lang w:eastAsia="en-IE"/>
        </w:rPr>
        <w:t>orridors</w:t>
      </w:r>
      <w:r w:rsidR="00A57029">
        <w:t>.</w:t>
      </w:r>
      <w:r w:rsidR="00A11305">
        <w:t xml:space="preserve"> By adopting a universal design approach </w:t>
      </w:r>
      <w:r w:rsidR="00A11305">
        <w:rPr>
          <w:szCs w:val="26"/>
        </w:rPr>
        <w:t xml:space="preserve">to </w:t>
      </w:r>
      <w:r w:rsidR="003156DB">
        <w:rPr>
          <w:szCs w:val="26"/>
        </w:rPr>
        <w:t>planning,</w:t>
      </w:r>
      <w:r w:rsidR="00A11305">
        <w:rPr>
          <w:szCs w:val="26"/>
        </w:rPr>
        <w:t xml:space="preserve"> development and delivery of </w:t>
      </w:r>
      <w:r w:rsidR="003156DB">
        <w:rPr>
          <w:szCs w:val="26"/>
        </w:rPr>
        <w:t xml:space="preserve">the BusConnects programme, the NTA will ensure that they provide a sustainable transport service that is accessible to a wider range of the population </w:t>
      </w:r>
      <w:r w:rsidR="003156DB" w:rsidRPr="003156DB">
        <w:rPr>
          <w:szCs w:val="26"/>
        </w:rPr>
        <w:t>regardless of a</w:t>
      </w:r>
      <w:r w:rsidR="003156DB">
        <w:rPr>
          <w:szCs w:val="26"/>
        </w:rPr>
        <w:t>ge, size, ability or disability and minimise the</w:t>
      </w:r>
      <w:r w:rsidR="004C5524">
        <w:rPr>
          <w:szCs w:val="26"/>
        </w:rPr>
        <w:t xml:space="preserve"> likelihood of having to retrofit in the future.</w:t>
      </w:r>
      <w:r w:rsidR="000E0924">
        <w:rPr>
          <w:szCs w:val="26"/>
        </w:rPr>
        <w:t xml:space="preserve"> </w:t>
      </w:r>
    </w:p>
    <w:p w14:paraId="33EE31ED" w14:textId="1CC29E28" w:rsidR="0055199D" w:rsidRDefault="00315092" w:rsidP="00F36B31">
      <w:pPr>
        <w:pStyle w:val="ListBullet"/>
        <w:numPr>
          <w:ilvl w:val="0"/>
          <w:numId w:val="0"/>
        </w:numPr>
        <w:rPr>
          <w:szCs w:val="26"/>
        </w:rPr>
      </w:pPr>
      <w:r>
        <w:rPr>
          <w:szCs w:val="26"/>
        </w:rPr>
        <w:t>The</w:t>
      </w:r>
      <w:r w:rsidR="000E0924">
        <w:rPr>
          <w:szCs w:val="26"/>
        </w:rPr>
        <w:t xml:space="preserve"> documentation submitted </w:t>
      </w:r>
      <w:r w:rsidR="00B72AFE">
        <w:rPr>
          <w:szCs w:val="26"/>
        </w:rPr>
        <w:t>mentions</w:t>
      </w:r>
      <w:r w:rsidR="000E0924">
        <w:rPr>
          <w:szCs w:val="26"/>
        </w:rPr>
        <w:t xml:space="preserve"> that aspects of the </w:t>
      </w:r>
      <w:r w:rsidR="00355041">
        <w:rPr>
          <w:szCs w:val="26"/>
        </w:rPr>
        <w:t>proposed corridor works</w:t>
      </w:r>
      <w:r w:rsidR="000E0924">
        <w:rPr>
          <w:szCs w:val="26"/>
        </w:rPr>
        <w:t xml:space="preserve"> are universally designed and a universal</w:t>
      </w:r>
      <w:r w:rsidR="005B69B9">
        <w:rPr>
          <w:szCs w:val="26"/>
        </w:rPr>
        <w:t xml:space="preserve"> design approach has been taken.</w:t>
      </w:r>
      <w:r w:rsidR="000E0924">
        <w:rPr>
          <w:szCs w:val="26"/>
        </w:rPr>
        <w:t xml:space="preserve"> </w:t>
      </w:r>
      <w:r>
        <w:rPr>
          <w:szCs w:val="26"/>
        </w:rPr>
        <w:t>The NDA welcomes this commitment, however,</w:t>
      </w:r>
      <w:r w:rsidR="00B72AFE">
        <w:rPr>
          <w:szCs w:val="26"/>
        </w:rPr>
        <w:t xml:space="preserve"> we note that there is no detail provided in the document as to how a universal design approach to this project </w:t>
      </w:r>
      <w:r w:rsidR="001A52B6">
        <w:rPr>
          <w:szCs w:val="26"/>
        </w:rPr>
        <w:t>has been carried out</w:t>
      </w:r>
      <w:r w:rsidR="00B72AFE">
        <w:rPr>
          <w:szCs w:val="26"/>
        </w:rPr>
        <w:t xml:space="preserve">. </w:t>
      </w:r>
    </w:p>
    <w:p w14:paraId="36148D6A" w14:textId="0C2B347B" w:rsidR="000E0924" w:rsidRDefault="003726F0" w:rsidP="00F36B31">
      <w:pPr>
        <w:pStyle w:val="ListBullet"/>
        <w:numPr>
          <w:ilvl w:val="0"/>
          <w:numId w:val="0"/>
        </w:numPr>
        <w:rPr>
          <w:szCs w:val="26"/>
        </w:rPr>
      </w:pPr>
      <w:r>
        <w:rPr>
          <w:szCs w:val="26"/>
        </w:rPr>
        <w:t>W</w:t>
      </w:r>
      <w:r w:rsidR="00355041">
        <w:rPr>
          <w:szCs w:val="26"/>
        </w:rPr>
        <w:t xml:space="preserve">hile the NDA </w:t>
      </w:r>
      <w:r w:rsidR="0055199D">
        <w:rPr>
          <w:szCs w:val="26"/>
        </w:rPr>
        <w:t xml:space="preserve">understands from the submissions provided </w:t>
      </w:r>
      <w:r w:rsidR="00355041">
        <w:rPr>
          <w:szCs w:val="26"/>
        </w:rPr>
        <w:t xml:space="preserve">that the NTA aims to incorporate universal design into this plan, without proper consultation </w:t>
      </w:r>
      <w:r w:rsidR="00005E66">
        <w:rPr>
          <w:szCs w:val="26"/>
        </w:rPr>
        <w:t xml:space="preserve">this would </w:t>
      </w:r>
      <w:r w:rsidR="0055199D">
        <w:rPr>
          <w:szCs w:val="26"/>
        </w:rPr>
        <w:t xml:space="preserve">need to be retrofitted onto plans, and the current plans do not therefore </w:t>
      </w:r>
      <w:r w:rsidR="00005E66">
        <w:rPr>
          <w:szCs w:val="26"/>
        </w:rPr>
        <w:t>include the expertise and lived experience from people with disabilities</w:t>
      </w:r>
      <w:r w:rsidR="00E163FE">
        <w:rPr>
          <w:szCs w:val="26"/>
        </w:rPr>
        <w:t xml:space="preserve"> and older people</w:t>
      </w:r>
      <w:r w:rsidR="00005E66">
        <w:rPr>
          <w:szCs w:val="26"/>
        </w:rPr>
        <w:t xml:space="preserve">. </w:t>
      </w:r>
      <w:r w:rsidR="005B69B9">
        <w:rPr>
          <w:szCs w:val="26"/>
        </w:rPr>
        <w:t xml:space="preserve">The NDA also wishes to stress to </w:t>
      </w:r>
      <w:r w:rsidR="005B69B9">
        <w:t>An Bord Pleanála and the NTA</w:t>
      </w:r>
      <w:r w:rsidR="005B69B9">
        <w:rPr>
          <w:szCs w:val="26"/>
        </w:rPr>
        <w:t xml:space="preserve"> that early, continuous and inclusive engagement is central to universal design.</w:t>
      </w:r>
    </w:p>
    <w:p w14:paraId="7BD7C94C" w14:textId="2A5BA207" w:rsidR="00F36B31" w:rsidRDefault="00F36B31" w:rsidP="00F36B31">
      <w:pPr>
        <w:pStyle w:val="ListBullet"/>
        <w:numPr>
          <w:ilvl w:val="0"/>
          <w:numId w:val="0"/>
        </w:numPr>
      </w:pPr>
      <w:r>
        <w:t xml:space="preserve">This </w:t>
      </w:r>
      <w:r w:rsidR="00A57029" w:rsidRPr="00A57029">
        <w:t xml:space="preserve">submission will therefore focus on the following </w:t>
      </w:r>
      <w:r w:rsidR="00EB7783">
        <w:t>points which we feel should be considered at this phase of development of this element of the BusConnects corridor</w:t>
      </w:r>
      <w:r w:rsidR="00A57029" w:rsidRPr="00A57029">
        <w:t xml:space="preserve"> </w:t>
      </w:r>
      <w:r w:rsidR="00EB7783">
        <w:t>but are also applicable to</w:t>
      </w:r>
      <w:r w:rsidR="00330850">
        <w:t xml:space="preserve"> the BusConnects project as </w:t>
      </w:r>
      <w:r w:rsidR="00D574D2">
        <w:t>a whole</w:t>
      </w:r>
      <w:r w:rsidR="00A57029" w:rsidRPr="00A57029">
        <w:t xml:space="preserve">. The key points of our </w:t>
      </w:r>
      <w:r>
        <w:t>submission</w:t>
      </w:r>
      <w:r w:rsidR="00741DCA">
        <w:t xml:space="preserve"> </w:t>
      </w:r>
      <w:r>
        <w:t>are:</w:t>
      </w:r>
    </w:p>
    <w:p w14:paraId="3BB5B0C6" w14:textId="09E75BBC" w:rsidR="005B21DB" w:rsidRDefault="00EB7783" w:rsidP="006659D1">
      <w:pPr>
        <w:pStyle w:val="ListBullet"/>
        <w:numPr>
          <w:ilvl w:val="0"/>
          <w:numId w:val="37"/>
        </w:numPr>
      </w:pPr>
      <w:r>
        <w:t>Universal design considerations in</w:t>
      </w:r>
      <w:r w:rsidR="005B21DB">
        <w:t xml:space="preserve"> Core Bus Corridor plans</w:t>
      </w:r>
    </w:p>
    <w:p w14:paraId="739357B6" w14:textId="00B38088" w:rsidR="00741DCA" w:rsidRDefault="00EB7783" w:rsidP="006659D1">
      <w:pPr>
        <w:pStyle w:val="ListBullet"/>
        <w:numPr>
          <w:ilvl w:val="0"/>
          <w:numId w:val="37"/>
        </w:numPr>
      </w:pPr>
      <w:r>
        <w:t>BusConnect’s</w:t>
      </w:r>
      <w:r w:rsidR="00330850">
        <w:t xml:space="preserve"> </w:t>
      </w:r>
      <w:r w:rsidR="002756AB" w:rsidRPr="00727A53">
        <w:t>commitments under the Public Sector Duty and Our Public Service 2020</w:t>
      </w:r>
    </w:p>
    <w:p w14:paraId="2D825D21" w14:textId="2BE512F5" w:rsidR="00ED7C2E" w:rsidRDefault="00ED7C2E" w:rsidP="006659D1">
      <w:pPr>
        <w:pStyle w:val="ListBullet"/>
        <w:numPr>
          <w:ilvl w:val="0"/>
          <w:numId w:val="37"/>
        </w:numPr>
      </w:pPr>
      <w:r>
        <w:lastRenderedPageBreak/>
        <w:t xml:space="preserve">The </w:t>
      </w:r>
      <w:r w:rsidRPr="00ED7C2E">
        <w:t>Code of Practice on the Accessibility of Public Services and Information provided by Public Bodies</w:t>
      </w:r>
      <w:r>
        <w:t xml:space="preserve"> </w:t>
      </w:r>
      <w:r w:rsidR="00EB7783">
        <w:t>and the associated statutory obligations which the BusConnects project must consider</w:t>
      </w:r>
    </w:p>
    <w:p w14:paraId="2BE0E7F1" w14:textId="47313EFD" w:rsidR="002756AB" w:rsidRDefault="002756AB" w:rsidP="006659D1">
      <w:pPr>
        <w:pStyle w:val="ListBullet"/>
        <w:numPr>
          <w:ilvl w:val="0"/>
          <w:numId w:val="37"/>
        </w:numPr>
      </w:pPr>
      <w:r>
        <w:t>T</w:t>
      </w:r>
      <w:r w:rsidR="00EB7783">
        <w:t>he D</w:t>
      </w:r>
      <w:r>
        <w:t>isability</w:t>
      </w:r>
      <w:r w:rsidRPr="00127ECC">
        <w:t xml:space="preserve"> impact asse</w:t>
      </w:r>
      <w:r w:rsidR="00EB7783">
        <w:t>ssment on the Core Bus Corridor</w:t>
      </w:r>
    </w:p>
    <w:p w14:paraId="5665FE86" w14:textId="51E87700" w:rsidR="00A57029" w:rsidRDefault="00E822C9" w:rsidP="001A63FB">
      <w:pPr>
        <w:pStyle w:val="ListBullet"/>
        <w:numPr>
          <w:ilvl w:val="0"/>
          <w:numId w:val="0"/>
        </w:numPr>
      </w:pPr>
      <w:r>
        <w:t xml:space="preserve">The NDA will </w:t>
      </w:r>
      <w:r w:rsidR="00F43BBD">
        <w:t xml:space="preserve">expand on </w:t>
      </w:r>
      <w:r>
        <w:t>these points below</w:t>
      </w:r>
      <w:r w:rsidR="00681363">
        <w:t>.</w:t>
      </w:r>
    </w:p>
    <w:p w14:paraId="5408CD4E" w14:textId="63E1722A" w:rsidR="00AD4468" w:rsidRDefault="00BE4291" w:rsidP="00AD4468">
      <w:pPr>
        <w:pStyle w:val="Heading1"/>
      </w:pPr>
      <w:r>
        <w:t xml:space="preserve">1. </w:t>
      </w:r>
      <w:r w:rsidR="00737409">
        <w:t xml:space="preserve"> </w:t>
      </w:r>
      <w:r w:rsidR="001E38EF">
        <w:t xml:space="preserve">Universal Design Considerations in Bus Corridor Plans </w:t>
      </w:r>
      <w:r w:rsidR="00AD4468">
        <w:t xml:space="preserve"> </w:t>
      </w:r>
    </w:p>
    <w:p w14:paraId="70B90AF7" w14:textId="77777777" w:rsidR="00AD4468" w:rsidRDefault="00AD4468" w:rsidP="00AD4468">
      <w:r>
        <w:t xml:space="preserve">The NDA notes with concern that the NTA has failed to carry out </w:t>
      </w:r>
      <w:r w:rsidRPr="008F0BAD">
        <w:t>a</w:t>
      </w:r>
      <w:r>
        <w:t xml:space="preserve"> fully</w:t>
      </w:r>
      <w:r w:rsidRPr="008F0BAD">
        <w:t xml:space="preserve"> accessible consultation process with persons with disabilities and older people</w:t>
      </w:r>
      <w:r>
        <w:t xml:space="preserve">. </w:t>
      </w:r>
      <w:r w:rsidRPr="008F0BAD">
        <w:t xml:space="preserve"> </w:t>
      </w:r>
    </w:p>
    <w:p w14:paraId="25077D66" w14:textId="05B6A23E" w:rsidR="00D574D2" w:rsidRDefault="00AD4468" w:rsidP="00AD4468">
      <w:r>
        <w:t>W</w:t>
      </w:r>
      <w:r w:rsidRPr="008F0BAD">
        <w:t>e</w:t>
      </w:r>
      <w:r>
        <w:t xml:space="preserve"> welcome the fact</w:t>
      </w:r>
      <w:r w:rsidRPr="008F0BAD">
        <w:t xml:space="preserve"> that the NTA provided consultation materials in </w:t>
      </w:r>
      <w:r w:rsidRPr="002E6F62">
        <w:rPr>
          <w:b/>
        </w:rPr>
        <w:t>accessible formats</w:t>
      </w:r>
      <w:r w:rsidRPr="008F0BAD">
        <w:t xml:space="preserve"> on their</w:t>
      </w:r>
      <w:r w:rsidR="003931CA">
        <w:t xml:space="preserve"> website,</w:t>
      </w:r>
      <w:r w:rsidRPr="008F0BAD">
        <w:t xml:space="preserve"> </w:t>
      </w:r>
      <w:r w:rsidR="00EB39AE">
        <w:t>including</w:t>
      </w:r>
      <w:r w:rsidRPr="008F0BAD">
        <w:t xml:space="preserve"> an Easy-to-Read HTML, and Audio versions of information and videos with captions. </w:t>
      </w:r>
      <w:r w:rsidR="00EB39AE">
        <w:t xml:space="preserve">We also note that as part of the BusConnects consultations the NTA did hold community forum webinars regarding each of the sixteen bus corridor routes. </w:t>
      </w:r>
      <w:r>
        <w:t>However,</w:t>
      </w:r>
      <w:r w:rsidR="00EB39AE">
        <w:t xml:space="preserve"> at the time of these webinars,</w:t>
      </w:r>
      <w:r>
        <w:t xml:space="preserve"> the </w:t>
      </w:r>
      <w:r w:rsidR="00EB39AE">
        <w:t xml:space="preserve">NDA noted </w:t>
      </w:r>
      <w:r w:rsidR="00D574D2">
        <w:t>that</w:t>
      </w:r>
      <w:r>
        <w:t xml:space="preserve"> the membership criteria for participating in the webinars excluded members of the public who were independent from associations and</w:t>
      </w:r>
      <w:r w:rsidRPr="005C5408">
        <w:t xml:space="preserve"> </w:t>
      </w:r>
      <w:r>
        <w:t xml:space="preserve">special interest groups. The NDA also noted that information </w:t>
      </w:r>
      <w:r w:rsidR="00D574D2">
        <w:t>regarding</w:t>
      </w:r>
      <w:r>
        <w:t xml:space="preserve"> details of how to join the webinars was not promoted on the NTA site creating a barrier to those who were interested in participating. </w:t>
      </w:r>
    </w:p>
    <w:p w14:paraId="7A9E48FB" w14:textId="2CD2BF59" w:rsidR="00AD4468" w:rsidRDefault="00AD4468" w:rsidP="00AD4468">
      <w:r w:rsidRPr="0054142D">
        <w:t xml:space="preserve">Action 33 of the </w:t>
      </w:r>
      <w:r w:rsidRPr="00C15F51">
        <w:rPr>
          <w:b/>
        </w:rPr>
        <w:t>National Disability Inclusion Strategy (NDIS) 2017-2021</w:t>
      </w:r>
      <w:r w:rsidRPr="0054142D">
        <w:t xml:space="preserve"> states that all Government Departments will embed a culture and process of early engagement with people with disabilities in mainstream service design and evaluation. Consulting with a diverse range of users is also a key principle </w:t>
      </w:r>
      <w:r w:rsidRPr="00C15F51">
        <w:rPr>
          <w:b/>
        </w:rPr>
        <w:t>of Article 4 of the UN Convention on the Rights of Persons with Disabilities (UNCPRD)</w:t>
      </w:r>
      <w:r w:rsidRPr="0054142D">
        <w:t xml:space="preserve">. </w:t>
      </w:r>
      <w:r w:rsidR="00D574D2">
        <w:t>C</w:t>
      </w:r>
      <w:r>
        <w:t>onsultation is best done direct</w:t>
      </w:r>
      <w:r w:rsidR="008861D9">
        <w:t>ly</w:t>
      </w:r>
      <w:r>
        <w:t xml:space="preserve"> with persons with disabilities </w:t>
      </w:r>
      <w:r w:rsidR="00C45C54">
        <w:t xml:space="preserve">through </w:t>
      </w:r>
      <w:r>
        <w:t xml:space="preserve">their representative organisations, </w:t>
      </w:r>
      <w:r w:rsidR="00C45C54">
        <w:t xml:space="preserve">i.e. </w:t>
      </w:r>
      <w:r>
        <w:t>Disabled Persons Organisation</w:t>
      </w:r>
      <w:r w:rsidR="007608BF">
        <w:t>s</w:t>
      </w:r>
      <w:r>
        <w:t xml:space="preserve"> (DPOs)</w:t>
      </w:r>
      <w:r w:rsidR="00C45C54">
        <w:t>.</w:t>
      </w:r>
      <w:r w:rsidR="003931CA">
        <w:t xml:space="preserve"> Therefore, we recommend that DPOs are consulted in the first instance.</w:t>
      </w:r>
      <w:r w:rsidR="00C45C54">
        <w:t xml:space="preserve"> </w:t>
      </w:r>
      <w:r w:rsidR="003931CA">
        <w:t>Following consultations with DPOs,</w:t>
      </w:r>
      <w:r>
        <w:t xml:space="preserve"> individuals</w:t>
      </w:r>
      <w:r w:rsidR="00C45C54">
        <w:t xml:space="preserve"> with </w:t>
      </w:r>
      <w:r w:rsidR="003931CA">
        <w:t>disabilities can be consulted as well as o</w:t>
      </w:r>
      <w:r w:rsidR="00C45C54">
        <w:t xml:space="preserve">ther disability organisations that are not DPOs as they have </w:t>
      </w:r>
      <w:r>
        <w:t>valuable perspec</w:t>
      </w:r>
      <w:r w:rsidR="005B21DB">
        <w:t>tives</w:t>
      </w:r>
      <w:r w:rsidR="00C45C54">
        <w:t xml:space="preserve"> but not in place of DPOs</w:t>
      </w:r>
      <w:r w:rsidR="005B21DB">
        <w:t>. For more on how the UN M</w:t>
      </w:r>
      <w:r>
        <w:t xml:space="preserve">onitoring Committee envisions consultation being effectively managed, see </w:t>
      </w:r>
      <w:hyperlink r:id="rId10" w:history="1">
        <w:r w:rsidRPr="007608BF">
          <w:rPr>
            <w:rStyle w:val="Hyperlink"/>
          </w:rPr>
          <w:t>General Comment 7 of the UNCRPD</w:t>
        </w:r>
      </w:hyperlink>
      <w:r>
        <w:t xml:space="preserve">. </w:t>
      </w:r>
      <w:r w:rsidR="007608BF">
        <w:rPr>
          <w:rStyle w:val="FootnoteReference"/>
        </w:rPr>
        <w:footnoteReference w:id="4"/>
      </w:r>
    </w:p>
    <w:p w14:paraId="2562C84F" w14:textId="08D8BCDE" w:rsidR="00AD4468" w:rsidRDefault="00AD4468" w:rsidP="00AD4468">
      <w:pPr>
        <w:rPr>
          <w:szCs w:val="26"/>
        </w:rPr>
      </w:pPr>
      <w:r>
        <w:rPr>
          <w:szCs w:val="26"/>
        </w:rPr>
        <w:t xml:space="preserve">The NDA </w:t>
      </w:r>
      <w:r w:rsidR="00EB39AE">
        <w:rPr>
          <w:szCs w:val="26"/>
        </w:rPr>
        <w:t>was also</w:t>
      </w:r>
      <w:r>
        <w:rPr>
          <w:szCs w:val="26"/>
        </w:rPr>
        <w:t xml:space="preserve"> informed</w:t>
      </w:r>
      <w:r w:rsidR="00EB39AE">
        <w:rPr>
          <w:szCs w:val="26"/>
        </w:rPr>
        <w:t xml:space="preserve"> at the time</w:t>
      </w:r>
      <w:r>
        <w:rPr>
          <w:szCs w:val="26"/>
        </w:rPr>
        <w:t xml:space="preserve"> </w:t>
      </w:r>
      <w:r w:rsidR="001E437F">
        <w:rPr>
          <w:szCs w:val="26"/>
        </w:rPr>
        <w:t>by</w:t>
      </w:r>
      <w:r w:rsidRPr="002E6F62">
        <w:rPr>
          <w:b/>
          <w:szCs w:val="26"/>
        </w:rPr>
        <w:t xml:space="preserve"> persons with vision impairments </w:t>
      </w:r>
      <w:r w:rsidR="001E437F">
        <w:rPr>
          <w:b/>
          <w:szCs w:val="26"/>
        </w:rPr>
        <w:t xml:space="preserve">that </w:t>
      </w:r>
      <w:r w:rsidRPr="002E6F62">
        <w:rPr>
          <w:b/>
          <w:szCs w:val="26"/>
        </w:rPr>
        <w:t>the</w:t>
      </w:r>
      <w:r>
        <w:rPr>
          <w:szCs w:val="26"/>
        </w:rPr>
        <w:t xml:space="preserve"> </w:t>
      </w:r>
      <w:r w:rsidRPr="002E6F62">
        <w:rPr>
          <w:b/>
          <w:szCs w:val="26"/>
        </w:rPr>
        <w:t xml:space="preserve">BusConnects consultation process </w:t>
      </w:r>
      <w:r w:rsidR="00D574D2">
        <w:rPr>
          <w:b/>
          <w:szCs w:val="26"/>
        </w:rPr>
        <w:t>was</w:t>
      </w:r>
      <w:r w:rsidRPr="002E6F62">
        <w:rPr>
          <w:b/>
          <w:szCs w:val="26"/>
        </w:rPr>
        <w:t xml:space="preserve"> inaccessible</w:t>
      </w:r>
      <w:r>
        <w:rPr>
          <w:szCs w:val="26"/>
        </w:rPr>
        <w:t xml:space="preserve"> despite previous issues being raised:</w:t>
      </w:r>
    </w:p>
    <w:p w14:paraId="59AB53BE" w14:textId="261376E7" w:rsidR="00AD4468" w:rsidRDefault="00AD4468" w:rsidP="00AD4468">
      <w:pPr>
        <w:pStyle w:val="ListParagraph"/>
        <w:numPr>
          <w:ilvl w:val="0"/>
          <w:numId w:val="32"/>
        </w:numPr>
      </w:pPr>
      <w:r w:rsidRPr="00E1361E">
        <w:rPr>
          <w:szCs w:val="26"/>
        </w:rPr>
        <w:t xml:space="preserve">The </w:t>
      </w:r>
      <w:r>
        <w:t xml:space="preserve">stand-alone text-to-speech reader which </w:t>
      </w:r>
      <w:r w:rsidR="005B21DB">
        <w:t>was</w:t>
      </w:r>
      <w:r>
        <w:t xml:space="preserve"> </w:t>
      </w:r>
      <w:r w:rsidR="005B21DB">
        <w:t>used on the BusConnects site had</w:t>
      </w:r>
      <w:r>
        <w:t xml:space="preserve"> no navigation abilities, no speed or voice control</w:t>
      </w:r>
      <w:r w:rsidR="00F43BBD">
        <w:t xml:space="preserve"> options,</w:t>
      </w:r>
      <w:r>
        <w:t xml:space="preserve"> making it difficult for persons with vision impairments to move through the site.</w:t>
      </w:r>
    </w:p>
    <w:p w14:paraId="1CB88016" w14:textId="44205B41" w:rsidR="00AD4468" w:rsidRDefault="00AD4468" w:rsidP="00AD4468">
      <w:pPr>
        <w:pStyle w:val="ListParagraph"/>
        <w:numPr>
          <w:ilvl w:val="0"/>
          <w:numId w:val="32"/>
        </w:numPr>
      </w:pPr>
      <w:r>
        <w:t>T</w:t>
      </w:r>
      <w:r w:rsidR="005B21DB">
        <w:t>he maps and details on the maps we</w:t>
      </w:r>
      <w:r>
        <w:t xml:space="preserve">re not explained by alt text so it </w:t>
      </w:r>
      <w:r w:rsidR="005B21DB">
        <w:t>wa</w:t>
      </w:r>
      <w:r>
        <w:t xml:space="preserve">s difficult for persons with vision impairments to understand the changes, including intersections on the bus corridors, and to understand the impact these changes will have on their ability to use public transport services in the future. </w:t>
      </w:r>
    </w:p>
    <w:p w14:paraId="259A2680" w14:textId="5887373B" w:rsidR="00A10A6A" w:rsidRDefault="00BE4291" w:rsidP="00A10A6A">
      <w:pPr>
        <w:pStyle w:val="Heading1"/>
      </w:pPr>
      <w:r>
        <w:t xml:space="preserve">2. </w:t>
      </w:r>
      <w:r w:rsidR="00737409">
        <w:t xml:space="preserve"> </w:t>
      </w:r>
      <w:r w:rsidR="00A10A6A">
        <w:t>Feedback from pe</w:t>
      </w:r>
      <w:r w:rsidR="00E70651">
        <w:t xml:space="preserve">rsons </w:t>
      </w:r>
      <w:r w:rsidR="00A10A6A">
        <w:t>with disability</w:t>
      </w:r>
    </w:p>
    <w:p w14:paraId="776A7C9A" w14:textId="46C2D730" w:rsidR="005E6CD7" w:rsidRDefault="005E6CD7" w:rsidP="005E6CD7">
      <w:r>
        <w:t>While the technical summary provided states that “The Proposed Scheme has been developed to ensure that the principles of universal design are integrated fully in the design, providing access for all users, and eliminating barriers to disabled people”, it is noted in the application documentation that DPOs, people with disabilities and older people are not listed in the consultations conducted.</w:t>
      </w:r>
    </w:p>
    <w:p w14:paraId="01393171" w14:textId="7B5866F2" w:rsidR="0054142D" w:rsidRDefault="005E6CD7">
      <w:r>
        <w:t>Furthermore the NDA is aware that persons</w:t>
      </w:r>
      <w:r w:rsidR="00A10A6A">
        <w:t xml:space="preserve"> with disabilities have consistently raised a number of issues regarding the BusConnects project at these</w:t>
      </w:r>
      <w:r w:rsidR="00210E13">
        <w:t xml:space="preserve"> consultation</w:t>
      </w:r>
      <w:r w:rsidR="00A10A6A">
        <w:t xml:space="preserve"> meetings. Persons with disabilities </w:t>
      </w:r>
      <w:r w:rsidR="00716EB8">
        <w:t>also contacted</w:t>
      </w:r>
      <w:r w:rsidR="00A10A6A">
        <w:t xml:space="preserve"> the NDA regarding their concerns with BusConnects.</w:t>
      </w:r>
      <w:r>
        <w:t xml:space="preserve"> </w:t>
      </w:r>
      <w:r w:rsidR="00716EB8">
        <w:t>Throughout the public consultation phase persons</w:t>
      </w:r>
      <w:r w:rsidR="00A10A6A">
        <w:t xml:space="preserve"> with disabilities </w:t>
      </w:r>
      <w:r w:rsidR="005B21DB">
        <w:t>continue</w:t>
      </w:r>
      <w:r w:rsidR="00716EB8">
        <w:t>d</w:t>
      </w:r>
      <w:r w:rsidR="005B21DB">
        <w:t xml:space="preserve"> to</w:t>
      </w:r>
      <w:r w:rsidR="00A10A6A">
        <w:t xml:space="preserve"> rais</w:t>
      </w:r>
      <w:r w:rsidR="005B21DB">
        <w:t>e</w:t>
      </w:r>
      <w:r w:rsidR="00A10A6A">
        <w:t xml:space="preserve"> the same issues</w:t>
      </w:r>
      <w:r w:rsidR="005B21DB">
        <w:t xml:space="preserve"> indicating that f</w:t>
      </w:r>
      <w:r w:rsidR="0054142D" w:rsidRPr="008F0BAD">
        <w:t>eedback and advice received</w:t>
      </w:r>
      <w:r w:rsidR="0054142D">
        <w:t xml:space="preserve"> from previous consultations</w:t>
      </w:r>
      <w:r w:rsidR="0054142D" w:rsidRPr="008F0BAD">
        <w:t xml:space="preserve"> has</w:t>
      </w:r>
      <w:r w:rsidR="0054142D">
        <w:t xml:space="preserve"> not been reflected </w:t>
      </w:r>
      <w:r w:rsidR="005B21DB">
        <w:t>i</w:t>
      </w:r>
      <w:r w:rsidR="0054142D">
        <w:t>n the revised plans.</w:t>
      </w:r>
      <w:r w:rsidR="0054142D" w:rsidRPr="008F0BAD">
        <w:t xml:space="preserve"> </w:t>
      </w:r>
      <w:r w:rsidR="0054142D">
        <w:t xml:space="preserve">The </w:t>
      </w:r>
      <w:r w:rsidR="00716EB8">
        <w:t>NTA did not</w:t>
      </w:r>
      <w:r w:rsidR="0054142D" w:rsidRPr="0054142D">
        <w:t xml:space="preserve"> provide follow-up information to indicate where proposals have been adopted, and where it has not been possible to do so, </w:t>
      </w:r>
      <w:r w:rsidR="00C62609">
        <w:t>the</w:t>
      </w:r>
      <w:r w:rsidR="00C62609" w:rsidRPr="0054142D">
        <w:t xml:space="preserve"> </w:t>
      </w:r>
      <w:r w:rsidR="0054142D" w:rsidRPr="0054142D">
        <w:t>rationale for same.</w:t>
      </w:r>
      <w:r w:rsidR="003B1116">
        <w:t xml:space="preserve"> </w:t>
      </w:r>
    </w:p>
    <w:p w14:paraId="2C5078CF" w14:textId="0F6F24A3" w:rsidR="00A10A6A" w:rsidRDefault="00A10A6A">
      <w:r>
        <w:t xml:space="preserve">Some of these key issues </w:t>
      </w:r>
      <w:r w:rsidR="005E6CD7">
        <w:t xml:space="preserve">raised at the time </w:t>
      </w:r>
      <w:r>
        <w:t>are as follows:</w:t>
      </w:r>
    </w:p>
    <w:p w14:paraId="048D831C" w14:textId="5BB51FF3" w:rsidR="005B21DB" w:rsidRPr="008E0B8F" w:rsidRDefault="00C661D3" w:rsidP="00BF5E00">
      <w:pPr>
        <w:pStyle w:val="ListBullet"/>
        <w:numPr>
          <w:ilvl w:val="0"/>
          <w:numId w:val="1"/>
        </w:numPr>
        <w:tabs>
          <w:tab w:val="clear" w:pos="360"/>
          <w:tab w:val="num" w:pos="1080"/>
        </w:tabs>
        <w:ind w:left="720"/>
        <w:rPr>
          <w:rFonts w:ascii="Calibri" w:hAnsi="Calibri"/>
          <w:sz w:val="22"/>
          <w:szCs w:val="22"/>
        </w:rPr>
      </w:pPr>
      <w:r>
        <w:t>No information has been provided</w:t>
      </w:r>
      <w:r w:rsidR="00A10A6A">
        <w:t xml:space="preserve"> o</w:t>
      </w:r>
      <w:r w:rsidR="008919D4">
        <w:t>n</w:t>
      </w:r>
      <w:r w:rsidR="00A10A6A">
        <w:t xml:space="preserve"> </w:t>
      </w:r>
      <w:r w:rsidR="00A10A6A" w:rsidRPr="00AE68A1">
        <w:rPr>
          <w:b/>
        </w:rPr>
        <w:t xml:space="preserve">how this </w:t>
      </w:r>
      <w:r w:rsidR="005B21DB">
        <w:rPr>
          <w:b/>
        </w:rPr>
        <w:t>p</w:t>
      </w:r>
      <w:r w:rsidR="00A10A6A" w:rsidRPr="00AE68A1">
        <w:rPr>
          <w:b/>
        </w:rPr>
        <w:t xml:space="preserve">rogramme will impact on the lives of persons with disabilities, older people and </w:t>
      </w:r>
      <w:r w:rsidRPr="00AE68A1">
        <w:rPr>
          <w:b/>
        </w:rPr>
        <w:t>other users</w:t>
      </w:r>
      <w:r>
        <w:t>, in spite of continuous requests for this from multiple stakeholders.</w:t>
      </w:r>
      <w:r w:rsidR="00A10A6A">
        <w:t xml:space="preserve"> </w:t>
      </w:r>
      <w:r w:rsidR="005B21DB">
        <w:t>Walking and cycling may not be an option for many members of the public. This programme contains little evidence of how the needs of persons with disabilities and older people will be met.</w:t>
      </w:r>
      <w:r w:rsidR="00287050">
        <w:t xml:space="preserve"> For example, there is no evidence of consideration in terms of walking distance between bus stops for older people or persons with disabilities (these groups have walking speed which is much slower than the speed of 1.3m/s which is used by BusConnect</w:t>
      </w:r>
      <w:r w:rsidR="000E60D0">
        <w:t>s</w:t>
      </w:r>
      <w:r w:rsidR="001A52B6">
        <w:t xml:space="preserve"> </w:t>
      </w:r>
      <w:r w:rsidR="00287050">
        <w:rPr>
          <w:rStyle w:val="FootnoteReference"/>
        </w:rPr>
        <w:footnoteReference w:id="5"/>
      </w:r>
      <w:r w:rsidR="000E60D0">
        <w:t>)</w:t>
      </w:r>
      <w:r w:rsidR="00287050">
        <w:t xml:space="preserve">, minimisation of transfers, seating provision, ease of understanding new network and timetables, provision of accessible information on the new network, travel assistance schemes on the new network etc. </w:t>
      </w:r>
    </w:p>
    <w:p w14:paraId="43B365D5" w14:textId="5A9E2A4F" w:rsidR="00A10A6A" w:rsidRPr="00531736" w:rsidRDefault="00A10A6A" w:rsidP="00737409">
      <w:pPr>
        <w:pStyle w:val="ListBullet"/>
        <w:numPr>
          <w:ilvl w:val="0"/>
          <w:numId w:val="1"/>
        </w:numPr>
        <w:tabs>
          <w:tab w:val="clear" w:pos="360"/>
          <w:tab w:val="num" w:pos="720"/>
        </w:tabs>
        <w:ind w:left="720"/>
      </w:pPr>
      <w:r>
        <w:t xml:space="preserve">Having </w:t>
      </w:r>
      <w:r w:rsidRPr="002E6F62">
        <w:rPr>
          <w:b/>
        </w:rPr>
        <w:t>islands</w:t>
      </w:r>
      <w:r>
        <w:t xml:space="preserve"> near or as part of the bus stop design is </w:t>
      </w:r>
      <w:r w:rsidR="008E0B8F">
        <w:t xml:space="preserve">compromising the safety of </w:t>
      </w:r>
      <w:r>
        <w:t>persons with vision impairments</w:t>
      </w:r>
      <w:r w:rsidR="008E0B8F">
        <w:t>. T</w:t>
      </w:r>
      <w:r>
        <w:t xml:space="preserve">hey cannot </w:t>
      </w:r>
      <w:r w:rsidR="008E0B8F">
        <w:t xml:space="preserve">safely </w:t>
      </w:r>
      <w:r>
        <w:t xml:space="preserve">navigate crossing over from the island through traffic to the bus stop by themselves. </w:t>
      </w:r>
      <w:r w:rsidRPr="00531736">
        <w:t>The inclusion of cycle lanes besides bus stops</w:t>
      </w:r>
      <w:r w:rsidR="00CF6BB8" w:rsidRPr="00531736">
        <w:t xml:space="preserve"> or road crossings</w:t>
      </w:r>
      <w:r w:rsidRPr="00531736">
        <w:t xml:space="preserve"> is also </w:t>
      </w:r>
      <w:r w:rsidR="008E0B8F" w:rsidRPr="00531736">
        <w:t xml:space="preserve">an additional safety hazard, </w:t>
      </w:r>
      <w:r w:rsidRPr="00531736">
        <w:t>not just for persons with disabilities</w:t>
      </w:r>
      <w:r w:rsidR="008E0B8F" w:rsidRPr="00531736">
        <w:t>, but for</w:t>
      </w:r>
      <w:r w:rsidRPr="00531736">
        <w:t xml:space="preserve"> both pedestrians and cyclists. </w:t>
      </w:r>
      <w:r w:rsidR="00CF6BB8" w:rsidRPr="00531736">
        <w:t xml:space="preserve">Bus passengers and </w:t>
      </w:r>
      <w:r w:rsidRPr="00531736">
        <w:t xml:space="preserve">pedestrians </w:t>
      </w:r>
      <w:r w:rsidR="00CF6BB8" w:rsidRPr="00531736">
        <w:t>may not see a cyclist and move</w:t>
      </w:r>
      <w:r w:rsidRPr="00531736">
        <w:t xml:space="preserve"> in fron</w:t>
      </w:r>
      <w:r w:rsidR="00CF6BB8" w:rsidRPr="00531736">
        <w:t xml:space="preserve">t of them causing an accident. </w:t>
      </w:r>
      <w:r w:rsidRPr="00531736">
        <w:t>This situation could occur for a parent with their children, an older person in addition to persons with different disabilities, including persons with vision impairments, persons with reduced mobility and persons with hearing loss. Persons with disabilities and the NDA have</w:t>
      </w:r>
      <w:r w:rsidR="00CF6BB8" w:rsidRPr="00531736">
        <w:t xml:space="preserve"> consistently advised the NTA </w:t>
      </w:r>
      <w:r w:rsidRPr="00531736">
        <w:t xml:space="preserve">that cycle </w:t>
      </w:r>
      <w:r w:rsidR="00CF6BB8" w:rsidRPr="00531736">
        <w:t>lane</w:t>
      </w:r>
      <w:r w:rsidRPr="00531736">
        <w:t>s need to be segregated as detailed in Sections 1.9 and Sections 5.1 of the</w:t>
      </w:r>
      <w:r>
        <w:t xml:space="preserve"> </w:t>
      </w:r>
      <w:hyperlink r:id="rId11" w:history="1">
        <w:r w:rsidRPr="00CF6BB8">
          <w:rPr>
            <w:rStyle w:val="Hyperlink"/>
          </w:rPr>
          <w:t>NTA’s National Cycle Manual</w:t>
        </w:r>
      </w:hyperlink>
      <w:r>
        <w:t>.</w:t>
      </w:r>
      <w:r w:rsidR="00531736">
        <w:t xml:space="preserve"> The British Standard </w:t>
      </w:r>
      <w:hyperlink r:id="rId12" w:anchor=":~:text=Resulting%20from%20the%20restructure%20of,the%20needs%20of%20all%20who" w:history="1">
        <w:r w:rsidR="00531736" w:rsidRPr="00531736">
          <w:rPr>
            <w:rStyle w:val="Hyperlink"/>
          </w:rPr>
          <w:t xml:space="preserve">BS 8300-1:2018 </w:t>
        </w:r>
        <w:r w:rsidR="00531736" w:rsidRPr="00737409">
          <w:rPr>
            <w:rStyle w:val="Hyperlink"/>
          </w:rPr>
          <w:t>Design of an accessible and inclusive built environment</w:t>
        </w:r>
      </w:hyperlink>
      <w:r w:rsidR="00531736">
        <w:rPr>
          <w:rStyle w:val="FootnoteReference"/>
        </w:rPr>
        <w:footnoteReference w:id="6"/>
      </w:r>
      <w:r w:rsidR="00531736" w:rsidRPr="00531736">
        <w:t xml:space="preserve"> </w:t>
      </w:r>
      <w:r w:rsidR="00D76A24">
        <w:t>s</w:t>
      </w:r>
      <w:r w:rsidR="00D76A24" w:rsidRPr="00531736">
        <w:t xml:space="preserve">ection </w:t>
      </w:r>
      <w:r w:rsidR="00D76A24">
        <w:t>6.2.2</w:t>
      </w:r>
      <w:r w:rsidR="00D76A24" w:rsidRPr="00531736">
        <w:t>.</w:t>
      </w:r>
      <w:r w:rsidR="00D76A24">
        <w:t xml:space="preserve"> </w:t>
      </w:r>
      <w:r w:rsidR="00531736" w:rsidRPr="00531736">
        <w:t>states that pedestrians should have access to and from the bus stop without crossing cycle routes, including where these run between the pedestrian route and the vehicle carriageway</w:t>
      </w:r>
      <w:r w:rsidR="00D76A24">
        <w:t>.</w:t>
      </w:r>
      <w:r w:rsidR="007C4C1F">
        <w:t xml:space="preserve"> Walk San Francisco (Walk SF) also has guidance</w:t>
      </w:r>
      <w:r w:rsidR="007C4C1F">
        <w:rPr>
          <w:rStyle w:val="FootnoteReference"/>
        </w:rPr>
        <w:footnoteReference w:id="7"/>
      </w:r>
      <w:r w:rsidR="007C4C1F">
        <w:t xml:space="preserve"> which stresses that access to the curb for pedestrians must be protected, and many safe access points</w:t>
      </w:r>
      <w:r w:rsidR="000B06CA">
        <w:t xml:space="preserve"> with buffers must be provided. This guidance has been provided previously to the NTA to provide examples of how best to ensure pedestrians are protected if it is not possible to give access to and from bus stops without crossing cycle lanes. </w:t>
      </w:r>
    </w:p>
    <w:p w14:paraId="54568594" w14:textId="2253A698" w:rsidR="00A10A6A" w:rsidRDefault="00A10A6A" w:rsidP="00BF5E00">
      <w:pPr>
        <w:pStyle w:val="ListBullet"/>
        <w:numPr>
          <w:ilvl w:val="0"/>
          <w:numId w:val="1"/>
        </w:numPr>
        <w:tabs>
          <w:tab w:val="clear" w:pos="360"/>
          <w:tab w:val="num" w:pos="720"/>
        </w:tabs>
        <w:ind w:left="720"/>
      </w:pPr>
      <w:r>
        <w:t xml:space="preserve">Considerable additional resources will be required </w:t>
      </w:r>
      <w:r w:rsidRPr="002E6F62">
        <w:t>to</w:t>
      </w:r>
      <w:r w:rsidRPr="002E6F62">
        <w:rPr>
          <w:b/>
        </w:rPr>
        <w:t xml:space="preserve"> train persons with vision impairments to navigate</w:t>
      </w:r>
      <w:r>
        <w:t xml:space="preserve"> the</w:t>
      </w:r>
      <w:r w:rsidRPr="005A0C11">
        <w:t xml:space="preserve"> </w:t>
      </w:r>
      <w:r>
        <w:t>changes in the infrastructure including proposed n</w:t>
      </w:r>
      <w:r w:rsidR="00F31043">
        <w:t>ew transition points along the Core Bus C</w:t>
      </w:r>
      <w:r>
        <w:t>orridor, in addition to the proposed changes in bus routes. Persons with vision impairments expressed the view that the Dublin Bus Travel Assistance Sc</w:t>
      </w:r>
      <w:r w:rsidR="00B34B5D">
        <w:t>heme may not be adequately resourced</w:t>
      </w:r>
      <w:r>
        <w:t xml:space="preserve"> to </w:t>
      </w:r>
      <w:r w:rsidR="00B34B5D">
        <w:t>meet the new demand.</w:t>
      </w:r>
      <w:r>
        <w:t xml:space="preserve"> </w:t>
      </w:r>
      <w:r w:rsidR="00B34B5D">
        <w:t>T</w:t>
      </w:r>
      <w:r>
        <w:t>he Core Bus Corridor</w:t>
      </w:r>
      <w:r w:rsidR="00F31043">
        <w:t xml:space="preserve"> </w:t>
      </w:r>
      <w:r w:rsidR="00B34B5D">
        <w:t>proposal</w:t>
      </w:r>
      <w:r>
        <w:t xml:space="preserve"> provides little evidence regarding if and when this training will be provided.</w:t>
      </w:r>
    </w:p>
    <w:p w14:paraId="7B9117C7" w14:textId="2077D21E" w:rsidR="00257329" w:rsidRDefault="00BF5E00" w:rsidP="00BE18B2">
      <w:pPr>
        <w:pStyle w:val="ListBullet"/>
        <w:tabs>
          <w:tab w:val="clear" w:pos="360"/>
          <w:tab w:val="num" w:pos="786"/>
        </w:tabs>
        <w:ind w:left="786" w:hanging="426"/>
      </w:pPr>
      <w:r>
        <w:t>The NDA advises NTA to maintain the yellow bus stop poles in accordance with universal design principles and the European and International standards outlined below:</w:t>
      </w:r>
      <w:r w:rsidR="0026283E" w:rsidRPr="00727A53">
        <w:t xml:space="preserve"> </w:t>
      </w:r>
    </w:p>
    <w:p w14:paraId="5E83D91C" w14:textId="77777777" w:rsidR="00257329" w:rsidRDefault="0026283E" w:rsidP="00BF5E00">
      <w:pPr>
        <w:pStyle w:val="ListBullet"/>
        <w:numPr>
          <w:ilvl w:val="0"/>
          <w:numId w:val="35"/>
        </w:numPr>
        <w:ind w:left="1418" w:hanging="425"/>
      </w:pPr>
      <w:r w:rsidRPr="00727A53">
        <w:t>The</w:t>
      </w:r>
      <w:r w:rsidRPr="0026283E">
        <w:t xml:space="preserve"> European Standard </w:t>
      </w:r>
      <w:hyperlink r:id="rId13" w:history="1">
        <w:r w:rsidRPr="0026283E">
          <w:rPr>
            <w:rStyle w:val="Hyperlink"/>
          </w:rPr>
          <w:t>EN 17210:2021 “Accessibility and usability of the built environment - Functional requirements”</w:t>
        </w:r>
      </w:hyperlink>
      <w:r>
        <w:rPr>
          <w:rStyle w:val="FootnoteReference"/>
        </w:rPr>
        <w:footnoteReference w:id="8"/>
      </w:r>
      <w:r w:rsidRPr="0026283E">
        <w:t xml:space="preserve">, states that bus and coach stops shall be easy to identify visually at a distance (Section 20.3). Providing a bus stop that is visually contrasting to its background, such as a yellow bus stop pole, is specified as a means to meet this functional requirement, in the associated draft technical report prCEN/TR 17621:2020 </w:t>
      </w:r>
      <w:r>
        <w:t>“</w:t>
      </w:r>
      <w:r w:rsidRPr="0026283E">
        <w:t>Accessibility and usability of the built environment – Technical performance criteria and specifications</w:t>
      </w:r>
      <w:r>
        <w:t>”</w:t>
      </w:r>
      <w:r w:rsidRPr="0026283E">
        <w:t>, Figure 103.</w:t>
      </w:r>
    </w:p>
    <w:p w14:paraId="7C35BDAE" w14:textId="4398EB5E" w:rsidR="00257329" w:rsidRDefault="00F51000" w:rsidP="00BF5E00">
      <w:pPr>
        <w:pStyle w:val="ListBullet"/>
        <w:numPr>
          <w:ilvl w:val="0"/>
          <w:numId w:val="35"/>
        </w:numPr>
        <w:ind w:left="1418" w:hanging="425"/>
      </w:pPr>
      <w:hyperlink r:id="rId14" w:history="1">
        <w:r w:rsidR="00257329" w:rsidRPr="00C40595">
          <w:rPr>
            <w:rStyle w:val="Hyperlink"/>
          </w:rPr>
          <w:t>ISO 28564-2:2016 “Guidelines for the design and use of location signs and direction signs”</w:t>
        </w:r>
      </w:hyperlink>
      <w:r w:rsidR="00C40595">
        <w:rPr>
          <w:rStyle w:val="FootnoteReference"/>
        </w:rPr>
        <w:footnoteReference w:id="9"/>
      </w:r>
      <w:r w:rsidR="00257329">
        <w:t xml:space="preserve"> </w:t>
      </w:r>
      <w:r w:rsidR="00257329" w:rsidRPr="00257329">
        <w:t>the selection of colours used to distinguish a sign from its background should ensure good contrast. Care should be exercised to avoid excessive visual complexity. The selection of colours should also consider the need of users with colour vision deficiency.</w:t>
      </w:r>
      <w:r w:rsidR="0026283E" w:rsidRPr="0026283E">
        <w:t xml:space="preserve">  </w:t>
      </w:r>
    </w:p>
    <w:p w14:paraId="7E2AE1A5" w14:textId="1098F208" w:rsidR="00AE68A1" w:rsidRDefault="00F51000" w:rsidP="00BF5E00">
      <w:pPr>
        <w:pStyle w:val="ListBullet"/>
        <w:numPr>
          <w:ilvl w:val="0"/>
          <w:numId w:val="35"/>
        </w:numPr>
        <w:ind w:left="1418" w:hanging="425"/>
      </w:pPr>
      <w:hyperlink r:id="rId15" w:history="1">
        <w:r w:rsidR="00257329" w:rsidRPr="00C40595">
          <w:rPr>
            <w:rStyle w:val="Hyperlink"/>
          </w:rPr>
          <w:t>ISO 3864-4:2011</w:t>
        </w:r>
        <w:r w:rsidR="0026283E" w:rsidRPr="00C40595">
          <w:rPr>
            <w:rStyle w:val="Hyperlink"/>
          </w:rPr>
          <w:t xml:space="preserve"> </w:t>
        </w:r>
        <w:r w:rsidR="00257329" w:rsidRPr="00C40595">
          <w:rPr>
            <w:rStyle w:val="Hyperlink"/>
          </w:rPr>
          <w:t>“Graphical symbols — Safety colours and safety signs — Colorimetric and photometric properties of safety sign materials”</w:t>
        </w:r>
      </w:hyperlink>
      <w:r w:rsidR="00C40595">
        <w:rPr>
          <w:rStyle w:val="FootnoteReference"/>
        </w:rPr>
        <w:footnoteReference w:id="10"/>
      </w:r>
      <w:r w:rsidR="00257329">
        <w:t xml:space="preserve"> reference both background contrast and luminance as factors for consideration when choosing a sign colour.</w:t>
      </w:r>
    </w:p>
    <w:p w14:paraId="3908E91D" w14:textId="03655C41" w:rsidR="007057F9" w:rsidRDefault="007057F9" w:rsidP="00737409">
      <w:pPr>
        <w:pStyle w:val="ListBullet"/>
        <w:numPr>
          <w:ilvl w:val="0"/>
          <w:numId w:val="35"/>
        </w:numPr>
        <w:ind w:left="1418"/>
      </w:pPr>
      <w:r>
        <w:t xml:space="preserve">The </w:t>
      </w:r>
      <w:hyperlink r:id="rId16" w:anchor=":~:text=Resulting%20from%20the%20restructure%20of,the%20needs%20of%20all%20who" w:history="1">
        <w:r w:rsidRPr="007057F9">
          <w:rPr>
            <w:rStyle w:val="Hyperlink"/>
          </w:rPr>
          <w:t>British Standard BS 8300-1 2018</w:t>
        </w:r>
      </w:hyperlink>
      <w:r>
        <w:rPr>
          <w:rStyle w:val="FootnoteReference"/>
        </w:rPr>
        <w:footnoteReference w:id="11"/>
      </w:r>
      <w:r>
        <w:t xml:space="preserve"> states </w:t>
      </w:r>
      <w:r w:rsidR="00D76A24">
        <w:t xml:space="preserve">in section </w:t>
      </w:r>
      <w:r w:rsidR="00D76A24" w:rsidRPr="007057F9">
        <w:t>8.2.1.2</w:t>
      </w:r>
      <w:r w:rsidR="00D76A24">
        <w:t xml:space="preserve"> </w:t>
      </w:r>
      <w:r>
        <w:t>that free</w:t>
      </w:r>
      <w:r w:rsidRPr="00A26558">
        <w:rPr>
          <w:rFonts w:ascii="Cambria Math" w:hAnsi="Cambria Math" w:cs="Cambria Math"/>
        </w:rPr>
        <w:t>‑</w:t>
      </w:r>
      <w:r>
        <w:t>standing post</w:t>
      </w:r>
      <w:r w:rsidR="00C40595">
        <w:t>s</w:t>
      </w:r>
      <w:r>
        <w:t xml:space="preserve"> within an access route should contrast visually with</w:t>
      </w:r>
      <w:r w:rsidR="00A26558">
        <w:t xml:space="preserve"> </w:t>
      </w:r>
      <w:r>
        <w:t>the background against which it is seen.</w:t>
      </w:r>
    </w:p>
    <w:p w14:paraId="360E4F43" w14:textId="42C2BBF3" w:rsidR="00C62609" w:rsidRPr="008E0B8F" w:rsidRDefault="00C62609" w:rsidP="00C62609">
      <w:pPr>
        <w:pStyle w:val="ListBullet"/>
        <w:numPr>
          <w:ilvl w:val="0"/>
          <w:numId w:val="35"/>
        </w:numPr>
        <w:rPr>
          <w:rFonts w:ascii="Calibri" w:hAnsi="Calibri"/>
          <w:sz w:val="22"/>
          <w:szCs w:val="22"/>
        </w:rPr>
      </w:pPr>
      <w:r>
        <w:t xml:space="preserve">Finally, there is </w:t>
      </w:r>
      <w:r w:rsidRPr="00AE68A1">
        <w:rPr>
          <w:b/>
        </w:rPr>
        <w:t xml:space="preserve">little reference to persons with disabilities </w:t>
      </w:r>
      <w:r w:rsidRPr="002E6F62">
        <w:t>in the BusConnects documents, wh</w:t>
      </w:r>
      <w:r>
        <w:t>ich exhibit</w:t>
      </w:r>
      <w:r w:rsidRPr="002E6F62">
        <w:t xml:space="preserve"> pedestrians a</w:t>
      </w:r>
      <w:r>
        <w:t>nd cyclists as central to the design. The graphics in the documents fail to show an inclusive and diverse representation of users, e.g. there is no image of a person using a wheelchair/a walking cane/a guide dog.</w:t>
      </w:r>
      <w:r>
        <w:rPr>
          <w:rFonts w:ascii="Calibri" w:hAnsi="Calibri"/>
          <w:sz w:val="22"/>
          <w:szCs w:val="22"/>
        </w:rPr>
        <w:t xml:space="preserve"> </w:t>
      </w:r>
      <w:r w:rsidR="000B06CA">
        <w:rPr>
          <w:szCs w:val="26"/>
        </w:rPr>
        <w:t xml:space="preserve">This can send a message to persons with disabilities and older people that their needs were not considered as important and integral to this infrastructure development which thus sends the message that the </w:t>
      </w:r>
      <w:r w:rsidR="001A52B6">
        <w:rPr>
          <w:szCs w:val="26"/>
        </w:rPr>
        <w:t xml:space="preserve">resulting </w:t>
      </w:r>
      <w:r w:rsidR="000B06CA">
        <w:rPr>
          <w:szCs w:val="26"/>
        </w:rPr>
        <w:t>service will not be for them.</w:t>
      </w:r>
    </w:p>
    <w:p w14:paraId="23C7C5EA" w14:textId="241097C1" w:rsidR="0048090B" w:rsidRDefault="0048090B" w:rsidP="0048090B">
      <w:r>
        <w:t xml:space="preserve">The NDA wishes to stress once again that services cannot be universally designed unless they take into account a wide range of individuals. </w:t>
      </w:r>
      <w:r w:rsidRPr="00595D52">
        <w:t>There is no “average” or “ideal” person. For example, two</w:t>
      </w:r>
      <w:r>
        <w:t xml:space="preserve"> individuals of average height, </w:t>
      </w:r>
      <w:r w:rsidRPr="00595D52">
        <w:t>might have very different arm lengths, leg lengths, and capabilities. Those conducting Universal Design seek to consider human variability in their work and produce designs that</w:t>
      </w:r>
      <w:r>
        <w:t xml:space="preserve"> work equally well for everyone- this is why the NDA encourages ‘sampling the tails’ when seeking out input and feedback from the public.</w:t>
      </w:r>
      <w:r>
        <w:rPr>
          <w:rStyle w:val="FootnoteReference"/>
        </w:rPr>
        <w:footnoteReference w:id="12"/>
      </w:r>
      <w:r>
        <w:t xml:space="preserve"> </w:t>
      </w:r>
    </w:p>
    <w:p w14:paraId="42005F13" w14:textId="77777777" w:rsidR="0048090B" w:rsidRDefault="0048090B" w:rsidP="0048090B">
      <w:r>
        <w:t>Some additional considerations from a universal design perspective are as follows:</w:t>
      </w:r>
    </w:p>
    <w:p w14:paraId="234C372B" w14:textId="5DCD2D4F" w:rsidR="0048090B" w:rsidRDefault="007716B4" w:rsidP="0048090B">
      <w:pPr>
        <w:pStyle w:val="ListBullet"/>
      </w:pPr>
      <w:r>
        <w:t xml:space="preserve">The plans provides state that </w:t>
      </w:r>
      <w:r w:rsidR="0048090B">
        <w:t xml:space="preserve">community needs were taken into account in designing this bus corridor. </w:t>
      </w:r>
      <w:r>
        <w:t>However, t</w:t>
      </w:r>
      <w:r w:rsidR="0048090B">
        <w:t>his assessment</w:t>
      </w:r>
      <w:r>
        <w:t xml:space="preserve"> of need</w:t>
      </w:r>
      <w:r w:rsidR="0048090B">
        <w:t xml:space="preserve"> took place prior to the Covid-19 pandemic and the NDA wishes to stress that community needs and commuting patterns may have changed since the initial assessment. </w:t>
      </w:r>
    </w:p>
    <w:p w14:paraId="6B7EB420" w14:textId="0D3780C7" w:rsidR="0048090B" w:rsidRDefault="0048090B" w:rsidP="0048090B">
      <w:pPr>
        <w:pStyle w:val="ListBullet"/>
      </w:pPr>
      <w:r>
        <w:t xml:space="preserve">In the plans it is stated that </w:t>
      </w:r>
      <w:r w:rsidRPr="005C1FD7">
        <w:t xml:space="preserve">‘Bus stop locations may need to be temporarily relocated to accommodate the works. Use of buses to access community facilities will continue throughout construction, albeit there may be a change in the distance required to walk between the temporary bus stops </w:t>
      </w:r>
      <w:r>
        <w:t xml:space="preserve">and the community facilities.’- no detail is provided as to how these temporary bus stops and facilities will be determined but it is </w:t>
      </w:r>
      <w:r w:rsidRPr="005C1FD7">
        <w:t>import</w:t>
      </w:r>
      <w:r>
        <w:t>ant to consider</w:t>
      </w:r>
      <w:r w:rsidR="00AF0E0A">
        <w:t xml:space="preserve">; universally designed communication of changes and temporary infrastructure to local residents/workers, </w:t>
      </w:r>
      <w:r>
        <w:t>walking speeds</w:t>
      </w:r>
      <w:r>
        <w:rPr>
          <w:rStyle w:val="FootnoteReference"/>
        </w:rPr>
        <w:footnoteReference w:id="13"/>
      </w:r>
      <w:r w:rsidRPr="005C1FD7">
        <w:t xml:space="preserve">, wayfinding in temporary landscape, visibility of temporary bus stops and information </w:t>
      </w:r>
      <w:r>
        <w:t>displays and seating provision</w:t>
      </w:r>
      <w:r w:rsidR="007464BF">
        <w:rPr>
          <w:rStyle w:val="FootnoteReference"/>
        </w:rPr>
        <w:footnoteReference w:id="14"/>
      </w:r>
      <w:r>
        <w:t xml:space="preserve"> as part of these temporary plans.</w:t>
      </w:r>
    </w:p>
    <w:p w14:paraId="319D43AD" w14:textId="20FDF3E0" w:rsidR="00AD4468" w:rsidRDefault="00BE4291" w:rsidP="00AD4468">
      <w:pPr>
        <w:pStyle w:val="Heading1"/>
        <w:rPr>
          <w:lang w:val="en"/>
        </w:rPr>
      </w:pPr>
      <w:r>
        <w:rPr>
          <w:lang w:val="en"/>
        </w:rPr>
        <w:t>3.</w:t>
      </w:r>
      <w:r w:rsidR="00737409">
        <w:rPr>
          <w:lang w:val="en"/>
        </w:rPr>
        <w:t xml:space="preserve">  </w:t>
      </w:r>
      <w:r w:rsidR="00AD4468">
        <w:rPr>
          <w:lang w:val="en"/>
        </w:rPr>
        <w:t xml:space="preserve">Public Sector Duty and </w:t>
      </w:r>
      <w:r w:rsidR="00AD4468">
        <w:t>Our Public Service 2020</w:t>
      </w:r>
    </w:p>
    <w:p w14:paraId="793A1571" w14:textId="7B65980B" w:rsidR="00AD4468" w:rsidRPr="00AF46C0" w:rsidRDefault="00AD4468" w:rsidP="00AD4468">
      <w:pPr>
        <w:pStyle w:val="NormalWeb"/>
        <w:rPr>
          <w:rFonts w:ascii="Gill Sans MT" w:hAnsi="Gill Sans MT"/>
          <w:sz w:val="26"/>
          <w:lang w:eastAsia="en-US"/>
        </w:rPr>
      </w:pPr>
      <w:r w:rsidRPr="00AF46C0">
        <w:rPr>
          <w:rFonts w:ascii="Gill Sans MT" w:hAnsi="Gill Sans MT"/>
          <w:sz w:val="26"/>
          <w:lang w:eastAsia="en-US"/>
        </w:rPr>
        <w:t xml:space="preserve">The NDA wishes to </w:t>
      </w:r>
      <w:r w:rsidR="007F229E">
        <w:rPr>
          <w:rFonts w:ascii="Gill Sans MT" w:hAnsi="Gill Sans MT"/>
          <w:sz w:val="26"/>
          <w:lang w:eastAsia="en-US"/>
        </w:rPr>
        <w:t>point out the NTA’s and by extensions BusConnect’s obligations under the</w:t>
      </w:r>
      <w:r w:rsidRPr="00AF46C0">
        <w:rPr>
          <w:rFonts w:ascii="Gill Sans MT" w:hAnsi="Gill Sans MT"/>
          <w:sz w:val="26"/>
          <w:lang w:eastAsia="en-US"/>
        </w:rPr>
        <w:t xml:space="preserve"> </w:t>
      </w:r>
      <w:hyperlink r:id="rId17" w:history="1">
        <w:r w:rsidRPr="00E822C9">
          <w:rPr>
            <w:rStyle w:val="Hyperlink"/>
            <w:rFonts w:ascii="Gill Sans MT" w:hAnsi="Gill Sans MT"/>
            <w:sz w:val="26"/>
            <w:lang w:eastAsia="en-US"/>
          </w:rPr>
          <w:t>Public Sector Duty</w:t>
        </w:r>
      </w:hyperlink>
      <w:r>
        <w:rPr>
          <w:rStyle w:val="FootnoteReference"/>
          <w:lang w:eastAsia="en-US"/>
        </w:rPr>
        <w:footnoteReference w:id="15"/>
      </w:r>
      <w:r w:rsidRPr="00AF46C0">
        <w:rPr>
          <w:rFonts w:ascii="Gill Sans MT" w:hAnsi="Gill Sans MT"/>
          <w:sz w:val="26"/>
          <w:lang w:eastAsia="en-US"/>
        </w:rPr>
        <w:t xml:space="preserve">. The NTA has a responsibility to </w:t>
      </w:r>
      <w:r w:rsidRPr="00EF2C37">
        <w:rPr>
          <w:rFonts w:ascii="Gill Sans MT" w:hAnsi="Gill Sans MT"/>
          <w:b/>
          <w:sz w:val="26"/>
          <w:lang w:eastAsia="en-US"/>
        </w:rPr>
        <w:t xml:space="preserve">promote equality, prevent discrimination and protect the human rights </w:t>
      </w:r>
      <w:r w:rsidRPr="00AE68A1">
        <w:rPr>
          <w:rFonts w:ascii="Gill Sans MT" w:hAnsi="Gill Sans MT"/>
          <w:sz w:val="26"/>
          <w:lang w:eastAsia="en-US"/>
        </w:rPr>
        <w:t>of their employees, customers, service users and everyone affected by their policies and plans.</w:t>
      </w:r>
      <w:r w:rsidRPr="00AF46C0">
        <w:rPr>
          <w:rFonts w:ascii="Gill Sans MT" w:hAnsi="Gill Sans MT"/>
          <w:sz w:val="26"/>
          <w:lang w:eastAsia="en-US"/>
        </w:rPr>
        <w:t xml:space="preserve"> This is a legal obligation, within the Public Sector Equality and Human Rights Duty, and is contained in Section 42 of the Irish Human Rights and Equality Act 2014. </w:t>
      </w:r>
    </w:p>
    <w:p w14:paraId="445588D6" w14:textId="50ECB7D9" w:rsidR="00AD4468" w:rsidRDefault="00720584" w:rsidP="00AD4468">
      <w:r>
        <w:t>The NTA are also</w:t>
      </w:r>
      <w:r w:rsidR="00AD4468">
        <w:t xml:space="preserve"> responsible for meeting the following actions as set out in </w:t>
      </w:r>
      <w:hyperlink r:id="rId18" w:history="1">
        <w:r w:rsidR="00AD4468" w:rsidRPr="00E822C9">
          <w:rPr>
            <w:rStyle w:val="Hyperlink"/>
          </w:rPr>
          <w:t>Our Public Service 2020</w:t>
        </w:r>
      </w:hyperlink>
      <w:r w:rsidR="00AD4468">
        <w:rPr>
          <w:rStyle w:val="FootnoteReference"/>
        </w:rPr>
        <w:footnoteReference w:id="16"/>
      </w:r>
      <w:r w:rsidR="00AD4468">
        <w:t xml:space="preserve"> (OPS 2020), a policy framework that emphasises collaboration, innovation, efficiency, flexibility and evaluation in order for public sector organisations to increase their overall effectiveness and deliver better services for the public. </w:t>
      </w:r>
    </w:p>
    <w:p w14:paraId="206F4C17" w14:textId="77777777" w:rsidR="00AD4468" w:rsidRDefault="00AD4468" w:rsidP="00AD4468">
      <w:r>
        <w:t xml:space="preserve">The NTA is responsible for meeting the following actions set in </w:t>
      </w:r>
      <w:r w:rsidRPr="00EF2C37">
        <w:rPr>
          <w:b/>
        </w:rPr>
        <w:t>OPS 2020</w:t>
      </w:r>
      <w:r>
        <w:t xml:space="preserve">: </w:t>
      </w:r>
    </w:p>
    <w:p w14:paraId="68C6D9BB" w14:textId="77777777" w:rsidR="00AD4468" w:rsidRPr="00AE68A1" w:rsidRDefault="00AD4468" w:rsidP="00AD4468">
      <w:pPr>
        <w:pStyle w:val="ListBullet"/>
        <w:numPr>
          <w:ilvl w:val="0"/>
          <w:numId w:val="28"/>
        </w:numPr>
        <w:rPr>
          <w:bCs/>
          <w:szCs w:val="26"/>
        </w:rPr>
      </w:pPr>
      <w:r w:rsidRPr="00AE68A1">
        <w:rPr>
          <w:bCs/>
          <w:szCs w:val="26"/>
        </w:rPr>
        <w:t xml:space="preserve">Action 3 - </w:t>
      </w:r>
      <w:r w:rsidRPr="00AE68A1">
        <w:rPr>
          <w:b/>
          <w:bCs/>
          <w:szCs w:val="26"/>
        </w:rPr>
        <w:t>Make services more accessible to all</w:t>
      </w:r>
      <w:r w:rsidRPr="00AE68A1">
        <w:rPr>
          <w:bCs/>
          <w:szCs w:val="26"/>
        </w:rPr>
        <w:t xml:space="preserve"> - All public services should be easily accessible by all members of the public, including those with diverse needs regardless of language, culture, literacy or ability and also migrants and people in vulnerable situations. This action identifies involving the public in the design of public service.</w:t>
      </w:r>
    </w:p>
    <w:p w14:paraId="2F9BD0CC" w14:textId="77777777" w:rsidR="00AD4468" w:rsidRPr="00AE68A1" w:rsidRDefault="00AD4468" w:rsidP="00AD4468">
      <w:pPr>
        <w:pStyle w:val="ListBullet"/>
        <w:numPr>
          <w:ilvl w:val="0"/>
          <w:numId w:val="28"/>
        </w:numPr>
        <w:rPr>
          <w:bCs/>
          <w:szCs w:val="26"/>
        </w:rPr>
      </w:pPr>
      <w:r w:rsidRPr="00AE68A1">
        <w:rPr>
          <w:bCs/>
          <w:szCs w:val="26"/>
        </w:rPr>
        <w:t xml:space="preserve">Action 4 - Significantly </w:t>
      </w:r>
      <w:r w:rsidRPr="00AE68A1">
        <w:rPr>
          <w:b/>
          <w:bCs/>
          <w:szCs w:val="26"/>
        </w:rPr>
        <w:t>improve communications and engagement</w:t>
      </w:r>
      <w:r w:rsidRPr="00AE68A1">
        <w:rPr>
          <w:bCs/>
          <w:szCs w:val="26"/>
        </w:rPr>
        <w:t xml:space="preserve"> with the public. The public and businesses should input into the planning, design, implementation and review of public services. </w:t>
      </w:r>
    </w:p>
    <w:p w14:paraId="07A5F13D" w14:textId="22864BCF" w:rsidR="00AD4468" w:rsidRDefault="00AD4468" w:rsidP="00AD4468">
      <w:pPr>
        <w:pStyle w:val="ListBullet"/>
        <w:numPr>
          <w:ilvl w:val="0"/>
          <w:numId w:val="28"/>
        </w:numPr>
        <w:rPr>
          <w:bCs/>
          <w:szCs w:val="26"/>
        </w:rPr>
      </w:pPr>
      <w:r w:rsidRPr="00AE68A1">
        <w:rPr>
          <w:bCs/>
          <w:szCs w:val="26"/>
        </w:rPr>
        <w:t xml:space="preserve">Action 11- Embed a culture of </w:t>
      </w:r>
      <w:r w:rsidRPr="00AE68A1">
        <w:rPr>
          <w:b/>
          <w:bCs/>
          <w:szCs w:val="26"/>
        </w:rPr>
        <w:t>evidence and evaluation</w:t>
      </w:r>
      <w:r w:rsidRPr="00AE68A1">
        <w:rPr>
          <w:bCs/>
          <w:szCs w:val="26"/>
        </w:rPr>
        <w:t xml:space="preserve"> where the results of evaluation and evidence-based analysis is integrated into</w:t>
      </w:r>
      <w:r w:rsidRPr="00EF2C37">
        <w:rPr>
          <w:bCs/>
          <w:szCs w:val="26"/>
        </w:rPr>
        <w:t xml:space="preserve"> policy decision-making, planning and design processes</w:t>
      </w:r>
      <w:r>
        <w:rPr>
          <w:bCs/>
          <w:szCs w:val="26"/>
        </w:rPr>
        <w:t>.</w:t>
      </w:r>
      <w:r w:rsidRPr="00EF2C37">
        <w:rPr>
          <w:bCs/>
          <w:szCs w:val="26"/>
        </w:rPr>
        <w:t xml:space="preserve"> </w:t>
      </w:r>
    </w:p>
    <w:p w14:paraId="2D8CF313" w14:textId="06F17BA7" w:rsidR="00106F69" w:rsidRPr="00106F69" w:rsidRDefault="00106F69" w:rsidP="006659D1">
      <w:pPr>
        <w:pStyle w:val="ListBullet"/>
        <w:numPr>
          <w:ilvl w:val="0"/>
          <w:numId w:val="0"/>
        </w:numPr>
        <w:rPr>
          <w:bCs/>
          <w:szCs w:val="26"/>
        </w:rPr>
      </w:pPr>
      <w:r w:rsidRPr="00106F69">
        <w:rPr>
          <w:bCs/>
          <w:szCs w:val="26"/>
        </w:rPr>
        <w:t>In order to meet these obligations</w:t>
      </w:r>
      <w:r w:rsidR="007A1B93">
        <w:rPr>
          <w:bCs/>
          <w:szCs w:val="26"/>
        </w:rPr>
        <w:t xml:space="preserve">, the NTA will need to </w:t>
      </w:r>
      <w:r w:rsidRPr="00106F69">
        <w:rPr>
          <w:bCs/>
          <w:szCs w:val="26"/>
        </w:rPr>
        <w:t xml:space="preserve">adopt a universally designed </w:t>
      </w:r>
      <w:r w:rsidR="007A1B93">
        <w:rPr>
          <w:bCs/>
          <w:szCs w:val="26"/>
        </w:rPr>
        <w:t xml:space="preserve">approach to ensure the BusConnects programmes provides integrated </w:t>
      </w:r>
      <w:r w:rsidRPr="00106F69">
        <w:rPr>
          <w:bCs/>
          <w:szCs w:val="26"/>
        </w:rPr>
        <w:t xml:space="preserve">public transport services that </w:t>
      </w:r>
      <w:r w:rsidR="007A1B93">
        <w:rPr>
          <w:bCs/>
          <w:szCs w:val="26"/>
        </w:rPr>
        <w:t xml:space="preserve">are easy to access, understand and use for everyone. </w:t>
      </w:r>
      <w:r w:rsidRPr="00106F69">
        <w:rPr>
          <w:bCs/>
          <w:szCs w:val="26"/>
        </w:rPr>
        <w:t>As stated in pr</w:t>
      </w:r>
      <w:r w:rsidR="009C139B">
        <w:rPr>
          <w:bCs/>
          <w:szCs w:val="26"/>
        </w:rPr>
        <w:t xml:space="preserve">evious submissions to the NTA, </w:t>
      </w:r>
      <w:r w:rsidRPr="00106F69">
        <w:rPr>
          <w:bCs/>
          <w:szCs w:val="26"/>
        </w:rPr>
        <w:t>transport projects need to consider and communicate:</w:t>
      </w:r>
    </w:p>
    <w:p w14:paraId="1355EB6F" w14:textId="6C6CD42E" w:rsidR="00106F69" w:rsidRPr="00106F69" w:rsidRDefault="00106F69" w:rsidP="00106F69">
      <w:pPr>
        <w:pStyle w:val="ListBullet"/>
        <w:numPr>
          <w:ilvl w:val="0"/>
          <w:numId w:val="28"/>
        </w:numPr>
        <w:rPr>
          <w:bCs/>
          <w:szCs w:val="26"/>
        </w:rPr>
      </w:pPr>
      <w:r w:rsidRPr="00106F69">
        <w:rPr>
          <w:bCs/>
          <w:szCs w:val="26"/>
        </w:rPr>
        <w:t>The impact that the development and delivery of these projects will h</w:t>
      </w:r>
      <w:r w:rsidR="007A1B93">
        <w:rPr>
          <w:bCs/>
          <w:szCs w:val="26"/>
        </w:rPr>
        <w:t>ave on a diverse range of users</w:t>
      </w:r>
      <w:r w:rsidRPr="00106F69">
        <w:rPr>
          <w:bCs/>
          <w:szCs w:val="26"/>
        </w:rPr>
        <w:t>,</w:t>
      </w:r>
      <w:r w:rsidR="007A1B93">
        <w:rPr>
          <w:bCs/>
          <w:szCs w:val="26"/>
        </w:rPr>
        <w:t xml:space="preserve"> including persons </w:t>
      </w:r>
      <w:r w:rsidRPr="00106F69">
        <w:rPr>
          <w:bCs/>
          <w:szCs w:val="26"/>
        </w:rPr>
        <w:t xml:space="preserve">with disabilities </w:t>
      </w:r>
    </w:p>
    <w:p w14:paraId="4EB850F1" w14:textId="77777777" w:rsidR="009C139B" w:rsidRDefault="00106F69" w:rsidP="009C139B">
      <w:pPr>
        <w:pStyle w:val="ListBullet"/>
        <w:numPr>
          <w:ilvl w:val="0"/>
          <w:numId w:val="28"/>
        </w:numPr>
        <w:rPr>
          <w:bCs/>
          <w:szCs w:val="26"/>
        </w:rPr>
      </w:pPr>
      <w:r w:rsidRPr="00106F69">
        <w:rPr>
          <w:bCs/>
          <w:szCs w:val="26"/>
        </w:rPr>
        <w:t xml:space="preserve">How these projects will improve accessibility and support persons with disabilities, older people and other travellers to complete their end to end journey </w:t>
      </w:r>
      <w:r w:rsidR="007A1B93">
        <w:rPr>
          <w:bCs/>
          <w:szCs w:val="26"/>
        </w:rPr>
        <w:t>safely with ease and efficiency</w:t>
      </w:r>
      <w:r w:rsidRPr="00106F69">
        <w:rPr>
          <w:bCs/>
          <w:szCs w:val="26"/>
        </w:rPr>
        <w:t xml:space="preserve"> </w:t>
      </w:r>
    </w:p>
    <w:p w14:paraId="52DE114A" w14:textId="77777777" w:rsidR="009C139B" w:rsidRDefault="009C139B" w:rsidP="009C139B">
      <w:pPr>
        <w:pStyle w:val="ListBullet"/>
        <w:numPr>
          <w:ilvl w:val="0"/>
          <w:numId w:val="0"/>
        </w:numPr>
        <w:rPr>
          <w:bCs/>
          <w:szCs w:val="26"/>
        </w:rPr>
      </w:pPr>
      <w:r>
        <w:rPr>
          <w:bCs/>
          <w:szCs w:val="26"/>
        </w:rPr>
        <w:t xml:space="preserve">While the above pointes may have been considered, the NDA can find no evidence that the experience of persons with disabilities and older people were taken into account as part of this project, nor can we see clear evidence that comprehensive stakeholder consultation with these groups was pursued in any way. Indeed, the feedback which the NDA has received indicates that many feel they will be adversely affected by the development which has not taken their transport needs on board and has not communicated clearly and consistently. </w:t>
      </w:r>
    </w:p>
    <w:p w14:paraId="045D611D" w14:textId="387A5025" w:rsidR="00DD4D43" w:rsidRPr="009C139B" w:rsidRDefault="007A1B93" w:rsidP="009C139B">
      <w:pPr>
        <w:pStyle w:val="ListBullet"/>
        <w:numPr>
          <w:ilvl w:val="0"/>
          <w:numId w:val="0"/>
        </w:numPr>
        <w:rPr>
          <w:bCs/>
          <w:szCs w:val="26"/>
        </w:rPr>
      </w:pPr>
      <w:r w:rsidRPr="009C139B">
        <w:rPr>
          <w:bCs/>
          <w:szCs w:val="26"/>
        </w:rPr>
        <w:t xml:space="preserve">Transport projects </w:t>
      </w:r>
      <w:r w:rsidR="009C139B">
        <w:rPr>
          <w:bCs/>
          <w:szCs w:val="26"/>
        </w:rPr>
        <w:t xml:space="preserve">such as BusConnects </w:t>
      </w:r>
      <w:r w:rsidRPr="009C139B">
        <w:rPr>
          <w:bCs/>
          <w:szCs w:val="26"/>
        </w:rPr>
        <w:t xml:space="preserve">need to </w:t>
      </w:r>
      <w:r w:rsidR="00106F69" w:rsidRPr="009C139B">
        <w:rPr>
          <w:bCs/>
          <w:szCs w:val="26"/>
        </w:rPr>
        <w:t>clearly demonstrate that the needs of persons with disabilities and older users have been considered in each step in the deve</w:t>
      </w:r>
      <w:r w:rsidRPr="009C139B">
        <w:rPr>
          <w:bCs/>
          <w:szCs w:val="26"/>
        </w:rPr>
        <w:t>lopment and delivery of the Bus</w:t>
      </w:r>
      <w:r w:rsidR="00106F69" w:rsidRPr="009C139B">
        <w:rPr>
          <w:bCs/>
          <w:szCs w:val="26"/>
        </w:rPr>
        <w:t>Connects programme.</w:t>
      </w:r>
    </w:p>
    <w:p w14:paraId="18351661" w14:textId="4252CB74" w:rsidR="00DD4D43" w:rsidRDefault="00BE4291" w:rsidP="006659D1">
      <w:pPr>
        <w:pStyle w:val="Heading1"/>
      </w:pPr>
      <w:r>
        <w:rPr>
          <w:szCs w:val="26"/>
        </w:rPr>
        <w:t xml:space="preserve">4. </w:t>
      </w:r>
      <w:r w:rsidR="00737409">
        <w:rPr>
          <w:szCs w:val="26"/>
        </w:rPr>
        <w:t xml:space="preserve"> </w:t>
      </w:r>
      <w:r w:rsidR="00DD4D43">
        <w:rPr>
          <w:szCs w:val="26"/>
        </w:rPr>
        <w:t>Co</w:t>
      </w:r>
      <w:r w:rsidR="00DD4D43">
        <w:t>de of Practice on the Accessibility of Public Services and Information provided by Public Bodies</w:t>
      </w:r>
    </w:p>
    <w:p w14:paraId="7097F8B9" w14:textId="77777777" w:rsidR="00020657" w:rsidRDefault="00DD4D43" w:rsidP="00DD4D43">
      <w:pPr>
        <w:autoSpaceDE w:val="0"/>
        <w:autoSpaceDN w:val="0"/>
        <w:adjustRightInd w:val="0"/>
        <w:spacing w:after="0"/>
        <w:rPr>
          <w:rFonts w:eastAsia="SimSun" w:cs="Gill Sans MT"/>
          <w:color w:val="000000"/>
          <w:szCs w:val="26"/>
          <w:lang w:eastAsia="en-IE"/>
        </w:rPr>
      </w:pPr>
      <w:r w:rsidRPr="00ED7C2E">
        <w:rPr>
          <w:rFonts w:eastAsia="SimSun" w:cs="Gill Sans MT"/>
          <w:color w:val="000000"/>
          <w:szCs w:val="26"/>
          <w:lang w:eastAsia="en-IE"/>
        </w:rPr>
        <w:t>The NDA</w:t>
      </w:r>
      <w:r w:rsidR="00813226">
        <w:rPr>
          <w:rFonts w:eastAsia="SimSun" w:cs="Gill Sans MT"/>
          <w:color w:val="000000"/>
          <w:szCs w:val="26"/>
          <w:lang w:eastAsia="en-IE"/>
        </w:rPr>
        <w:t>’</w:t>
      </w:r>
      <w:r w:rsidRPr="00ED7C2E">
        <w:rPr>
          <w:rFonts w:eastAsia="SimSun" w:cs="Gill Sans MT"/>
          <w:color w:val="000000"/>
          <w:szCs w:val="26"/>
          <w:lang w:eastAsia="en-IE"/>
        </w:rPr>
        <w:t xml:space="preserve">s </w:t>
      </w:r>
      <w:hyperlink r:id="rId19" w:history="1">
        <w:r w:rsidRPr="006659D1">
          <w:rPr>
            <w:rStyle w:val="Hyperlink"/>
            <w:rFonts w:eastAsia="SimSun"/>
          </w:rPr>
          <w:t>Code of Practice on the Accessibility of Public Services and Information provided by Public Bodies</w:t>
        </w:r>
      </w:hyperlink>
      <w:r w:rsidR="00ED7C2E">
        <w:rPr>
          <w:rStyle w:val="FootnoteReference"/>
          <w:rFonts w:eastAsia="SimSun" w:cs="Gill Sans MT"/>
          <w:b/>
          <w:bCs/>
          <w:szCs w:val="26"/>
          <w:lang w:eastAsia="en-IE"/>
        </w:rPr>
        <w:footnoteReference w:id="17"/>
      </w:r>
      <w:r w:rsidRPr="006659D1">
        <w:rPr>
          <w:rFonts w:eastAsia="SimSun" w:cs="Gill Sans MT"/>
          <w:b/>
          <w:bCs/>
          <w:szCs w:val="26"/>
          <w:lang w:eastAsia="en-IE"/>
        </w:rPr>
        <w:t xml:space="preserve"> </w:t>
      </w:r>
      <w:r w:rsidRPr="00DD4D43">
        <w:rPr>
          <w:rFonts w:eastAsia="SimSun" w:cs="Gill Sans MT"/>
          <w:color w:val="000000"/>
          <w:szCs w:val="26"/>
          <w:lang w:eastAsia="en-IE"/>
        </w:rPr>
        <w:t xml:space="preserve">outlines the statutory obligations public bodies have in providing accessible services and information under section 26, 27 and 28 of the </w:t>
      </w:r>
      <w:r w:rsidRPr="00DD4D43">
        <w:rPr>
          <w:rFonts w:eastAsia="SimSun" w:cs="Gill Sans MT"/>
          <w:b/>
          <w:bCs/>
          <w:color w:val="000000"/>
          <w:szCs w:val="26"/>
          <w:lang w:eastAsia="en-IE"/>
        </w:rPr>
        <w:t>Disability Act 2005</w:t>
      </w:r>
      <w:r w:rsidRPr="00DD4D43">
        <w:rPr>
          <w:rFonts w:eastAsia="SimSun" w:cs="Gill Sans MT"/>
          <w:color w:val="000000"/>
          <w:szCs w:val="26"/>
          <w:lang w:eastAsia="en-IE"/>
        </w:rPr>
        <w:t>. These sections of the Disability Act 2005, incorporate the core elements of an integrated universally designed public transport service</w:t>
      </w:r>
      <w:r w:rsidR="00D74CF1">
        <w:rPr>
          <w:rFonts w:eastAsia="SimSun" w:cs="Gill Sans MT"/>
          <w:color w:val="000000"/>
          <w:szCs w:val="26"/>
          <w:lang w:eastAsia="en-IE"/>
        </w:rPr>
        <w:t xml:space="preserve">: </w:t>
      </w:r>
      <w:r w:rsidR="00D74CF1" w:rsidRPr="00DD4D43">
        <w:rPr>
          <w:rFonts w:eastAsia="SimSun" w:cs="Gill Sans MT"/>
          <w:color w:val="000000"/>
          <w:szCs w:val="26"/>
          <w:lang w:eastAsia="en-IE"/>
        </w:rPr>
        <w:t>Acces</w:t>
      </w:r>
      <w:r w:rsidR="00D74CF1">
        <w:rPr>
          <w:rFonts w:eastAsia="SimSun" w:cs="Gill Sans MT"/>
          <w:color w:val="000000"/>
          <w:szCs w:val="26"/>
          <w:lang w:eastAsia="en-IE"/>
        </w:rPr>
        <w:t>s to services; Accessible procurement p</w:t>
      </w:r>
      <w:r w:rsidR="00D74CF1" w:rsidRPr="00DD4D43">
        <w:rPr>
          <w:rFonts w:eastAsia="SimSun" w:cs="Gill Sans MT"/>
          <w:color w:val="000000"/>
          <w:szCs w:val="26"/>
          <w:lang w:eastAsia="en-IE"/>
        </w:rPr>
        <w:t xml:space="preserve">rocesses; and Access to </w:t>
      </w:r>
      <w:r w:rsidR="00D74CF1">
        <w:rPr>
          <w:rFonts w:eastAsia="SimSun" w:cs="Gill Sans MT"/>
          <w:color w:val="000000"/>
          <w:szCs w:val="26"/>
          <w:lang w:eastAsia="en-IE"/>
        </w:rPr>
        <w:t>i</w:t>
      </w:r>
      <w:r w:rsidR="00D74CF1" w:rsidRPr="00DD4D43">
        <w:rPr>
          <w:rFonts w:eastAsia="SimSun"/>
          <w:szCs w:val="26"/>
          <w:lang w:eastAsia="en-IE"/>
        </w:rPr>
        <w:t>nformation</w:t>
      </w:r>
      <w:r w:rsidR="00ED7C2E">
        <w:rPr>
          <w:rFonts w:eastAsia="SimSun"/>
          <w:szCs w:val="26"/>
          <w:lang w:eastAsia="en-IE"/>
        </w:rPr>
        <w:t xml:space="preserve">. </w:t>
      </w:r>
      <w:r>
        <w:rPr>
          <w:rFonts w:eastAsia="SimSun" w:cs="Gill Sans MT"/>
          <w:color w:val="000000"/>
          <w:szCs w:val="26"/>
          <w:lang w:eastAsia="en-IE"/>
        </w:rPr>
        <w:t>T</w:t>
      </w:r>
      <w:r w:rsidR="00D74CF1">
        <w:rPr>
          <w:rFonts w:eastAsia="SimSun" w:cs="Gill Sans MT"/>
          <w:color w:val="000000"/>
          <w:szCs w:val="26"/>
          <w:lang w:eastAsia="en-IE"/>
        </w:rPr>
        <w:t>he NDA advises the</w:t>
      </w:r>
      <w:r>
        <w:rPr>
          <w:rFonts w:eastAsia="SimSun" w:cs="Gill Sans MT"/>
          <w:color w:val="000000"/>
          <w:szCs w:val="26"/>
          <w:lang w:eastAsia="en-IE"/>
        </w:rPr>
        <w:t xml:space="preserve"> NTA</w:t>
      </w:r>
      <w:r w:rsidRPr="00DD4D43">
        <w:rPr>
          <w:rFonts w:eastAsia="SimSun" w:cs="Gill Sans MT"/>
          <w:color w:val="000000"/>
          <w:szCs w:val="26"/>
          <w:lang w:eastAsia="en-IE"/>
        </w:rPr>
        <w:t xml:space="preserve"> </w:t>
      </w:r>
      <w:r w:rsidR="00D74CF1">
        <w:rPr>
          <w:rFonts w:eastAsia="SimSun" w:cs="Gill Sans MT"/>
          <w:color w:val="000000"/>
          <w:szCs w:val="26"/>
          <w:lang w:eastAsia="en-IE"/>
        </w:rPr>
        <w:t xml:space="preserve">to </w:t>
      </w:r>
      <w:r w:rsidRPr="00DD4D43">
        <w:rPr>
          <w:rFonts w:eastAsia="SimSun" w:cs="Gill Sans MT"/>
          <w:color w:val="000000"/>
          <w:szCs w:val="26"/>
          <w:lang w:eastAsia="en-IE"/>
        </w:rPr>
        <w:t xml:space="preserve">use this Code of Practice as </w:t>
      </w:r>
      <w:r w:rsidR="00ED7C2E">
        <w:rPr>
          <w:rFonts w:eastAsia="SimSun" w:cs="Gill Sans MT"/>
          <w:color w:val="000000"/>
          <w:szCs w:val="26"/>
          <w:lang w:eastAsia="en-IE"/>
        </w:rPr>
        <w:t>their framework</w:t>
      </w:r>
      <w:r w:rsidRPr="00DD4D43">
        <w:rPr>
          <w:rFonts w:eastAsia="SimSun" w:cs="Gill Sans MT"/>
          <w:color w:val="000000"/>
          <w:szCs w:val="26"/>
          <w:lang w:eastAsia="en-IE"/>
        </w:rPr>
        <w:t xml:space="preserve"> to design and deliver an integrated universally designed </w:t>
      </w:r>
      <w:r>
        <w:rPr>
          <w:rFonts w:eastAsia="SimSun" w:cs="Gill Sans MT"/>
          <w:color w:val="000000"/>
          <w:szCs w:val="26"/>
          <w:lang w:eastAsia="en-IE"/>
        </w:rPr>
        <w:t xml:space="preserve">BusConnects </w:t>
      </w:r>
      <w:r w:rsidR="00ED7C2E">
        <w:rPr>
          <w:rFonts w:eastAsia="SimSun" w:cs="Gill Sans MT"/>
          <w:color w:val="000000"/>
          <w:szCs w:val="26"/>
          <w:lang w:eastAsia="en-IE"/>
        </w:rPr>
        <w:t>service and</w:t>
      </w:r>
      <w:r w:rsidRPr="00DD4D43">
        <w:rPr>
          <w:rFonts w:eastAsia="SimSun" w:cs="Gill Sans MT"/>
          <w:color w:val="000000"/>
          <w:szCs w:val="26"/>
          <w:lang w:eastAsia="en-IE"/>
        </w:rPr>
        <w:t xml:space="preserve"> also to develop an approach to monitor effectiveness in the provision of universally designed services. </w:t>
      </w:r>
    </w:p>
    <w:p w14:paraId="7D52ED53" w14:textId="77777777" w:rsidR="00020657" w:rsidRDefault="00020657" w:rsidP="00DD4D43">
      <w:pPr>
        <w:autoSpaceDE w:val="0"/>
        <w:autoSpaceDN w:val="0"/>
        <w:adjustRightInd w:val="0"/>
        <w:spacing w:after="0"/>
        <w:rPr>
          <w:rFonts w:eastAsia="SimSun" w:cs="Gill Sans MT"/>
          <w:color w:val="000000"/>
          <w:szCs w:val="26"/>
          <w:lang w:eastAsia="en-IE"/>
        </w:rPr>
      </w:pPr>
    </w:p>
    <w:p w14:paraId="52C30072" w14:textId="6A4FE7E1" w:rsidR="00DD4D43" w:rsidRPr="006659D1" w:rsidRDefault="00020657" w:rsidP="00DD4D43">
      <w:pPr>
        <w:autoSpaceDE w:val="0"/>
        <w:autoSpaceDN w:val="0"/>
        <w:adjustRightInd w:val="0"/>
        <w:spacing w:after="0"/>
        <w:rPr>
          <w:rFonts w:eastAsia="SimSun"/>
          <w:szCs w:val="26"/>
          <w:lang w:eastAsia="en-IE"/>
        </w:rPr>
      </w:pPr>
      <w:r>
        <w:rPr>
          <w:rFonts w:eastAsia="SimSun" w:cs="Gill Sans MT"/>
          <w:color w:val="000000"/>
          <w:szCs w:val="26"/>
          <w:lang w:eastAsia="en-IE"/>
        </w:rPr>
        <w:t xml:space="preserve">The NDA appreciates that the NTA may have taken into account this code of practice in designing the service, however, from the documentation provided and in observing the consultation process the NDA is concerned there are some gaps in implementation which the NTA should address. </w:t>
      </w:r>
    </w:p>
    <w:p w14:paraId="4BBD7C70" w14:textId="77777777" w:rsidR="00DD4D43" w:rsidRDefault="00DD4D43" w:rsidP="00DD4D43">
      <w:pPr>
        <w:autoSpaceDE w:val="0"/>
        <w:autoSpaceDN w:val="0"/>
        <w:adjustRightInd w:val="0"/>
        <w:spacing w:after="0"/>
        <w:rPr>
          <w:rFonts w:eastAsia="SimSun" w:cs="Gill Sans MT"/>
          <w:color w:val="000000"/>
          <w:szCs w:val="26"/>
          <w:lang w:eastAsia="en-IE"/>
        </w:rPr>
      </w:pPr>
    </w:p>
    <w:p w14:paraId="784FAF77" w14:textId="6F384B0A" w:rsidR="00AD4468" w:rsidRDefault="00BE4291" w:rsidP="00AD4468">
      <w:pPr>
        <w:pStyle w:val="Heading1"/>
      </w:pPr>
      <w:r>
        <w:rPr>
          <w:szCs w:val="26"/>
        </w:rPr>
        <w:t xml:space="preserve">5. </w:t>
      </w:r>
      <w:r w:rsidR="00737409">
        <w:rPr>
          <w:szCs w:val="26"/>
        </w:rPr>
        <w:t xml:space="preserve"> </w:t>
      </w:r>
      <w:r w:rsidR="00AD4468">
        <w:t>Disability Impact Assessment</w:t>
      </w:r>
    </w:p>
    <w:p w14:paraId="797CC029" w14:textId="33C1FEF5" w:rsidR="00C85970" w:rsidRDefault="00AD4468" w:rsidP="00AD4468">
      <w:pPr>
        <w:pStyle w:val="ListBullet"/>
        <w:numPr>
          <w:ilvl w:val="0"/>
          <w:numId w:val="0"/>
        </w:numPr>
        <w:rPr>
          <w:rFonts w:eastAsia="SimSun"/>
          <w:lang w:eastAsia="en-IE"/>
        </w:rPr>
      </w:pPr>
      <w:r w:rsidRPr="00C02529">
        <w:rPr>
          <w:rFonts w:eastAsia="SimSun"/>
          <w:lang w:eastAsia="en-IE"/>
        </w:rPr>
        <w:t xml:space="preserve">The NDA </w:t>
      </w:r>
      <w:r w:rsidR="00BA0F1C">
        <w:rPr>
          <w:rFonts w:eastAsia="SimSun"/>
          <w:lang w:eastAsia="en-IE"/>
        </w:rPr>
        <w:t xml:space="preserve">wishes to point out to </w:t>
      </w:r>
      <w:r w:rsidR="00BA0F1C">
        <w:t>An Bord Pleanála</w:t>
      </w:r>
      <w:r w:rsidR="00BA0F1C">
        <w:rPr>
          <w:rFonts w:eastAsia="SimSun"/>
          <w:lang w:eastAsia="en-IE"/>
        </w:rPr>
        <w:t xml:space="preserve"> that we have</w:t>
      </w:r>
      <w:r w:rsidR="00720584">
        <w:rPr>
          <w:rFonts w:eastAsia="SimSun"/>
          <w:lang w:eastAsia="en-IE"/>
        </w:rPr>
        <w:t xml:space="preserve"> advised</w:t>
      </w:r>
      <w:r>
        <w:rPr>
          <w:rFonts w:eastAsia="SimSun"/>
          <w:lang w:eastAsia="en-IE"/>
        </w:rPr>
        <w:t xml:space="preserve"> the NTA </w:t>
      </w:r>
      <w:r w:rsidR="00720584">
        <w:rPr>
          <w:rFonts w:eastAsia="SimSun"/>
          <w:lang w:eastAsia="en-IE"/>
        </w:rPr>
        <w:t xml:space="preserve">several times throughout the BusConnects consultation process of the importance of </w:t>
      </w:r>
      <w:r>
        <w:rPr>
          <w:rFonts w:eastAsia="SimSun"/>
          <w:lang w:eastAsia="en-IE"/>
        </w:rPr>
        <w:t>conducting and presenting a</w:t>
      </w:r>
      <w:r w:rsidRPr="00C02529">
        <w:rPr>
          <w:rFonts w:eastAsia="SimSun"/>
          <w:lang w:eastAsia="en-IE"/>
        </w:rPr>
        <w:t xml:space="preserve"> </w:t>
      </w:r>
      <w:r>
        <w:rPr>
          <w:rFonts w:eastAsia="SimSun"/>
          <w:lang w:eastAsia="en-IE"/>
        </w:rPr>
        <w:t xml:space="preserve">disability </w:t>
      </w:r>
      <w:r w:rsidRPr="00C02529">
        <w:rPr>
          <w:rFonts w:eastAsia="SimSun"/>
          <w:lang w:eastAsia="en-IE"/>
        </w:rPr>
        <w:t xml:space="preserve">impact assessment on the </w:t>
      </w:r>
      <w:r>
        <w:rPr>
          <w:rFonts w:eastAsia="SimSun"/>
          <w:lang w:eastAsia="en-IE"/>
        </w:rPr>
        <w:t xml:space="preserve">BusConnects </w:t>
      </w:r>
      <w:r w:rsidR="003B1116">
        <w:rPr>
          <w:rFonts w:eastAsia="SimSun"/>
          <w:lang w:eastAsia="en-IE"/>
        </w:rPr>
        <w:t>programme</w:t>
      </w:r>
      <w:r>
        <w:rPr>
          <w:rFonts w:eastAsia="SimSun"/>
          <w:lang w:eastAsia="en-IE"/>
        </w:rPr>
        <w:t xml:space="preserve">. A disability impact assessment is an obligatory requirement </w:t>
      </w:r>
      <w:r w:rsidRPr="00C02529">
        <w:rPr>
          <w:rFonts w:eastAsia="SimSun"/>
          <w:lang w:eastAsia="en-IE"/>
        </w:rPr>
        <w:t>of all substantive proposals requiring Government approval</w:t>
      </w:r>
      <w:r>
        <w:rPr>
          <w:rFonts w:eastAsia="SimSun"/>
          <w:lang w:eastAsia="en-IE"/>
        </w:rPr>
        <w:t xml:space="preserve"> as stipulated in </w:t>
      </w:r>
      <w:hyperlink r:id="rId20" w:history="1">
        <w:r w:rsidRPr="00ED12BB">
          <w:rPr>
            <w:rStyle w:val="Hyperlink"/>
            <w:rFonts w:eastAsia="SimSun"/>
            <w:lang w:eastAsia="en-IE"/>
          </w:rPr>
          <w:t>The Cabinet Handbook</w:t>
        </w:r>
      </w:hyperlink>
      <w:r>
        <w:rPr>
          <w:rStyle w:val="FootnoteReference"/>
          <w:rFonts w:eastAsia="SimSun"/>
          <w:color w:val="0000FF"/>
          <w:u w:val="single"/>
          <w:lang w:eastAsia="en-IE"/>
        </w:rPr>
        <w:footnoteReference w:id="18"/>
      </w:r>
      <w:r>
        <w:rPr>
          <w:rFonts w:eastAsia="SimSun"/>
          <w:lang w:eastAsia="en-IE"/>
        </w:rPr>
        <w:t xml:space="preserve"> </w:t>
      </w:r>
      <w:r w:rsidRPr="00ED12BB">
        <w:rPr>
          <w:rFonts w:eastAsia="SimSun"/>
          <w:lang w:eastAsia="en-IE"/>
        </w:rPr>
        <w:t xml:space="preserve">when there is: </w:t>
      </w:r>
    </w:p>
    <w:p w14:paraId="5A033954" w14:textId="77777777" w:rsidR="00C85970" w:rsidRDefault="00AD4468" w:rsidP="00C85970">
      <w:pPr>
        <w:pStyle w:val="ListBullet"/>
        <w:numPr>
          <w:ilvl w:val="0"/>
          <w:numId w:val="36"/>
        </w:numPr>
        <w:rPr>
          <w:rFonts w:eastAsia="SimSun"/>
          <w:lang w:eastAsia="en-IE"/>
        </w:rPr>
      </w:pPr>
      <w:r w:rsidRPr="00ED12BB">
        <w:rPr>
          <w:rFonts w:eastAsia="SimSun"/>
          <w:lang w:eastAsia="en-IE"/>
        </w:rPr>
        <w:t xml:space="preserve">a change in policy; </w:t>
      </w:r>
    </w:p>
    <w:p w14:paraId="30587FAD" w14:textId="77777777" w:rsidR="00C85970" w:rsidRDefault="00AD4468" w:rsidP="00C85970">
      <w:pPr>
        <w:pStyle w:val="ListBullet"/>
        <w:numPr>
          <w:ilvl w:val="0"/>
          <w:numId w:val="36"/>
        </w:numPr>
        <w:rPr>
          <w:rFonts w:eastAsia="SimSun"/>
          <w:lang w:eastAsia="en-IE"/>
        </w:rPr>
      </w:pPr>
      <w:r w:rsidRPr="00ED12BB">
        <w:rPr>
          <w:rFonts w:eastAsia="SimSun"/>
          <w:lang w:eastAsia="en-IE"/>
        </w:rPr>
        <w:t xml:space="preserve">the introduction, abolition or significant change in an existing scheme; or </w:t>
      </w:r>
    </w:p>
    <w:p w14:paraId="01DE437B" w14:textId="77777777" w:rsidR="00C85970" w:rsidRDefault="00AD4468" w:rsidP="00C85970">
      <w:pPr>
        <w:pStyle w:val="ListBullet"/>
        <w:numPr>
          <w:ilvl w:val="0"/>
          <w:numId w:val="36"/>
        </w:numPr>
        <w:rPr>
          <w:rFonts w:eastAsia="SimSun"/>
          <w:lang w:eastAsia="en-IE"/>
        </w:rPr>
      </w:pPr>
      <w:r w:rsidRPr="00ED12BB">
        <w:rPr>
          <w:rFonts w:eastAsia="SimSun"/>
          <w:lang w:eastAsia="en-IE"/>
        </w:rPr>
        <w:t xml:space="preserve">a decision which impacts on the public at large, or </w:t>
      </w:r>
    </w:p>
    <w:p w14:paraId="5FC102C6" w14:textId="77777777" w:rsidR="00C85970" w:rsidRDefault="00AD4468" w:rsidP="00C85970">
      <w:pPr>
        <w:pStyle w:val="ListBullet"/>
        <w:numPr>
          <w:ilvl w:val="0"/>
          <w:numId w:val="36"/>
        </w:numPr>
        <w:rPr>
          <w:rFonts w:eastAsia="SimSun"/>
          <w:lang w:eastAsia="en-IE"/>
        </w:rPr>
      </w:pPr>
      <w:r w:rsidRPr="00ED12BB">
        <w:rPr>
          <w:rFonts w:eastAsia="SimSun"/>
          <w:lang w:eastAsia="en-IE"/>
        </w:rPr>
        <w:t xml:space="preserve">on a significant subset of that population. </w:t>
      </w:r>
    </w:p>
    <w:p w14:paraId="240B6F41" w14:textId="58DA18D7" w:rsidR="00AD4468" w:rsidRDefault="00AD4468" w:rsidP="002279FC">
      <w:pPr>
        <w:pStyle w:val="ListBullet"/>
        <w:numPr>
          <w:ilvl w:val="0"/>
          <w:numId w:val="0"/>
        </w:numPr>
        <w:rPr>
          <w:rFonts w:eastAsia="SimSun"/>
          <w:lang w:eastAsia="en-IE"/>
        </w:rPr>
      </w:pPr>
      <w:r>
        <w:rPr>
          <w:rFonts w:eastAsia="SimSun"/>
          <w:lang w:eastAsia="en-IE"/>
        </w:rPr>
        <w:t>The requirement for such an assessment for a sche</w:t>
      </w:r>
      <w:r w:rsidR="002279FC">
        <w:rPr>
          <w:rFonts w:eastAsia="SimSun"/>
          <w:lang w:eastAsia="en-IE"/>
        </w:rPr>
        <w:t xml:space="preserve">me of the scale and </w:t>
      </w:r>
      <w:r>
        <w:rPr>
          <w:rFonts w:eastAsia="SimSun"/>
          <w:lang w:eastAsia="en-IE"/>
        </w:rPr>
        <w:t>significance of B</w:t>
      </w:r>
      <w:r w:rsidR="00720584">
        <w:rPr>
          <w:rFonts w:eastAsia="SimSun"/>
          <w:lang w:eastAsia="en-IE"/>
        </w:rPr>
        <w:t xml:space="preserve">usConnects is therefore evident. </w:t>
      </w:r>
    </w:p>
    <w:p w14:paraId="65B7D060" w14:textId="637E931F" w:rsidR="00AD4468" w:rsidRDefault="00AD4468" w:rsidP="00AD4468">
      <w:pPr>
        <w:pStyle w:val="ListBullet"/>
        <w:numPr>
          <w:ilvl w:val="0"/>
          <w:numId w:val="0"/>
        </w:numPr>
        <w:rPr>
          <w:rFonts w:eastAsia="SimSun"/>
          <w:lang w:eastAsia="en-IE"/>
        </w:rPr>
      </w:pPr>
      <w:r>
        <w:rPr>
          <w:rFonts w:eastAsia="SimSun"/>
          <w:lang w:eastAsia="en-IE"/>
        </w:rPr>
        <w:t xml:space="preserve">The </w:t>
      </w:r>
      <w:r w:rsidRPr="008C7218">
        <w:rPr>
          <w:rFonts w:eastAsia="SimSun"/>
          <w:lang w:eastAsia="en-IE"/>
        </w:rPr>
        <w:t>NDA</w:t>
      </w:r>
      <w:r>
        <w:rPr>
          <w:rFonts w:eastAsia="SimSun"/>
          <w:lang w:eastAsia="en-IE"/>
        </w:rPr>
        <w:t xml:space="preserve"> notes that we have yet to see evidence of a BusConnects disability impact assessment</w:t>
      </w:r>
      <w:r w:rsidRPr="007B48F3">
        <w:rPr>
          <w:rFonts w:eastAsia="SimSun"/>
          <w:lang w:eastAsia="en-IE"/>
        </w:rPr>
        <w:t xml:space="preserve"> </w:t>
      </w:r>
      <w:r>
        <w:rPr>
          <w:rFonts w:eastAsia="SimSun"/>
          <w:lang w:eastAsia="en-IE"/>
        </w:rPr>
        <w:t>in the publically available material. If the NTA has not</w:t>
      </w:r>
      <w:r w:rsidR="006352A3">
        <w:rPr>
          <w:rFonts w:eastAsia="SimSun"/>
          <w:lang w:eastAsia="en-IE"/>
        </w:rPr>
        <w:t xml:space="preserve"> yet</w:t>
      </w:r>
      <w:r>
        <w:rPr>
          <w:rFonts w:eastAsia="SimSun"/>
          <w:lang w:eastAsia="en-IE"/>
        </w:rPr>
        <w:t xml:space="preserve"> produced a disability impact assessment, the NDA advises </w:t>
      </w:r>
      <w:r w:rsidR="002279FC">
        <w:rPr>
          <w:rFonts w:eastAsia="SimSun"/>
          <w:lang w:eastAsia="en-IE"/>
        </w:rPr>
        <w:t>the importance of doing so</w:t>
      </w:r>
      <w:r>
        <w:rPr>
          <w:rFonts w:eastAsia="SimSun"/>
          <w:lang w:eastAsia="en-IE"/>
        </w:rPr>
        <w:t xml:space="preserve"> before progressing any further in the BusConnects programme. We request that the </w:t>
      </w:r>
      <w:r w:rsidR="003B1116">
        <w:rPr>
          <w:rFonts w:eastAsia="SimSun"/>
          <w:lang w:eastAsia="en-IE"/>
        </w:rPr>
        <w:t xml:space="preserve">disability impact assessment </w:t>
      </w:r>
      <w:r w:rsidR="00C26D1C">
        <w:rPr>
          <w:rFonts w:eastAsia="SimSun"/>
          <w:lang w:eastAsia="en-IE"/>
        </w:rPr>
        <w:t>on the BusConnects programme</w:t>
      </w:r>
      <w:r>
        <w:rPr>
          <w:rFonts w:eastAsia="SimSun"/>
          <w:lang w:eastAsia="en-IE"/>
        </w:rPr>
        <w:t xml:space="preserve"> is promptly made publically available</w:t>
      </w:r>
      <w:r w:rsidRPr="008C7218">
        <w:rPr>
          <w:rFonts w:eastAsia="SimSun"/>
          <w:lang w:eastAsia="en-IE"/>
        </w:rPr>
        <w:t>.</w:t>
      </w:r>
      <w:r>
        <w:rPr>
          <w:rFonts w:eastAsia="SimSun"/>
          <w:lang w:eastAsia="en-IE"/>
        </w:rPr>
        <w:t xml:space="preserve"> </w:t>
      </w:r>
    </w:p>
    <w:p w14:paraId="57C1E2D1" w14:textId="7955FD7A" w:rsidR="00AD4468" w:rsidRDefault="00AD4468" w:rsidP="00AD4468">
      <w:pPr>
        <w:pStyle w:val="ListBullet"/>
        <w:numPr>
          <w:ilvl w:val="0"/>
          <w:numId w:val="0"/>
        </w:numPr>
        <w:rPr>
          <w:rFonts w:eastAsia="SimSun"/>
          <w:lang w:eastAsia="en-IE"/>
        </w:rPr>
      </w:pPr>
      <w:r>
        <w:rPr>
          <w:rFonts w:eastAsia="SimSun"/>
          <w:lang w:eastAsia="en-IE"/>
        </w:rPr>
        <w:t>The Department for Justice and Equality provide</w:t>
      </w:r>
      <w:r w:rsidR="002279FC">
        <w:rPr>
          <w:rFonts w:eastAsia="SimSun"/>
          <w:lang w:eastAsia="en-IE"/>
        </w:rPr>
        <w:t>s</w:t>
      </w:r>
      <w:r>
        <w:rPr>
          <w:rFonts w:eastAsia="SimSun"/>
          <w:lang w:eastAsia="en-IE"/>
        </w:rPr>
        <w:t xml:space="preserve"> </w:t>
      </w:r>
      <w:hyperlink r:id="rId21" w:history="1">
        <w:r w:rsidRPr="002B6D25">
          <w:rPr>
            <w:rStyle w:val="Hyperlink"/>
            <w:rFonts w:eastAsia="SimSun"/>
            <w:lang w:eastAsia="en-IE"/>
          </w:rPr>
          <w:t>Guidelines on How to Conduct a Disability Impact Assessment</w:t>
        </w:r>
      </w:hyperlink>
      <w:r>
        <w:rPr>
          <w:rStyle w:val="FootnoteReference"/>
          <w:rFonts w:eastAsia="SimSun"/>
          <w:lang w:eastAsia="en-IE"/>
        </w:rPr>
        <w:footnoteReference w:id="19"/>
      </w:r>
      <w:r>
        <w:rPr>
          <w:rFonts w:eastAsia="SimSun"/>
          <w:lang w:eastAsia="en-IE"/>
        </w:rPr>
        <w:t xml:space="preserve"> as outlined below:</w:t>
      </w:r>
    </w:p>
    <w:p w14:paraId="44275400" w14:textId="033D8971" w:rsidR="00AD4468" w:rsidRDefault="00AD4468" w:rsidP="00727A53">
      <w:pPr>
        <w:pStyle w:val="ListBullet"/>
        <w:numPr>
          <w:ilvl w:val="0"/>
          <w:numId w:val="34"/>
        </w:numPr>
        <w:rPr>
          <w:rFonts w:eastAsia="SimSun"/>
          <w:lang w:eastAsia="en-IE"/>
        </w:rPr>
      </w:pPr>
      <w:r w:rsidRPr="00ED12BB">
        <w:rPr>
          <w:rFonts w:eastAsia="SimSun"/>
          <w:lang w:eastAsia="en-IE"/>
        </w:rPr>
        <w:t>The</w:t>
      </w:r>
      <w:r>
        <w:rPr>
          <w:rFonts w:eastAsia="SimSun"/>
          <w:lang w:eastAsia="en-IE"/>
        </w:rPr>
        <w:t xml:space="preserve"> disability impact assessment</w:t>
      </w:r>
      <w:r w:rsidRPr="00ED12BB">
        <w:rPr>
          <w:rFonts w:eastAsia="SimSun"/>
          <w:lang w:eastAsia="en-IE"/>
        </w:rPr>
        <w:t xml:space="preserve"> </w:t>
      </w:r>
      <w:r w:rsidRPr="00C02529">
        <w:rPr>
          <w:rFonts w:eastAsia="SimSun"/>
          <w:lang w:eastAsia="en-IE"/>
        </w:rPr>
        <w:t>involves a comprehensive examination of how any proposed policy, legislation, programme or service impacts on a person with a disability. The analysis consider</w:t>
      </w:r>
      <w:r>
        <w:rPr>
          <w:rFonts w:eastAsia="SimSun"/>
          <w:lang w:eastAsia="en-IE"/>
        </w:rPr>
        <w:t>s</w:t>
      </w:r>
      <w:r w:rsidRPr="00C02529">
        <w:rPr>
          <w:rFonts w:eastAsia="SimSun"/>
          <w:lang w:eastAsia="en-IE"/>
        </w:rPr>
        <w:t xml:space="preserve"> all potential impacts, both positive and negative</w:t>
      </w:r>
      <w:r>
        <w:rPr>
          <w:rFonts w:eastAsia="SimSun"/>
          <w:lang w:eastAsia="en-IE"/>
        </w:rPr>
        <w:t xml:space="preserve">. </w:t>
      </w:r>
      <w:r w:rsidRPr="00532DF2">
        <w:rPr>
          <w:rFonts w:eastAsia="SimSun"/>
          <w:b/>
          <w:lang w:eastAsia="en-IE"/>
        </w:rPr>
        <w:t>The disability impact assessment starts as early as possible in the process of developing a proposal, and is used as the basis for consultation. This is so that fundamental issues are identified early</w:t>
      </w:r>
      <w:r w:rsidR="002279FC" w:rsidRPr="00532DF2">
        <w:rPr>
          <w:rFonts w:eastAsia="SimSun"/>
          <w:b/>
          <w:lang w:eastAsia="en-IE"/>
        </w:rPr>
        <w:t>,</w:t>
      </w:r>
      <w:r w:rsidRPr="00532DF2">
        <w:rPr>
          <w:rFonts w:eastAsia="SimSun"/>
          <w:b/>
          <w:lang w:eastAsia="en-IE"/>
        </w:rPr>
        <w:t xml:space="preserve"> therefore informing later stages of the process.</w:t>
      </w:r>
    </w:p>
    <w:p w14:paraId="33CE694E" w14:textId="77777777" w:rsidR="00AD4468" w:rsidRDefault="00AD4468" w:rsidP="00727A53">
      <w:pPr>
        <w:pStyle w:val="ListBullet"/>
        <w:numPr>
          <w:ilvl w:val="0"/>
          <w:numId w:val="34"/>
        </w:numPr>
        <w:rPr>
          <w:rFonts w:eastAsia="SimSun"/>
          <w:lang w:eastAsia="en-IE"/>
        </w:rPr>
      </w:pPr>
      <w:r>
        <w:rPr>
          <w:rFonts w:eastAsia="SimSun"/>
          <w:lang w:eastAsia="en-IE"/>
        </w:rPr>
        <w:t xml:space="preserve">The </w:t>
      </w:r>
      <w:r w:rsidRPr="00EF2C37">
        <w:rPr>
          <w:rFonts w:eastAsia="SimSun"/>
          <w:b/>
          <w:lang w:eastAsia="en-IE"/>
        </w:rPr>
        <w:t>disability impact assessment</w:t>
      </w:r>
      <w:r>
        <w:rPr>
          <w:rFonts w:eastAsia="SimSun"/>
          <w:b/>
          <w:lang w:eastAsia="en-IE"/>
        </w:rPr>
        <w:t xml:space="preserve"> </w:t>
      </w:r>
      <w:r w:rsidRPr="00EF2C37">
        <w:rPr>
          <w:rFonts w:eastAsia="SimSun"/>
          <w:b/>
          <w:lang w:eastAsia="en-IE"/>
        </w:rPr>
        <w:t>for the BusConnects programme</w:t>
      </w:r>
      <w:r>
        <w:rPr>
          <w:rFonts w:eastAsia="SimSun"/>
          <w:lang w:eastAsia="en-IE"/>
        </w:rPr>
        <w:t xml:space="preserve"> should demonstrate </w:t>
      </w:r>
      <w:r w:rsidRPr="00C02529">
        <w:rPr>
          <w:rFonts w:eastAsia="SimSun"/>
          <w:lang w:eastAsia="en-IE"/>
        </w:rPr>
        <w:t xml:space="preserve">that decisions are </w:t>
      </w:r>
      <w:r>
        <w:rPr>
          <w:rFonts w:eastAsia="SimSun"/>
          <w:lang w:eastAsia="en-IE"/>
        </w:rPr>
        <w:t>made</w:t>
      </w:r>
      <w:r w:rsidRPr="00C02529">
        <w:rPr>
          <w:rFonts w:eastAsia="SimSun"/>
          <w:lang w:eastAsia="en-IE"/>
        </w:rPr>
        <w:t xml:space="preserve"> with full awareness of the impact of those decisions on persons with disabilities.</w:t>
      </w:r>
      <w:r>
        <w:rPr>
          <w:rFonts w:eastAsia="SimSun"/>
          <w:lang w:eastAsia="en-IE"/>
        </w:rPr>
        <w:t xml:space="preserve"> A</w:t>
      </w:r>
      <w:r w:rsidRPr="00C02529">
        <w:rPr>
          <w:rFonts w:eastAsia="SimSun"/>
          <w:lang w:eastAsia="en-IE"/>
        </w:rPr>
        <w:t xml:space="preserve"> disabilit</w:t>
      </w:r>
      <w:r>
        <w:rPr>
          <w:rFonts w:eastAsia="SimSun"/>
          <w:lang w:eastAsia="en-IE"/>
        </w:rPr>
        <w:t xml:space="preserve">y impact assessment provides the </w:t>
      </w:r>
      <w:r w:rsidRPr="00C02529">
        <w:rPr>
          <w:rFonts w:eastAsia="SimSun"/>
          <w:lang w:eastAsia="en-IE"/>
        </w:rPr>
        <w:t>opportunity, where needed, for the redesign</w:t>
      </w:r>
      <w:r>
        <w:rPr>
          <w:rFonts w:eastAsia="SimSun"/>
          <w:lang w:eastAsia="en-IE"/>
        </w:rPr>
        <w:t xml:space="preserve"> and delivery of the</w:t>
      </w:r>
      <w:r w:rsidRPr="00C02529">
        <w:rPr>
          <w:rFonts w:eastAsia="SimSun"/>
          <w:lang w:eastAsia="en-IE"/>
        </w:rPr>
        <w:t xml:space="preserve"> </w:t>
      </w:r>
      <w:r>
        <w:rPr>
          <w:rFonts w:eastAsia="SimSun"/>
          <w:lang w:eastAsia="en-IE"/>
        </w:rPr>
        <w:t>Core Bus Corridors</w:t>
      </w:r>
      <w:r w:rsidRPr="00C02529">
        <w:rPr>
          <w:rFonts w:eastAsia="SimSun"/>
          <w:lang w:eastAsia="en-IE"/>
        </w:rPr>
        <w:t xml:space="preserve">, </w:t>
      </w:r>
      <w:r>
        <w:rPr>
          <w:rFonts w:eastAsia="SimSun"/>
          <w:lang w:eastAsia="en-IE"/>
        </w:rPr>
        <w:t>to</w:t>
      </w:r>
      <w:r w:rsidRPr="00C02529">
        <w:rPr>
          <w:rFonts w:eastAsia="SimSun"/>
          <w:lang w:eastAsia="en-IE"/>
        </w:rPr>
        <w:t xml:space="preserve"> better me</w:t>
      </w:r>
      <w:r>
        <w:rPr>
          <w:rFonts w:eastAsia="SimSun"/>
          <w:lang w:eastAsia="en-IE"/>
        </w:rPr>
        <w:t>et the needs of persons with disabilities</w:t>
      </w:r>
      <w:r w:rsidRPr="00C02529">
        <w:rPr>
          <w:rFonts w:eastAsia="SimSun"/>
          <w:lang w:eastAsia="en-IE"/>
        </w:rPr>
        <w:t>.</w:t>
      </w:r>
    </w:p>
    <w:p w14:paraId="10AA9EFE" w14:textId="77777777" w:rsidR="00AD4468" w:rsidRDefault="00AD4468" w:rsidP="00727A53">
      <w:pPr>
        <w:pStyle w:val="ListBullet"/>
        <w:numPr>
          <w:ilvl w:val="0"/>
          <w:numId w:val="34"/>
        </w:numPr>
        <w:rPr>
          <w:rFonts w:eastAsia="SimSun"/>
          <w:lang w:eastAsia="en-IE"/>
        </w:rPr>
      </w:pPr>
      <w:r w:rsidRPr="00C02529">
        <w:rPr>
          <w:rFonts w:eastAsia="SimSun"/>
          <w:lang w:eastAsia="en-IE"/>
        </w:rPr>
        <w:t>The disability impact assessment document is a living document subject to change</w:t>
      </w:r>
      <w:r>
        <w:rPr>
          <w:rFonts w:eastAsia="SimSun"/>
          <w:lang w:eastAsia="en-IE"/>
        </w:rPr>
        <w:t xml:space="preserve">. As the BusConnects programme progresses and further </w:t>
      </w:r>
      <w:r w:rsidRPr="00C02529">
        <w:rPr>
          <w:rFonts w:eastAsia="SimSun"/>
          <w:lang w:eastAsia="en-IE"/>
        </w:rPr>
        <w:t xml:space="preserve">significant </w:t>
      </w:r>
      <w:r>
        <w:rPr>
          <w:rFonts w:eastAsia="SimSun"/>
          <w:lang w:eastAsia="en-IE"/>
        </w:rPr>
        <w:t>issues for persons with disabilities may become apparent</w:t>
      </w:r>
      <w:r w:rsidRPr="00532DF2">
        <w:rPr>
          <w:rFonts w:eastAsia="SimSun"/>
          <w:b/>
          <w:lang w:eastAsia="en-IE"/>
        </w:rPr>
        <w:t>, the draft is updated as often as required</w:t>
      </w:r>
      <w:r w:rsidRPr="00C02529">
        <w:rPr>
          <w:rFonts w:eastAsia="SimSun"/>
          <w:lang w:eastAsia="en-IE"/>
        </w:rPr>
        <w:t xml:space="preserve"> before </w:t>
      </w:r>
      <w:r>
        <w:rPr>
          <w:rFonts w:eastAsia="SimSun"/>
          <w:lang w:eastAsia="en-IE"/>
        </w:rPr>
        <w:t>a final version is complete and submitted to Government.</w:t>
      </w:r>
      <w:r w:rsidRPr="00C02529">
        <w:rPr>
          <w:rFonts w:eastAsia="SimSun"/>
          <w:lang w:eastAsia="en-IE"/>
        </w:rPr>
        <w:t xml:space="preserve"> </w:t>
      </w:r>
    </w:p>
    <w:p w14:paraId="7CA23EF3" w14:textId="5A22AC30" w:rsidR="00AD4468" w:rsidRDefault="00AD4468" w:rsidP="00727A53">
      <w:pPr>
        <w:pStyle w:val="ListBullet"/>
        <w:numPr>
          <w:ilvl w:val="0"/>
          <w:numId w:val="34"/>
        </w:numPr>
        <w:rPr>
          <w:rFonts w:eastAsia="SimSun"/>
          <w:lang w:eastAsia="en-IE"/>
        </w:rPr>
      </w:pPr>
      <w:r w:rsidRPr="00C02529">
        <w:rPr>
          <w:rFonts w:eastAsia="SimSun"/>
          <w:lang w:eastAsia="en-IE"/>
        </w:rPr>
        <w:t xml:space="preserve">The disability impact assessment </w:t>
      </w:r>
      <w:r w:rsidRPr="00D06B90">
        <w:rPr>
          <w:rFonts w:eastAsia="SimSun"/>
          <w:lang w:eastAsia="en-IE"/>
        </w:rPr>
        <w:t xml:space="preserve">requires </w:t>
      </w:r>
      <w:r>
        <w:rPr>
          <w:rFonts w:eastAsia="SimSun"/>
          <w:lang w:eastAsia="en-IE"/>
        </w:rPr>
        <w:t>the NTA to provide answers to</w:t>
      </w:r>
      <w:r w:rsidRPr="00D06B90">
        <w:rPr>
          <w:rFonts w:eastAsia="SimSun"/>
          <w:lang w:eastAsia="en-IE"/>
        </w:rPr>
        <w:t xml:space="preserve"> a set of five essential questions regarding the BusConnects p</w:t>
      </w:r>
      <w:r w:rsidR="003B1116">
        <w:rPr>
          <w:rFonts w:eastAsia="SimSun"/>
          <w:lang w:eastAsia="en-IE"/>
        </w:rPr>
        <w:t>rogramme</w:t>
      </w:r>
      <w:r w:rsidRPr="00D06B90">
        <w:rPr>
          <w:rFonts w:eastAsia="SimSun"/>
          <w:lang w:eastAsia="en-IE"/>
        </w:rPr>
        <w:t xml:space="preserve"> </w:t>
      </w:r>
      <w:r w:rsidRPr="00C02529">
        <w:rPr>
          <w:rFonts w:eastAsia="SimSun"/>
          <w:lang w:eastAsia="en-IE"/>
        </w:rPr>
        <w:t>as follows:</w:t>
      </w:r>
    </w:p>
    <w:p w14:paraId="7755F7D2" w14:textId="77777777" w:rsidR="00AD4468" w:rsidRPr="00EF2C37" w:rsidRDefault="00AD4468" w:rsidP="00727A53">
      <w:pPr>
        <w:pStyle w:val="ListBullet"/>
        <w:numPr>
          <w:ilvl w:val="1"/>
          <w:numId w:val="28"/>
        </w:numPr>
        <w:rPr>
          <w:bCs/>
          <w:szCs w:val="26"/>
        </w:rPr>
      </w:pPr>
      <w:r w:rsidRPr="00EF2C37">
        <w:rPr>
          <w:bCs/>
          <w:szCs w:val="26"/>
        </w:rPr>
        <w:t>Step 1: Will the proposed decision have an impact on people with disabilities? Yes or No?</w:t>
      </w:r>
    </w:p>
    <w:p w14:paraId="381123C2" w14:textId="77777777" w:rsidR="00AD4468" w:rsidRPr="00EF2C37" w:rsidRDefault="00AD4468" w:rsidP="00727A53">
      <w:pPr>
        <w:pStyle w:val="ListBullet"/>
        <w:numPr>
          <w:ilvl w:val="1"/>
          <w:numId w:val="28"/>
        </w:numPr>
        <w:rPr>
          <w:bCs/>
          <w:color w:val="000000"/>
          <w:szCs w:val="26"/>
        </w:rPr>
      </w:pPr>
      <w:r w:rsidRPr="00EF2C37">
        <w:rPr>
          <w:bCs/>
          <w:color w:val="000000"/>
          <w:szCs w:val="26"/>
        </w:rPr>
        <w:t>Step 2: Outline the evidence on which your initial assessment of potential impact is based</w:t>
      </w:r>
      <w:r>
        <w:rPr>
          <w:bCs/>
          <w:color w:val="000000"/>
          <w:szCs w:val="26"/>
        </w:rPr>
        <w:t>;</w:t>
      </w:r>
    </w:p>
    <w:p w14:paraId="049595AF" w14:textId="77777777" w:rsidR="00AD4468" w:rsidRPr="00EF2C37" w:rsidRDefault="00AD4468" w:rsidP="00727A53">
      <w:pPr>
        <w:pStyle w:val="ListBullet"/>
        <w:numPr>
          <w:ilvl w:val="1"/>
          <w:numId w:val="28"/>
        </w:numPr>
        <w:rPr>
          <w:bCs/>
          <w:color w:val="000000"/>
          <w:szCs w:val="26"/>
        </w:rPr>
      </w:pPr>
      <w:r w:rsidRPr="00EF2C37">
        <w:rPr>
          <w:bCs/>
          <w:color w:val="000000"/>
          <w:szCs w:val="26"/>
        </w:rPr>
        <w:t>Step 3: If you consider that the decision may have an impact for people with disabilities, outline what that impact will be</w:t>
      </w:r>
      <w:r>
        <w:rPr>
          <w:bCs/>
          <w:color w:val="000000"/>
          <w:szCs w:val="26"/>
        </w:rPr>
        <w:t>;</w:t>
      </w:r>
    </w:p>
    <w:p w14:paraId="799C03A2" w14:textId="77777777" w:rsidR="00AD4468" w:rsidRPr="00EF2C37" w:rsidRDefault="00AD4468" w:rsidP="00727A53">
      <w:pPr>
        <w:pStyle w:val="ListBullet"/>
        <w:numPr>
          <w:ilvl w:val="1"/>
          <w:numId w:val="28"/>
        </w:numPr>
        <w:rPr>
          <w:bCs/>
          <w:color w:val="000000"/>
          <w:szCs w:val="26"/>
        </w:rPr>
      </w:pPr>
      <w:r w:rsidRPr="00EF2C37">
        <w:rPr>
          <w:bCs/>
          <w:color w:val="000000"/>
          <w:szCs w:val="26"/>
        </w:rPr>
        <w:t>Step 4: If</w:t>
      </w:r>
      <w:r>
        <w:rPr>
          <w:bCs/>
          <w:color w:val="000000"/>
          <w:szCs w:val="26"/>
        </w:rPr>
        <w:t xml:space="preserve"> the potential impact for persons</w:t>
      </w:r>
      <w:r w:rsidRPr="00EF2C37">
        <w:rPr>
          <w:bCs/>
          <w:color w:val="000000"/>
          <w:szCs w:val="26"/>
        </w:rPr>
        <w:t xml:space="preserve"> with disabilities is negative, outline how you intend to alleviate that negative impact</w:t>
      </w:r>
      <w:r>
        <w:rPr>
          <w:bCs/>
          <w:color w:val="000000"/>
          <w:szCs w:val="26"/>
        </w:rPr>
        <w:t>;</w:t>
      </w:r>
    </w:p>
    <w:p w14:paraId="71444C5E" w14:textId="77777777" w:rsidR="00AD4468" w:rsidRPr="00C15F51" w:rsidRDefault="00AD4468" w:rsidP="00727A53">
      <w:pPr>
        <w:pStyle w:val="ListBullet"/>
        <w:numPr>
          <w:ilvl w:val="1"/>
          <w:numId w:val="28"/>
        </w:numPr>
        <w:rPr>
          <w:rFonts w:eastAsia="SimSun"/>
          <w:szCs w:val="26"/>
          <w:lang w:eastAsia="en-IE"/>
        </w:rPr>
      </w:pPr>
      <w:r w:rsidRPr="00EF2C37">
        <w:rPr>
          <w:bCs/>
          <w:color w:val="000000"/>
          <w:szCs w:val="26"/>
        </w:rPr>
        <w:t xml:space="preserve">Step 5: Outline any action being taken to monitor impact for </w:t>
      </w:r>
      <w:r>
        <w:rPr>
          <w:bCs/>
          <w:color w:val="000000"/>
          <w:szCs w:val="26"/>
        </w:rPr>
        <w:t>persons</w:t>
      </w:r>
      <w:r w:rsidRPr="00EF2C37">
        <w:rPr>
          <w:bCs/>
          <w:color w:val="000000"/>
          <w:szCs w:val="26"/>
        </w:rPr>
        <w:t xml:space="preserve"> with disabilities over time.</w:t>
      </w:r>
    </w:p>
    <w:p w14:paraId="75637534" w14:textId="548BFA15" w:rsidR="00E70651" w:rsidRDefault="00E70651" w:rsidP="00E70651">
      <w:pPr>
        <w:pStyle w:val="Heading1"/>
      </w:pPr>
      <w:r>
        <w:t>Conclusion</w:t>
      </w:r>
    </w:p>
    <w:p w14:paraId="790ECCAA" w14:textId="31A97565" w:rsidR="00127ECC" w:rsidRDefault="00127ECC" w:rsidP="00127ECC">
      <w:pPr>
        <w:rPr>
          <w:rFonts w:eastAsia="SimSun"/>
          <w:lang w:eastAsia="en-IE"/>
        </w:rPr>
      </w:pPr>
      <w:r>
        <w:rPr>
          <w:rFonts w:eastAsia="SimSun"/>
          <w:lang w:eastAsia="en-IE"/>
        </w:rPr>
        <w:t>The NDA has</w:t>
      </w:r>
      <w:r w:rsidR="008C7218">
        <w:rPr>
          <w:rFonts w:eastAsia="SimSun"/>
          <w:lang w:eastAsia="en-IE"/>
        </w:rPr>
        <w:t xml:space="preserve"> </w:t>
      </w:r>
      <w:r w:rsidR="00CE6983">
        <w:rPr>
          <w:rFonts w:eastAsia="SimSun"/>
          <w:lang w:eastAsia="en-IE"/>
        </w:rPr>
        <w:t xml:space="preserve">previously </w:t>
      </w:r>
      <w:r w:rsidR="008C7218">
        <w:rPr>
          <w:rFonts w:eastAsia="SimSun"/>
          <w:lang w:eastAsia="en-IE"/>
        </w:rPr>
        <w:t xml:space="preserve">provided </w:t>
      </w:r>
      <w:r w:rsidR="00CE6983">
        <w:rPr>
          <w:rFonts w:eastAsia="SimSun"/>
          <w:lang w:eastAsia="en-IE"/>
        </w:rPr>
        <w:t xml:space="preserve">extensive </w:t>
      </w:r>
      <w:r w:rsidR="008C7218">
        <w:rPr>
          <w:rFonts w:eastAsia="SimSun"/>
          <w:lang w:eastAsia="en-IE"/>
        </w:rPr>
        <w:t xml:space="preserve">guidance </w:t>
      </w:r>
      <w:r>
        <w:rPr>
          <w:rFonts w:eastAsia="SimSun"/>
          <w:lang w:eastAsia="en-IE"/>
        </w:rPr>
        <w:t xml:space="preserve">and advice to the NTA on developing and implementing integrated universally designed public transport services that </w:t>
      </w:r>
      <w:r>
        <w:rPr>
          <w:lang w:val="en"/>
        </w:rPr>
        <w:t xml:space="preserve">meets the needs of all users, especially persons with disabilities and older people. However, </w:t>
      </w:r>
      <w:r w:rsidR="00020657">
        <w:rPr>
          <w:rFonts w:eastAsia="SimSun"/>
          <w:lang w:eastAsia="en-IE"/>
        </w:rPr>
        <w:t>the Clongriffin to City Centre bus corridor</w:t>
      </w:r>
      <w:r w:rsidR="006352A3">
        <w:rPr>
          <w:rFonts w:eastAsia="SimSun"/>
          <w:lang w:eastAsia="en-IE"/>
        </w:rPr>
        <w:t xml:space="preserve"> plans do not adequately </w:t>
      </w:r>
      <w:r w:rsidR="00CE6983">
        <w:rPr>
          <w:rFonts w:eastAsia="SimSun"/>
          <w:lang w:eastAsia="en-IE"/>
        </w:rPr>
        <w:t>demonstrate</w:t>
      </w:r>
      <w:r>
        <w:rPr>
          <w:rFonts w:eastAsia="SimSun"/>
          <w:lang w:eastAsia="en-IE"/>
        </w:rPr>
        <w:t xml:space="preserve"> the implementation of a universally designed approach to </w:t>
      </w:r>
      <w:r w:rsidR="00CE6983">
        <w:rPr>
          <w:rFonts w:eastAsia="SimSun"/>
          <w:lang w:eastAsia="en-IE"/>
        </w:rPr>
        <w:t xml:space="preserve">design or delivery of </w:t>
      </w:r>
      <w:r w:rsidR="006352A3">
        <w:rPr>
          <w:rFonts w:eastAsia="SimSun"/>
          <w:lang w:eastAsia="en-IE"/>
        </w:rPr>
        <w:t xml:space="preserve">this BusConnects corridor or of the BusConnects Programme as a whole. </w:t>
      </w:r>
      <w:r>
        <w:rPr>
          <w:rFonts w:eastAsia="SimSun"/>
          <w:lang w:eastAsia="en-IE"/>
        </w:rPr>
        <w:t xml:space="preserve"> </w:t>
      </w:r>
    </w:p>
    <w:p w14:paraId="4117E282" w14:textId="40BF2431" w:rsidR="00A371C6" w:rsidRPr="00127ECC" w:rsidRDefault="006352A3" w:rsidP="00A371C6">
      <w:pPr>
        <w:rPr>
          <w:lang w:val="en"/>
        </w:rPr>
      </w:pPr>
      <w:r>
        <w:rPr>
          <w:lang w:val="en"/>
        </w:rPr>
        <w:t>We would again stress that i</w:t>
      </w:r>
      <w:r w:rsidR="00AD4468" w:rsidRPr="00AD4468">
        <w:rPr>
          <w:lang w:val="en"/>
        </w:rPr>
        <w:t xml:space="preserve">n considering </w:t>
      </w:r>
      <w:r w:rsidR="009045BB">
        <w:rPr>
          <w:lang w:val="en"/>
        </w:rPr>
        <w:t xml:space="preserve">the </w:t>
      </w:r>
      <w:r w:rsidR="003B1116">
        <w:rPr>
          <w:lang w:val="en"/>
        </w:rPr>
        <w:t>BusConnects programme</w:t>
      </w:r>
      <w:r w:rsidR="00AD4468" w:rsidRPr="00AD4468">
        <w:rPr>
          <w:lang w:val="en"/>
        </w:rPr>
        <w:t xml:space="preserve"> it is </w:t>
      </w:r>
      <w:r w:rsidR="00AD4468">
        <w:rPr>
          <w:lang w:val="en"/>
        </w:rPr>
        <w:t xml:space="preserve">important </w:t>
      </w:r>
      <w:r w:rsidR="005B69B9">
        <w:rPr>
          <w:lang w:val="en"/>
        </w:rPr>
        <w:t>that</w:t>
      </w:r>
      <w:r w:rsidR="009045BB">
        <w:rPr>
          <w:lang w:val="en"/>
        </w:rPr>
        <w:t xml:space="preserve"> a</w:t>
      </w:r>
      <w:r w:rsidR="00AD4468">
        <w:rPr>
          <w:lang w:val="en"/>
        </w:rPr>
        <w:t xml:space="preserve"> disability impact a</w:t>
      </w:r>
      <w:r w:rsidR="009045BB">
        <w:rPr>
          <w:lang w:val="en"/>
        </w:rPr>
        <w:t>ssessment</w:t>
      </w:r>
      <w:r w:rsidR="005B69B9">
        <w:rPr>
          <w:lang w:val="en"/>
        </w:rPr>
        <w:t xml:space="preserve"> is carried out prior to further works</w:t>
      </w:r>
      <w:r w:rsidR="009045BB">
        <w:rPr>
          <w:lang w:val="en"/>
        </w:rPr>
        <w:t>. This</w:t>
      </w:r>
      <w:r w:rsidR="00AD4468" w:rsidRPr="00AD4468">
        <w:rPr>
          <w:lang w:val="en"/>
        </w:rPr>
        <w:t xml:space="preserve"> disability impact </w:t>
      </w:r>
      <w:r w:rsidR="00AD4468">
        <w:rPr>
          <w:lang w:val="en"/>
        </w:rPr>
        <w:t xml:space="preserve">assessment helps to </w:t>
      </w:r>
      <w:r w:rsidR="00B825BC">
        <w:rPr>
          <w:lang w:val="en"/>
        </w:rPr>
        <w:t>ensure</w:t>
      </w:r>
      <w:r w:rsidR="00AD4468" w:rsidRPr="00AD4468">
        <w:rPr>
          <w:lang w:val="en"/>
        </w:rPr>
        <w:t xml:space="preserve"> full a</w:t>
      </w:r>
      <w:r w:rsidR="00AD4468">
        <w:rPr>
          <w:lang w:val="en"/>
        </w:rPr>
        <w:t xml:space="preserve">wareness of the impact </w:t>
      </w:r>
      <w:r w:rsidR="00461962">
        <w:rPr>
          <w:lang w:val="en"/>
        </w:rPr>
        <w:t xml:space="preserve">the proposals have, </w:t>
      </w:r>
      <w:r w:rsidR="00B825BC">
        <w:rPr>
          <w:lang w:val="en"/>
        </w:rPr>
        <w:t>and identifies any negative consequence</w:t>
      </w:r>
      <w:r w:rsidR="00461962">
        <w:rPr>
          <w:lang w:val="en"/>
        </w:rPr>
        <w:t xml:space="preserve">s </w:t>
      </w:r>
      <w:r w:rsidR="00B825BC">
        <w:rPr>
          <w:lang w:val="en"/>
        </w:rPr>
        <w:t>to</w:t>
      </w:r>
      <w:r w:rsidR="00461962">
        <w:rPr>
          <w:lang w:val="en"/>
        </w:rPr>
        <w:t>,</w:t>
      </w:r>
      <w:r w:rsidR="00B825BC">
        <w:rPr>
          <w:lang w:val="en"/>
        </w:rPr>
        <w:t xml:space="preserve"> persons with disabilities. The disability impact assessment outlines</w:t>
      </w:r>
      <w:r w:rsidR="00461962">
        <w:rPr>
          <w:lang w:val="en"/>
        </w:rPr>
        <w:t xml:space="preserve"> the</w:t>
      </w:r>
      <w:r w:rsidR="00B825BC">
        <w:rPr>
          <w:lang w:val="en"/>
        </w:rPr>
        <w:t xml:space="preserve"> ways in which</w:t>
      </w:r>
      <w:r w:rsidR="00051F89">
        <w:rPr>
          <w:lang w:val="en"/>
        </w:rPr>
        <w:t xml:space="preserve"> </w:t>
      </w:r>
      <w:r w:rsidR="00461962">
        <w:rPr>
          <w:lang w:val="en"/>
        </w:rPr>
        <w:t xml:space="preserve">the </w:t>
      </w:r>
      <w:r w:rsidR="00B825BC">
        <w:rPr>
          <w:lang w:val="en"/>
        </w:rPr>
        <w:t xml:space="preserve">issues </w:t>
      </w:r>
      <w:r w:rsidR="00051F89">
        <w:rPr>
          <w:lang w:val="en"/>
        </w:rPr>
        <w:t xml:space="preserve">identified as </w:t>
      </w:r>
      <w:r w:rsidR="00B825BC">
        <w:rPr>
          <w:lang w:val="en"/>
        </w:rPr>
        <w:t>negatively impact</w:t>
      </w:r>
      <w:r w:rsidR="00051F89">
        <w:rPr>
          <w:lang w:val="en"/>
        </w:rPr>
        <w:t>ing</w:t>
      </w:r>
      <w:r w:rsidR="00B825BC">
        <w:rPr>
          <w:lang w:val="en"/>
        </w:rPr>
        <w:t xml:space="preserve"> persons with disabilities</w:t>
      </w:r>
      <w:r w:rsidR="00051F89">
        <w:rPr>
          <w:lang w:val="en"/>
        </w:rPr>
        <w:t xml:space="preserve"> are addressed</w:t>
      </w:r>
      <w:r w:rsidR="00AD4468" w:rsidRPr="00AD4468">
        <w:rPr>
          <w:lang w:val="en"/>
        </w:rPr>
        <w:t xml:space="preserve">. </w:t>
      </w:r>
      <w:r w:rsidR="00B825BC">
        <w:rPr>
          <w:lang w:val="en"/>
        </w:rPr>
        <w:t>We advise that the NTA make</w:t>
      </w:r>
      <w:r w:rsidR="002279FC">
        <w:rPr>
          <w:lang w:val="en"/>
        </w:rPr>
        <w:t>s</w:t>
      </w:r>
      <w:r w:rsidR="00B825BC">
        <w:rPr>
          <w:lang w:val="en"/>
        </w:rPr>
        <w:t xml:space="preserve"> a disability impact assessment of the </w:t>
      </w:r>
      <w:r w:rsidR="00C26D1C">
        <w:rPr>
          <w:lang w:val="en"/>
        </w:rPr>
        <w:t>BusConnects programme</w:t>
      </w:r>
      <w:r w:rsidR="00B825BC">
        <w:rPr>
          <w:lang w:val="en"/>
        </w:rPr>
        <w:t xml:space="preserve"> publically available. In th</w:t>
      </w:r>
      <w:r w:rsidR="00461962">
        <w:rPr>
          <w:lang w:val="en"/>
        </w:rPr>
        <w:t>e</w:t>
      </w:r>
      <w:r w:rsidR="00B825BC">
        <w:rPr>
          <w:lang w:val="en"/>
        </w:rPr>
        <w:t xml:space="preserve"> event </w:t>
      </w:r>
      <w:r w:rsidR="00051F89">
        <w:rPr>
          <w:lang w:val="en"/>
        </w:rPr>
        <w:t xml:space="preserve">that </w:t>
      </w:r>
      <w:r w:rsidR="00B825BC">
        <w:rPr>
          <w:lang w:val="en"/>
        </w:rPr>
        <w:t>a disability impact assessment has not been developed</w:t>
      </w:r>
      <w:r w:rsidR="00051F89">
        <w:rPr>
          <w:lang w:val="en"/>
        </w:rPr>
        <w:t>,</w:t>
      </w:r>
      <w:r w:rsidR="00B825BC">
        <w:rPr>
          <w:lang w:val="en"/>
        </w:rPr>
        <w:t xml:space="preserve"> the NDA </w:t>
      </w:r>
      <w:r w:rsidR="00AD4468" w:rsidRPr="00AD4468">
        <w:rPr>
          <w:lang w:val="en"/>
        </w:rPr>
        <w:t>recommend</w:t>
      </w:r>
      <w:r w:rsidR="002279FC">
        <w:rPr>
          <w:lang w:val="en"/>
        </w:rPr>
        <w:t>s</w:t>
      </w:r>
      <w:r w:rsidR="00AD4468" w:rsidRPr="00AD4468">
        <w:rPr>
          <w:lang w:val="en"/>
        </w:rPr>
        <w:t xml:space="preserve"> </w:t>
      </w:r>
      <w:r w:rsidR="00B825BC">
        <w:rPr>
          <w:lang w:val="en"/>
        </w:rPr>
        <w:t>that it</w:t>
      </w:r>
      <w:r w:rsidR="00AD4468" w:rsidRPr="00AD4468">
        <w:rPr>
          <w:lang w:val="en"/>
        </w:rPr>
        <w:t xml:space="preserve"> is progressed a</w:t>
      </w:r>
      <w:r w:rsidR="00A60ADE">
        <w:rPr>
          <w:lang w:val="en"/>
        </w:rPr>
        <w:t>s a matter of urgency before this corridor and the BusConnects</w:t>
      </w:r>
      <w:r w:rsidR="00AD4468" w:rsidRPr="00AD4468">
        <w:rPr>
          <w:lang w:val="en"/>
        </w:rPr>
        <w:t xml:space="preserve"> </w:t>
      </w:r>
      <w:r w:rsidR="00051F89">
        <w:rPr>
          <w:lang w:val="en"/>
        </w:rPr>
        <w:t>programme</w:t>
      </w:r>
      <w:r w:rsidR="00AD4468" w:rsidRPr="00AD4468">
        <w:rPr>
          <w:lang w:val="en"/>
        </w:rPr>
        <w:t xml:space="preserve"> </w:t>
      </w:r>
      <w:r w:rsidR="00A60ADE">
        <w:rPr>
          <w:lang w:val="en"/>
        </w:rPr>
        <w:t>is progressed further.</w:t>
      </w:r>
      <w:r w:rsidR="00AD4468" w:rsidRPr="00AD4468">
        <w:rPr>
          <w:lang w:val="en"/>
        </w:rPr>
        <w:t xml:space="preserve"> </w:t>
      </w:r>
      <w:r w:rsidR="006802DD">
        <w:rPr>
          <w:lang w:val="en"/>
        </w:rPr>
        <w:t xml:space="preserve">The NDA would be happy to provide further information or any clarification to </w:t>
      </w:r>
      <w:r w:rsidR="006802DD">
        <w:t xml:space="preserve">An Bord Pleanála with regards to this submission should this be required. </w:t>
      </w:r>
    </w:p>
    <w:sectPr w:rsidR="00A371C6" w:rsidRPr="00127ECC">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4AD9" w14:textId="77777777" w:rsidR="00A65112" w:rsidRDefault="00A65112">
      <w:r>
        <w:separator/>
      </w:r>
    </w:p>
  </w:endnote>
  <w:endnote w:type="continuationSeparator" w:id="0">
    <w:p w14:paraId="51C695D4" w14:textId="77777777" w:rsidR="00A65112" w:rsidRDefault="00A6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uardian Egyp Regular">
    <w:altName w:val="Guardian Egyp Regular"/>
    <w:panose1 w:val="00000000000000000000"/>
    <w:charset w:val="00"/>
    <w:family w:val="roman"/>
    <w:notTrueType/>
    <w:pitch w:val="default"/>
    <w:sig w:usb0="00000003" w:usb1="00000000" w:usb2="00000000" w:usb3="00000000" w:csb0="00000001" w:csb1="00000000"/>
  </w:font>
  <w:font w:name="Guardian Egyp Bold">
    <w:altName w:val="Guardian Egyp Bold"/>
    <w:panose1 w:val="00000000000000000000"/>
    <w:charset w:val="00"/>
    <w:family w:val="roman"/>
    <w:notTrueType/>
    <w:pitch w:val="default"/>
    <w:sig w:usb0="00000003" w:usb1="00000000" w:usb2="00000000" w:usb3="00000000" w:csb0="00000001" w:csb1="00000000"/>
  </w:font>
  <w:font w:name="RANFG O+ Gotham">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onotype Sor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D6C5" w14:textId="1AE0DF1F" w:rsidR="00A65112" w:rsidRDefault="00A65112">
    <w:pPr>
      <w:pStyle w:val="Footer"/>
    </w:pPr>
    <w:r>
      <w:tab/>
    </w:r>
    <w:r>
      <w:tab/>
    </w:r>
    <w:r>
      <w:fldChar w:fldCharType="begin"/>
    </w:r>
    <w:r>
      <w:instrText xml:space="preserve"> PAGE  \* Arabic  \* MERGEFORMAT </w:instrText>
    </w:r>
    <w:r>
      <w:fldChar w:fldCharType="separate"/>
    </w:r>
    <w:r w:rsidR="0010718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FF0B" w14:textId="77777777" w:rsidR="00A65112" w:rsidRDefault="00A65112">
      <w:r>
        <w:separator/>
      </w:r>
    </w:p>
  </w:footnote>
  <w:footnote w:type="continuationSeparator" w:id="0">
    <w:p w14:paraId="5CAFEF97" w14:textId="77777777" w:rsidR="00A65112" w:rsidRDefault="00A65112">
      <w:r>
        <w:continuationSeparator/>
      </w:r>
    </w:p>
  </w:footnote>
  <w:footnote w:id="1">
    <w:p w14:paraId="5D20DB12" w14:textId="77777777" w:rsidR="00E028E8" w:rsidRDefault="00E028E8" w:rsidP="00E028E8">
      <w:pPr>
        <w:pStyle w:val="FootnoteText"/>
        <w:spacing w:after="0"/>
      </w:pPr>
      <w:r>
        <w:rPr>
          <w:rStyle w:val="FootnoteReference"/>
        </w:rPr>
        <w:footnoteRef/>
      </w:r>
      <w:r>
        <w:t xml:space="preserve"> </w:t>
      </w:r>
      <w:r w:rsidRPr="00D341C8">
        <w:rPr>
          <w:rFonts w:eastAsia="SimSun" w:cs="Cambria"/>
          <w:sz w:val="20"/>
          <w:lang w:eastAsia="en-IE"/>
        </w:rPr>
        <w:t xml:space="preserve">ISO 26800, </w:t>
      </w:r>
      <w:r w:rsidRPr="00D341C8">
        <w:rPr>
          <w:rFonts w:eastAsia="SimSun" w:cs="Cambria-Italic"/>
          <w:iCs/>
          <w:sz w:val="20"/>
          <w:lang w:eastAsia="en-IE"/>
        </w:rPr>
        <w:t>Ergonomics — General approach, principles and concepts</w:t>
      </w:r>
    </w:p>
  </w:footnote>
  <w:footnote w:id="2">
    <w:p w14:paraId="50811981" w14:textId="77777777" w:rsidR="00E028E8" w:rsidRPr="00913B5E" w:rsidRDefault="00E028E8" w:rsidP="00E028E8">
      <w:pPr>
        <w:autoSpaceDE w:val="0"/>
        <w:autoSpaceDN w:val="0"/>
        <w:adjustRightInd w:val="0"/>
        <w:spacing w:after="0"/>
        <w:rPr>
          <w:rFonts w:eastAsia="SimSun" w:cs="Cambria-Italic"/>
          <w:iCs/>
          <w:sz w:val="20"/>
          <w:szCs w:val="20"/>
          <w:lang w:eastAsia="en-IE"/>
        </w:rPr>
      </w:pPr>
      <w:r>
        <w:rPr>
          <w:rStyle w:val="FootnoteReference"/>
        </w:rPr>
        <w:footnoteRef/>
      </w:r>
      <w:r w:rsidRPr="00913B5E">
        <w:rPr>
          <w:rFonts w:eastAsia="SimSun" w:cs="Cambria"/>
          <w:sz w:val="20"/>
          <w:szCs w:val="20"/>
          <w:lang w:eastAsia="en-IE"/>
        </w:rPr>
        <w:t xml:space="preserve">ISO/TR 9241-100, </w:t>
      </w:r>
      <w:r w:rsidRPr="00913B5E">
        <w:rPr>
          <w:rFonts w:eastAsia="SimSun" w:cs="Cambria-Italic"/>
          <w:iCs/>
          <w:sz w:val="20"/>
          <w:szCs w:val="20"/>
          <w:lang w:eastAsia="en-IE"/>
        </w:rPr>
        <w:t>Ergonomics of human-system interaction — Part 100: Introduction to standards</w:t>
      </w:r>
    </w:p>
    <w:p w14:paraId="03BC4D26" w14:textId="77777777" w:rsidR="00E028E8" w:rsidRPr="00913B5E" w:rsidRDefault="00E028E8" w:rsidP="00E028E8">
      <w:pPr>
        <w:pStyle w:val="FootnoteText"/>
        <w:spacing w:after="0"/>
        <w:rPr>
          <w:sz w:val="20"/>
        </w:rPr>
      </w:pPr>
      <w:r w:rsidRPr="00913B5E">
        <w:rPr>
          <w:rFonts w:eastAsia="SimSun" w:cs="Cambria-Italic"/>
          <w:iCs/>
          <w:sz w:val="20"/>
          <w:lang w:eastAsia="en-IE"/>
        </w:rPr>
        <w:t>related to software ergonomics</w:t>
      </w:r>
    </w:p>
  </w:footnote>
  <w:footnote w:id="3">
    <w:p w14:paraId="69E851C4" w14:textId="77777777" w:rsidR="00E028E8" w:rsidRPr="00D341C8" w:rsidRDefault="00E028E8" w:rsidP="00E028E8">
      <w:pPr>
        <w:autoSpaceDE w:val="0"/>
        <w:autoSpaceDN w:val="0"/>
        <w:adjustRightInd w:val="0"/>
        <w:spacing w:after="0"/>
        <w:rPr>
          <w:rFonts w:eastAsia="SimSun" w:cs="Cambria-Italic"/>
          <w:iCs/>
          <w:sz w:val="20"/>
          <w:szCs w:val="20"/>
          <w:lang w:eastAsia="en-IE"/>
        </w:rPr>
      </w:pPr>
      <w:r>
        <w:rPr>
          <w:rStyle w:val="FootnoteReference"/>
        </w:rPr>
        <w:footnoteRef/>
      </w:r>
      <w:r>
        <w:t xml:space="preserve"> </w:t>
      </w:r>
      <w:r w:rsidRPr="00D341C8">
        <w:rPr>
          <w:rFonts w:eastAsia="SimSun" w:cs="Cambria"/>
          <w:sz w:val="20"/>
          <w:szCs w:val="20"/>
          <w:lang w:eastAsia="en-IE"/>
        </w:rPr>
        <w:t xml:space="preserve">ISO/TR 22411, </w:t>
      </w:r>
      <w:r w:rsidRPr="00D341C8">
        <w:rPr>
          <w:rFonts w:eastAsia="SimSun" w:cs="Cambria-Italic"/>
          <w:iCs/>
          <w:sz w:val="20"/>
          <w:szCs w:val="20"/>
          <w:lang w:eastAsia="en-IE"/>
        </w:rPr>
        <w:t>Ergonomics data and guidelines for the application of ISO/IEC Guide 71 to products</w:t>
      </w:r>
    </w:p>
    <w:p w14:paraId="1095B76E" w14:textId="77777777" w:rsidR="00E028E8" w:rsidRPr="00D341C8" w:rsidRDefault="00E028E8" w:rsidP="00E028E8">
      <w:pPr>
        <w:pStyle w:val="FootnoteText"/>
        <w:rPr>
          <w:sz w:val="20"/>
        </w:rPr>
      </w:pPr>
      <w:r w:rsidRPr="00D341C8">
        <w:rPr>
          <w:rFonts w:eastAsia="SimSun" w:cs="Cambria-Italic"/>
          <w:iCs/>
          <w:sz w:val="20"/>
          <w:lang w:eastAsia="en-IE"/>
        </w:rPr>
        <w:t>and services to address the needs of older persons and persons with disabilities</w:t>
      </w:r>
    </w:p>
  </w:footnote>
  <w:footnote w:id="4">
    <w:p w14:paraId="3F126336" w14:textId="6D0626DE" w:rsidR="007608BF" w:rsidRDefault="007608BF">
      <w:pPr>
        <w:pStyle w:val="FootnoteText"/>
      </w:pPr>
      <w:r>
        <w:rPr>
          <w:rStyle w:val="FootnoteReference"/>
        </w:rPr>
        <w:footnoteRef/>
      </w:r>
      <w:r>
        <w:t xml:space="preserve"> </w:t>
      </w:r>
      <w:hyperlink r:id="rId1" w:history="1">
        <w:r w:rsidRPr="005B75FD">
          <w:rPr>
            <w:rStyle w:val="Hyperlink"/>
          </w:rPr>
          <w:t>https://tbinternet.ohchr.org/_layouts/15/treatybodyexternal/Download.aspx?symbolno=CRPD/C/GC/7&amp;Lang=en</w:t>
        </w:r>
      </w:hyperlink>
    </w:p>
    <w:p w14:paraId="7C0125E9" w14:textId="77777777" w:rsidR="007608BF" w:rsidRDefault="007608BF">
      <w:pPr>
        <w:pStyle w:val="FootnoteText"/>
      </w:pPr>
    </w:p>
  </w:footnote>
  <w:footnote w:id="5">
    <w:p w14:paraId="7E19E6AB" w14:textId="201CAA31" w:rsidR="00287050" w:rsidRDefault="00287050">
      <w:pPr>
        <w:pStyle w:val="FootnoteText"/>
      </w:pPr>
      <w:r>
        <w:rPr>
          <w:rStyle w:val="FootnoteReference"/>
        </w:rPr>
        <w:footnoteRef/>
      </w:r>
      <w:r>
        <w:t xml:space="preserve"> </w:t>
      </w:r>
      <w:hyperlink r:id="rId2" w:history="1">
        <w:r w:rsidR="00454CBE">
          <w:rPr>
            <w:rStyle w:val="Hyperlink"/>
          </w:rPr>
          <w:t>The Irish Longitudinal Study on Ageing (TILDA) - Trinity College Dublin (tcd.ie)</w:t>
        </w:r>
      </w:hyperlink>
      <w:r w:rsidR="00454CBE">
        <w:t xml:space="preserve"> </w:t>
      </w:r>
    </w:p>
  </w:footnote>
  <w:footnote w:id="6">
    <w:p w14:paraId="56268A49" w14:textId="5F84C6BC" w:rsidR="00531736" w:rsidRDefault="00531736">
      <w:pPr>
        <w:pStyle w:val="FootnoteText"/>
      </w:pPr>
      <w:r>
        <w:rPr>
          <w:rStyle w:val="FootnoteReference"/>
        </w:rPr>
        <w:footnoteRef/>
      </w:r>
      <w:r>
        <w:t xml:space="preserve"> </w:t>
      </w:r>
      <w:r w:rsidRPr="00531736">
        <w:t>https://www.thenbs.com/PublicationIndex/documents/details?Pub=BSI&amp;DocID=320519#:~:text=Resulting%20from%20the%20restructure%20of,the%20needs%20of%20all%20who</w:t>
      </w:r>
    </w:p>
  </w:footnote>
  <w:footnote w:id="7">
    <w:p w14:paraId="5B249338" w14:textId="737869A1" w:rsidR="007C4C1F" w:rsidRDefault="007C4C1F">
      <w:pPr>
        <w:pStyle w:val="FootnoteText"/>
      </w:pPr>
      <w:r>
        <w:rPr>
          <w:rStyle w:val="FootnoteReference"/>
        </w:rPr>
        <w:footnoteRef/>
      </w:r>
      <w:r>
        <w:t xml:space="preserve"> </w:t>
      </w:r>
      <w:hyperlink r:id="rId3" w:history="1">
        <w:r>
          <w:rPr>
            <w:rStyle w:val="Hyperlink"/>
          </w:rPr>
          <w:t>getting-to-the-curb-report-final-walk-sf-2019.pdf (walksf.org)</w:t>
        </w:r>
      </w:hyperlink>
    </w:p>
  </w:footnote>
  <w:footnote w:id="8">
    <w:p w14:paraId="7BCE1DAD" w14:textId="25C1234D" w:rsidR="0026283E" w:rsidRPr="00727A53" w:rsidRDefault="0026283E" w:rsidP="00727A53">
      <w:pPr>
        <w:rPr>
          <w:sz w:val="22"/>
          <w:szCs w:val="22"/>
        </w:rPr>
      </w:pPr>
      <w:r>
        <w:rPr>
          <w:rStyle w:val="FootnoteReference"/>
        </w:rPr>
        <w:footnoteRef/>
      </w:r>
      <w:r>
        <w:t xml:space="preserve"> </w:t>
      </w:r>
      <w:r w:rsidR="003B1116" w:rsidRPr="00727A53">
        <w:rPr>
          <w:sz w:val="22"/>
          <w:szCs w:val="22"/>
        </w:rPr>
        <w:t>https://standards.cen.eu/dyn/www/f?p=204:110:0::::FSP_PROJECT,FSP_LANG_ID:65077,25&amp;cs=1B1F504D7DCF7711690E22BAE7CED456A</w:t>
      </w:r>
    </w:p>
  </w:footnote>
  <w:footnote w:id="9">
    <w:p w14:paraId="5C8A5BE0" w14:textId="030FDCC4" w:rsidR="00C40595" w:rsidRDefault="00C40595">
      <w:pPr>
        <w:pStyle w:val="FootnoteText"/>
      </w:pPr>
      <w:r>
        <w:rPr>
          <w:rStyle w:val="FootnoteReference"/>
        </w:rPr>
        <w:footnoteRef/>
      </w:r>
      <w:r>
        <w:t xml:space="preserve"> </w:t>
      </w:r>
      <w:r w:rsidRPr="00C40595">
        <w:t>https://www.iso.org/standard/56797.html</w:t>
      </w:r>
    </w:p>
  </w:footnote>
  <w:footnote w:id="10">
    <w:p w14:paraId="5689DD1E" w14:textId="2CD418CE" w:rsidR="00C40595" w:rsidRDefault="00C40595">
      <w:pPr>
        <w:pStyle w:val="FootnoteText"/>
      </w:pPr>
      <w:r>
        <w:rPr>
          <w:rStyle w:val="FootnoteReference"/>
        </w:rPr>
        <w:footnoteRef/>
      </w:r>
      <w:r>
        <w:t xml:space="preserve"> </w:t>
      </w:r>
      <w:r w:rsidRPr="00C40595">
        <w:t>https://www.iso.org/standard/51000.html</w:t>
      </w:r>
    </w:p>
  </w:footnote>
  <w:footnote w:id="11">
    <w:p w14:paraId="11C74623" w14:textId="3FF423F0" w:rsidR="007057F9" w:rsidRDefault="007057F9">
      <w:pPr>
        <w:pStyle w:val="FootnoteText"/>
      </w:pPr>
      <w:r>
        <w:rPr>
          <w:rStyle w:val="FootnoteReference"/>
        </w:rPr>
        <w:footnoteRef/>
      </w:r>
      <w:r>
        <w:t xml:space="preserve"> </w:t>
      </w:r>
      <w:r w:rsidRPr="007057F9">
        <w:t>https://www.thenbs.com/PublicationIndex/documents/details?Pub=BSI&amp;DocID=320519#:~:text=Resulting%20from%20the%20restructure%20of,the%20needs%20of%20all%20who</w:t>
      </w:r>
    </w:p>
  </w:footnote>
  <w:footnote w:id="12">
    <w:p w14:paraId="4E53E0FA" w14:textId="77777777" w:rsidR="0048090B" w:rsidRDefault="0048090B" w:rsidP="0048090B">
      <w:pPr>
        <w:pStyle w:val="ListBullet"/>
        <w:numPr>
          <w:ilvl w:val="0"/>
          <w:numId w:val="0"/>
        </w:numPr>
        <w:ind w:left="360" w:hanging="360"/>
      </w:pPr>
      <w:r>
        <w:rPr>
          <w:rStyle w:val="FootnoteReference"/>
        </w:rPr>
        <w:footnoteRef/>
      </w:r>
      <w:r>
        <w:t xml:space="preserve"> </w:t>
      </w:r>
      <w:hyperlink r:id="rId4" w:history="1">
        <w:r w:rsidRPr="00116CBF">
          <w:rPr>
            <w:rStyle w:val="Hyperlink"/>
          </w:rPr>
          <w:t>https://universaldesign.ie/products-services/guidelines-on-body-size/</w:t>
        </w:r>
      </w:hyperlink>
      <w:r>
        <w:t xml:space="preserve"> </w:t>
      </w:r>
    </w:p>
    <w:p w14:paraId="02EAAC2B" w14:textId="77777777" w:rsidR="0048090B" w:rsidRDefault="0048090B" w:rsidP="0048090B">
      <w:pPr>
        <w:pStyle w:val="FootnoteText"/>
      </w:pPr>
    </w:p>
  </w:footnote>
  <w:footnote w:id="13">
    <w:p w14:paraId="7FDB9CD3" w14:textId="77777777" w:rsidR="0048090B" w:rsidRDefault="0048090B" w:rsidP="0048090B">
      <w:pPr>
        <w:pStyle w:val="FootnoteText"/>
      </w:pPr>
      <w:r>
        <w:rPr>
          <w:rStyle w:val="FootnoteReference"/>
        </w:rPr>
        <w:footnoteRef/>
      </w:r>
      <w:r>
        <w:t xml:space="preserve"> </w:t>
      </w:r>
      <w:hyperlink r:id="rId5" w:history="1">
        <w:r w:rsidRPr="00CB1F39">
          <w:rPr>
            <w:rStyle w:val="Hyperlink"/>
          </w:rPr>
          <w:t>https://tilda.tcd.ie/publications/reports/pdf/Report_AmberCrossCode.pdf</w:t>
        </w:r>
      </w:hyperlink>
    </w:p>
  </w:footnote>
  <w:footnote w:id="14">
    <w:p w14:paraId="07AE5551" w14:textId="071516CF" w:rsidR="007464BF" w:rsidRDefault="007464BF">
      <w:pPr>
        <w:pStyle w:val="FootnoteText"/>
      </w:pPr>
      <w:r>
        <w:rPr>
          <w:rStyle w:val="FootnoteReference"/>
        </w:rPr>
        <w:footnoteRef/>
      </w:r>
      <w:r>
        <w:t xml:space="preserve"> </w:t>
      </w:r>
      <w:hyperlink r:id="rId6" w:history="1">
        <w:r w:rsidRPr="003F730E">
          <w:rPr>
            <w:rStyle w:val="Hyperlink"/>
            <w:szCs w:val="22"/>
          </w:rPr>
          <w:t>https://standards.cen.eu/dyn/www/f?p=204:110:0::::FSP_PROJECT,FSP_LANG_ID:65077,25&amp;cs=1B1F504D7DCF7711690E22BAE7CED456A</w:t>
        </w:r>
      </w:hyperlink>
      <w:r>
        <w:rPr>
          <w:szCs w:val="22"/>
        </w:rPr>
        <w:t xml:space="preserve"> </w:t>
      </w:r>
    </w:p>
  </w:footnote>
  <w:footnote w:id="15">
    <w:p w14:paraId="02219F4E" w14:textId="77777777" w:rsidR="00AD4468" w:rsidRDefault="00AD4468" w:rsidP="00AD4468">
      <w:pPr>
        <w:pStyle w:val="FootnoteText"/>
      </w:pPr>
      <w:r>
        <w:rPr>
          <w:rStyle w:val="FootnoteReference"/>
        </w:rPr>
        <w:footnoteRef/>
      </w:r>
      <w:r>
        <w:t xml:space="preserve"> </w:t>
      </w:r>
      <w:r w:rsidRPr="00E822C9">
        <w:t>https://www.gov.ie/en/organisation-information/59bac-public-sector-equality-and-human-rights-duty/</w:t>
      </w:r>
    </w:p>
  </w:footnote>
  <w:footnote w:id="16">
    <w:p w14:paraId="5EE93259" w14:textId="77777777" w:rsidR="00AD4468" w:rsidRDefault="00AD4468" w:rsidP="00AD4468">
      <w:pPr>
        <w:pStyle w:val="FootnoteText"/>
      </w:pPr>
      <w:r>
        <w:rPr>
          <w:rStyle w:val="FootnoteReference"/>
        </w:rPr>
        <w:footnoteRef/>
      </w:r>
      <w:r>
        <w:t xml:space="preserve"> </w:t>
      </w:r>
      <w:r w:rsidRPr="00E822C9">
        <w:t>https://www.ops2020.gov.ie/app/themes/ops2020/dist/pdfs/Our-Public-Service-2020-WEB.pdf</w:t>
      </w:r>
    </w:p>
  </w:footnote>
  <w:footnote w:id="17">
    <w:p w14:paraId="5594F144" w14:textId="77358262" w:rsidR="00ED7C2E" w:rsidRPr="006659D1" w:rsidRDefault="00ED7C2E">
      <w:pPr>
        <w:pStyle w:val="FootnoteText"/>
        <w:rPr>
          <w:lang w:val="en-GB"/>
        </w:rPr>
      </w:pPr>
      <w:r>
        <w:rPr>
          <w:rStyle w:val="FootnoteReference"/>
        </w:rPr>
        <w:footnoteRef/>
      </w:r>
      <w:r>
        <w:t xml:space="preserve"> </w:t>
      </w:r>
      <w:r w:rsidRPr="00ED7C2E">
        <w:t>http://nda.ie/Good-practice/Codes-of-Practice/Code-of-Practice-on-Accessibility-of-Public-Services-and-Information-Provided-by-Public-Bodies-/</w:t>
      </w:r>
    </w:p>
  </w:footnote>
  <w:footnote w:id="18">
    <w:p w14:paraId="6432AF5A" w14:textId="77777777" w:rsidR="00AD4468" w:rsidRDefault="00AD4468" w:rsidP="00AD4468">
      <w:pPr>
        <w:pStyle w:val="FootnoteText"/>
      </w:pPr>
      <w:r>
        <w:rPr>
          <w:rStyle w:val="FootnoteReference"/>
        </w:rPr>
        <w:footnoteRef/>
      </w:r>
      <w:r>
        <w:t xml:space="preserve"> </w:t>
      </w:r>
      <w:r w:rsidRPr="00E822C9">
        <w:t>https://www.gov.ie/en/publication/05c2e2-cabinet-handbook/</w:t>
      </w:r>
    </w:p>
  </w:footnote>
  <w:footnote w:id="19">
    <w:p w14:paraId="077DFD9E" w14:textId="77777777" w:rsidR="00AD4468" w:rsidRDefault="00AD4468" w:rsidP="00AD4468">
      <w:pPr>
        <w:pStyle w:val="FootnoteText"/>
      </w:pPr>
      <w:r>
        <w:rPr>
          <w:rStyle w:val="FootnoteReference"/>
        </w:rPr>
        <w:footnoteRef/>
      </w:r>
      <w:r>
        <w:t xml:space="preserve"> </w:t>
      </w:r>
      <w:r w:rsidRPr="002B6D25">
        <w:t>http://www.justice.ie/en/JELR/20120305%20DIA%20Guidelines.pdf/Files/20120305%20DIA%20Guidelines.pdf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5421E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A560E7"/>
    <w:multiLevelType w:val="hybridMultilevel"/>
    <w:tmpl w:val="990289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1553D4B"/>
    <w:multiLevelType w:val="hybridMultilevel"/>
    <w:tmpl w:val="94448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4B3040F"/>
    <w:multiLevelType w:val="hybridMultilevel"/>
    <w:tmpl w:val="A080D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6E34FED"/>
    <w:multiLevelType w:val="hybridMultilevel"/>
    <w:tmpl w:val="F52E96E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4" w15:restartNumberingAfterBreak="0">
    <w:nsid w:val="110A5432"/>
    <w:multiLevelType w:val="hybridMultilevel"/>
    <w:tmpl w:val="129E9D1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235D5D5D"/>
    <w:multiLevelType w:val="hybridMultilevel"/>
    <w:tmpl w:val="E1AAFA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2D2EAA"/>
    <w:multiLevelType w:val="hybridMultilevel"/>
    <w:tmpl w:val="F1D05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70235C"/>
    <w:multiLevelType w:val="hybridMultilevel"/>
    <w:tmpl w:val="FAFA037C"/>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D635A64"/>
    <w:multiLevelType w:val="hybridMultilevel"/>
    <w:tmpl w:val="CAC8D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8D6D53"/>
    <w:multiLevelType w:val="multilevel"/>
    <w:tmpl w:val="23F82B18"/>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0" w15:restartNumberingAfterBreak="0">
    <w:nsid w:val="4AAA1C48"/>
    <w:multiLevelType w:val="hybridMultilevel"/>
    <w:tmpl w:val="060AE5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AD9334C"/>
    <w:multiLevelType w:val="hybridMultilevel"/>
    <w:tmpl w:val="4588C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9B41C3"/>
    <w:multiLevelType w:val="hybridMultilevel"/>
    <w:tmpl w:val="20EA0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2153A7"/>
    <w:multiLevelType w:val="hybridMultilevel"/>
    <w:tmpl w:val="09E01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AF3857"/>
    <w:multiLevelType w:val="hybridMultilevel"/>
    <w:tmpl w:val="CE3662D6"/>
    <w:lvl w:ilvl="0" w:tplc="CC72B8CA">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C633BF"/>
    <w:multiLevelType w:val="hybridMultilevel"/>
    <w:tmpl w:val="11D6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880197"/>
    <w:multiLevelType w:val="hybridMultilevel"/>
    <w:tmpl w:val="4502F12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E5066A1"/>
    <w:multiLevelType w:val="multilevel"/>
    <w:tmpl w:val="0D0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D61B9"/>
    <w:multiLevelType w:val="hybridMultilevel"/>
    <w:tmpl w:val="356A6FCA"/>
    <w:lvl w:ilvl="0" w:tplc="2DAEB48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3A62FBA"/>
    <w:multiLevelType w:val="hybridMultilevel"/>
    <w:tmpl w:val="6A68B5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C45A3F"/>
    <w:multiLevelType w:val="hybridMultilevel"/>
    <w:tmpl w:val="9D485CA8"/>
    <w:lvl w:ilvl="0" w:tplc="B478F354">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6439D8"/>
    <w:multiLevelType w:val="hybridMultilevel"/>
    <w:tmpl w:val="930CA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2"/>
  </w:num>
  <w:num w:numId="18">
    <w:abstractNumId w:val="3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24"/>
  </w:num>
  <w:num w:numId="2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12"/>
  </w:num>
  <w:num w:numId="27">
    <w:abstractNumId w:val="13"/>
  </w:num>
  <w:num w:numId="28">
    <w:abstractNumId w:val="29"/>
  </w:num>
  <w:num w:numId="29">
    <w:abstractNumId w:val="10"/>
  </w:num>
  <w:num w:numId="30">
    <w:abstractNumId w:val="31"/>
  </w:num>
  <w:num w:numId="31">
    <w:abstractNumId w:val="9"/>
  </w:num>
  <w:num w:numId="32">
    <w:abstractNumId w:val="16"/>
  </w:num>
  <w:num w:numId="33">
    <w:abstractNumId w:val="20"/>
  </w:num>
  <w:num w:numId="34">
    <w:abstractNumId w:val="25"/>
  </w:num>
  <w:num w:numId="35">
    <w:abstractNumId w:val="17"/>
  </w:num>
  <w:num w:numId="36">
    <w:abstractNumId w:val="21"/>
  </w:num>
  <w:num w:numId="37">
    <w:abstractNumId w:val="15"/>
  </w:num>
  <w:num w:numId="38">
    <w:abstractNumId w:val="26"/>
  </w:num>
  <w:num w:numId="39">
    <w:abstractNumId w:val="23"/>
  </w:num>
  <w:num w:numId="40">
    <w:abstractNumId w:val="9"/>
  </w:num>
  <w:num w:numId="41">
    <w:abstractNumId w:val="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06"/>
    <w:rsid w:val="0000040B"/>
    <w:rsid w:val="0000357C"/>
    <w:rsid w:val="00005E66"/>
    <w:rsid w:val="00011C94"/>
    <w:rsid w:val="000139CA"/>
    <w:rsid w:val="000165DD"/>
    <w:rsid w:val="00020657"/>
    <w:rsid w:val="00021AAF"/>
    <w:rsid w:val="00024173"/>
    <w:rsid w:val="00024892"/>
    <w:rsid w:val="00026248"/>
    <w:rsid w:val="00031716"/>
    <w:rsid w:val="00034BF2"/>
    <w:rsid w:val="00037677"/>
    <w:rsid w:val="000442BE"/>
    <w:rsid w:val="00051F89"/>
    <w:rsid w:val="000520C1"/>
    <w:rsid w:val="00053C52"/>
    <w:rsid w:val="00064BA9"/>
    <w:rsid w:val="0006503E"/>
    <w:rsid w:val="00066158"/>
    <w:rsid w:val="00066C32"/>
    <w:rsid w:val="00067B38"/>
    <w:rsid w:val="00072B70"/>
    <w:rsid w:val="00084779"/>
    <w:rsid w:val="0008529E"/>
    <w:rsid w:val="00085F87"/>
    <w:rsid w:val="000907FE"/>
    <w:rsid w:val="00095E6B"/>
    <w:rsid w:val="00096565"/>
    <w:rsid w:val="000A0FE5"/>
    <w:rsid w:val="000A6176"/>
    <w:rsid w:val="000B06CA"/>
    <w:rsid w:val="000B3BAE"/>
    <w:rsid w:val="000C371D"/>
    <w:rsid w:val="000D333C"/>
    <w:rsid w:val="000D4482"/>
    <w:rsid w:val="000D7F81"/>
    <w:rsid w:val="000E0924"/>
    <w:rsid w:val="000E3BC7"/>
    <w:rsid w:val="000E468D"/>
    <w:rsid w:val="000E60D0"/>
    <w:rsid w:val="000E61F2"/>
    <w:rsid w:val="000E64D6"/>
    <w:rsid w:val="000F0230"/>
    <w:rsid w:val="000F1D37"/>
    <w:rsid w:val="000F3A2B"/>
    <w:rsid w:val="00106F69"/>
    <w:rsid w:val="00107189"/>
    <w:rsid w:val="001210EF"/>
    <w:rsid w:val="001215B2"/>
    <w:rsid w:val="00127ECC"/>
    <w:rsid w:val="00130825"/>
    <w:rsid w:val="0013354A"/>
    <w:rsid w:val="0014391E"/>
    <w:rsid w:val="001447DE"/>
    <w:rsid w:val="00146FBF"/>
    <w:rsid w:val="00150550"/>
    <w:rsid w:val="00150FD1"/>
    <w:rsid w:val="00153312"/>
    <w:rsid w:val="00163182"/>
    <w:rsid w:val="001652E7"/>
    <w:rsid w:val="00166451"/>
    <w:rsid w:val="00177C44"/>
    <w:rsid w:val="00181118"/>
    <w:rsid w:val="00181FE6"/>
    <w:rsid w:val="0019677E"/>
    <w:rsid w:val="001A164E"/>
    <w:rsid w:val="001A1E88"/>
    <w:rsid w:val="001A3F5C"/>
    <w:rsid w:val="001A52B6"/>
    <w:rsid w:val="001A63FB"/>
    <w:rsid w:val="001A7088"/>
    <w:rsid w:val="001A7912"/>
    <w:rsid w:val="001B4571"/>
    <w:rsid w:val="001B74A5"/>
    <w:rsid w:val="001D109E"/>
    <w:rsid w:val="001E1E5C"/>
    <w:rsid w:val="001E236D"/>
    <w:rsid w:val="001E38EF"/>
    <w:rsid w:val="001E437F"/>
    <w:rsid w:val="002025DE"/>
    <w:rsid w:val="00204B6E"/>
    <w:rsid w:val="002071D0"/>
    <w:rsid w:val="00210E13"/>
    <w:rsid w:val="0022074E"/>
    <w:rsid w:val="00221326"/>
    <w:rsid w:val="002234D1"/>
    <w:rsid w:val="00224895"/>
    <w:rsid w:val="002279FC"/>
    <w:rsid w:val="00236BC3"/>
    <w:rsid w:val="00243382"/>
    <w:rsid w:val="00254AB9"/>
    <w:rsid w:val="0025675F"/>
    <w:rsid w:val="0025706F"/>
    <w:rsid w:val="00257329"/>
    <w:rsid w:val="0026283E"/>
    <w:rsid w:val="00266302"/>
    <w:rsid w:val="00267CB2"/>
    <w:rsid w:val="00272BC2"/>
    <w:rsid w:val="00274FC5"/>
    <w:rsid w:val="002756AB"/>
    <w:rsid w:val="002803AE"/>
    <w:rsid w:val="00287050"/>
    <w:rsid w:val="002875DA"/>
    <w:rsid w:val="00287B8E"/>
    <w:rsid w:val="002960E2"/>
    <w:rsid w:val="002A2719"/>
    <w:rsid w:val="002B1D47"/>
    <w:rsid w:val="002B54B6"/>
    <w:rsid w:val="002B6D25"/>
    <w:rsid w:val="002B78FC"/>
    <w:rsid w:val="002B791B"/>
    <w:rsid w:val="002C7404"/>
    <w:rsid w:val="002C7B15"/>
    <w:rsid w:val="002D4787"/>
    <w:rsid w:val="002D4DE5"/>
    <w:rsid w:val="002D7FE7"/>
    <w:rsid w:val="002E5657"/>
    <w:rsid w:val="002E6F62"/>
    <w:rsid w:val="002F2894"/>
    <w:rsid w:val="002F3A10"/>
    <w:rsid w:val="002F6609"/>
    <w:rsid w:val="003145BF"/>
    <w:rsid w:val="00315092"/>
    <w:rsid w:val="003156DB"/>
    <w:rsid w:val="00317ADB"/>
    <w:rsid w:val="00317F14"/>
    <w:rsid w:val="00317F9F"/>
    <w:rsid w:val="00330850"/>
    <w:rsid w:val="003311A7"/>
    <w:rsid w:val="00333705"/>
    <w:rsid w:val="00350754"/>
    <w:rsid w:val="00350823"/>
    <w:rsid w:val="00353E71"/>
    <w:rsid w:val="00355041"/>
    <w:rsid w:val="003563A2"/>
    <w:rsid w:val="003612B6"/>
    <w:rsid w:val="003726F0"/>
    <w:rsid w:val="00386A82"/>
    <w:rsid w:val="00390631"/>
    <w:rsid w:val="003931CA"/>
    <w:rsid w:val="0039567F"/>
    <w:rsid w:val="003A44C8"/>
    <w:rsid w:val="003A7B04"/>
    <w:rsid w:val="003B10EC"/>
    <w:rsid w:val="003B1116"/>
    <w:rsid w:val="003D0A2E"/>
    <w:rsid w:val="003D5D67"/>
    <w:rsid w:val="003D6BCE"/>
    <w:rsid w:val="003E2AF8"/>
    <w:rsid w:val="003E6FAB"/>
    <w:rsid w:val="003F4227"/>
    <w:rsid w:val="003F43C7"/>
    <w:rsid w:val="003F6CBF"/>
    <w:rsid w:val="00413973"/>
    <w:rsid w:val="004231F7"/>
    <w:rsid w:val="00423A83"/>
    <w:rsid w:val="00427E84"/>
    <w:rsid w:val="0043029D"/>
    <w:rsid w:val="004304AE"/>
    <w:rsid w:val="004425CF"/>
    <w:rsid w:val="00444C4B"/>
    <w:rsid w:val="00454CBE"/>
    <w:rsid w:val="00457B8A"/>
    <w:rsid w:val="00461962"/>
    <w:rsid w:val="004715B6"/>
    <w:rsid w:val="00471876"/>
    <w:rsid w:val="00471C7A"/>
    <w:rsid w:val="00471D97"/>
    <w:rsid w:val="00475F4F"/>
    <w:rsid w:val="0048090B"/>
    <w:rsid w:val="004934C9"/>
    <w:rsid w:val="00497000"/>
    <w:rsid w:val="004A39FB"/>
    <w:rsid w:val="004B2A16"/>
    <w:rsid w:val="004B4411"/>
    <w:rsid w:val="004C15A4"/>
    <w:rsid w:val="004C5524"/>
    <w:rsid w:val="004C5836"/>
    <w:rsid w:val="004D0A80"/>
    <w:rsid w:val="004D7229"/>
    <w:rsid w:val="004D779B"/>
    <w:rsid w:val="004E218F"/>
    <w:rsid w:val="004E49A4"/>
    <w:rsid w:val="004E5810"/>
    <w:rsid w:val="004E7B6A"/>
    <w:rsid w:val="004F1F8A"/>
    <w:rsid w:val="004F5466"/>
    <w:rsid w:val="004F71EF"/>
    <w:rsid w:val="00501174"/>
    <w:rsid w:val="00501DCF"/>
    <w:rsid w:val="00506244"/>
    <w:rsid w:val="005072B0"/>
    <w:rsid w:val="005114D9"/>
    <w:rsid w:val="00514906"/>
    <w:rsid w:val="005206EB"/>
    <w:rsid w:val="005234C0"/>
    <w:rsid w:val="00523966"/>
    <w:rsid w:val="00525016"/>
    <w:rsid w:val="00531736"/>
    <w:rsid w:val="00532DF2"/>
    <w:rsid w:val="00535193"/>
    <w:rsid w:val="0054142D"/>
    <w:rsid w:val="00544673"/>
    <w:rsid w:val="00546455"/>
    <w:rsid w:val="0055199D"/>
    <w:rsid w:val="0056270C"/>
    <w:rsid w:val="00564931"/>
    <w:rsid w:val="00582087"/>
    <w:rsid w:val="00584B39"/>
    <w:rsid w:val="00590ACC"/>
    <w:rsid w:val="0059190F"/>
    <w:rsid w:val="00595D52"/>
    <w:rsid w:val="005A3FF3"/>
    <w:rsid w:val="005B21DB"/>
    <w:rsid w:val="005B47EF"/>
    <w:rsid w:val="005B69B9"/>
    <w:rsid w:val="005C1FD7"/>
    <w:rsid w:val="005C416A"/>
    <w:rsid w:val="005C5213"/>
    <w:rsid w:val="005C5408"/>
    <w:rsid w:val="005C7B7E"/>
    <w:rsid w:val="005D0219"/>
    <w:rsid w:val="005D11A2"/>
    <w:rsid w:val="005D13B5"/>
    <w:rsid w:val="005D504B"/>
    <w:rsid w:val="005D72C6"/>
    <w:rsid w:val="005E6CD7"/>
    <w:rsid w:val="005F3C7D"/>
    <w:rsid w:val="00600AFA"/>
    <w:rsid w:val="00605F03"/>
    <w:rsid w:val="00607268"/>
    <w:rsid w:val="006130D0"/>
    <w:rsid w:val="00614388"/>
    <w:rsid w:val="00615224"/>
    <w:rsid w:val="006273D5"/>
    <w:rsid w:val="006349ED"/>
    <w:rsid w:val="006352A3"/>
    <w:rsid w:val="00636A98"/>
    <w:rsid w:val="006375F2"/>
    <w:rsid w:val="006453F3"/>
    <w:rsid w:val="00656ADB"/>
    <w:rsid w:val="006633D4"/>
    <w:rsid w:val="0066577E"/>
    <w:rsid w:val="006659D1"/>
    <w:rsid w:val="00666C37"/>
    <w:rsid w:val="00667C22"/>
    <w:rsid w:val="0067101F"/>
    <w:rsid w:val="00672254"/>
    <w:rsid w:val="00675B44"/>
    <w:rsid w:val="006802DD"/>
    <w:rsid w:val="00681363"/>
    <w:rsid w:val="00695F55"/>
    <w:rsid w:val="006A37EE"/>
    <w:rsid w:val="006A7238"/>
    <w:rsid w:val="006A7C0E"/>
    <w:rsid w:val="006A7CD6"/>
    <w:rsid w:val="006B7BF6"/>
    <w:rsid w:val="006C5483"/>
    <w:rsid w:val="006D6430"/>
    <w:rsid w:val="006E2AF8"/>
    <w:rsid w:val="006E2D59"/>
    <w:rsid w:val="006F79D3"/>
    <w:rsid w:val="0070414A"/>
    <w:rsid w:val="007057F9"/>
    <w:rsid w:val="0070590F"/>
    <w:rsid w:val="00710B13"/>
    <w:rsid w:val="00712175"/>
    <w:rsid w:val="007139FA"/>
    <w:rsid w:val="00716EB8"/>
    <w:rsid w:val="00720584"/>
    <w:rsid w:val="0072460C"/>
    <w:rsid w:val="00727A53"/>
    <w:rsid w:val="0073081B"/>
    <w:rsid w:val="00730ED0"/>
    <w:rsid w:val="00737409"/>
    <w:rsid w:val="007415E7"/>
    <w:rsid w:val="00741DCA"/>
    <w:rsid w:val="007464BF"/>
    <w:rsid w:val="007608BF"/>
    <w:rsid w:val="007622A5"/>
    <w:rsid w:val="00766493"/>
    <w:rsid w:val="007716B4"/>
    <w:rsid w:val="0077272D"/>
    <w:rsid w:val="00774982"/>
    <w:rsid w:val="00775B73"/>
    <w:rsid w:val="00776B0C"/>
    <w:rsid w:val="0078463B"/>
    <w:rsid w:val="00790577"/>
    <w:rsid w:val="007932C0"/>
    <w:rsid w:val="00795337"/>
    <w:rsid w:val="007A1B93"/>
    <w:rsid w:val="007A4968"/>
    <w:rsid w:val="007A52EF"/>
    <w:rsid w:val="007A7922"/>
    <w:rsid w:val="007B3471"/>
    <w:rsid w:val="007B4498"/>
    <w:rsid w:val="007B48F3"/>
    <w:rsid w:val="007C1D90"/>
    <w:rsid w:val="007C4C1F"/>
    <w:rsid w:val="007C7C9D"/>
    <w:rsid w:val="007D16DF"/>
    <w:rsid w:val="007F229E"/>
    <w:rsid w:val="008020B0"/>
    <w:rsid w:val="00807C10"/>
    <w:rsid w:val="00811CCF"/>
    <w:rsid w:val="00813226"/>
    <w:rsid w:val="00815A11"/>
    <w:rsid w:val="00817621"/>
    <w:rsid w:val="00821266"/>
    <w:rsid w:val="00822A20"/>
    <w:rsid w:val="008247C8"/>
    <w:rsid w:val="008265DD"/>
    <w:rsid w:val="00830D86"/>
    <w:rsid w:val="00831FA1"/>
    <w:rsid w:val="008561D0"/>
    <w:rsid w:val="00862111"/>
    <w:rsid w:val="00862CD7"/>
    <w:rsid w:val="008673DB"/>
    <w:rsid w:val="008708AC"/>
    <w:rsid w:val="008777A1"/>
    <w:rsid w:val="008802C5"/>
    <w:rsid w:val="008819EB"/>
    <w:rsid w:val="008861D9"/>
    <w:rsid w:val="00887368"/>
    <w:rsid w:val="00891226"/>
    <w:rsid w:val="008919D4"/>
    <w:rsid w:val="00895F70"/>
    <w:rsid w:val="008A29B9"/>
    <w:rsid w:val="008A4658"/>
    <w:rsid w:val="008A4F4E"/>
    <w:rsid w:val="008A706B"/>
    <w:rsid w:val="008B4B0D"/>
    <w:rsid w:val="008B5AB7"/>
    <w:rsid w:val="008B5D62"/>
    <w:rsid w:val="008B6C2C"/>
    <w:rsid w:val="008C3AF7"/>
    <w:rsid w:val="008C3B1E"/>
    <w:rsid w:val="008C3B63"/>
    <w:rsid w:val="008C7036"/>
    <w:rsid w:val="008C7218"/>
    <w:rsid w:val="008D06E2"/>
    <w:rsid w:val="008D38D8"/>
    <w:rsid w:val="008E0938"/>
    <w:rsid w:val="008E0B8F"/>
    <w:rsid w:val="008E434A"/>
    <w:rsid w:val="008F0BAD"/>
    <w:rsid w:val="008F29EC"/>
    <w:rsid w:val="00900247"/>
    <w:rsid w:val="0090259B"/>
    <w:rsid w:val="009045BB"/>
    <w:rsid w:val="00915C37"/>
    <w:rsid w:val="00917DFB"/>
    <w:rsid w:val="00921BB5"/>
    <w:rsid w:val="009252D6"/>
    <w:rsid w:val="00926330"/>
    <w:rsid w:val="0092634F"/>
    <w:rsid w:val="00935950"/>
    <w:rsid w:val="009512A6"/>
    <w:rsid w:val="009550ED"/>
    <w:rsid w:val="00975020"/>
    <w:rsid w:val="00990F7B"/>
    <w:rsid w:val="00993269"/>
    <w:rsid w:val="009A0C90"/>
    <w:rsid w:val="009A11DC"/>
    <w:rsid w:val="009B03D1"/>
    <w:rsid w:val="009B2A0F"/>
    <w:rsid w:val="009C139B"/>
    <w:rsid w:val="009C3BD7"/>
    <w:rsid w:val="009C4D62"/>
    <w:rsid w:val="009C744B"/>
    <w:rsid w:val="009D3E43"/>
    <w:rsid w:val="009E234F"/>
    <w:rsid w:val="009E7B79"/>
    <w:rsid w:val="00A0021B"/>
    <w:rsid w:val="00A04F14"/>
    <w:rsid w:val="00A05270"/>
    <w:rsid w:val="00A052DA"/>
    <w:rsid w:val="00A10A6A"/>
    <w:rsid w:val="00A11305"/>
    <w:rsid w:val="00A17CA8"/>
    <w:rsid w:val="00A25186"/>
    <w:rsid w:val="00A2579A"/>
    <w:rsid w:val="00A25A16"/>
    <w:rsid w:val="00A26558"/>
    <w:rsid w:val="00A268FD"/>
    <w:rsid w:val="00A309F8"/>
    <w:rsid w:val="00A32F0B"/>
    <w:rsid w:val="00A33B8E"/>
    <w:rsid w:val="00A3553F"/>
    <w:rsid w:val="00A371C6"/>
    <w:rsid w:val="00A44250"/>
    <w:rsid w:val="00A52BDE"/>
    <w:rsid w:val="00A57029"/>
    <w:rsid w:val="00A5740A"/>
    <w:rsid w:val="00A577DD"/>
    <w:rsid w:val="00A60071"/>
    <w:rsid w:val="00A60ADE"/>
    <w:rsid w:val="00A61171"/>
    <w:rsid w:val="00A61FEF"/>
    <w:rsid w:val="00A63EF3"/>
    <w:rsid w:val="00A65112"/>
    <w:rsid w:val="00A678F5"/>
    <w:rsid w:val="00A701F3"/>
    <w:rsid w:val="00A731EE"/>
    <w:rsid w:val="00A77B19"/>
    <w:rsid w:val="00A84BC5"/>
    <w:rsid w:val="00A85F82"/>
    <w:rsid w:val="00A93A35"/>
    <w:rsid w:val="00A95107"/>
    <w:rsid w:val="00AA00B0"/>
    <w:rsid w:val="00AB1069"/>
    <w:rsid w:val="00AC0DF3"/>
    <w:rsid w:val="00AC1DAC"/>
    <w:rsid w:val="00AC6989"/>
    <w:rsid w:val="00AD161E"/>
    <w:rsid w:val="00AD4468"/>
    <w:rsid w:val="00AE580A"/>
    <w:rsid w:val="00AE68A1"/>
    <w:rsid w:val="00AF0E0A"/>
    <w:rsid w:val="00AF1505"/>
    <w:rsid w:val="00AF46C0"/>
    <w:rsid w:val="00B024E7"/>
    <w:rsid w:val="00B025EC"/>
    <w:rsid w:val="00B04D4D"/>
    <w:rsid w:val="00B060DC"/>
    <w:rsid w:val="00B06E6F"/>
    <w:rsid w:val="00B14618"/>
    <w:rsid w:val="00B1689F"/>
    <w:rsid w:val="00B21D0A"/>
    <w:rsid w:val="00B243CD"/>
    <w:rsid w:val="00B32579"/>
    <w:rsid w:val="00B34B5D"/>
    <w:rsid w:val="00B466DF"/>
    <w:rsid w:val="00B61184"/>
    <w:rsid w:val="00B713F5"/>
    <w:rsid w:val="00B72AFE"/>
    <w:rsid w:val="00B7362D"/>
    <w:rsid w:val="00B743BA"/>
    <w:rsid w:val="00B76547"/>
    <w:rsid w:val="00B825BC"/>
    <w:rsid w:val="00BA0F1C"/>
    <w:rsid w:val="00BA2579"/>
    <w:rsid w:val="00BA2DDB"/>
    <w:rsid w:val="00BB1B98"/>
    <w:rsid w:val="00BB612E"/>
    <w:rsid w:val="00BC20CF"/>
    <w:rsid w:val="00BC62B8"/>
    <w:rsid w:val="00BC715B"/>
    <w:rsid w:val="00BC74C2"/>
    <w:rsid w:val="00BD09B7"/>
    <w:rsid w:val="00BD2B00"/>
    <w:rsid w:val="00BD43DB"/>
    <w:rsid w:val="00BE07BD"/>
    <w:rsid w:val="00BE18B2"/>
    <w:rsid w:val="00BE3DCC"/>
    <w:rsid w:val="00BE4291"/>
    <w:rsid w:val="00BF112F"/>
    <w:rsid w:val="00BF3CE9"/>
    <w:rsid w:val="00BF4009"/>
    <w:rsid w:val="00BF5E00"/>
    <w:rsid w:val="00BF7932"/>
    <w:rsid w:val="00C01D59"/>
    <w:rsid w:val="00C02529"/>
    <w:rsid w:val="00C13349"/>
    <w:rsid w:val="00C14374"/>
    <w:rsid w:val="00C154AE"/>
    <w:rsid w:val="00C26D1C"/>
    <w:rsid w:val="00C32DC6"/>
    <w:rsid w:val="00C357D6"/>
    <w:rsid w:val="00C36B6A"/>
    <w:rsid w:val="00C40595"/>
    <w:rsid w:val="00C45C54"/>
    <w:rsid w:val="00C477BF"/>
    <w:rsid w:val="00C62609"/>
    <w:rsid w:val="00C661D3"/>
    <w:rsid w:val="00C6645E"/>
    <w:rsid w:val="00C71C84"/>
    <w:rsid w:val="00C7612C"/>
    <w:rsid w:val="00C8217D"/>
    <w:rsid w:val="00C82186"/>
    <w:rsid w:val="00C84A6A"/>
    <w:rsid w:val="00C85970"/>
    <w:rsid w:val="00C867C9"/>
    <w:rsid w:val="00C87921"/>
    <w:rsid w:val="00C92938"/>
    <w:rsid w:val="00C9588C"/>
    <w:rsid w:val="00CB27D5"/>
    <w:rsid w:val="00CC729B"/>
    <w:rsid w:val="00CE6983"/>
    <w:rsid w:val="00CF6BB8"/>
    <w:rsid w:val="00CF771E"/>
    <w:rsid w:val="00D06B90"/>
    <w:rsid w:val="00D13E4C"/>
    <w:rsid w:val="00D14F4E"/>
    <w:rsid w:val="00D15362"/>
    <w:rsid w:val="00D22580"/>
    <w:rsid w:val="00D24E1D"/>
    <w:rsid w:val="00D24FD4"/>
    <w:rsid w:val="00D30E20"/>
    <w:rsid w:val="00D34222"/>
    <w:rsid w:val="00D342A6"/>
    <w:rsid w:val="00D34423"/>
    <w:rsid w:val="00D34F7F"/>
    <w:rsid w:val="00D35FB6"/>
    <w:rsid w:val="00D408C5"/>
    <w:rsid w:val="00D44B12"/>
    <w:rsid w:val="00D574D2"/>
    <w:rsid w:val="00D66401"/>
    <w:rsid w:val="00D70522"/>
    <w:rsid w:val="00D74CF1"/>
    <w:rsid w:val="00D753BA"/>
    <w:rsid w:val="00D75BF9"/>
    <w:rsid w:val="00D76A24"/>
    <w:rsid w:val="00D77FD0"/>
    <w:rsid w:val="00D87443"/>
    <w:rsid w:val="00D95FE0"/>
    <w:rsid w:val="00DA7038"/>
    <w:rsid w:val="00DD4D43"/>
    <w:rsid w:val="00DE4398"/>
    <w:rsid w:val="00DE545B"/>
    <w:rsid w:val="00DE72AF"/>
    <w:rsid w:val="00DF00F3"/>
    <w:rsid w:val="00DF161A"/>
    <w:rsid w:val="00DF36C0"/>
    <w:rsid w:val="00DF6873"/>
    <w:rsid w:val="00E028E8"/>
    <w:rsid w:val="00E1361E"/>
    <w:rsid w:val="00E14281"/>
    <w:rsid w:val="00E1593D"/>
    <w:rsid w:val="00E163FE"/>
    <w:rsid w:val="00E24FFB"/>
    <w:rsid w:val="00E30C38"/>
    <w:rsid w:val="00E34CCF"/>
    <w:rsid w:val="00E35F18"/>
    <w:rsid w:val="00E36CDA"/>
    <w:rsid w:val="00E36DDC"/>
    <w:rsid w:val="00E37A06"/>
    <w:rsid w:val="00E37AF6"/>
    <w:rsid w:val="00E37B7F"/>
    <w:rsid w:val="00E4737D"/>
    <w:rsid w:val="00E676E7"/>
    <w:rsid w:val="00E70651"/>
    <w:rsid w:val="00E7194E"/>
    <w:rsid w:val="00E727E6"/>
    <w:rsid w:val="00E765B6"/>
    <w:rsid w:val="00E769CC"/>
    <w:rsid w:val="00E77621"/>
    <w:rsid w:val="00E822C9"/>
    <w:rsid w:val="00EA3EE5"/>
    <w:rsid w:val="00EA41CD"/>
    <w:rsid w:val="00EB2458"/>
    <w:rsid w:val="00EB39AE"/>
    <w:rsid w:val="00EB7783"/>
    <w:rsid w:val="00EC75A3"/>
    <w:rsid w:val="00ED0634"/>
    <w:rsid w:val="00ED0B9D"/>
    <w:rsid w:val="00ED12BB"/>
    <w:rsid w:val="00ED13EB"/>
    <w:rsid w:val="00ED213C"/>
    <w:rsid w:val="00ED29C2"/>
    <w:rsid w:val="00ED421D"/>
    <w:rsid w:val="00ED7C2E"/>
    <w:rsid w:val="00EE0AE4"/>
    <w:rsid w:val="00EE4246"/>
    <w:rsid w:val="00EE45C9"/>
    <w:rsid w:val="00EF2C37"/>
    <w:rsid w:val="00F012DE"/>
    <w:rsid w:val="00F124FF"/>
    <w:rsid w:val="00F2571F"/>
    <w:rsid w:val="00F31043"/>
    <w:rsid w:val="00F31F4D"/>
    <w:rsid w:val="00F334DD"/>
    <w:rsid w:val="00F338E2"/>
    <w:rsid w:val="00F351D6"/>
    <w:rsid w:val="00F36B31"/>
    <w:rsid w:val="00F40B63"/>
    <w:rsid w:val="00F43BBD"/>
    <w:rsid w:val="00F54DBA"/>
    <w:rsid w:val="00F6296A"/>
    <w:rsid w:val="00F66135"/>
    <w:rsid w:val="00F74198"/>
    <w:rsid w:val="00F82703"/>
    <w:rsid w:val="00F8684A"/>
    <w:rsid w:val="00F9792B"/>
    <w:rsid w:val="00FA1A97"/>
    <w:rsid w:val="00FA557C"/>
    <w:rsid w:val="00FA7F2B"/>
    <w:rsid w:val="00FA7FFC"/>
    <w:rsid w:val="00FB11C7"/>
    <w:rsid w:val="00FC0B69"/>
    <w:rsid w:val="00FC23CB"/>
    <w:rsid w:val="00FE55CE"/>
    <w:rsid w:val="00FE6719"/>
    <w:rsid w:val="00FE710E"/>
    <w:rsid w:val="00FE7834"/>
    <w:rsid w:val="00FF0E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21901"/>
  <w15:chartTrackingRefBased/>
  <w15:docId w15:val="{2AC5D39C-4146-4246-8CC2-F7D19762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e24kjd">
    <w:name w:val="e24kjd"/>
    <w:basedOn w:val="DefaultParagraphFont"/>
    <w:rsid w:val="0022074E"/>
  </w:style>
  <w:style w:type="paragraph" w:customStyle="1" w:styleId="m8229412398326656946msolistbullet">
    <w:name w:val="m_8229412398326656946msolistbullet"/>
    <w:basedOn w:val="Normal"/>
    <w:rsid w:val="00353E71"/>
    <w:pPr>
      <w:spacing w:before="100" w:beforeAutospacing="1" w:after="100" w:afterAutospacing="1"/>
    </w:pPr>
    <w:rPr>
      <w:rFonts w:ascii="Times New Roman" w:hAnsi="Times New Roman"/>
      <w:sz w:val="24"/>
      <w:lang w:eastAsia="en-IE"/>
    </w:rPr>
  </w:style>
  <w:style w:type="paragraph" w:styleId="ListParagraph">
    <w:name w:val="List Paragraph"/>
    <w:basedOn w:val="Normal"/>
    <w:uiPriority w:val="34"/>
    <w:qFormat/>
    <w:rsid w:val="00B04D4D"/>
    <w:pPr>
      <w:ind w:left="720"/>
      <w:contextualSpacing/>
    </w:pPr>
  </w:style>
  <w:style w:type="character" w:customStyle="1" w:styleId="UnresolvedMention">
    <w:name w:val="Unresolved Mention"/>
    <w:basedOn w:val="DefaultParagraphFont"/>
    <w:uiPriority w:val="99"/>
    <w:semiHidden/>
    <w:unhideWhenUsed/>
    <w:rsid w:val="004D7229"/>
    <w:rPr>
      <w:color w:val="605E5C"/>
      <w:shd w:val="clear" w:color="auto" w:fill="E1DFDD"/>
    </w:rPr>
  </w:style>
  <w:style w:type="paragraph" w:styleId="EndnoteText">
    <w:name w:val="endnote text"/>
    <w:basedOn w:val="Normal"/>
    <w:link w:val="EndnoteTextChar"/>
    <w:rsid w:val="00272BC2"/>
    <w:pPr>
      <w:spacing w:after="0"/>
    </w:pPr>
    <w:rPr>
      <w:sz w:val="20"/>
      <w:szCs w:val="20"/>
    </w:rPr>
  </w:style>
  <w:style w:type="character" w:customStyle="1" w:styleId="EndnoteTextChar">
    <w:name w:val="Endnote Text Char"/>
    <w:basedOn w:val="DefaultParagraphFont"/>
    <w:link w:val="EndnoteText"/>
    <w:rsid w:val="00272BC2"/>
    <w:rPr>
      <w:rFonts w:ascii="Gill Sans MT" w:eastAsia="Times New Roman" w:hAnsi="Gill Sans MT"/>
      <w:lang w:eastAsia="en-US"/>
    </w:rPr>
  </w:style>
  <w:style w:type="character" w:styleId="EndnoteReference">
    <w:name w:val="endnote reference"/>
    <w:basedOn w:val="DefaultParagraphFont"/>
    <w:rsid w:val="00272BC2"/>
    <w:rPr>
      <w:vertAlign w:val="superscript"/>
    </w:rPr>
  </w:style>
  <w:style w:type="paragraph" w:styleId="BalloonText">
    <w:name w:val="Balloon Text"/>
    <w:basedOn w:val="Normal"/>
    <w:link w:val="BalloonTextChar"/>
    <w:semiHidden/>
    <w:unhideWhenUsed/>
    <w:rsid w:val="00E769C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769CC"/>
    <w:rPr>
      <w:rFonts w:ascii="Segoe UI" w:eastAsia="Times New Roman" w:hAnsi="Segoe UI" w:cs="Segoe UI"/>
      <w:sz w:val="18"/>
      <w:szCs w:val="18"/>
      <w:lang w:eastAsia="en-US"/>
    </w:rPr>
  </w:style>
  <w:style w:type="character" w:styleId="CommentReference">
    <w:name w:val="annotation reference"/>
    <w:basedOn w:val="DefaultParagraphFont"/>
    <w:rsid w:val="00D342A6"/>
    <w:rPr>
      <w:sz w:val="16"/>
      <w:szCs w:val="16"/>
    </w:rPr>
  </w:style>
  <w:style w:type="paragraph" w:styleId="CommentSubject">
    <w:name w:val="annotation subject"/>
    <w:basedOn w:val="CommentText"/>
    <w:next w:val="CommentText"/>
    <w:link w:val="CommentSubjectChar"/>
    <w:semiHidden/>
    <w:unhideWhenUsed/>
    <w:rsid w:val="00D342A6"/>
    <w:rPr>
      <w:rFonts w:ascii="Gill Sans MT" w:hAnsi="Gill Sans MT"/>
      <w:b/>
      <w:bCs/>
      <w:szCs w:val="20"/>
      <w:lang w:val="en-IE"/>
    </w:rPr>
  </w:style>
  <w:style w:type="character" w:customStyle="1" w:styleId="CommentSubjectChar">
    <w:name w:val="Comment Subject Char"/>
    <w:basedOn w:val="CommentTextChar"/>
    <w:link w:val="CommentSubject"/>
    <w:semiHidden/>
    <w:rsid w:val="00D342A6"/>
    <w:rPr>
      <w:rFonts w:ascii="Gill Sans MT" w:eastAsia="Times New Roman" w:hAnsi="Gill Sans MT"/>
      <w:b/>
      <w:bCs/>
      <w:szCs w:val="24"/>
      <w:lang w:eastAsia="en-US"/>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locked/>
    <w:rsid w:val="008C3B63"/>
    <w:rPr>
      <w:rFonts w:ascii="Gill Sans MT" w:eastAsia="Times New Roman" w:hAnsi="Gill Sans MT"/>
      <w:sz w:val="22"/>
      <w:lang w:eastAsia="en-US"/>
    </w:rPr>
  </w:style>
  <w:style w:type="paragraph" w:styleId="NormalWeb">
    <w:name w:val="Normal (Web)"/>
    <w:basedOn w:val="Normal"/>
    <w:uiPriority w:val="99"/>
    <w:unhideWhenUsed/>
    <w:rsid w:val="00350823"/>
    <w:pPr>
      <w:spacing w:after="150"/>
    </w:pPr>
    <w:rPr>
      <w:rFonts w:ascii="Times New Roman" w:hAnsi="Times New Roman"/>
      <w:sz w:val="24"/>
      <w:lang w:eastAsia="en-IE"/>
    </w:rPr>
  </w:style>
  <w:style w:type="paragraph" w:customStyle="1" w:styleId="Default">
    <w:name w:val="Default"/>
    <w:rsid w:val="00636A98"/>
    <w:pPr>
      <w:autoSpaceDE w:val="0"/>
      <w:autoSpaceDN w:val="0"/>
      <w:adjustRightInd w:val="0"/>
    </w:pPr>
    <w:rPr>
      <w:rFonts w:ascii="Guardian Egyp Regular" w:hAnsi="Guardian Egyp Regular" w:cs="Guardian Egyp Regular"/>
      <w:color w:val="000000"/>
      <w:sz w:val="24"/>
      <w:szCs w:val="24"/>
    </w:rPr>
  </w:style>
  <w:style w:type="paragraph" w:customStyle="1" w:styleId="Pa40">
    <w:name w:val="Pa40"/>
    <w:basedOn w:val="Default"/>
    <w:next w:val="Default"/>
    <w:uiPriority w:val="99"/>
    <w:rsid w:val="00B024E7"/>
    <w:pPr>
      <w:spacing w:line="361" w:lineRule="atLeast"/>
    </w:pPr>
    <w:rPr>
      <w:rFonts w:ascii="Guardian Egyp Bold" w:hAnsi="Guardian Egyp Bold" w:cs="Times New Roman"/>
      <w:color w:val="auto"/>
    </w:rPr>
  </w:style>
  <w:style w:type="paragraph" w:customStyle="1" w:styleId="Pa6">
    <w:name w:val="Pa6"/>
    <w:basedOn w:val="Normal"/>
    <w:uiPriority w:val="99"/>
    <w:rsid w:val="00266302"/>
    <w:pPr>
      <w:autoSpaceDE w:val="0"/>
      <w:autoSpaceDN w:val="0"/>
      <w:spacing w:after="0" w:line="261" w:lineRule="atLeast"/>
    </w:pPr>
    <w:rPr>
      <w:rFonts w:ascii="RANFG O+ Gotham" w:eastAsiaTheme="minorHAnsi" w:hAnsi="RANFG O+ Gotham"/>
      <w:sz w:val="24"/>
      <w:lang w:eastAsia="en-IE"/>
    </w:rPr>
  </w:style>
  <w:style w:type="paragraph" w:customStyle="1" w:styleId="Pa2">
    <w:name w:val="Pa2"/>
    <w:basedOn w:val="Normal"/>
    <w:uiPriority w:val="99"/>
    <w:rsid w:val="00266302"/>
    <w:pPr>
      <w:autoSpaceDE w:val="0"/>
      <w:autoSpaceDN w:val="0"/>
      <w:spacing w:after="0" w:line="201" w:lineRule="atLeast"/>
    </w:pPr>
    <w:rPr>
      <w:rFonts w:ascii="RANFG O+ Gotham" w:eastAsiaTheme="minorHAnsi" w:hAnsi="RANFG O+ Gotham"/>
      <w:sz w:val="24"/>
      <w:lang w:eastAsia="en-IE"/>
    </w:rPr>
  </w:style>
  <w:style w:type="character" w:customStyle="1" w:styleId="A3">
    <w:name w:val="A3"/>
    <w:basedOn w:val="DefaultParagraphFont"/>
    <w:uiPriority w:val="99"/>
    <w:rsid w:val="00266302"/>
    <w:rPr>
      <w:rFonts w:ascii="Monotype Sorts" w:hAnsi="Monotype Sorts" w:hint="default"/>
      <w:color w:val="000000"/>
    </w:rPr>
  </w:style>
  <w:style w:type="paragraph" w:customStyle="1" w:styleId="Pa22">
    <w:name w:val="Pa22"/>
    <w:basedOn w:val="Default"/>
    <w:next w:val="Default"/>
    <w:uiPriority w:val="99"/>
    <w:rsid w:val="00531736"/>
    <w:pPr>
      <w:spacing w:line="211" w:lineRule="atLeast"/>
    </w:pPr>
    <w:rPr>
      <w:rFonts w:ascii="Cambria" w:hAnsi="Cambr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285">
      <w:bodyDiv w:val="1"/>
      <w:marLeft w:val="0"/>
      <w:marRight w:val="0"/>
      <w:marTop w:val="0"/>
      <w:marBottom w:val="0"/>
      <w:divBdr>
        <w:top w:val="none" w:sz="0" w:space="0" w:color="auto"/>
        <w:left w:val="none" w:sz="0" w:space="0" w:color="auto"/>
        <w:bottom w:val="none" w:sz="0" w:space="0" w:color="auto"/>
        <w:right w:val="none" w:sz="0" w:space="0" w:color="auto"/>
      </w:divBdr>
    </w:div>
    <w:div w:id="103155033">
      <w:bodyDiv w:val="1"/>
      <w:marLeft w:val="0"/>
      <w:marRight w:val="0"/>
      <w:marTop w:val="0"/>
      <w:marBottom w:val="0"/>
      <w:divBdr>
        <w:top w:val="none" w:sz="0" w:space="0" w:color="auto"/>
        <w:left w:val="none" w:sz="0" w:space="0" w:color="auto"/>
        <w:bottom w:val="none" w:sz="0" w:space="0" w:color="auto"/>
        <w:right w:val="none" w:sz="0" w:space="0" w:color="auto"/>
      </w:divBdr>
    </w:div>
    <w:div w:id="230311173">
      <w:bodyDiv w:val="1"/>
      <w:marLeft w:val="0"/>
      <w:marRight w:val="0"/>
      <w:marTop w:val="0"/>
      <w:marBottom w:val="0"/>
      <w:divBdr>
        <w:top w:val="none" w:sz="0" w:space="0" w:color="auto"/>
        <w:left w:val="none" w:sz="0" w:space="0" w:color="auto"/>
        <w:bottom w:val="none" w:sz="0" w:space="0" w:color="auto"/>
        <w:right w:val="none" w:sz="0" w:space="0" w:color="auto"/>
      </w:divBdr>
    </w:div>
    <w:div w:id="503865894">
      <w:bodyDiv w:val="1"/>
      <w:marLeft w:val="0"/>
      <w:marRight w:val="0"/>
      <w:marTop w:val="0"/>
      <w:marBottom w:val="0"/>
      <w:divBdr>
        <w:top w:val="none" w:sz="0" w:space="0" w:color="auto"/>
        <w:left w:val="none" w:sz="0" w:space="0" w:color="auto"/>
        <w:bottom w:val="none" w:sz="0" w:space="0" w:color="auto"/>
        <w:right w:val="none" w:sz="0" w:space="0" w:color="auto"/>
      </w:divBdr>
    </w:div>
    <w:div w:id="679090755">
      <w:bodyDiv w:val="1"/>
      <w:marLeft w:val="0"/>
      <w:marRight w:val="0"/>
      <w:marTop w:val="0"/>
      <w:marBottom w:val="0"/>
      <w:divBdr>
        <w:top w:val="none" w:sz="0" w:space="0" w:color="auto"/>
        <w:left w:val="none" w:sz="0" w:space="0" w:color="auto"/>
        <w:bottom w:val="none" w:sz="0" w:space="0" w:color="auto"/>
        <w:right w:val="none" w:sz="0" w:space="0" w:color="auto"/>
      </w:divBdr>
    </w:div>
    <w:div w:id="734281198">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0"/>
          <w:marRight w:val="0"/>
          <w:marTop w:val="0"/>
          <w:marBottom w:val="0"/>
          <w:divBdr>
            <w:top w:val="none" w:sz="0" w:space="0" w:color="auto"/>
            <w:left w:val="none" w:sz="0" w:space="0" w:color="auto"/>
            <w:bottom w:val="none" w:sz="0" w:space="0" w:color="auto"/>
            <w:right w:val="none" w:sz="0" w:space="0" w:color="auto"/>
          </w:divBdr>
          <w:divsChild>
            <w:div w:id="63767659">
              <w:marLeft w:val="-225"/>
              <w:marRight w:val="-225"/>
              <w:marTop w:val="0"/>
              <w:marBottom w:val="0"/>
              <w:divBdr>
                <w:top w:val="none" w:sz="0" w:space="0" w:color="auto"/>
                <w:left w:val="none" w:sz="0" w:space="0" w:color="auto"/>
                <w:bottom w:val="none" w:sz="0" w:space="0" w:color="auto"/>
                <w:right w:val="none" w:sz="0" w:space="0" w:color="auto"/>
              </w:divBdr>
              <w:divsChild>
                <w:div w:id="38208182">
                  <w:marLeft w:val="0"/>
                  <w:marRight w:val="0"/>
                  <w:marTop w:val="0"/>
                  <w:marBottom w:val="0"/>
                  <w:divBdr>
                    <w:top w:val="none" w:sz="0" w:space="0" w:color="auto"/>
                    <w:left w:val="none" w:sz="0" w:space="0" w:color="auto"/>
                    <w:bottom w:val="none" w:sz="0" w:space="0" w:color="auto"/>
                    <w:right w:val="none" w:sz="0" w:space="0" w:color="auto"/>
                  </w:divBdr>
                  <w:divsChild>
                    <w:div w:id="988438238">
                      <w:marLeft w:val="-225"/>
                      <w:marRight w:val="-225"/>
                      <w:marTop w:val="0"/>
                      <w:marBottom w:val="0"/>
                      <w:divBdr>
                        <w:top w:val="none" w:sz="0" w:space="0" w:color="auto"/>
                        <w:left w:val="none" w:sz="0" w:space="0" w:color="auto"/>
                        <w:bottom w:val="none" w:sz="0" w:space="0" w:color="auto"/>
                        <w:right w:val="none" w:sz="0" w:space="0" w:color="auto"/>
                      </w:divBdr>
                      <w:divsChild>
                        <w:div w:id="2014531000">
                          <w:marLeft w:val="0"/>
                          <w:marRight w:val="0"/>
                          <w:marTop w:val="0"/>
                          <w:marBottom w:val="0"/>
                          <w:divBdr>
                            <w:top w:val="none" w:sz="0" w:space="0" w:color="auto"/>
                            <w:left w:val="none" w:sz="0" w:space="0" w:color="auto"/>
                            <w:bottom w:val="none" w:sz="0" w:space="0" w:color="auto"/>
                            <w:right w:val="none" w:sz="0" w:space="0" w:color="auto"/>
                          </w:divBdr>
                          <w:divsChild>
                            <w:div w:id="929390553">
                              <w:marLeft w:val="0"/>
                              <w:marRight w:val="0"/>
                              <w:marTop w:val="0"/>
                              <w:marBottom w:val="0"/>
                              <w:divBdr>
                                <w:top w:val="none" w:sz="0" w:space="0" w:color="auto"/>
                                <w:left w:val="none" w:sz="0" w:space="0" w:color="auto"/>
                                <w:bottom w:val="none" w:sz="0" w:space="0" w:color="auto"/>
                                <w:right w:val="none" w:sz="0" w:space="0" w:color="auto"/>
                              </w:divBdr>
                              <w:divsChild>
                                <w:div w:id="978070112">
                                  <w:marLeft w:val="-225"/>
                                  <w:marRight w:val="-225"/>
                                  <w:marTop w:val="0"/>
                                  <w:marBottom w:val="0"/>
                                  <w:divBdr>
                                    <w:top w:val="none" w:sz="0" w:space="0" w:color="auto"/>
                                    <w:left w:val="none" w:sz="0" w:space="0" w:color="auto"/>
                                    <w:bottom w:val="none" w:sz="0" w:space="0" w:color="auto"/>
                                    <w:right w:val="none" w:sz="0" w:space="0" w:color="auto"/>
                                  </w:divBdr>
                                </w:div>
                              </w:divsChild>
                            </w:div>
                            <w:div w:id="1472792739">
                              <w:marLeft w:val="0"/>
                              <w:marRight w:val="0"/>
                              <w:marTop w:val="0"/>
                              <w:marBottom w:val="0"/>
                              <w:divBdr>
                                <w:top w:val="none" w:sz="0" w:space="0" w:color="auto"/>
                                <w:left w:val="none" w:sz="0" w:space="0" w:color="auto"/>
                                <w:bottom w:val="none" w:sz="0" w:space="0" w:color="auto"/>
                                <w:right w:val="none" w:sz="0" w:space="0" w:color="auto"/>
                              </w:divBdr>
                              <w:divsChild>
                                <w:div w:id="779689781">
                                  <w:marLeft w:val="-225"/>
                                  <w:marRight w:val="-225"/>
                                  <w:marTop w:val="0"/>
                                  <w:marBottom w:val="0"/>
                                  <w:divBdr>
                                    <w:top w:val="none" w:sz="0" w:space="0" w:color="auto"/>
                                    <w:left w:val="none" w:sz="0" w:space="0" w:color="auto"/>
                                    <w:bottom w:val="none" w:sz="0" w:space="0" w:color="auto"/>
                                    <w:right w:val="none" w:sz="0" w:space="0" w:color="auto"/>
                                  </w:divBdr>
                                </w:div>
                              </w:divsChild>
                            </w:div>
                            <w:div w:id="2028171907">
                              <w:marLeft w:val="0"/>
                              <w:marRight w:val="0"/>
                              <w:marTop w:val="0"/>
                              <w:marBottom w:val="0"/>
                              <w:divBdr>
                                <w:top w:val="none" w:sz="0" w:space="0" w:color="auto"/>
                                <w:left w:val="none" w:sz="0" w:space="0" w:color="auto"/>
                                <w:bottom w:val="none" w:sz="0" w:space="0" w:color="auto"/>
                                <w:right w:val="none" w:sz="0" w:space="0" w:color="auto"/>
                              </w:divBdr>
                              <w:divsChild>
                                <w:div w:id="1549414056">
                                  <w:marLeft w:val="-225"/>
                                  <w:marRight w:val="-225"/>
                                  <w:marTop w:val="0"/>
                                  <w:marBottom w:val="0"/>
                                  <w:divBdr>
                                    <w:top w:val="none" w:sz="0" w:space="0" w:color="auto"/>
                                    <w:left w:val="none" w:sz="0" w:space="0" w:color="auto"/>
                                    <w:bottom w:val="none" w:sz="0" w:space="0" w:color="auto"/>
                                    <w:right w:val="none" w:sz="0" w:space="0" w:color="auto"/>
                                  </w:divBdr>
                                </w:div>
                              </w:divsChild>
                            </w:div>
                            <w:div w:id="1286038334">
                              <w:marLeft w:val="0"/>
                              <w:marRight w:val="0"/>
                              <w:marTop w:val="0"/>
                              <w:marBottom w:val="0"/>
                              <w:divBdr>
                                <w:top w:val="none" w:sz="0" w:space="0" w:color="auto"/>
                                <w:left w:val="none" w:sz="0" w:space="0" w:color="auto"/>
                                <w:bottom w:val="none" w:sz="0" w:space="0" w:color="auto"/>
                                <w:right w:val="none" w:sz="0" w:space="0" w:color="auto"/>
                              </w:divBdr>
                              <w:divsChild>
                                <w:div w:id="588657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06044">
      <w:bodyDiv w:val="1"/>
      <w:marLeft w:val="0"/>
      <w:marRight w:val="0"/>
      <w:marTop w:val="0"/>
      <w:marBottom w:val="0"/>
      <w:divBdr>
        <w:top w:val="none" w:sz="0" w:space="0" w:color="auto"/>
        <w:left w:val="none" w:sz="0" w:space="0" w:color="auto"/>
        <w:bottom w:val="none" w:sz="0" w:space="0" w:color="auto"/>
        <w:right w:val="none" w:sz="0" w:space="0" w:color="auto"/>
      </w:divBdr>
    </w:div>
    <w:div w:id="1155534961">
      <w:bodyDiv w:val="1"/>
      <w:marLeft w:val="0"/>
      <w:marRight w:val="0"/>
      <w:marTop w:val="0"/>
      <w:marBottom w:val="0"/>
      <w:divBdr>
        <w:top w:val="none" w:sz="0" w:space="0" w:color="auto"/>
        <w:left w:val="none" w:sz="0" w:space="0" w:color="auto"/>
        <w:bottom w:val="none" w:sz="0" w:space="0" w:color="auto"/>
        <w:right w:val="none" w:sz="0" w:space="0" w:color="auto"/>
      </w:divBdr>
    </w:div>
    <w:div w:id="1294016445">
      <w:bodyDiv w:val="1"/>
      <w:marLeft w:val="0"/>
      <w:marRight w:val="0"/>
      <w:marTop w:val="0"/>
      <w:marBottom w:val="0"/>
      <w:divBdr>
        <w:top w:val="none" w:sz="0" w:space="0" w:color="auto"/>
        <w:left w:val="none" w:sz="0" w:space="0" w:color="auto"/>
        <w:bottom w:val="none" w:sz="0" w:space="0" w:color="auto"/>
        <w:right w:val="none" w:sz="0" w:space="0" w:color="auto"/>
      </w:divBdr>
    </w:div>
    <w:div w:id="1424839141">
      <w:bodyDiv w:val="1"/>
      <w:marLeft w:val="0"/>
      <w:marRight w:val="0"/>
      <w:marTop w:val="0"/>
      <w:marBottom w:val="0"/>
      <w:divBdr>
        <w:top w:val="none" w:sz="0" w:space="0" w:color="auto"/>
        <w:left w:val="none" w:sz="0" w:space="0" w:color="auto"/>
        <w:bottom w:val="none" w:sz="0" w:space="0" w:color="auto"/>
        <w:right w:val="none" w:sz="0" w:space="0" w:color="auto"/>
      </w:divBdr>
    </w:div>
    <w:div w:id="1498307577">
      <w:bodyDiv w:val="1"/>
      <w:marLeft w:val="0"/>
      <w:marRight w:val="0"/>
      <w:marTop w:val="0"/>
      <w:marBottom w:val="0"/>
      <w:divBdr>
        <w:top w:val="none" w:sz="0" w:space="0" w:color="auto"/>
        <w:left w:val="none" w:sz="0" w:space="0" w:color="auto"/>
        <w:bottom w:val="none" w:sz="0" w:space="0" w:color="auto"/>
        <w:right w:val="none" w:sz="0" w:space="0" w:color="auto"/>
      </w:divBdr>
    </w:div>
    <w:div w:id="16413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ndards.cen.eu/dyn/www/f?p=204:110:0::::FSP_PROJECT,FSP_LANG_ID:65077,25&amp;cs=1B1F504D7DCF7711690E22BAE7CED456A" TargetMode="External"/><Relationship Id="rId18" Type="http://schemas.openxmlformats.org/officeDocument/2006/relationships/hyperlink" Target="https://www.ops2020.gov.ie/app/themes/ops2020/dist/pdfs/Our-Public-Service-2020-WEB.pdf" TargetMode="External"/><Relationship Id="rId3" Type="http://schemas.openxmlformats.org/officeDocument/2006/relationships/styles" Target="styles.xml"/><Relationship Id="rId21" Type="http://schemas.openxmlformats.org/officeDocument/2006/relationships/hyperlink" Target="http://www.justice.ie/en/JELR/20120305%20DIA%20Guidelines.pdf/Files/20120305%20DIA%20Guidelines.pdf" TargetMode="External"/><Relationship Id="rId7" Type="http://schemas.openxmlformats.org/officeDocument/2006/relationships/endnotes" Target="endnotes.xml"/><Relationship Id="rId12" Type="http://schemas.openxmlformats.org/officeDocument/2006/relationships/hyperlink" Target="https://www.thenbs.com/PublicationIndex/documents/details?Pub=BSI&amp;DocID=320519" TargetMode="External"/><Relationship Id="rId17" Type="http://schemas.openxmlformats.org/officeDocument/2006/relationships/hyperlink" Target="https://www.gov.ie/en/organisation-information/59bac-public-sector-equality-and-human-rights-duty/" TargetMode="External"/><Relationship Id="rId2" Type="http://schemas.openxmlformats.org/officeDocument/2006/relationships/numbering" Target="numbering.xml"/><Relationship Id="rId16" Type="http://schemas.openxmlformats.org/officeDocument/2006/relationships/hyperlink" Target="https://www.thenbs.com/PublicationIndex/documents/details?Pub=BSI&amp;DocID=320519" TargetMode="External"/><Relationship Id="rId20" Type="http://schemas.openxmlformats.org/officeDocument/2006/relationships/hyperlink" Target="https://assets.gov.ie/6813/2a580791a7b24decb97a550539a0faf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clemanual.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o.org/standard/51000.html" TargetMode="External"/><Relationship Id="rId23" Type="http://schemas.openxmlformats.org/officeDocument/2006/relationships/fontTable" Target="fontTable.xml"/><Relationship Id="rId10" Type="http://schemas.openxmlformats.org/officeDocument/2006/relationships/hyperlink" Target="https://tbinternet.ohchr.org/_layouts/15/treatybodyexternal/Download.aspx?symbolno=CRPD/C/GC/7&amp;Lang=en" TargetMode="External"/><Relationship Id="rId19" Type="http://schemas.openxmlformats.org/officeDocument/2006/relationships/hyperlink" Target="http://nda.ie/Good-practice/Codes-of-Practice/Code-of-Practice-on-Accessibility-of-Public-Services-and-Information-Provided-by-Public-Bodies-/"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s://www.iso.org/standard/56797.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alksf.org/wp-content/uploads/2019/12/getting-to-the-curb-report-final-walk-sf-2019.pdf" TargetMode="External"/><Relationship Id="rId2" Type="http://schemas.openxmlformats.org/officeDocument/2006/relationships/hyperlink" Target="https://tilda.tcd.ie/news-events/2015/1515-research-road-crossing/" TargetMode="External"/><Relationship Id="rId1" Type="http://schemas.openxmlformats.org/officeDocument/2006/relationships/hyperlink" Target="https://tbinternet.ohchr.org/_layouts/15/treatybodyexternal/Download.aspx?symbolno=CRPD/C/GC/7&amp;Lang=en" TargetMode="External"/><Relationship Id="rId6" Type="http://schemas.openxmlformats.org/officeDocument/2006/relationships/hyperlink" Target="https://standards.cen.eu/dyn/www/f?p=204:110:0::::FSP_PROJECT,FSP_LANG_ID:65077,25&amp;cs=1B1F504D7DCF7711690E22BAE7CED456A" TargetMode="External"/><Relationship Id="rId5" Type="http://schemas.openxmlformats.org/officeDocument/2006/relationships/hyperlink" Target="https://tilda.tcd.ie/publications/reports/pdf/Report_AmberCrossCode.pdf" TargetMode="External"/><Relationship Id="rId4" Type="http://schemas.openxmlformats.org/officeDocument/2006/relationships/hyperlink" Target="https://universaldesign.ie/products-services/guidelines-on-body-siz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132B-6582-4039-BADC-903D8D4A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12</Pages>
  <Words>3685</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A. Fawl</dc:creator>
  <cp:keywords/>
  <cp:lastModifiedBy>Heather C. O'Leary</cp:lastModifiedBy>
  <cp:revision>2</cp:revision>
  <cp:lastPrinted>2019-12-11T15:31:00Z</cp:lastPrinted>
  <dcterms:created xsi:type="dcterms:W3CDTF">2023-06-14T09:53:00Z</dcterms:created>
  <dcterms:modified xsi:type="dcterms:W3CDTF">2023-06-14T09:53:00Z</dcterms:modified>
</cp:coreProperties>
</file>