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1DBB3" w14:textId="77777777" w:rsidR="00835AD6" w:rsidRDefault="00835AD6" w:rsidP="00835AD6">
      <w:pPr>
        <w:pStyle w:val="Title"/>
        <w:jc w:val="left"/>
      </w:pPr>
      <w:r>
        <w:rPr>
          <w:noProof/>
          <w:lang w:eastAsia="en-IE"/>
        </w:rPr>
        <w:drawing>
          <wp:inline distT="0" distB="0" distL="0" distR="0" wp14:anchorId="72348585" wp14:editId="63F3412A">
            <wp:extent cx="2523490" cy="1799590"/>
            <wp:effectExtent l="0" t="0" r="0" b="0"/>
            <wp:docPr id="3" name="Picture 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1" name="Picture 1"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0A465D37" w14:textId="26564D92" w:rsidR="00835AD6" w:rsidRPr="00B6001A" w:rsidRDefault="00835AD6" w:rsidP="00835AD6">
      <w:pPr>
        <w:rPr>
          <w:b/>
        </w:rPr>
      </w:pPr>
      <w:r>
        <w:rPr>
          <w:b/>
        </w:rPr>
        <w:t>February</w:t>
      </w:r>
      <w:r>
        <w:rPr>
          <w:b/>
        </w:rPr>
        <w:t xml:space="preserve"> 2023</w:t>
      </w:r>
    </w:p>
    <w:p w14:paraId="50A518B6" w14:textId="5941DD3F" w:rsidR="00835AD6" w:rsidRDefault="00835AD6" w:rsidP="00835AD6">
      <w:pPr>
        <w:pStyle w:val="Title"/>
      </w:pPr>
      <w:r w:rsidRPr="00B6001A">
        <w:rPr>
          <w:color w:val="BF2296"/>
        </w:rPr>
        <w:t>NDA Submission to</w:t>
      </w:r>
      <w:r>
        <w:rPr>
          <w:color w:val="BF2296"/>
        </w:rPr>
        <w:t xml:space="preserve"> the </w:t>
      </w:r>
      <w:r>
        <w:rPr>
          <w:color w:val="BF2296"/>
        </w:rPr>
        <w:t>Officer of the Revenue Commissioner’s Statement of Strategy 2023-25</w:t>
      </w:r>
      <w:r>
        <w:rPr>
          <w:rStyle w:val="FootnoteReference"/>
          <w:color w:val="BF2296"/>
        </w:rPr>
        <w:footnoteReference w:id="1"/>
      </w:r>
    </w:p>
    <w:p w14:paraId="544B936F" w14:textId="77777777" w:rsidR="0056522A" w:rsidRPr="009C1F21" w:rsidRDefault="0056522A" w:rsidP="00835AD6">
      <w:pPr>
        <w:pStyle w:val="Heading1"/>
        <w:ind w:left="0"/>
      </w:pPr>
      <w:r w:rsidRPr="009C1F21">
        <w:t>Introduction</w:t>
      </w:r>
    </w:p>
    <w:p w14:paraId="7263E795" w14:textId="77777777" w:rsidR="0056522A" w:rsidRDefault="0056522A" w:rsidP="0056522A">
      <w:pPr>
        <w:pStyle w:val="Default"/>
        <w:rPr>
          <w:color w:val="auto"/>
          <w:sz w:val="26"/>
          <w:szCs w:val="26"/>
        </w:rPr>
      </w:pPr>
      <w:r w:rsidRPr="009C1F21">
        <w:rPr>
          <w:color w:val="auto"/>
          <w:sz w:val="26"/>
          <w:szCs w:val="26"/>
        </w:rPr>
        <w:t xml:space="preserve">The National Disability Authority (NDA) is the independent statutory body with a duty to provide information and evidence-informed advice to Government and officials in the public sector on disability matters, and to promote Universal Design. This submission </w:t>
      </w:r>
      <w:r w:rsidR="00555AFB">
        <w:rPr>
          <w:color w:val="auto"/>
          <w:sz w:val="26"/>
          <w:szCs w:val="26"/>
        </w:rPr>
        <w:t xml:space="preserve">to the Office of the Revenue Commissioners </w:t>
      </w:r>
      <w:r w:rsidRPr="009C1F21">
        <w:rPr>
          <w:color w:val="auto"/>
          <w:sz w:val="26"/>
          <w:szCs w:val="26"/>
        </w:rPr>
        <w:t>on the S</w:t>
      </w:r>
      <w:r w:rsidR="004A7E41">
        <w:rPr>
          <w:color w:val="auto"/>
          <w:sz w:val="26"/>
          <w:szCs w:val="26"/>
        </w:rPr>
        <w:t>tatement of Strategy 2023 - 2025</w:t>
      </w:r>
      <w:r w:rsidRPr="009C1F21">
        <w:rPr>
          <w:color w:val="auto"/>
          <w:sz w:val="26"/>
          <w:szCs w:val="26"/>
        </w:rPr>
        <w:t xml:space="preserve"> a</w:t>
      </w:r>
      <w:r w:rsidR="00C703B2">
        <w:rPr>
          <w:color w:val="auto"/>
          <w:sz w:val="26"/>
          <w:szCs w:val="26"/>
        </w:rPr>
        <w:t>ddresses issues related to its</w:t>
      </w:r>
      <w:r w:rsidRPr="009C1F21">
        <w:rPr>
          <w:color w:val="auto"/>
          <w:sz w:val="26"/>
          <w:szCs w:val="26"/>
        </w:rPr>
        <w:t xml:space="preserve"> remit which fall within the NDA’s competencies and expertise. </w:t>
      </w:r>
    </w:p>
    <w:p w14:paraId="7DB82C4C" w14:textId="77777777" w:rsidR="0018603D" w:rsidRDefault="0018603D" w:rsidP="0056522A">
      <w:pPr>
        <w:pStyle w:val="Default"/>
        <w:rPr>
          <w:color w:val="auto"/>
          <w:sz w:val="26"/>
          <w:szCs w:val="26"/>
        </w:rPr>
      </w:pPr>
    </w:p>
    <w:p w14:paraId="1D88527A" w14:textId="77777777" w:rsidR="0018603D" w:rsidRDefault="0018603D" w:rsidP="00DC5EFF">
      <w:pPr>
        <w:pStyle w:val="Default"/>
        <w:rPr>
          <w:color w:val="auto"/>
          <w:sz w:val="26"/>
          <w:szCs w:val="26"/>
        </w:rPr>
      </w:pPr>
      <w:r w:rsidRPr="009C1F21">
        <w:rPr>
          <w:color w:val="auto"/>
          <w:sz w:val="26"/>
          <w:szCs w:val="26"/>
        </w:rPr>
        <w:t xml:space="preserve">The NDA advise that the </w:t>
      </w:r>
      <w:r w:rsidR="00C03161">
        <w:rPr>
          <w:color w:val="auto"/>
          <w:sz w:val="26"/>
          <w:szCs w:val="26"/>
        </w:rPr>
        <w:t>Office of the Revenue Commissioner</w:t>
      </w:r>
      <w:r w:rsidRPr="009C1F21">
        <w:rPr>
          <w:color w:val="auto"/>
          <w:sz w:val="26"/>
          <w:szCs w:val="26"/>
        </w:rPr>
        <w:t xml:space="preserve"> should provide clear commitments in relation to disability </w:t>
      </w:r>
      <w:r w:rsidR="0044227D">
        <w:rPr>
          <w:color w:val="auto"/>
          <w:sz w:val="26"/>
          <w:szCs w:val="26"/>
        </w:rPr>
        <w:t xml:space="preserve">proofing the services </w:t>
      </w:r>
      <w:r w:rsidR="00C03161">
        <w:rPr>
          <w:color w:val="auto"/>
          <w:sz w:val="26"/>
          <w:szCs w:val="26"/>
        </w:rPr>
        <w:t>it provides</w:t>
      </w:r>
      <w:r w:rsidR="00706461">
        <w:rPr>
          <w:color w:val="auto"/>
          <w:sz w:val="26"/>
          <w:szCs w:val="26"/>
        </w:rPr>
        <w:t xml:space="preserve">, </w:t>
      </w:r>
      <w:r w:rsidR="00706461" w:rsidRPr="009C1F21">
        <w:rPr>
          <w:color w:val="auto"/>
          <w:sz w:val="26"/>
          <w:szCs w:val="26"/>
        </w:rPr>
        <w:t xml:space="preserve">ensuring that the </w:t>
      </w:r>
      <w:r w:rsidR="00706461">
        <w:rPr>
          <w:color w:val="auto"/>
          <w:sz w:val="26"/>
          <w:szCs w:val="26"/>
        </w:rPr>
        <w:t>organisation</w:t>
      </w:r>
      <w:r w:rsidR="00706461" w:rsidRPr="009C1F21">
        <w:rPr>
          <w:color w:val="auto"/>
          <w:sz w:val="26"/>
          <w:szCs w:val="26"/>
        </w:rPr>
        <w:t xml:space="preserve"> is playing its part in the delivery of the State’s commitments under the United Nations Convention on the Rights of Persons with Disabilities (UNCRPD).</w:t>
      </w:r>
      <w:r w:rsidR="00830FAD">
        <w:rPr>
          <w:color w:val="auto"/>
          <w:sz w:val="26"/>
          <w:szCs w:val="26"/>
        </w:rPr>
        <w:t xml:space="preserve"> </w:t>
      </w:r>
      <w:r w:rsidR="0044227D">
        <w:rPr>
          <w:color w:val="auto"/>
          <w:sz w:val="26"/>
          <w:szCs w:val="26"/>
        </w:rPr>
        <w:t xml:space="preserve">This is with regard to operational practices, </w:t>
      </w:r>
      <w:r w:rsidR="00305C41">
        <w:rPr>
          <w:color w:val="auto"/>
          <w:sz w:val="26"/>
          <w:szCs w:val="26"/>
        </w:rPr>
        <w:t xml:space="preserve">and </w:t>
      </w:r>
      <w:r w:rsidR="004E185F">
        <w:rPr>
          <w:color w:val="auto"/>
          <w:sz w:val="26"/>
          <w:szCs w:val="26"/>
        </w:rPr>
        <w:t>in</w:t>
      </w:r>
      <w:r w:rsidR="0044227D">
        <w:rPr>
          <w:color w:val="auto"/>
          <w:sz w:val="26"/>
          <w:szCs w:val="26"/>
        </w:rPr>
        <w:t xml:space="preserve"> </w:t>
      </w:r>
      <w:r w:rsidR="00305C41">
        <w:rPr>
          <w:color w:val="auto"/>
          <w:sz w:val="26"/>
          <w:szCs w:val="26"/>
        </w:rPr>
        <w:t>the development of</w:t>
      </w:r>
      <w:r w:rsidR="0044227D">
        <w:rPr>
          <w:color w:val="auto"/>
          <w:sz w:val="26"/>
          <w:szCs w:val="26"/>
        </w:rPr>
        <w:t xml:space="preserve"> staff, structures and process</w:t>
      </w:r>
      <w:r w:rsidR="004E185F">
        <w:rPr>
          <w:color w:val="auto"/>
          <w:sz w:val="26"/>
          <w:szCs w:val="26"/>
        </w:rPr>
        <w:t>es</w:t>
      </w:r>
      <w:r w:rsidR="0044227D">
        <w:rPr>
          <w:color w:val="auto"/>
          <w:sz w:val="26"/>
          <w:szCs w:val="26"/>
        </w:rPr>
        <w:t xml:space="preserve"> to provide appropriate provision of services to persons with disabilities.</w:t>
      </w:r>
      <w:r w:rsidR="00C5343D">
        <w:rPr>
          <w:color w:val="auto"/>
          <w:sz w:val="26"/>
          <w:szCs w:val="26"/>
        </w:rPr>
        <w:t xml:space="preserve"> </w:t>
      </w:r>
    </w:p>
    <w:p w14:paraId="11D0D755" w14:textId="77777777" w:rsidR="00FC2109" w:rsidRDefault="00FC2109" w:rsidP="00DC5EFF">
      <w:pPr>
        <w:pStyle w:val="Default"/>
        <w:rPr>
          <w:color w:val="auto"/>
          <w:sz w:val="26"/>
          <w:szCs w:val="26"/>
        </w:rPr>
      </w:pPr>
    </w:p>
    <w:p w14:paraId="13E19686" w14:textId="77777777" w:rsidR="006C1542" w:rsidRDefault="00DF19D1" w:rsidP="00DC5EFF">
      <w:pPr>
        <w:pStyle w:val="Default"/>
        <w:rPr>
          <w:color w:val="auto"/>
          <w:sz w:val="26"/>
          <w:szCs w:val="26"/>
        </w:rPr>
      </w:pPr>
      <w:r>
        <w:rPr>
          <w:color w:val="auto"/>
          <w:sz w:val="26"/>
          <w:szCs w:val="26"/>
        </w:rPr>
        <w:t xml:space="preserve">The NDA </w:t>
      </w:r>
      <w:r w:rsidR="006C1542">
        <w:rPr>
          <w:color w:val="auto"/>
          <w:sz w:val="26"/>
          <w:szCs w:val="26"/>
        </w:rPr>
        <w:t>advise</w:t>
      </w:r>
      <w:r>
        <w:rPr>
          <w:color w:val="auto"/>
          <w:sz w:val="26"/>
          <w:szCs w:val="26"/>
        </w:rPr>
        <w:t xml:space="preserve"> that the Office of the Revenue Commissioners </w:t>
      </w:r>
      <w:r w:rsidR="006C1542">
        <w:rPr>
          <w:color w:val="auto"/>
          <w:sz w:val="26"/>
          <w:szCs w:val="26"/>
        </w:rPr>
        <w:t>include the following clear commitments</w:t>
      </w:r>
      <w:r w:rsidR="0065190D">
        <w:rPr>
          <w:color w:val="auto"/>
          <w:sz w:val="26"/>
          <w:szCs w:val="26"/>
        </w:rPr>
        <w:t xml:space="preserve"> in their Statement of Strategy 2023- 2025</w:t>
      </w:r>
      <w:r w:rsidR="00DF4318">
        <w:rPr>
          <w:color w:val="auto"/>
          <w:sz w:val="26"/>
          <w:szCs w:val="26"/>
        </w:rPr>
        <w:t>;</w:t>
      </w:r>
    </w:p>
    <w:p w14:paraId="50584076" w14:textId="15700F1E" w:rsidR="00C84828" w:rsidRDefault="00C84828" w:rsidP="00055A16">
      <w:pPr>
        <w:pStyle w:val="Default"/>
        <w:numPr>
          <w:ilvl w:val="0"/>
          <w:numId w:val="45"/>
        </w:numPr>
        <w:rPr>
          <w:color w:val="auto"/>
          <w:sz w:val="26"/>
          <w:szCs w:val="26"/>
        </w:rPr>
      </w:pPr>
      <w:r>
        <w:rPr>
          <w:color w:val="auto"/>
          <w:sz w:val="26"/>
          <w:szCs w:val="26"/>
        </w:rPr>
        <w:t xml:space="preserve">Regularly review eligibility criteria for tax credits and reliefs for persons with disabilities to ensure criteria </w:t>
      </w:r>
      <w:r w:rsidR="00C720DE">
        <w:rPr>
          <w:color w:val="auto"/>
          <w:sz w:val="26"/>
          <w:szCs w:val="26"/>
        </w:rPr>
        <w:t xml:space="preserve">are </w:t>
      </w:r>
      <w:r>
        <w:rPr>
          <w:color w:val="auto"/>
          <w:sz w:val="26"/>
          <w:szCs w:val="26"/>
        </w:rPr>
        <w:t>appropriate and not overly burdensome</w:t>
      </w:r>
      <w:r w:rsidR="00DF4318">
        <w:rPr>
          <w:color w:val="auto"/>
          <w:sz w:val="26"/>
          <w:szCs w:val="26"/>
        </w:rPr>
        <w:t xml:space="preserve">. </w:t>
      </w:r>
    </w:p>
    <w:p w14:paraId="64ADC808" w14:textId="31ACFE17" w:rsidR="00055A16" w:rsidRDefault="00AD5AA0" w:rsidP="00055A16">
      <w:pPr>
        <w:pStyle w:val="Default"/>
        <w:numPr>
          <w:ilvl w:val="0"/>
          <w:numId w:val="45"/>
        </w:numPr>
        <w:rPr>
          <w:color w:val="auto"/>
          <w:sz w:val="26"/>
          <w:szCs w:val="26"/>
        </w:rPr>
      </w:pPr>
      <w:r>
        <w:rPr>
          <w:color w:val="auto"/>
          <w:sz w:val="26"/>
          <w:szCs w:val="26"/>
        </w:rPr>
        <w:lastRenderedPageBreak/>
        <w:t xml:space="preserve">Engage with other </w:t>
      </w:r>
      <w:r w:rsidR="00AC0E5F">
        <w:rPr>
          <w:color w:val="auto"/>
          <w:sz w:val="26"/>
          <w:szCs w:val="26"/>
        </w:rPr>
        <w:t xml:space="preserve">government </w:t>
      </w:r>
      <w:r>
        <w:rPr>
          <w:color w:val="auto"/>
          <w:sz w:val="26"/>
          <w:szCs w:val="26"/>
        </w:rPr>
        <w:t>departmen</w:t>
      </w:r>
      <w:r w:rsidR="002C4141">
        <w:rPr>
          <w:color w:val="auto"/>
          <w:sz w:val="26"/>
          <w:szCs w:val="26"/>
        </w:rPr>
        <w:t>ts on transport supports</w:t>
      </w:r>
      <w:r w:rsidR="00463452">
        <w:rPr>
          <w:color w:val="auto"/>
          <w:sz w:val="26"/>
          <w:szCs w:val="26"/>
        </w:rPr>
        <w:t xml:space="preserve">, </w:t>
      </w:r>
      <w:r w:rsidR="002C4141">
        <w:rPr>
          <w:color w:val="auto"/>
          <w:sz w:val="26"/>
          <w:szCs w:val="26"/>
        </w:rPr>
        <w:t xml:space="preserve">the </w:t>
      </w:r>
      <w:r>
        <w:rPr>
          <w:color w:val="auto"/>
          <w:sz w:val="26"/>
          <w:szCs w:val="26"/>
        </w:rPr>
        <w:t>Cost of Disability</w:t>
      </w:r>
      <w:r w:rsidR="00463452">
        <w:rPr>
          <w:color w:val="auto"/>
          <w:sz w:val="26"/>
          <w:szCs w:val="26"/>
        </w:rPr>
        <w:t xml:space="preserve"> and health supports such as the medical card</w:t>
      </w:r>
      <w:r w:rsidR="00055A16" w:rsidRPr="00055A16">
        <w:rPr>
          <w:color w:val="auto"/>
          <w:sz w:val="26"/>
          <w:szCs w:val="26"/>
        </w:rPr>
        <w:t>, to ensure that the interplay between level of earnings, additional taxe</w:t>
      </w:r>
      <w:r w:rsidR="003F6ACD">
        <w:rPr>
          <w:color w:val="auto"/>
          <w:sz w:val="26"/>
          <w:szCs w:val="26"/>
        </w:rPr>
        <w:t xml:space="preserve">s and social contributions paid </w:t>
      </w:r>
      <w:r w:rsidR="00D3326E">
        <w:rPr>
          <w:color w:val="auto"/>
          <w:sz w:val="26"/>
          <w:szCs w:val="26"/>
        </w:rPr>
        <w:t>incentivise</w:t>
      </w:r>
      <w:r w:rsidR="003F6ACD">
        <w:rPr>
          <w:color w:val="auto"/>
          <w:sz w:val="26"/>
          <w:szCs w:val="26"/>
        </w:rPr>
        <w:t xml:space="preserve"> persons with disabilities who wish to work. </w:t>
      </w:r>
    </w:p>
    <w:p w14:paraId="79DFBA96" w14:textId="77777777" w:rsidR="003F6ACD" w:rsidRPr="003F6ACD" w:rsidRDefault="003F6ACD" w:rsidP="00055A16">
      <w:pPr>
        <w:pStyle w:val="Default"/>
        <w:numPr>
          <w:ilvl w:val="0"/>
          <w:numId w:val="45"/>
        </w:numPr>
        <w:rPr>
          <w:color w:val="auto"/>
          <w:sz w:val="26"/>
          <w:szCs w:val="26"/>
        </w:rPr>
      </w:pPr>
      <w:r w:rsidRPr="003F6ACD">
        <w:rPr>
          <w:color w:val="auto"/>
          <w:sz w:val="26"/>
          <w:szCs w:val="26"/>
        </w:rPr>
        <w:t xml:space="preserve">Consider the introduction of new tax advantages or credits, as outlined in the </w:t>
      </w:r>
      <w:r w:rsidR="003026DE">
        <w:rPr>
          <w:color w:val="auto"/>
          <w:sz w:val="26"/>
          <w:szCs w:val="26"/>
        </w:rPr>
        <w:t>Cost of Disability</w:t>
      </w:r>
      <w:r w:rsidRPr="003F6ACD">
        <w:rPr>
          <w:color w:val="auto"/>
          <w:sz w:val="26"/>
          <w:szCs w:val="26"/>
        </w:rPr>
        <w:t xml:space="preserve"> Report, to provide support on disability-related expenses.</w:t>
      </w:r>
    </w:p>
    <w:p w14:paraId="17060AF9" w14:textId="77777777" w:rsidR="0065190D" w:rsidRPr="00D3326E" w:rsidRDefault="001B1FDD" w:rsidP="0065190D">
      <w:pPr>
        <w:pStyle w:val="Default"/>
        <w:numPr>
          <w:ilvl w:val="0"/>
          <w:numId w:val="45"/>
        </w:numPr>
        <w:rPr>
          <w:color w:val="auto"/>
          <w:sz w:val="26"/>
          <w:szCs w:val="26"/>
        </w:rPr>
      </w:pPr>
      <w:r>
        <w:rPr>
          <w:sz w:val="26"/>
          <w:szCs w:val="26"/>
        </w:rPr>
        <w:t>Inclusion of</w:t>
      </w:r>
      <w:r w:rsidR="007A0C0C" w:rsidRPr="00A70AC3">
        <w:rPr>
          <w:sz w:val="26"/>
          <w:szCs w:val="26"/>
        </w:rPr>
        <w:t xml:space="preserve"> a disability marker in all administrative forms, </w:t>
      </w:r>
      <w:r w:rsidR="00F34F17">
        <w:rPr>
          <w:sz w:val="26"/>
          <w:szCs w:val="26"/>
        </w:rPr>
        <w:t>to</w:t>
      </w:r>
      <w:r w:rsidR="00A54650">
        <w:rPr>
          <w:sz w:val="26"/>
          <w:szCs w:val="26"/>
        </w:rPr>
        <w:t xml:space="preserve"> </w:t>
      </w:r>
      <w:r w:rsidR="007A0C0C" w:rsidRPr="00A70AC3">
        <w:rPr>
          <w:sz w:val="26"/>
          <w:szCs w:val="26"/>
        </w:rPr>
        <w:t>facilitate analysis of the resulting administrative data by researchers</w:t>
      </w:r>
      <w:r w:rsidR="00A70AC3" w:rsidRPr="00A70AC3">
        <w:rPr>
          <w:sz w:val="26"/>
          <w:szCs w:val="26"/>
        </w:rPr>
        <w:t>.</w:t>
      </w:r>
    </w:p>
    <w:p w14:paraId="5DDFBD4F" w14:textId="77777777" w:rsidR="00D3326E" w:rsidRDefault="00D3326E" w:rsidP="0065190D">
      <w:pPr>
        <w:pStyle w:val="Default"/>
        <w:numPr>
          <w:ilvl w:val="0"/>
          <w:numId w:val="45"/>
        </w:numPr>
        <w:rPr>
          <w:sz w:val="26"/>
          <w:szCs w:val="26"/>
        </w:rPr>
      </w:pPr>
      <w:r w:rsidRPr="00E47865">
        <w:rPr>
          <w:sz w:val="26"/>
          <w:szCs w:val="26"/>
        </w:rPr>
        <w:t>Articulate a commitment to maintaining compliance with Part 5 of the Disability Act as a key focus of the department’s HR strategy</w:t>
      </w:r>
      <w:r w:rsidR="00E47865">
        <w:rPr>
          <w:sz w:val="26"/>
          <w:szCs w:val="26"/>
        </w:rPr>
        <w:t>.</w:t>
      </w:r>
    </w:p>
    <w:p w14:paraId="032C5F03" w14:textId="295F8EF1" w:rsidR="00770A87" w:rsidRPr="00770A87" w:rsidRDefault="000D4F43" w:rsidP="00A9353D">
      <w:pPr>
        <w:pStyle w:val="ListParagraph"/>
        <w:numPr>
          <w:ilvl w:val="0"/>
          <w:numId w:val="45"/>
        </w:numPr>
        <w:autoSpaceDE w:val="0"/>
        <w:autoSpaceDN w:val="0"/>
        <w:adjustRightInd w:val="0"/>
        <w:spacing w:after="0"/>
        <w:rPr>
          <w:rFonts w:eastAsia="SimSun" w:cs="Gill Sans MT"/>
          <w:szCs w:val="26"/>
          <w:lang w:eastAsia="en-IE"/>
        </w:rPr>
      </w:pPr>
      <w:r>
        <w:rPr>
          <w:rFonts w:ascii="Gill Sans MT" w:eastAsia="SimSun" w:hAnsi="Gill Sans MT" w:cs="Gill Sans MT"/>
          <w:color w:val="000000"/>
          <w:szCs w:val="26"/>
        </w:rPr>
        <w:t>Address the results of</w:t>
      </w:r>
      <w:r w:rsidR="00770A87">
        <w:rPr>
          <w:rFonts w:ascii="Gill Sans MT" w:eastAsia="SimSun" w:hAnsi="Gill Sans MT" w:cs="Gill Sans MT"/>
          <w:color w:val="000000"/>
          <w:szCs w:val="26"/>
        </w:rPr>
        <w:t xml:space="preserve"> in-depth reviews of Revenue’s websites conducted by the NDA an</w:t>
      </w:r>
      <w:r w:rsidR="004A43CD">
        <w:rPr>
          <w:rFonts w:ascii="Gill Sans MT" w:eastAsia="SimSun" w:hAnsi="Gill Sans MT" w:cs="Gill Sans MT"/>
          <w:color w:val="000000"/>
          <w:szCs w:val="26"/>
        </w:rPr>
        <w:t>d improve</w:t>
      </w:r>
      <w:r w:rsidR="00770A87">
        <w:rPr>
          <w:rFonts w:ascii="Gill Sans MT" w:eastAsia="SimSun" w:hAnsi="Gill Sans MT" w:cs="Gill Sans MT"/>
          <w:color w:val="000000"/>
          <w:szCs w:val="26"/>
        </w:rPr>
        <w:t xml:space="preserve"> compliance with the EU Web Accessibility Directive in 2023. </w:t>
      </w:r>
    </w:p>
    <w:p w14:paraId="0611566B" w14:textId="4760D3D3" w:rsidR="006C1542" w:rsidRPr="00A9353D" w:rsidRDefault="006C1542" w:rsidP="00A9353D">
      <w:pPr>
        <w:pStyle w:val="ListParagraph"/>
        <w:numPr>
          <w:ilvl w:val="0"/>
          <w:numId w:val="45"/>
        </w:numPr>
        <w:autoSpaceDE w:val="0"/>
        <w:autoSpaceDN w:val="0"/>
        <w:adjustRightInd w:val="0"/>
        <w:spacing w:after="0"/>
        <w:rPr>
          <w:rFonts w:eastAsia="SimSun" w:cs="Gill Sans MT"/>
          <w:szCs w:val="26"/>
          <w:lang w:eastAsia="en-IE"/>
        </w:rPr>
      </w:pPr>
      <w:r>
        <w:rPr>
          <w:rFonts w:eastAsia="SimSun" w:cs="Gill Sans MT"/>
          <w:szCs w:val="26"/>
          <w:lang w:eastAsia="en-IE"/>
        </w:rPr>
        <w:t>Develop</w:t>
      </w:r>
      <w:r w:rsidRPr="006C1542">
        <w:rPr>
          <w:rFonts w:eastAsia="SimSun" w:cs="Gill Sans MT"/>
          <w:szCs w:val="26"/>
          <w:lang w:eastAsia="en-IE"/>
        </w:rPr>
        <w:t xml:space="preserve"> a plan to implement Section 25 recommendations in buildings within its remit, including public buildings such as Public Revenue O</w:t>
      </w:r>
      <w:r>
        <w:rPr>
          <w:rFonts w:eastAsia="SimSun" w:cs="Gill Sans MT"/>
          <w:szCs w:val="26"/>
          <w:lang w:eastAsia="en-IE"/>
        </w:rPr>
        <w:t>ffices.</w:t>
      </w:r>
    </w:p>
    <w:p w14:paraId="622CF09B" w14:textId="77777777" w:rsidR="00830FAD" w:rsidRPr="00830FAD" w:rsidRDefault="00830FAD" w:rsidP="00830FAD">
      <w:pPr>
        <w:spacing w:after="0"/>
        <w:rPr>
          <w:lang w:eastAsia="en-IE"/>
        </w:rPr>
      </w:pPr>
    </w:p>
    <w:p w14:paraId="71174AD0" w14:textId="77777777" w:rsidR="00101498" w:rsidRPr="009C1F21" w:rsidRDefault="00101498" w:rsidP="00101498">
      <w:pPr>
        <w:pStyle w:val="Heading2"/>
        <w:rPr>
          <w:lang w:eastAsia="en-IE"/>
        </w:rPr>
      </w:pPr>
      <w:r>
        <w:rPr>
          <w:lang w:eastAsia="en-IE"/>
        </w:rPr>
        <w:t>Persons with Disabilities as Revenue Customers</w:t>
      </w:r>
    </w:p>
    <w:p w14:paraId="744C8D89" w14:textId="77777777" w:rsidR="00AF3838" w:rsidRDefault="00101498" w:rsidP="00101498">
      <w:pPr>
        <w:spacing w:after="0"/>
        <w:rPr>
          <w:lang w:eastAsia="en-IE"/>
        </w:rPr>
      </w:pPr>
      <w:r w:rsidRPr="009C1F21">
        <w:rPr>
          <w:lang w:eastAsia="en-IE"/>
        </w:rPr>
        <w:t>Part 3 of the Disability Act details obligations public bodies have to ensure that information and service</w:t>
      </w:r>
      <w:r w:rsidR="00361618">
        <w:rPr>
          <w:lang w:eastAsia="en-IE"/>
        </w:rPr>
        <w:t>s</w:t>
      </w:r>
      <w:r w:rsidRPr="009C1F21">
        <w:rPr>
          <w:lang w:eastAsia="en-IE"/>
        </w:rPr>
        <w:t xml:space="preserve"> are accessible to persons with disabilities. Where practical and appropriate, public bodies should ensure that services provided to disabled persons and persons without disabilities are integrated. The Centre for Excellence in Universal Design at the NDA developed a Customer Communications Toolkit for the Public Service, which provides guidance for public servants on how to communicate with the public using the simplest and clearest language possible and to ensure that all services are accessible, and meet the diverse needs of all customers.</w:t>
      </w:r>
      <w:r w:rsidRPr="009C1F21">
        <w:rPr>
          <w:rStyle w:val="FootnoteReference"/>
          <w:lang w:eastAsia="en-IE"/>
        </w:rPr>
        <w:t xml:space="preserve"> </w:t>
      </w:r>
      <w:r w:rsidRPr="009C1F21">
        <w:rPr>
          <w:rStyle w:val="FootnoteReference"/>
          <w:lang w:eastAsia="en-IE"/>
        </w:rPr>
        <w:footnoteReference w:id="2"/>
      </w:r>
      <w:r w:rsidR="00D639B6">
        <w:rPr>
          <w:lang w:eastAsia="en-IE"/>
        </w:rPr>
        <w:t xml:space="preserve"> </w:t>
      </w:r>
    </w:p>
    <w:p w14:paraId="036BE904" w14:textId="77777777" w:rsidR="00AF3838" w:rsidRDefault="00AF3838" w:rsidP="00101498">
      <w:pPr>
        <w:spacing w:after="0"/>
        <w:rPr>
          <w:lang w:eastAsia="en-IE"/>
        </w:rPr>
      </w:pPr>
    </w:p>
    <w:p w14:paraId="259E0BF8" w14:textId="40A1349B" w:rsidR="00101498" w:rsidRPr="00A45C5E" w:rsidRDefault="00101498" w:rsidP="00101498">
      <w:pPr>
        <w:spacing w:after="0"/>
        <w:rPr>
          <w:lang w:eastAsia="en-IE"/>
        </w:rPr>
      </w:pPr>
      <w:r w:rsidRPr="009C1F21">
        <w:rPr>
          <w:szCs w:val="26"/>
          <w:lang w:eastAsia="en-IE"/>
        </w:rPr>
        <w:t>The NDA recently forwarded the fi</w:t>
      </w:r>
      <w:r>
        <w:rPr>
          <w:szCs w:val="26"/>
          <w:lang w:eastAsia="en-IE"/>
        </w:rPr>
        <w:t>ndings of the</w:t>
      </w:r>
      <w:r w:rsidRPr="009C1F21">
        <w:rPr>
          <w:szCs w:val="26"/>
          <w:lang w:eastAsia="en-IE"/>
        </w:rPr>
        <w:t xml:space="preserve"> </w:t>
      </w:r>
      <w:r>
        <w:rPr>
          <w:szCs w:val="26"/>
          <w:lang w:eastAsia="en-IE"/>
        </w:rPr>
        <w:t>Part 3 Monitoring Report</w:t>
      </w:r>
      <w:r w:rsidRPr="009C1F21">
        <w:rPr>
          <w:szCs w:val="26"/>
          <w:lang w:eastAsia="en-IE"/>
        </w:rPr>
        <w:t xml:space="preserve"> to the Secretary General of the Department of </w:t>
      </w:r>
      <w:r>
        <w:rPr>
          <w:szCs w:val="26"/>
          <w:lang w:eastAsia="en-IE"/>
        </w:rPr>
        <w:t>Finance</w:t>
      </w:r>
      <w:r w:rsidRPr="009C1F21">
        <w:rPr>
          <w:szCs w:val="26"/>
          <w:lang w:eastAsia="en-IE"/>
        </w:rPr>
        <w:t>, which contains the results of a desk based exercise, assessing the websites of public bodies as defined by Part 3 of the Disability Act.</w:t>
      </w:r>
      <w:r>
        <w:rPr>
          <w:szCs w:val="26"/>
          <w:lang w:eastAsia="en-IE"/>
        </w:rPr>
        <w:t xml:space="preserve"> Findings show that the Office of the Revenue Commissioners met all criteria under this report, in that the website contains details of Access Officers for each office and provides a phone number and email address. The NDA welcome the findings of this initial report and look forward to continued work under Part 3 of the Disability Act. </w:t>
      </w:r>
    </w:p>
    <w:p w14:paraId="3B3DED0E" w14:textId="77777777" w:rsidR="004C0362" w:rsidRDefault="004C0362" w:rsidP="00101498">
      <w:pPr>
        <w:spacing w:after="0"/>
        <w:rPr>
          <w:szCs w:val="26"/>
          <w:lang w:eastAsia="en-IE"/>
        </w:rPr>
      </w:pPr>
    </w:p>
    <w:p w14:paraId="51BC0242" w14:textId="77777777" w:rsidR="004C0362" w:rsidRPr="001E50E8" w:rsidRDefault="004C0362" w:rsidP="004C0362">
      <w:pPr>
        <w:pStyle w:val="Heading2"/>
      </w:pPr>
      <w:r w:rsidRPr="001E50E8">
        <w:lastRenderedPageBreak/>
        <w:t>Tax Credits and Reliefs for people with disabilities</w:t>
      </w:r>
    </w:p>
    <w:p w14:paraId="5D71084B" w14:textId="4393287C" w:rsidR="00D65E56" w:rsidRPr="00D65E56" w:rsidRDefault="004C0362" w:rsidP="004C0362">
      <w:pPr>
        <w:pStyle w:val="Default"/>
        <w:rPr>
          <w:color w:val="auto"/>
          <w:sz w:val="26"/>
          <w:szCs w:val="26"/>
        </w:rPr>
      </w:pPr>
      <w:r w:rsidRPr="007E69C5">
        <w:rPr>
          <w:sz w:val="26"/>
          <w:szCs w:val="26"/>
        </w:rPr>
        <w:t>The</w:t>
      </w:r>
      <w:r w:rsidRPr="007E69C5">
        <w:rPr>
          <w:color w:val="auto"/>
          <w:sz w:val="26"/>
          <w:szCs w:val="26"/>
        </w:rPr>
        <w:t xml:space="preserve"> NDA notes that there are currently a number of schemes that provide tax credits and reliefs for persons with disabilities. The NDA recommend that the eligibility criteria for such schemes is regularly reviewed to ensure that eligibility criteria </w:t>
      </w:r>
      <w:r w:rsidR="00C720DE">
        <w:rPr>
          <w:color w:val="auto"/>
          <w:sz w:val="26"/>
          <w:szCs w:val="26"/>
        </w:rPr>
        <w:t>are</w:t>
      </w:r>
      <w:r w:rsidR="00C720DE" w:rsidRPr="007E69C5">
        <w:rPr>
          <w:color w:val="auto"/>
          <w:sz w:val="26"/>
          <w:szCs w:val="26"/>
        </w:rPr>
        <w:t xml:space="preserve"> </w:t>
      </w:r>
      <w:r w:rsidRPr="007E69C5">
        <w:rPr>
          <w:color w:val="auto"/>
          <w:sz w:val="26"/>
          <w:szCs w:val="26"/>
        </w:rPr>
        <w:t>appropriate and not overly administratively burdensome for customers with disabilities. For instance, where persons with disabilities apply for a VAT refund on aids and appliance</w:t>
      </w:r>
      <w:r w:rsidR="007C4A01">
        <w:rPr>
          <w:color w:val="auto"/>
          <w:sz w:val="26"/>
          <w:szCs w:val="26"/>
        </w:rPr>
        <w:t>s</w:t>
      </w:r>
      <w:r w:rsidRPr="007E69C5">
        <w:rPr>
          <w:color w:val="auto"/>
          <w:sz w:val="26"/>
          <w:szCs w:val="26"/>
        </w:rPr>
        <w:t>, they may be asked to provide evidence ‘that the aid is solely owned by the person with the disability and is for their sole use’</w:t>
      </w:r>
      <w:r w:rsidR="00790A1F">
        <w:rPr>
          <w:color w:val="auto"/>
          <w:sz w:val="26"/>
          <w:szCs w:val="26"/>
        </w:rPr>
        <w:t>,</w:t>
      </w:r>
      <w:r w:rsidRPr="007E69C5">
        <w:rPr>
          <w:color w:val="auto"/>
          <w:sz w:val="26"/>
          <w:szCs w:val="26"/>
        </w:rPr>
        <w:t xml:space="preserve"> which </w:t>
      </w:r>
      <w:r w:rsidR="00790A1F">
        <w:rPr>
          <w:color w:val="auto"/>
          <w:sz w:val="26"/>
          <w:szCs w:val="26"/>
        </w:rPr>
        <w:t>may</w:t>
      </w:r>
      <w:r w:rsidRPr="007E69C5">
        <w:rPr>
          <w:color w:val="auto"/>
          <w:sz w:val="26"/>
          <w:szCs w:val="26"/>
        </w:rPr>
        <w:t xml:space="preserve"> be </w:t>
      </w:r>
      <w:r w:rsidR="008A70CB">
        <w:rPr>
          <w:color w:val="auto"/>
          <w:sz w:val="26"/>
          <w:szCs w:val="26"/>
        </w:rPr>
        <w:t>overly</w:t>
      </w:r>
      <w:r w:rsidR="007C4A01">
        <w:rPr>
          <w:color w:val="auto"/>
          <w:sz w:val="26"/>
          <w:szCs w:val="26"/>
        </w:rPr>
        <w:t xml:space="preserve"> burdensome to prove</w:t>
      </w:r>
      <w:r w:rsidRPr="007E69C5">
        <w:rPr>
          <w:color w:val="auto"/>
          <w:sz w:val="26"/>
          <w:szCs w:val="26"/>
        </w:rPr>
        <w:t xml:space="preserve">. </w:t>
      </w:r>
      <w:r w:rsidR="00D65E56" w:rsidRPr="00D65E56">
        <w:rPr>
          <w:sz w:val="26"/>
          <w:szCs w:val="26"/>
        </w:rPr>
        <w:t>Separately, the medical eligibility criteria for Tax Relief for drivers and passengers with disabilities, is very narrow and the NDA advise consideration of broadening the medical eligibility requirement</w:t>
      </w:r>
      <w:r w:rsidR="00096879">
        <w:rPr>
          <w:sz w:val="26"/>
          <w:szCs w:val="26"/>
        </w:rPr>
        <w:t>s</w:t>
      </w:r>
      <w:r w:rsidR="00D65E56" w:rsidRPr="00D65E56">
        <w:rPr>
          <w:sz w:val="26"/>
          <w:szCs w:val="26"/>
        </w:rPr>
        <w:t>, beyond the narrow definition of physical impairment currently included, to be inclusive of persons of with various types of d</w:t>
      </w:r>
      <w:r w:rsidR="00A30B65">
        <w:rPr>
          <w:sz w:val="26"/>
          <w:szCs w:val="26"/>
        </w:rPr>
        <w:t>isability</w:t>
      </w:r>
      <w:r w:rsidR="00306554">
        <w:rPr>
          <w:sz w:val="26"/>
          <w:szCs w:val="26"/>
        </w:rPr>
        <w:t>,</w:t>
      </w:r>
      <w:r w:rsidR="00A30B65">
        <w:rPr>
          <w:sz w:val="26"/>
          <w:szCs w:val="26"/>
        </w:rPr>
        <w:t xml:space="preserve"> including for example</w:t>
      </w:r>
      <w:r w:rsidR="00D65E56" w:rsidRPr="00D65E56">
        <w:rPr>
          <w:sz w:val="26"/>
          <w:szCs w:val="26"/>
        </w:rPr>
        <w:t xml:space="preserve"> those with chronic illness</w:t>
      </w:r>
      <w:r w:rsidR="007507F4">
        <w:rPr>
          <w:sz w:val="26"/>
          <w:szCs w:val="26"/>
        </w:rPr>
        <w:t>es</w:t>
      </w:r>
      <w:r w:rsidR="00D65E56" w:rsidRPr="00D65E56">
        <w:rPr>
          <w:sz w:val="26"/>
          <w:szCs w:val="26"/>
        </w:rPr>
        <w:t xml:space="preserve"> and those who are neurodivergent.  Therefore</w:t>
      </w:r>
      <w:r w:rsidR="003E1129">
        <w:rPr>
          <w:sz w:val="26"/>
          <w:szCs w:val="26"/>
        </w:rPr>
        <w:t>,</w:t>
      </w:r>
      <w:r w:rsidR="00D65E56" w:rsidRPr="00D65E56">
        <w:rPr>
          <w:sz w:val="26"/>
          <w:szCs w:val="26"/>
        </w:rPr>
        <w:t xml:space="preserve"> the Primary Medical Certificate requires revision to include people with disabilities who are not only physically impaired as per the </w:t>
      </w:r>
      <w:r w:rsidR="005F085A">
        <w:rPr>
          <w:sz w:val="26"/>
          <w:szCs w:val="26"/>
        </w:rPr>
        <w:t>current</w:t>
      </w:r>
      <w:r w:rsidR="00D65E56" w:rsidRPr="00D65E56">
        <w:rPr>
          <w:sz w:val="26"/>
          <w:szCs w:val="26"/>
        </w:rPr>
        <w:t xml:space="preserve"> narrow defin</w:t>
      </w:r>
      <w:r w:rsidR="00CC7357">
        <w:rPr>
          <w:sz w:val="26"/>
          <w:szCs w:val="26"/>
        </w:rPr>
        <w:t>ition, but people who may have other</w:t>
      </w:r>
      <w:r w:rsidR="00D65E56" w:rsidRPr="00D65E56">
        <w:rPr>
          <w:sz w:val="26"/>
          <w:szCs w:val="26"/>
        </w:rPr>
        <w:t xml:space="preserve"> functional impairment</w:t>
      </w:r>
      <w:r w:rsidR="00CC7357">
        <w:rPr>
          <w:sz w:val="26"/>
          <w:szCs w:val="26"/>
        </w:rPr>
        <w:t>s</w:t>
      </w:r>
      <w:r w:rsidR="00D65E56" w:rsidRPr="00D65E56">
        <w:rPr>
          <w:sz w:val="26"/>
          <w:szCs w:val="26"/>
        </w:rPr>
        <w:t xml:space="preserve"> </w:t>
      </w:r>
      <w:r w:rsidR="00CC7357">
        <w:rPr>
          <w:sz w:val="26"/>
          <w:szCs w:val="26"/>
        </w:rPr>
        <w:t xml:space="preserve">not included in the </w:t>
      </w:r>
      <w:r w:rsidR="0085376D">
        <w:rPr>
          <w:sz w:val="26"/>
          <w:szCs w:val="26"/>
        </w:rPr>
        <w:t xml:space="preserve">current </w:t>
      </w:r>
      <w:r w:rsidR="00CC7357">
        <w:rPr>
          <w:sz w:val="26"/>
          <w:szCs w:val="26"/>
        </w:rPr>
        <w:t>definition</w:t>
      </w:r>
      <w:r w:rsidR="00D65E56" w:rsidRPr="00D65E56">
        <w:rPr>
          <w:sz w:val="26"/>
          <w:szCs w:val="26"/>
        </w:rPr>
        <w:t xml:space="preserve">. The current eligibility criteria should be revised and brought in </w:t>
      </w:r>
      <w:r w:rsidR="0085376D">
        <w:rPr>
          <w:sz w:val="26"/>
          <w:szCs w:val="26"/>
        </w:rPr>
        <w:t>line</w:t>
      </w:r>
      <w:r w:rsidR="00D65E56" w:rsidRPr="00D65E56">
        <w:rPr>
          <w:sz w:val="26"/>
          <w:szCs w:val="26"/>
        </w:rPr>
        <w:t xml:space="preserve"> with commitment</w:t>
      </w:r>
      <w:r w:rsidR="00341A53">
        <w:rPr>
          <w:sz w:val="26"/>
          <w:szCs w:val="26"/>
        </w:rPr>
        <w:t>s</w:t>
      </w:r>
      <w:r w:rsidR="00D65E56" w:rsidRPr="00D65E56">
        <w:rPr>
          <w:sz w:val="26"/>
          <w:szCs w:val="26"/>
        </w:rPr>
        <w:t xml:space="preserve"> of the Irish Government </w:t>
      </w:r>
      <w:r w:rsidR="00341A53">
        <w:rPr>
          <w:sz w:val="26"/>
          <w:szCs w:val="26"/>
        </w:rPr>
        <w:t>under the</w:t>
      </w:r>
      <w:r w:rsidR="00D65E56" w:rsidRPr="00D65E56">
        <w:rPr>
          <w:sz w:val="26"/>
          <w:szCs w:val="26"/>
        </w:rPr>
        <w:t xml:space="preserve"> United Nations Convention on the Rights of Persons with Disabilities (UNCRPD)</w:t>
      </w:r>
      <w:r w:rsidR="00D65E56">
        <w:rPr>
          <w:sz w:val="26"/>
          <w:szCs w:val="26"/>
        </w:rPr>
        <w:t>.</w:t>
      </w:r>
    </w:p>
    <w:p w14:paraId="7ECD49A9" w14:textId="1B9B5E5F" w:rsidR="00665FB1" w:rsidRDefault="00665FB1" w:rsidP="0056522A">
      <w:pPr>
        <w:pStyle w:val="Default"/>
        <w:rPr>
          <w:color w:val="auto"/>
          <w:sz w:val="26"/>
          <w:szCs w:val="26"/>
        </w:rPr>
      </w:pPr>
    </w:p>
    <w:p w14:paraId="1F0D3513" w14:textId="77777777" w:rsidR="00DC5EFF" w:rsidRPr="00997EEC" w:rsidRDefault="00DC5EFF" w:rsidP="00DC5EFF">
      <w:pPr>
        <w:pStyle w:val="Heading3"/>
        <w:rPr>
          <w:sz w:val="28"/>
        </w:rPr>
      </w:pPr>
      <w:r w:rsidRPr="00997EEC">
        <w:rPr>
          <w:sz w:val="28"/>
        </w:rPr>
        <w:t>Crosscutting Strategies and Working</w:t>
      </w:r>
    </w:p>
    <w:p w14:paraId="58B9DF96" w14:textId="77777777" w:rsidR="00FF6328" w:rsidRPr="00CD2686" w:rsidRDefault="004314DB" w:rsidP="00DC5EFF">
      <w:pPr>
        <w:pStyle w:val="Default"/>
        <w:rPr>
          <w:color w:val="auto"/>
          <w:sz w:val="26"/>
          <w:szCs w:val="26"/>
        </w:rPr>
      </w:pPr>
      <w:r>
        <w:rPr>
          <w:color w:val="auto"/>
          <w:sz w:val="26"/>
          <w:szCs w:val="26"/>
        </w:rPr>
        <w:t>The</w:t>
      </w:r>
      <w:r w:rsidR="00DC5EFF" w:rsidRPr="009C1F21">
        <w:rPr>
          <w:color w:val="auto"/>
          <w:sz w:val="26"/>
          <w:szCs w:val="26"/>
        </w:rPr>
        <w:t xml:space="preserve"> NDA looks forward to continued collaborative working across government in the lifetime of this Statement of Strategy. One route to underpinning this approach is to ensure that commitments in relation to disability are articulated in this Statement of Strategy and that annualised business plans of your department are aligned with other crosscutting strategies</w:t>
      </w:r>
      <w:r w:rsidR="006D5EE0">
        <w:rPr>
          <w:color w:val="auto"/>
          <w:sz w:val="26"/>
          <w:szCs w:val="26"/>
        </w:rPr>
        <w:t xml:space="preserve"> and national policies.</w:t>
      </w:r>
      <w:r w:rsidR="00CF32F3">
        <w:rPr>
          <w:color w:val="auto"/>
          <w:sz w:val="26"/>
          <w:szCs w:val="26"/>
        </w:rPr>
        <w:t xml:space="preserve"> The Department of Social Protection have committed to the development of a </w:t>
      </w:r>
      <w:r w:rsidR="00CF32F3" w:rsidRPr="003F6ACD">
        <w:rPr>
          <w:color w:val="auto"/>
          <w:sz w:val="26"/>
          <w:szCs w:val="26"/>
        </w:rPr>
        <w:t xml:space="preserve">Strawman proposal on the restructuring of long-term disability payments. </w:t>
      </w:r>
      <w:r w:rsidR="00813935" w:rsidRPr="003F6ACD">
        <w:rPr>
          <w:color w:val="auto"/>
          <w:sz w:val="26"/>
          <w:szCs w:val="26"/>
        </w:rPr>
        <w:t xml:space="preserve">The NDA </w:t>
      </w:r>
      <w:r w:rsidR="004E6228">
        <w:rPr>
          <w:color w:val="auto"/>
          <w:sz w:val="26"/>
          <w:szCs w:val="26"/>
        </w:rPr>
        <w:t>advise</w:t>
      </w:r>
      <w:r w:rsidR="00813935" w:rsidRPr="003F6ACD">
        <w:rPr>
          <w:color w:val="auto"/>
          <w:sz w:val="26"/>
          <w:szCs w:val="26"/>
        </w:rPr>
        <w:t xml:space="preserve"> that there</w:t>
      </w:r>
      <w:r w:rsidR="00CF32F3" w:rsidRPr="003F6ACD">
        <w:rPr>
          <w:color w:val="auto"/>
          <w:sz w:val="26"/>
          <w:szCs w:val="26"/>
        </w:rPr>
        <w:t xml:space="preserve"> is a clear role for Revenue to engage in this process, </w:t>
      </w:r>
      <w:r w:rsidR="00B111CB" w:rsidRPr="003F6ACD">
        <w:rPr>
          <w:color w:val="auto"/>
          <w:sz w:val="26"/>
          <w:szCs w:val="26"/>
        </w:rPr>
        <w:t>to ensure that t</w:t>
      </w:r>
      <w:r w:rsidR="00E069CA" w:rsidRPr="003F6ACD">
        <w:rPr>
          <w:color w:val="auto"/>
          <w:sz w:val="26"/>
          <w:szCs w:val="26"/>
        </w:rPr>
        <w:t xml:space="preserve">he interplay between level of earnings, additional taxes and social contributions paid and the progressive withdrawal </w:t>
      </w:r>
      <w:r w:rsidR="00B111CB" w:rsidRPr="003F6ACD">
        <w:rPr>
          <w:color w:val="auto"/>
          <w:sz w:val="26"/>
          <w:szCs w:val="26"/>
        </w:rPr>
        <w:t>of benefits positively incentives those who wish to work.</w:t>
      </w:r>
    </w:p>
    <w:p w14:paraId="6DC3547B" w14:textId="77777777" w:rsidR="00CF32F3" w:rsidRDefault="00CF32F3" w:rsidP="00DC5EFF">
      <w:pPr>
        <w:pStyle w:val="Default"/>
        <w:rPr>
          <w:color w:val="auto"/>
          <w:sz w:val="26"/>
          <w:szCs w:val="26"/>
        </w:rPr>
      </w:pPr>
    </w:p>
    <w:p w14:paraId="798CEE76" w14:textId="77777777" w:rsidR="00AF5935" w:rsidRDefault="00D4772E" w:rsidP="00DC5EFF">
      <w:pPr>
        <w:pStyle w:val="Default"/>
        <w:rPr>
          <w:color w:val="auto"/>
          <w:sz w:val="26"/>
          <w:szCs w:val="26"/>
        </w:rPr>
      </w:pPr>
      <w:r>
        <w:rPr>
          <w:color w:val="auto"/>
          <w:sz w:val="26"/>
          <w:szCs w:val="26"/>
        </w:rPr>
        <w:t xml:space="preserve">The Make Work Pay Report (2017) </w:t>
      </w:r>
      <w:r w:rsidRPr="00D4772E">
        <w:rPr>
          <w:color w:val="auto"/>
          <w:sz w:val="26"/>
          <w:szCs w:val="26"/>
        </w:rPr>
        <w:t>set out a number of recommendations designed to ensure that people with disabilities, who are able to, and want to work, are supported and enabled to do so.</w:t>
      </w:r>
      <w:r w:rsidR="00AF5935">
        <w:rPr>
          <w:color w:val="auto"/>
          <w:sz w:val="26"/>
          <w:szCs w:val="26"/>
        </w:rPr>
        <w:t xml:space="preserve"> </w:t>
      </w:r>
      <w:r w:rsidR="00C87597">
        <w:rPr>
          <w:color w:val="auto"/>
          <w:sz w:val="26"/>
          <w:szCs w:val="26"/>
        </w:rPr>
        <w:t>A number of</w:t>
      </w:r>
      <w:r w:rsidR="00AF5935">
        <w:rPr>
          <w:color w:val="auto"/>
          <w:sz w:val="26"/>
          <w:szCs w:val="26"/>
        </w:rPr>
        <w:t xml:space="preserve"> recommendations made by the expert group require the collaboration </w:t>
      </w:r>
      <w:r w:rsidR="00B063BD">
        <w:rPr>
          <w:color w:val="auto"/>
          <w:sz w:val="26"/>
          <w:szCs w:val="26"/>
        </w:rPr>
        <w:t xml:space="preserve">of </w:t>
      </w:r>
      <w:r w:rsidR="00AF5935">
        <w:rPr>
          <w:color w:val="auto"/>
          <w:sz w:val="26"/>
          <w:szCs w:val="26"/>
        </w:rPr>
        <w:t xml:space="preserve">Revenue </w:t>
      </w:r>
      <w:r w:rsidR="002912A3">
        <w:rPr>
          <w:color w:val="auto"/>
          <w:sz w:val="26"/>
          <w:szCs w:val="26"/>
        </w:rPr>
        <w:t>with other government departments and agencies</w:t>
      </w:r>
      <w:r w:rsidR="00B063BD">
        <w:rPr>
          <w:color w:val="auto"/>
          <w:sz w:val="26"/>
          <w:szCs w:val="26"/>
        </w:rPr>
        <w:t>, including</w:t>
      </w:r>
      <w:r w:rsidR="002912A3">
        <w:rPr>
          <w:color w:val="auto"/>
          <w:sz w:val="26"/>
          <w:szCs w:val="26"/>
        </w:rPr>
        <w:t>:</w:t>
      </w:r>
    </w:p>
    <w:p w14:paraId="2EA527C5" w14:textId="77777777" w:rsidR="00DC5EFF" w:rsidRDefault="00AF5935" w:rsidP="00AF5935">
      <w:pPr>
        <w:pStyle w:val="Default"/>
        <w:numPr>
          <w:ilvl w:val="0"/>
          <w:numId w:val="44"/>
        </w:numPr>
        <w:rPr>
          <w:color w:val="auto"/>
          <w:sz w:val="26"/>
          <w:szCs w:val="26"/>
        </w:rPr>
      </w:pPr>
      <w:r>
        <w:rPr>
          <w:color w:val="auto"/>
          <w:sz w:val="26"/>
          <w:szCs w:val="26"/>
        </w:rPr>
        <w:t>Recommendation 5</w:t>
      </w:r>
      <w:r w:rsidR="00B74CBE">
        <w:rPr>
          <w:color w:val="auto"/>
          <w:sz w:val="26"/>
          <w:szCs w:val="26"/>
        </w:rPr>
        <w:t>: U</w:t>
      </w:r>
      <w:r>
        <w:rPr>
          <w:color w:val="auto"/>
          <w:sz w:val="26"/>
          <w:szCs w:val="26"/>
        </w:rPr>
        <w:t xml:space="preserve">ndertake a review of transport supports </w:t>
      </w:r>
      <w:r w:rsidR="002912A3">
        <w:rPr>
          <w:color w:val="auto"/>
          <w:sz w:val="26"/>
          <w:szCs w:val="26"/>
        </w:rPr>
        <w:t xml:space="preserve">encompassing all </w:t>
      </w:r>
      <w:r w:rsidR="0008689E">
        <w:rPr>
          <w:color w:val="auto"/>
          <w:sz w:val="26"/>
          <w:szCs w:val="26"/>
        </w:rPr>
        <w:t>Government</w:t>
      </w:r>
      <w:r w:rsidR="002912A3">
        <w:rPr>
          <w:color w:val="auto"/>
          <w:sz w:val="26"/>
          <w:szCs w:val="26"/>
        </w:rPr>
        <w:t xml:space="preserve"> funded transport and mobility schemes for </w:t>
      </w:r>
      <w:r w:rsidR="002912A3">
        <w:rPr>
          <w:color w:val="auto"/>
          <w:sz w:val="26"/>
          <w:szCs w:val="26"/>
        </w:rPr>
        <w:lastRenderedPageBreak/>
        <w:t xml:space="preserve">people with disabilities, to make </w:t>
      </w:r>
      <w:r w:rsidR="0008689E">
        <w:rPr>
          <w:color w:val="auto"/>
          <w:sz w:val="26"/>
          <w:szCs w:val="26"/>
        </w:rPr>
        <w:t>proposals</w:t>
      </w:r>
      <w:r w:rsidR="002912A3">
        <w:rPr>
          <w:color w:val="auto"/>
          <w:sz w:val="26"/>
          <w:szCs w:val="26"/>
        </w:rPr>
        <w:t xml:space="preserve"> for development of a </w:t>
      </w:r>
      <w:r w:rsidR="0008689E">
        <w:rPr>
          <w:color w:val="auto"/>
          <w:sz w:val="26"/>
          <w:szCs w:val="26"/>
        </w:rPr>
        <w:t>coordinated</w:t>
      </w:r>
      <w:r w:rsidR="002912A3">
        <w:rPr>
          <w:color w:val="auto"/>
          <w:sz w:val="26"/>
          <w:szCs w:val="26"/>
        </w:rPr>
        <w:t xml:space="preserve"> plan for such provision. </w:t>
      </w:r>
    </w:p>
    <w:p w14:paraId="10F370A2" w14:textId="77777777" w:rsidR="0008689E" w:rsidRDefault="00B74CBE" w:rsidP="00AF5935">
      <w:pPr>
        <w:pStyle w:val="Default"/>
        <w:numPr>
          <w:ilvl w:val="0"/>
          <w:numId w:val="44"/>
        </w:numPr>
        <w:rPr>
          <w:color w:val="auto"/>
          <w:sz w:val="26"/>
          <w:szCs w:val="26"/>
        </w:rPr>
      </w:pPr>
      <w:r>
        <w:rPr>
          <w:color w:val="auto"/>
          <w:sz w:val="26"/>
          <w:szCs w:val="26"/>
        </w:rPr>
        <w:t xml:space="preserve">Recommendation 20: Future proof all new schemes or reforms at design stage to minimise complexity, and ensure that a person with a disability, who is interested in work, is supported and is not financially disadvantaged by taking up </w:t>
      </w:r>
      <w:r w:rsidR="00CF32F3">
        <w:rPr>
          <w:color w:val="auto"/>
          <w:sz w:val="26"/>
          <w:szCs w:val="26"/>
        </w:rPr>
        <w:t>employment</w:t>
      </w:r>
      <w:r>
        <w:rPr>
          <w:color w:val="auto"/>
          <w:sz w:val="26"/>
          <w:szCs w:val="26"/>
        </w:rPr>
        <w:t xml:space="preserve">. </w:t>
      </w:r>
    </w:p>
    <w:p w14:paraId="39034354" w14:textId="77777777" w:rsidR="005660FC" w:rsidRDefault="005660FC" w:rsidP="00DC5EFF">
      <w:pPr>
        <w:pStyle w:val="Default"/>
        <w:rPr>
          <w:color w:val="auto"/>
          <w:sz w:val="26"/>
          <w:szCs w:val="26"/>
        </w:rPr>
      </w:pPr>
    </w:p>
    <w:p w14:paraId="6634B5F0" w14:textId="63366666" w:rsidR="00AF5935" w:rsidRDefault="007A5555" w:rsidP="00DC5EFF">
      <w:pPr>
        <w:pStyle w:val="Default"/>
        <w:rPr>
          <w:color w:val="auto"/>
          <w:sz w:val="26"/>
          <w:szCs w:val="26"/>
        </w:rPr>
      </w:pPr>
      <w:r>
        <w:rPr>
          <w:color w:val="auto"/>
          <w:sz w:val="26"/>
          <w:szCs w:val="26"/>
        </w:rPr>
        <w:t xml:space="preserve">The NDA welcomes continued collaboration on these cross-cutting recommendations. </w:t>
      </w:r>
    </w:p>
    <w:p w14:paraId="0F34B625" w14:textId="77777777" w:rsidR="007A5555" w:rsidRDefault="007A5555" w:rsidP="00DC5EFF">
      <w:pPr>
        <w:pStyle w:val="Default"/>
        <w:rPr>
          <w:color w:val="auto"/>
          <w:sz w:val="26"/>
          <w:szCs w:val="26"/>
        </w:rPr>
      </w:pPr>
    </w:p>
    <w:p w14:paraId="743C69E0" w14:textId="77777777" w:rsidR="007B7D1D" w:rsidRDefault="007B7D1D" w:rsidP="0029581C">
      <w:pPr>
        <w:pStyle w:val="Heading2"/>
      </w:pPr>
      <w:r>
        <w:t>Cost of Disability</w:t>
      </w:r>
    </w:p>
    <w:p w14:paraId="4CB6BEAB" w14:textId="77777777" w:rsidR="00D11C1A" w:rsidRDefault="00726454" w:rsidP="0056522A">
      <w:pPr>
        <w:pStyle w:val="Default"/>
        <w:rPr>
          <w:sz w:val="26"/>
          <w:szCs w:val="26"/>
        </w:rPr>
      </w:pPr>
      <w:r w:rsidRPr="00C6327C">
        <w:rPr>
          <w:sz w:val="26"/>
          <w:szCs w:val="26"/>
        </w:rPr>
        <w:t xml:space="preserve">The Programme for Government commits the Government to use the research into the cost of disability to properly inform the direction of future policy. </w:t>
      </w:r>
      <w:r w:rsidR="0092178F" w:rsidRPr="00C6327C">
        <w:rPr>
          <w:sz w:val="26"/>
          <w:szCs w:val="26"/>
        </w:rPr>
        <w:t xml:space="preserve">In 2021, the Department of Social Protection published a report on the Cost of Disability in Ireland, undertaken by </w:t>
      </w:r>
      <w:proofErr w:type="spellStart"/>
      <w:r w:rsidR="0092178F" w:rsidRPr="00C6327C">
        <w:rPr>
          <w:sz w:val="26"/>
          <w:szCs w:val="26"/>
        </w:rPr>
        <w:t>Indecon</w:t>
      </w:r>
      <w:proofErr w:type="spellEnd"/>
      <w:r w:rsidR="0092178F" w:rsidRPr="00C6327C">
        <w:rPr>
          <w:sz w:val="26"/>
          <w:szCs w:val="26"/>
        </w:rPr>
        <w:t xml:space="preserve"> Consultants</w:t>
      </w:r>
      <w:r w:rsidR="005D6042">
        <w:rPr>
          <w:sz w:val="26"/>
          <w:szCs w:val="26"/>
        </w:rPr>
        <w:t>, demonstrating the significant additional costs faced by persons with disabilities</w:t>
      </w:r>
      <w:r w:rsidR="0092178F" w:rsidRPr="00C6327C">
        <w:rPr>
          <w:sz w:val="26"/>
          <w:szCs w:val="26"/>
        </w:rPr>
        <w:t>.</w:t>
      </w:r>
      <w:r w:rsidR="003030FD" w:rsidRPr="00C6327C">
        <w:rPr>
          <w:rStyle w:val="FootnoteReference"/>
          <w:sz w:val="26"/>
          <w:szCs w:val="26"/>
        </w:rPr>
        <w:footnoteReference w:id="3"/>
      </w:r>
      <w:r w:rsidR="0092178F" w:rsidRPr="00C6327C">
        <w:rPr>
          <w:sz w:val="26"/>
          <w:szCs w:val="26"/>
        </w:rPr>
        <w:t xml:space="preserve"> </w:t>
      </w:r>
      <w:r w:rsidRPr="00C6327C">
        <w:rPr>
          <w:sz w:val="26"/>
          <w:szCs w:val="26"/>
        </w:rPr>
        <w:t xml:space="preserve">The findings </w:t>
      </w:r>
      <w:r w:rsidR="00300C54" w:rsidRPr="00C6327C">
        <w:rPr>
          <w:sz w:val="26"/>
          <w:szCs w:val="26"/>
        </w:rPr>
        <w:t xml:space="preserve">of the report </w:t>
      </w:r>
      <w:r w:rsidRPr="00C6327C">
        <w:rPr>
          <w:sz w:val="26"/>
          <w:szCs w:val="26"/>
        </w:rPr>
        <w:t>have implications for many areas of public policy income supports and taxation.</w:t>
      </w:r>
      <w:r w:rsidR="00B423C8" w:rsidRPr="00C6327C">
        <w:rPr>
          <w:sz w:val="26"/>
          <w:szCs w:val="26"/>
        </w:rPr>
        <w:t xml:space="preserve"> </w:t>
      </w:r>
      <w:r w:rsidR="00A73A46" w:rsidRPr="00C6327C">
        <w:rPr>
          <w:sz w:val="26"/>
          <w:szCs w:val="26"/>
        </w:rPr>
        <w:t>While full implementation of the report recommendations was a cross departmental undertaking under the NDIS Steering Group, with the end of the NDIS and a successor strategy not yet developed</w:t>
      </w:r>
      <w:r w:rsidR="00AC548A">
        <w:rPr>
          <w:sz w:val="26"/>
          <w:szCs w:val="26"/>
        </w:rPr>
        <w:t>,</w:t>
      </w:r>
      <w:r w:rsidR="00A73A46" w:rsidRPr="00C6327C">
        <w:rPr>
          <w:sz w:val="26"/>
          <w:szCs w:val="26"/>
        </w:rPr>
        <w:t xml:space="preserve"> </w:t>
      </w:r>
      <w:r w:rsidR="000804B3">
        <w:rPr>
          <w:sz w:val="26"/>
          <w:szCs w:val="26"/>
        </w:rPr>
        <w:t>the NDA recommend that departments</w:t>
      </w:r>
      <w:r w:rsidR="00A73A46" w:rsidRPr="00C6327C">
        <w:rPr>
          <w:sz w:val="26"/>
          <w:szCs w:val="26"/>
        </w:rPr>
        <w:t xml:space="preserve"> continue to implement measures to address the cost of disability in their departments</w:t>
      </w:r>
      <w:r w:rsidR="008A22B7" w:rsidRPr="00C6327C">
        <w:rPr>
          <w:sz w:val="26"/>
          <w:szCs w:val="26"/>
        </w:rPr>
        <w:t>, including the Office of the Revenue Commissioner</w:t>
      </w:r>
      <w:r w:rsidR="00A73A46" w:rsidRPr="00C6327C">
        <w:rPr>
          <w:sz w:val="26"/>
          <w:szCs w:val="26"/>
        </w:rPr>
        <w:t xml:space="preserve">. </w:t>
      </w:r>
    </w:p>
    <w:p w14:paraId="19BD8F8C" w14:textId="77777777" w:rsidR="00D11C1A" w:rsidRDefault="00D11C1A" w:rsidP="0056522A">
      <w:pPr>
        <w:pStyle w:val="Default"/>
        <w:rPr>
          <w:sz w:val="26"/>
          <w:szCs w:val="26"/>
        </w:rPr>
      </w:pPr>
    </w:p>
    <w:p w14:paraId="1838B724" w14:textId="77777777" w:rsidR="00082396" w:rsidRPr="007A0C0C" w:rsidRDefault="00D11C1A" w:rsidP="0056522A">
      <w:pPr>
        <w:pStyle w:val="Default"/>
        <w:rPr>
          <w:sz w:val="26"/>
          <w:szCs w:val="26"/>
        </w:rPr>
      </w:pPr>
      <w:r w:rsidRPr="007A0C0C">
        <w:rPr>
          <w:color w:val="auto"/>
          <w:sz w:val="26"/>
          <w:szCs w:val="26"/>
        </w:rPr>
        <w:t>The NDA advise that the Office of the Revenue Commissioner consider the introduction of new tax advantages or credit</w:t>
      </w:r>
      <w:r w:rsidR="00B27094" w:rsidRPr="007A0C0C">
        <w:rPr>
          <w:color w:val="auto"/>
          <w:sz w:val="26"/>
          <w:szCs w:val="26"/>
        </w:rPr>
        <w:t xml:space="preserve">s, as outlined in the </w:t>
      </w:r>
      <w:proofErr w:type="spellStart"/>
      <w:r w:rsidR="00B27094" w:rsidRPr="007A0C0C">
        <w:rPr>
          <w:color w:val="auto"/>
          <w:sz w:val="26"/>
          <w:szCs w:val="26"/>
        </w:rPr>
        <w:t>Indecon</w:t>
      </w:r>
      <w:proofErr w:type="spellEnd"/>
      <w:r w:rsidR="00B27094" w:rsidRPr="007A0C0C">
        <w:rPr>
          <w:color w:val="auto"/>
          <w:sz w:val="26"/>
          <w:szCs w:val="26"/>
        </w:rPr>
        <w:t xml:space="preserve"> Report,</w:t>
      </w:r>
      <w:r w:rsidRPr="007A0C0C">
        <w:rPr>
          <w:color w:val="auto"/>
          <w:sz w:val="26"/>
          <w:szCs w:val="26"/>
        </w:rPr>
        <w:t xml:space="preserve"> to provide support on disability-related expenses. </w:t>
      </w:r>
      <w:r w:rsidR="00082396" w:rsidRPr="007A0C0C">
        <w:rPr>
          <w:color w:val="auto"/>
          <w:sz w:val="26"/>
          <w:szCs w:val="26"/>
        </w:rPr>
        <w:t xml:space="preserve">For </w:t>
      </w:r>
      <w:r w:rsidR="005428C9" w:rsidRPr="007A0C0C">
        <w:rPr>
          <w:color w:val="auto"/>
          <w:sz w:val="26"/>
          <w:szCs w:val="26"/>
        </w:rPr>
        <w:t>instance</w:t>
      </w:r>
      <w:r w:rsidR="00082396" w:rsidRPr="007A0C0C">
        <w:rPr>
          <w:color w:val="auto"/>
          <w:sz w:val="26"/>
          <w:szCs w:val="26"/>
        </w:rPr>
        <w:t xml:space="preserve">, a </w:t>
      </w:r>
      <w:r w:rsidR="00542E8F">
        <w:rPr>
          <w:color w:val="auto"/>
          <w:sz w:val="26"/>
          <w:szCs w:val="26"/>
        </w:rPr>
        <w:t xml:space="preserve">change to the </w:t>
      </w:r>
      <w:r w:rsidR="00082396" w:rsidRPr="007A0C0C">
        <w:rPr>
          <w:color w:val="auto"/>
          <w:sz w:val="26"/>
          <w:szCs w:val="26"/>
        </w:rPr>
        <w:t xml:space="preserve">tax code may allow for larger deductions for workers with disabilities who incur work-related expenses associated with their disability. These provisions </w:t>
      </w:r>
      <w:r w:rsidR="00542E8F">
        <w:rPr>
          <w:color w:val="auto"/>
          <w:sz w:val="26"/>
          <w:szCs w:val="26"/>
        </w:rPr>
        <w:t>would</w:t>
      </w:r>
      <w:r w:rsidR="00082396" w:rsidRPr="007A0C0C">
        <w:rPr>
          <w:color w:val="auto"/>
          <w:sz w:val="26"/>
          <w:szCs w:val="26"/>
        </w:rPr>
        <w:t xml:space="preserve"> have a str</w:t>
      </w:r>
      <w:r w:rsidR="00771542" w:rsidRPr="007A0C0C">
        <w:rPr>
          <w:color w:val="auto"/>
          <w:sz w:val="26"/>
          <w:szCs w:val="26"/>
        </w:rPr>
        <w:t>ong relative merit of incentivis</w:t>
      </w:r>
      <w:r w:rsidR="00082396" w:rsidRPr="007A0C0C">
        <w:rPr>
          <w:color w:val="auto"/>
          <w:sz w:val="26"/>
          <w:szCs w:val="26"/>
        </w:rPr>
        <w:t xml:space="preserve">ing </w:t>
      </w:r>
      <w:r w:rsidR="00771542" w:rsidRPr="007A0C0C">
        <w:rPr>
          <w:color w:val="auto"/>
          <w:sz w:val="26"/>
          <w:szCs w:val="26"/>
        </w:rPr>
        <w:t>the</w:t>
      </w:r>
      <w:r w:rsidR="00082396" w:rsidRPr="007A0C0C">
        <w:rPr>
          <w:color w:val="auto"/>
          <w:sz w:val="26"/>
          <w:szCs w:val="26"/>
        </w:rPr>
        <w:t xml:space="preserve"> employment of </w:t>
      </w:r>
      <w:r w:rsidR="00C35EBB" w:rsidRPr="007A0C0C">
        <w:rPr>
          <w:color w:val="auto"/>
          <w:sz w:val="26"/>
          <w:szCs w:val="26"/>
        </w:rPr>
        <w:t>people with disabilities. Legislation</w:t>
      </w:r>
      <w:r w:rsidR="009D00AA" w:rsidRPr="007A0C0C">
        <w:rPr>
          <w:color w:val="auto"/>
          <w:sz w:val="26"/>
          <w:szCs w:val="26"/>
        </w:rPr>
        <w:t xml:space="preserve"> could also incentivis</w:t>
      </w:r>
      <w:r w:rsidR="00082396" w:rsidRPr="007A0C0C">
        <w:rPr>
          <w:color w:val="auto"/>
          <w:sz w:val="26"/>
          <w:szCs w:val="26"/>
        </w:rPr>
        <w:t>e individuals to save for disability-related expenses in a tax</w:t>
      </w:r>
      <w:r w:rsidR="00BB6184" w:rsidRPr="007A0C0C">
        <w:rPr>
          <w:color w:val="auto"/>
          <w:sz w:val="26"/>
          <w:szCs w:val="26"/>
        </w:rPr>
        <w:t xml:space="preserve"> </w:t>
      </w:r>
      <w:r w:rsidR="00082396" w:rsidRPr="007A0C0C">
        <w:rPr>
          <w:color w:val="auto"/>
          <w:sz w:val="26"/>
          <w:szCs w:val="26"/>
        </w:rPr>
        <w:t>advantaged account that is not considered an asset in determining the eligibility for means-tested public benefits.</w:t>
      </w:r>
      <w:r w:rsidR="0077029D" w:rsidRPr="007A0C0C">
        <w:rPr>
          <w:rStyle w:val="FootnoteReference"/>
          <w:color w:val="auto"/>
          <w:sz w:val="26"/>
          <w:szCs w:val="26"/>
        </w:rPr>
        <w:footnoteReference w:id="4"/>
      </w:r>
      <w:r w:rsidR="00082396" w:rsidRPr="007A0C0C">
        <w:rPr>
          <w:color w:val="auto"/>
          <w:sz w:val="26"/>
          <w:szCs w:val="26"/>
        </w:rPr>
        <w:t xml:space="preserve"> </w:t>
      </w:r>
    </w:p>
    <w:p w14:paraId="52D6AC48" w14:textId="77777777" w:rsidR="00155037" w:rsidRDefault="00155037" w:rsidP="00DC65A0">
      <w:pPr>
        <w:pStyle w:val="Default"/>
        <w:rPr>
          <w:color w:val="auto"/>
          <w:sz w:val="26"/>
          <w:szCs w:val="26"/>
        </w:rPr>
      </w:pPr>
    </w:p>
    <w:p w14:paraId="109C1595" w14:textId="77777777" w:rsidR="00155037" w:rsidRPr="009C1F21" w:rsidRDefault="00155037" w:rsidP="00155037">
      <w:pPr>
        <w:pStyle w:val="Heading2"/>
      </w:pPr>
      <w:r w:rsidRPr="009C1F21">
        <w:t>Disability Data</w:t>
      </w:r>
    </w:p>
    <w:p w14:paraId="4EF4BD49" w14:textId="2FF1C5D3" w:rsidR="00DC65A0" w:rsidRPr="001057F7" w:rsidRDefault="006D276E" w:rsidP="004959F9">
      <w:pPr>
        <w:spacing w:after="0"/>
        <w:rPr>
          <w:szCs w:val="26"/>
        </w:rPr>
      </w:pPr>
      <w:r>
        <w:rPr>
          <w:szCs w:val="26"/>
        </w:rPr>
        <w:t>I</w:t>
      </w:r>
      <w:r w:rsidR="00155037" w:rsidRPr="001057F7">
        <w:rPr>
          <w:szCs w:val="26"/>
        </w:rPr>
        <w:t xml:space="preserve">t is intended that the Equality Data Strategy will be finalised </w:t>
      </w:r>
      <w:r>
        <w:rPr>
          <w:szCs w:val="26"/>
        </w:rPr>
        <w:t xml:space="preserve">during 2023 </w:t>
      </w:r>
      <w:r w:rsidR="00155037" w:rsidRPr="001057F7">
        <w:rPr>
          <w:szCs w:val="26"/>
        </w:rPr>
        <w:t xml:space="preserve">and implementation will begin. This strategy supports the ‘collect once use often’ </w:t>
      </w:r>
      <w:r w:rsidR="00155037" w:rsidRPr="0085638B">
        <w:t xml:space="preserve">approach and will recommend using data linking as much as possible. Linking of various administrative databases facilitates more in-depth data analysis to inform policy. The Equality Data Strategy will also promote the standardisation of certain </w:t>
      </w:r>
      <w:r w:rsidR="00155037" w:rsidRPr="0085638B">
        <w:lastRenderedPageBreak/>
        <w:t>indicators. The Statement of Strategy</w:t>
      </w:r>
      <w:r w:rsidR="00E066E5" w:rsidRPr="0085638B">
        <w:t xml:space="preserve"> for the Office of the Revenue Commissioners</w:t>
      </w:r>
      <w:r w:rsidR="00155037" w:rsidRPr="0085638B">
        <w:t xml:space="preserve"> may provide an opportunity to make a commitment to expanding data disaggregation, supporting data linking, using more standardised approach in relation to indicators and targets, and identif</w:t>
      </w:r>
      <w:r w:rsidR="009B396D" w:rsidRPr="0085638B">
        <w:t>ying and addressing data gaps. The NDA suggest that Revenue give careful consideration to including a disability marker (box or field to self-report having a disability) in all administrative forms, as this would facilitate analysis of the resulting administrative data by researchers</w:t>
      </w:r>
      <w:r w:rsidR="0019600F" w:rsidRPr="0085638B">
        <w:t xml:space="preserve"> to inform policy</w:t>
      </w:r>
      <w:r w:rsidR="009B396D" w:rsidRPr="0085638B">
        <w:t>.</w:t>
      </w:r>
      <w:r w:rsidR="000D2C05" w:rsidRPr="0085638B">
        <w:t xml:space="preserve"> The NDA would be happy to advise the Office of the Revenue Commissioners </w:t>
      </w:r>
      <w:r w:rsidR="00F5363E" w:rsidRPr="0085638B">
        <w:t>on the inclusion of a disability marker in administrative forms</w:t>
      </w:r>
      <w:r w:rsidR="005E4CEF" w:rsidRPr="0085638B">
        <w:t xml:space="preserve"> and other data </w:t>
      </w:r>
      <w:r w:rsidR="00B74AF9" w:rsidRPr="0085638B">
        <w:t xml:space="preserve">linking </w:t>
      </w:r>
      <w:r w:rsidR="005E4CEF" w:rsidRPr="0085638B">
        <w:t>considerations</w:t>
      </w:r>
      <w:r w:rsidR="00F5363E" w:rsidRPr="0085638B">
        <w:t>.</w:t>
      </w:r>
    </w:p>
    <w:p w14:paraId="2AF68766" w14:textId="106322C7" w:rsidR="00DC65A0" w:rsidRPr="009C1F21" w:rsidRDefault="00DC65A0" w:rsidP="00DC65A0">
      <w:pPr>
        <w:pStyle w:val="Heading2"/>
        <w:rPr>
          <w:rFonts w:eastAsia="SimSun"/>
          <w:lang w:eastAsia="en-IE"/>
        </w:rPr>
      </w:pPr>
      <w:r w:rsidRPr="009C1F21">
        <w:rPr>
          <w:rFonts w:eastAsia="SimSun"/>
          <w:lang w:eastAsia="en-IE"/>
        </w:rPr>
        <w:t>Participation and Engagement</w:t>
      </w:r>
    </w:p>
    <w:p w14:paraId="4EB51697" w14:textId="77777777" w:rsidR="003C253D" w:rsidRDefault="00DC65A0" w:rsidP="003C253D">
      <w:pPr>
        <w:spacing w:after="0"/>
        <w:rPr>
          <w:rFonts w:eastAsia="SimSun" w:cs="Gill Sans MT"/>
          <w:szCs w:val="26"/>
          <w:lang w:eastAsia="en-IE"/>
        </w:rPr>
      </w:pPr>
      <w:r w:rsidRPr="009C1F21">
        <w:rPr>
          <w:rFonts w:eastAsia="SimSun" w:cs="Gill Sans MT"/>
          <w:szCs w:val="26"/>
          <w:lang w:eastAsia="en-IE"/>
        </w:rPr>
        <w:t>The UNCRPD places an obligation on states to ensure that people with disabilities are included in policy development and decision-making</w:t>
      </w:r>
      <w:r w:rsidRPr="00D3326E">
        <w:rPr>
          <w:rFonts w:eastAsia="SimSun" w:cs="Gill Sans MT"/>
          <w:szCs w:val="26"/>
          <w:lang w:eastAsia="en-IE"/>
        </w:rPr>
        <w:t xml:space="preserve">. The NDA advises that meaningful engagement and participation should feature throughout the lifetime of the next Statement of Strategy, so that </w:t>
      </w:r>
      <w:r w:rsidR="001057F7" w:rsidRPr="00D3326E">
        <w:rPr>
          <w:rFonts w:eastAsia="SimSun" w:cs="Gill Sans MT"/>
          <w:szCs w:val="26"/>
          <w:lang w:eastAsia="en-IE"/>
        </w:rPr>
        <w:t>changes to Revenue policy and practice</w:t>
      </w:r>
      <w:r w:rsidRPr="00D3326E">
        <w:rPr>
          <w:rFonts w:eastAsia="SimSun" w:cs="Gill Sans MT"/>
          <w:szCs w:val="26"/>
          <w:lang w:eastAsia="en-IE"/>
        </w:rPr>
        <w:t xml:space="preserve"> disability-proofed from the outset.</w:t>
      </w:r>
      <w:r w:rsidRPr="009C1F21">
        <w:rPr>
          <w:rFonts w:eastAsia="SimSun" w:cs="Gill Sans MT"/>
          <w:szCs w:val="26"/>
          <w:lang w:eastAsia="en-IE"/>
        </w:rPr>
        <w:t xml:space="preserve"> The NDA published ‘Participation Matters: Guidelines on implementing the obligation to meaningfully engage with disabled people in public decision making’ in 2022 to support public bodies in achieving meaningful engagement with disabled people, especially through their representative DPOs.</w:t>
      </w:r>
      <w:r w:rsidRPr="009C1F21">
        <w:rPr>
          <w:rStyle w:val="FootnoteReference"/>
          <w:rFonts w:eastAsia="SimSun" w:cs="Gill Sans MT"/>
          <w:szCs w:val="26"/>
          <w:lang w:eastAsia="en-IE"/>
        </w:rPr>
        <w:footnoteReference w:id="5"/>
      </w:r>
      <w:r w:rsidRPr="009C1F21">
        <w:rPr>
          <w:rFonts w:eastAsia="SimSun" w:cs="Gill Sans MT"/>
          <w:szCs w:val="26"/>
          <w:lang w:eastAsia="en-IE"/>
        </w:rPr>
        <w:t xml:space="preserve"> The NDA also produced an ‘Advice Paper on Disability Language and Terminology’ which is intended as a practical guide for departments and public bodies on the use of language </w:t>
      </w:r>
      <w:r w:rsidR="00F91C06">
        <w:rPr>
          <w:rFonts w:eastAsia="SimSun" w:cs="Gill Sans MT"/>
          <w:szCs w:val="26"/>
          <w:lang w:eastAsia="en-IE"/>
        </w:rPr>
        <w:t>regarding</w:t>
      </w:r>
      <w:r w:rsidRPr="009C1F21">
        <w:rPr>
          <w:rFonts w:eastAsia="SimSun" w:cs="Gill Sans MT"/>
          <w:szCs w:val="26"/>
          <w:lang w:eastAsia="en-IE"/>
        </w:rPr>
        <w:t xml:space="preserve"> disability.</w:t>
      </w:r>
      <w:r w:rsidRPr="009C1F21">
        <w:rPr>
          <w:rStyle w:val="FootnoteReference"/>
          <w:rFonts w:eastAsia="SimSun" w:cs="Gill Sans MT"/>
          <w:szCs w:val="26"/>
          <w:lang w:eastAsia="en-IE"/>
        </w:rPr>
        <w:footnoteReference w:id="6"/>
      </w:r>
    </w:p>
    <w:p w14:paraId="14308416" w14:textId="77777777" w:rsidR="009B563A" w:rsidRDefault="009B563A" w:rsidP="003C253D">
      <w:pPr>
        <w:spacing w:after="0"/>
        <w:rPr>
          <w:rFonts w:eastAsia="SimSun" w:cs="Gill Sans MT"/>
          <w:szCs w:val="26"/>
          <w:lang w:eastAsia="en-IE"/>
        </w:rPr>
      </w:pPr>
    </w:p>
    <w:p w14:paraId="799B9A02" w14:textId="77777777" w:rsidR="009B563A" w:rsidRPr="009C1F21" w:rsidRDefault="009B563A" w:rsidP="009B563A">
      <w:pPr>
        <w:pStyle w:val="Heading2"/>
        <w:rPr>
          <w:rFonts w:eastAsia="SimSun"/>
          <w:lang w:eastAsia="en-IE"/>
        </w:rPr>
      </w:pPr>
      <w:r w:rsidRPr="009C1F21">
        <w:rPr>
          <w:rFonts w:eastAsia="SimSun"/>
          <w:lang w:eastAsia="en-IE"/>
        </w:rPr>
        <w:t xml:space="preserve">EU Web Accessibility Obligations </w:t>
      </w:r>
    </w:p>
    <w:p w14:paraId="617045E5" w14:textId="4793AEF0" w:rsidR="009B563A" w:rsidRDefault="009B563A" w:rsidP="009B563A">
      <w:pPr>
        <w:pStyle w:val="NormalWeb"/>
        <w:spacing w:before="0" w:beforeAutospacing="0" w:after="0" w:afterAutospacing="0"/>
        <w:rPr>
          <w:rFonts w:ascii="Gill Sans MT" w:eastAsia="SimSun" w:hAnsi="Gill Sans MT" w:cs="Gill Sans MT"/>
          <w:sz w:val="26"/>
          <w:szCs w:val="26"/>
        </w:rPr>
      </w:pPr>
      <w:r w:rsidRPr="009C1F21">
        <w:rPr>
          <w:rFonts w:ascii="Gill Sans MT" w:eastAsia="SimSun" w:hAnsi="Gill Sans MT" w:cs="Gill Sans MT"/>
          <w:sz w:val="26"/>
          <w:szCs w:val="26"/>
        </w:rPr>
        <w:t xml:space="preserve">The </w:t>
      </w:r>
      <w:hyperlink r:id="rId9" w:history="1">
        <w:r w:rsidRPr="009C1F21">
          <w:rPr>
            <w:rStyle w:val="Hyperlink"/>
            <w:rFonts w:ascii="Gill Sans MT" w:eastAsia="SimSun" w:hAnsi="Gill Sans MT" w:cs="Gill Sans MT"/>
            <w:color w:val="auto"/>
            <w:sz w:val="26"/>
            <w:szCs w:val="26"/>
          </w:rPr>
          <w:t>EU Web Accessibility Directive</w:t>
        </w:r>
      </w:hyperlink>
      <w:r w:rsidRPr="009C1F21">
        <w:rPr>
          <w:rFonts w:ascii="Gill Sans MT" w:eastAsia="SimSun" w:hAnsi="Gill Sans MT" w:cs="Gill Sans MT"/>
          <w:sz w:val="26"/>
          <w:szCs w:val="26"/>
        </w:rPr>
        <w:t xml:space="preserve">, which came into force in September 2020, requires Member States to ensure that websites and mobile applications of public sector bodies are fully accessible to persons with disabilities and comply with the harmonised standard EN 310 549 (v3.2.1). The Directive further requires public bodies to maintain an </w:t>
      </w:r>
      <w:hyperlink r:id="rId10" w:history="1">
        <w:r w:rsidRPr="009C1F21">
          <w:rPr>
            <w:rStyle w:val="Hyperlink"/>
            <w:rFonts w:ascii="Gill Sans MT" w:eastAsia="SimSun" w:hAnsi="Gill Sans MT" w:cs="Gill Sans MT"/>
            <w:color w:val="auto"/>
            <w:sz w:val="26"/>
            <w:szCs w:val="26"/>
          </w:rPr>
          <w:t>Accessibility Statement</w:t>
        </w:r>
      </w:hyperlink>
      <w:r w:rsidRPr="009C1F21">
        <w:rPr>
          <w:rFonts w:ascii="Gill Sans MT" w:eastAsia="SimSun" w:hAnsi="Gill Sans MT" w:cs="Gill Sans MT"/>
          <w:sz w:val="26"/>
          <w:szCs w:val="26"/>
        </w:rPr>
        <w:t xml:space="preserve"> in a prominent location on all its websites.  This must include a clear feedback mechanism for users to ask for assistance with inaccessible content and features as well as the statutory complaints mechanism through which a person can make a formal complaint about the website’s accessibility in-line with the Disability Act 2005 or the Equal Status Act 2000-2015, whichever so applies. The National Disability Authority is named in Irish Regulations as the National Monitoring Body for the purposes of monitoring compliance with and reporting on the EU Web Accessibility Directive. The NDA has submitted </w:t>
      </w:r>
      <w:hyperlink r:id="rId11" w:history="1">
        <w:r w:rsidRPr="007B744E">
          <w:rPr>
            <w:rStyle w:val="Hyperlink"/>
            <w:rFonts w:ascii="Gill Sans MT" w:eastAsia="SimSun" w:hAnsi="Gill Sans MT" w:cs="Gill Sans MT"/>
            <w:color w:val="auto"/>
            <w:sz w:val="26"/>
            <w:szCs w:val="26"/>
            <w:u w:val="none"/>
          </w:rPr>
          <w:t>two monitoring reports</w:t>
        </w:r>
      </w:hyperlink>
      <w:r w:rsidRPr="009C1F21">
        <w:rPr>
          <w:rFonts w:ascii="Gill Sans MT" w:eastAsia="SimSun" w:hAnsi="Gill Sans MT" w:cs="Gill Sans MT"/>
          <w:sz w:val="26"/>
          <w:szCs w:val="26"/>
        </w:rPr>
        <w:t xml:space="preserve"> to the European </w:t>
      </w:r>
      <w:r w:rsidRPr="009C1F21">
        <w:rPr>
          <w:rFonts w:ascii="Gill Sans MT" w:eastAsia="SimSun" w:hAnsi="Gill Sans MT" w:cs="Gill Sans MT"/>
          <w:sz w:val="26"/>
          <w:szCs w:val="26"/>
        </w:rPr>
        <w:lastRenderedPageBreak/>
        <w:t>Commission in December 20</w:t>
      </w:r>
      <w:r w:rsidR="0019600F">
        <w:rPr>
          <w:rFonts w:ascii="Gill Sans MT" w:eastAsia="SimSun" w:hAnsi="Gill Sans MT" w:cs="Gill Sans MT"/>
          <w:sz w:val="26"/>
          <w:szCs w:val="26"/>
        </w:rPr>
        <w:t>2</w:t>
      </w:r>
      <w:r w:rsidRPr="009C1F21">
        <w:rPr>
          <w:rFonts w:ascii="Gill Sans MT" w:eastAsia="SimSun" w:hAnsi="Gill Sans MT" w:cs="Gill Sans MT"/>
          <w:sz w:val="26"/>
          <w:szCs w:val="26"/>
        </w:rPr>
        <w:t>1 and 2022 in this regard, and issued a Notice of Monitoring to departments in November 2022.</w:t>
      </w:r>
      <w:r w:rsidRPr="009C1F21">
        <w:rPr>
          <w:rStyle w:val="FootnoteReference"/>
          <w:rFonts w:ascii="Gill Sans MT" w:eastAsia="SimSun" w:hAnsi="Gill Sans MT" w:cs="Gill Sans MT"/>
          <w:sz w:val="26"/>
          <w:szCs w:val="26"/>
        </w:rPr>
        <w:footnoteReference w:id="7"/>
      </w:r>
    </w:p>
    <w:p w14:paraId="2B36561B" w14:textId="77777777" w:rsidR="007478FB" w:rsidRDefault="007478FB" w:rsidP="009B563A">
      <w:pPr>
        <w:pStyle w:val="NormalWeb"/>
        <w:spacing w:before="0" w:beforeAutospacing="0" w:after="0" w:afterAutospacing="0"/>
        <w:rPr>
          <w:rFonts w:ascii="Gill Sans MT" w:eastAsia="SimSun" w:hAnsi="Gill Sans MT" w:cs="Gill Sans MT"/>
          <w:sz w:val="26"/>
          <w:szCs w:val="26"/>
        </w:rPr>
      </w:pPr>
    </w:p>
    <w:p w14:paraId="5E922392" w14:textId="4AC245C8" w:rsidR="00F77979" w:rsidRDefault="00F77979" w:rsidP="00F77979">
      <w:pPr>
        <w:pStyle w:val="NormalWeb"/>
        <w:spacing w:before="0" w:beforeAutospacing="0" w:after="0" w:afterAutospacing="0"/>
        <w:rPr>
          <w:rFonts w:ascii="Gill Sans MT" w:eastAsia="SimSun" w:hAnsi="Gill Sans MT" w:cs="Gill Sans MT"/>
          <w:color w:val="000000"/>
          <w:sz w:val="26"/>
          <w:szCs w:val="26"/>
        </w:rPr>
      </w:pPr>
      <w:r>
        <w:rPr>
          <w:rFonts w:ascii="Gill Sans MT" w:eastAsia="SimSun" w:hAnsi="Gill Sans MT" w:cs="Gill Sans MT"/>
          <w:color w:val="000000"/>
          <w:sz w:val="26"/>
          <w:szCs w:val="26"/>
        </w:rPr>
        <w:t xml:space="preserve">NDA conducted both a Simplified </w:t>
      </w:r>
      <w:r w:rsidR="0018780C">
        <w:rPr>
          <w:rFonts w:ascii="Gill Sans MT" w:eastAsia="SimSun" w:hAnsi="Gill Sans MT" w:cs="Gill Sans MT"/>
          <w:color w:val="000000"/>
          <w:sz w:val="26"/>
          <w:szCs w:val="26"/>
        </w:rPr>
        <w:t xml:space="preserve">(automated) </w:t>
      </w:r>
      <w:r>
        <w:rPr>
          <w:rFonts w:ascii="Gill Sans MT" w:eastAsia="SimSun" w:hAnsi="Gill Sans MT" w:cs="Gill Sans MT"/>
          <w:color w:val="000000"/>
          <w:sz w:val="26"/>
          <w:szCs w:val="26"/>
        </w:rPr>
        <w:t xml:space="preserve">Review and In-depth </w:t>
      </w:r>
      <w:r w:rsidR="0018780C">
        <w:rPr>
          <w:rFonts w:ascii="Gill Sans MT" w:eastAsia="SimSun" w:hAnsi="Gill Sans MT" w:cs="Gill Sans MT"/>
          <w:color w:val="000000"/>
          <w:sz w:val="26"/>
          <w:szCs w:val="26"/>
        </w:rPr>
        <w:t xml:space="preserve">(manual) </w:t>
      </w:r>
      <w:r>
        <w:rPr>
          <w:rFonts w:ascii="Gill Sans MT" w:eastAsia="SimSun" w:hAnsi="Gill Sans MT" w:cs="Gill Sans MT"/>
          <w:color w:val="000000"/>
          <w:sz w:val="26"/>
          <w:szCs w:val="26"/>
        </w:rPr>
        <w:t>Review of the Revenue Commissioner</w:t>
      </w:r>
      <w:r w:rsidR="00E066E5">
        <w:rPr>
          <w:rFonts w:ascii="Gill Sans MT" w:eastAsia="SimSun" w:hAnsi="Gill Sans MT" w:cs="Gill Sans MT"/>
          <w:color w:val="000000"/>
          <w:sz w:val="26"/>
          <w:szCs w:val="26"/>
        </w:rPr>
        <w:t>’</w:t>
      </w:r>
      <w:r>
        <w:rPr>
          <w:rFonts w:ascii="Gill Sans MT" w:eastAsia="SimSun" w:hAnsi="Gill Sans MT" w:cs="Gill Sans MT"/>
          <w:color w:val="000000"/>
          <w:sz w:val="26"/>
          <w:szCs w:val="26"/>
        </w:rPr>
        <w:t xml:space="preserve">s main public facing site, </w:t>
      </w:r>
      <w:hyperlink r:id="rId12" w:history="1">
        <w:r w:rsidR="0018780C" w:rsidRPr="008C3D71">
          <w:rPr>
            <w:rStyle w:val="Hyperlink"/>
            <w:rFonts w:ascii="Gill Sans MT" w:eastAsia="SimSun" w:hAnsi="Gill Sans MT" w:cs="Gill Sans MT"/>
            <w:sz w:val="26"/>
            <w:szCs w:val="26"/>
          </w:rPr>
          <w:t>www.revenue.ie</w:t>
        </w:r>
      </w:hyperlink>
      <w:r w:rsidR="0018780C">
        <w:rPr>
          <w:rFonts w:ascii="Gill Sans MT" w:eastAsia="SimSun" w:hAnsi="Gill Sans MT" w:cs="Gill Sans MT"/>
          <w:color w:val="000000"/>
          <w:sz w:val="26"/>
          <w:szCs w:val="26"/>
        </w:rPr>
        <w:t xml:space="preserve">. </w:t>
      </w:r>
      <w:r>
        <w:rPr>
          <w:rFonts w:ascii="Gill Sans MT" w:eastAsia="SimSun" w:hAnsi="Gill Sans MT" w:cs="Gill Sans MT"/>
          <w:color w:val="000000"/>
          <w:sz w:val="26"/>
          <w:szCs w:val="26"/>
        </w:rPr>
        <w:t>NDAs</w:t>
      </w:r>
      <w:r w:rsidRPr="00872E83">
        <w:rPr>
          <w:rFonts w:ascii="Gill Sans MT" w:eastAsia="SimSun" w:hAnsi="Gill Sans MT" w:cs="Gill Sans MT"/>
          <w:color w:val="000000"/>
          <w:sz w:val="26"/>
          <w:szCs w:val="26"/>
        </w:rPr>
        <w:t xml:space="preserve"> monitoring </w:t>
      </w:r>
      <w:r>
        <w:rPr>
          <w:rFonts w:ascii="Gill Sans MT" w:eastAsia="SimSun" w:hAnsi="Gill Sans MT" w:cs="Gill Sans MT"/>
          <w:color w:val="000000"/>
          <w:sz w:val="26"/>
          <w:szCs w:val="26"/>
        </w:rPr>
        <w:t>demonstrates that:</w:t>
      </w:r>
    </w:p>
    <w:p w14:paraId="276B891C" w14:textId="77777777" w:rsidR="0018780C" w:rsidRDefault="00EF1E19" w:rsidP="00F77979">
      <w:pPr>
        <w:pStyle w:val="NormalWeb"/>
        <w:numPr>
          <w:ilvl w:val="0"/>
          <w:numId w:val="29"/>
        </w:numPr>
        <w:spacing w:before="0" w:beforeAutospacing="0" w:after="0" w:afterAutospacing="0"/>
        <w:rPr>
          <w:rFonts w:ascii="Gill Sans MT" w:eastAsia="SimSun" w:hAnsi="Gill Sans MT" w:cs="Gill Sans MT"/>
          <w:color w:val="000000"/>
          <w:sz w:val="26"/>
          <w:szCs w:val="26"/>
        </w:rPr>
      </w:pPr>
      <w:r>
        <w:rPr>
          <w:rFonts w:ascii="Gill Sans MT" w:eastAsia="SimSun" w:hAnsi="Gill Sans MT" w:cs="Gill Sans MT"/>
          <w:color w:val="000000"/>
          <w:sz w:val="26"/>
          <w:szCs w:val="26"/>
        </w:rPr>
        <w:t xml:space="preserve">While the Simplified Review returns an accessibility Score of 90%, the more detailed, manual In-depth Review </w:t>
      </w:r>
      <w:r w:rsidR="0018780C">
        <w:rPr>
          <w:rFonts w:ascii="Gill Sans MT" w:eastAsia="SimSun" w:hAnsi="Gill Sans MT" w:cs="Gill Sans MT"/>
          <w:color w:val="000000"/>
          <w:sz w:val="26"/>
          <w:szCs w:val="26"/>
        </w:rPr>
        <w:t>achieved an overall compliance with the standard of 64%</w:t>
      </w:r>
    </w:p>
    <w:p w14:paraId="6377AE51" w14:textId="77777777" w:rsidR="0018780C" w:rsidRDefault="0018780C" w:rsidP="00F77979">
      <w:pPr>
        <w:pStyle w:val="NormalWeb"/>
        <w:numPr>
          <w:ilvl w:val="0"/>
          <w:numId w:val="29"/>
        </w:numPr>
        <w:spacing w:before="0" w:beforeAutospacing="0" w:after="0" w:afterAutospacing="0"/>
        <w:rPr>
          <w:rFonts w:ascii="Gill Sans MT" w:eastAsia="SimSun" w:hAnsi="Gill Sans MT" w:cs="Gill Sans MT"/>
          <w:color w:val="000000"/>
          <w:sz w:val="26"/>
          <w:szCs w:val="26"/>
        </w:rPr>
      </w:pPr>
      <w:r>
        <w:rPr>
          <w:rFonts w:ascii="Gill Sans MT" w:eastAsia="SimSun" w:hAnsi="Gill Sans MT" w:cs="Gill Sans MT"/>
          <w:color w:val="000000"/>
          <w:sz w:val="26"/>
          <w:szCs w:val="26"/>
        </w:rPr>
        <w:t>The most critical errors identified related to how interactive ele</w:t>
      </w:r>
      <w:r w:rsidR="00EF1E19">
        <w:rPr>
          <w:rFonts w:ascii="Gill Sans MT" w:eastAsia="SimSun" w:hAnsi="Gill Sans MT" w:cs="Gill Sans MT"/>
          <w:color w:val="000000"/>
          <w:sz w:val="26"/>
          <w:szCs w:val="26"/>
        </w:rPr>
        <w:t>ments</w:t>
      </w:r>
      <w:r>
        <w:rPr>
          <w:rFonts w:ascii="Gill Sans MT" w:eastAsia="SimSun" w:hAnsi="Gill Sans MT" w:cs="Gill Sans MT"/>
          <w:color w:val="000000"/>
          <w:sz w:val="26"/>
          <w:szCs w:val="26"/>
        </w:rPr>
        <w:t xml:space="preserve"> such as the search form and PPSN form fields, making it difficult for some users of Assistive Technology to use</w:t>
      </w:r>
      <w:r w:rsidR="00EF1E19">
        <w:rPr>
          <w:rFonts w:ascii="Gill Sans MT" w:eastAsia="SimSun" w:hAnsi="Gill Sans MT" w:cs="Gill Sans MT"/>
          <w:color w:val="000000"/>
          <w:sz w:val="26"/>
          <w:szCs w:val="26"/>
        </w:rPr>
        <w:t>.</w:t>
      </w:r>
    </w:p>
    <w:p w14:paraId="01674DA5" w14:textId="77777777" w:rsidR="00F77979" w:rsidRDefault="00F77979" w:rsidP="00F77979">
      <w:pPr>
        <w:pStyle w:val="NormalWeb"/>
        <w:numPr>
          <w:ilvl w:val="0"/>
          <w:numId w:val="29"/>
        </w:numPr>
        <w:spacing w:before="0" w:beforeAutospacing="0" w:after="0" w:afterAutospacing="0"/>
        <w:rPr>
          <w:rFonts w:ascii="Gill Sans MT" w:eastAsia="SimSun" w:hAnsi="Gill Sans MT" w:cs="Gill Sans MT"/>
          <w:color w:val="000000"/>
          <w:sz w:val="26"/>
          <w:szCs w:val="26"/>
        </w:rPr>
      </w:pPr>
      <w:r>
        <w:rPr>
          <w:rFonts w:ascii="Gill Sans MT" w:eastAsia="SimSun" w:hAnsi="Gill Sans MT" w:cs="Gill Sans MT"/>
          <w:color w:val="000000"/>
          <w:sz w:val="26"/>
          <w:szCs w:val="26"/>
        </w:rPr>
        <w:t xml:space="preserve">Most Departmental PDFs published on </w:t>
      </w:r>
      <w:r w:rsidR="00EF1E19">
        <w:rPr>
          <w:rFonts w:ascii="Gill Sans MT" w:eastAsia="SimSun" w:hAnsi="Gill Sans MT" w:cs="Gill Sans MT"/>
          <w:color w:val="000000"/>
          <w:sz w:val="26"/>
          <w:szCs w:val="26"/>
        </w:rPr>
        <w:t>revenue.ie</w:t>
      </w:r>
      <w:r>
        <w:rPr>
          <w:rFonts w:ascii="Gill Sans MT" w:eastAsia="SimSun" w:hAnsi="Gill Sans MT" w:cs="Gill Sans MT"/>
          <w:color w:val="000000"/>
          <w:sz w:val="26"/>
          <w:szCs w:val="26"/>
        </w:rPr>
        <w:t xml:space="preserve"> lack accessibility.  </w:t>
      </w:r>
    </w:p>
    <w:p w14:paraId="731A5BD9" w14:textId="77777777" w:rsidR="00F77979" w:rsidRDefault="00F77979" w:rsidP="00F77979">
      <w:pPr>
        <w:pStyle w:val="NormalWeb"/>
        <w:spacing w:before="0" w:beforeAutospacing="0" w:after="0" w:afterAutospacing="0"/>
        <w:rPr>
          <w:rFonts w:ascii="Gill Sans MT" w:eastAsia="SimSun" w:hAnsi="Gill Sans MT" w:cs="Gill Sans MT"/>
          <w:color w:val="000000"/>
          <w:sz w:val="26"/>
          <w:szCs w:val="26"/>
        </w:rPr>
      </w:pPr>
    </w:p>
    <w:p w14:paraId="549B330E" w14:textId="602213DF" w:rsidR="00F77979" w:rsidRDefault="00F77979" w:rsidP="00F77979">
      <w:pPr>
        <w:pStyle w:val="NormalWeb"/>
        <w:spacing w:before="0" w:beforeAutospacing="0" w:after="0" w:afterAutospacing="0"/>
        <w:rPr>
          <w:rFonts w:ascii="Gill Sans MT" w:eastAsia="SimSun" w:hAnsi="Gill Sans MT" w:cs="Gill Sans MT"/>
          <w:color w:val="000000"/>
          <w:sz w:val="26"/>
          <w:szCs w:val="26"/>
        </w:rPr>
      </w:pPr>
      <w:r>
        <w:rPr>
          <w:rFonts w:ascii="Gill Sans MT" w:eastAsia="SimSun" w:hAnsi="Gill Sans MT" w:cs="Gill Sans MT"/>
          <w:color w:val="000000"/>
          <w:sz w:val="26"/>
          <w:szCs w:val="26"/>
        </w:rPr>
        <w:t xml:space="preserve">NDA recently engaged with </w:t>
      </w:r>
      <w:r w:rsidR="00EF1E19">
        <w:rPr>
          <w:rFonts w:ascii="Gill Sans MT" w:eastAsia="SimSun" w:hAnsi="Gill Sans MT" w:cs="Gill Sans MT"/>
          <w:color w:val="000000"/>
          <w:sz w:val="26"/>
          <w:szCs w:val="26"/>
        </w:rPr>
        <w:t xml:space="preserve">Revenue </w:t>
      </w:r>
      <w:r>
        <w:rPr>
          <w:rFonts w:ascii="Gill Sans MT" w:eastAsia="SimSun" w:hAnsi="Gill Sans MT" w:cs="Gill Sans MT"/>
          <w:color w:val="000000"/>
          <w:sz w:val="26"/>
          <w:szCs w:val="26"/>
        </w:rPr>
        <w:t xml:space="preserve">officials to </w:t>
      </w:r>
      <w:r w:rsidR="00EF1E19">
        <w:rPr>
          <w:rFonts w:ascii="Gill Sans MT" w:eastAsia="SimSun" w:hAnsi="Gill Sans MT" w:cs="Gill Sans MT"/>
          <w:color w:val="000000"/>
          <w:sz w:val="26"/>
          <w:szCs w:val="26"/>
        </w:rPr>
        <w:t xml:space="preserve">conduct </w:t>
      </w:r>
      <w:r>
        <w:rPr>
          <w:rFonts w:ascii="Gill Sans MT" w:eastAsia="SimSun" w:hAnsi="Gill Sans MT" w:cs="Gill Sans MT"/>
          <w:color w:val="000000"/>
          <w:sz w:val="26"/>
          <w:szCs w:val="26"/>
        </w:rPr>
        <w:t xml:space="preserve">In-depth Reviews of </w:t>
      </w:r>
      <w:r w:rsidR="00EF1E19">
        <w:rPr>
          <w:rFonts w:ascii="Gill Sans MT" w:eastAsia="SimSun" w:hAnsi="Gill Sans MT" w:cs="Gill Sans MT"/>
          <w:color w:val="000000"/>
          <w:sz w:val="26"/>
          <w:szCs w:val="26"/>
        </w:rPr>
        <w:t>ROS.ie and myaccount.ie websites.</w:t>
      </w:r>
      <w:r w:rsidR="000D4F43">
        <w:rPr>
          <w:rFonts w:ascii="Gill Sans MT" w:eastAsia="SimSun" w:hAnsi="Gill Sans MT" w:cs="Gill Sans MT"/>
          <w:color w:val="000000"/>
          <w:sz w:val="26"/>
          <w:szCs w:val="26"/>
        </w:rPr>
        <w:t xml:space="preserve"> </w:t>
      </w:r>
      <w:r>
        <w:rPr>
          <w:rFonts w:ascii="Gill Sans MT" w:eastAsia="SimSun" w:hAnsi="Gill Sans MT" w:cs="Gill Sans MT"/>
          <w:color w:val="000000"/>
          <w:sz w:val="26"/>
          <w:szCs w:val="26"/>
        </w:rPr>
        <w:t xml:space="preserve">NDA recommends that the </w:t>
      </w:r>
      <w:r w:rsidR="00EF1E19">
        <w:rPr>
          <w:rFonts w:ascii="Gill Sans MT" w:eastAsia="SimSun" w:hAnsi="Gill Sans MT" w:cs="Gill Sans MT"/>
          <w:color w:val="000000"/>
          <w:sz w:val="26"/>
          <w:szCs w:val="26"/>
        </w:rPr>
        <w:t xml:space="preserve">Revenue Commissioners address the results of all these reviews and improve compliance with the EU WAD in 2023.  NDA recommends </w:t>
      </w:r>
      <w:r>
        <w:rPr>
          <w:rFonts w:ascii="Gill Sans MT" w:eastAsia="SimSun" w:hAnsi="Gill Sans MT" w:cs="Gill Sans MT"/>
          <w:color w:val="000000"/>
          <w:sz w:val="26"/>
          <w:szCs w:val="26"/>
        </w:rPr>
        <w:t xml:space="preserve">the Statement of Strategy confirms </w:t>
      </w:r>
      <w:r w:rsidR="00EF1E19">
        <w:rPr>
          <w:rFonts w:ascii="Gill Sans MT" w:eastAsia="SimSun" w:hAnsi="Gill Sans MT" w:cs="Gill Sans MT"/>
          <w:color w:val="000000"/>
          <w:sz w:val="26"/>
          <w:szCs w:val="26"/>
        </w:rPr>
        <w:t xml:space="preserve">the Revenue Commissioners </w:t>
      </w:r>
      <w:r>
        <w:rPr>
          <w:rFonts w:ascii="Gill Sans MT" w:eastAsia="SimSun" w:hAnsi="Gill Sans MT" w:cs="Gill Sans MT"/>
          <w:color w:val="000000"/>
          <w:sz w:val="26"/>
          <w:szCs w:val="26"/>
        </w:rPr>
        <w:t>statutory obligat</w:t>
      </w:r>
      <w:r w:rsidR="007B744E">
        <w:rPr>
          <w:rFonts w:ascii="Gill Sans MT" w:eastAsia="SimSun" w:hAnsi="Gill Sans MT" w:cs="Gill Sans MT"/>
          <w:color w:val="000000"/>
          <w:sz w:val="26"/>
          <w:szCs w:val="26"/>
        </w:rPr>
        <w:t>ion to ensure all its websites</w:t>
      </w:r>
      <w:r>
        <w:rPr>
          <w:rFonts w:ascii="Gill Sans MT" w:eastAsia="SimSun" w:hAnsi="Gill Sans MT" w:cs="Gill Sans MT"/>
          <w:color w:val="000000"/>
          <w:sz w:val="26"/>
          <w:szCs w:val="26"/>
        </w:rPr>
        <w:t>, comply with the EU Web Accessibility Directive.  NDA recommends that this obligation is referenced in relevant strategic objectives and that the Statement of Strategy itself is publish</w:t>
      </w:r>
      <w:r w:rsidR="00E066E5">
        <w:rPr>
          <w:rFonts w:ascii="Gill Sans MT" w:eastAsia="SimSun" w:hAnsi="Gill Sans MT" w:cs="Gill Sans MT"/>
          <w:color w:val="000000"/>
          <w:sz w:val="26"/>
          <w:szCs w:val="26"/>
        </w:rPr>
        <w:t>ed</w:t>
      </w:r>
      <w:r>
        <w:rPr>
          <w:rFonts w:ascii="Gill Sans MT" w:eastAsia="SimSun" w:hAnsi="Gill Sans MT" w:cs="Gill Sans MT"/>
          <w:color w:val="000000"/>
          <w:sz w:val="26"/>
          <w:szCs w:val="26"/>
        </w:rPr>
        <w:t xml:space="preserve"> in a fully accessible PDF</w:t>
      </w:r>
      <w:r w:rsidR="00A45036">
        <w:rPr>
          <w:rFonts w:ascii="Gill Sans MT" w:eastAsia="SimSun" w:hAnsi="Gill Sans MT" w:cs="Gill Sans MT"/>
          <w:color w:val="000000"/>
          <w:sz w:val="26"/>
          <w:szCs w:val="26"/>
        </w:rPr>
        <w:t>, with a commitment to making it available in alternative formats if required</w:t>
      </w:r>
      <w:r>
        <w:rPr>
          <w:rFonts w:ascii="Gill Sans MT" w:eastAsia="SimSun" w:hAnsi="Gill Sans MT" w:cs="Gill Sans MT"/>
          <w:color w:val="000000"/>
          <w:sz w:val="26"/>
          <w:szCs w:val="26"/>
        </w:rPr>
        <w:t xml:space="preserve">.  </w:t>
      </w:r>
    </w:p>
    <w:p w14:paraId="36A4CF6D" w14:textId="40680621" w:rsidR="003C253D" w:rsidRPr="003C253D" w:rsidRDefault="003C253D" w:rsidP="003C253D">
      <w:pPr>
        <w:spacing w:after="0"/>
        <w:rPr>
          <w:rFonts w:eastAsia="SimSun" w:cs="Gill Sans MT"/>
          <w:szCs w:val="26"/>
          <w:lang w:eastAsia="en-IE"/>
        </w:rPr>
      </w:pPr>
    </w:p>
    <w:p w14:paraId="6BB65CE4" w14:textId="77777777" w:rsidR="00DC4A09" w:rsidRPr="009C1F21" w:rsidRDefault="00DC4A09" w:rsidP="00DC4A09">
      <w:pPr>
        <w:pStyle w:val="Heading2"/>
        <w:rPr>
          <w:rFonts w:eastAsia="SimSun"/>
          <w:lang w:eastAsia="en-IE"/>
        </w:rPr>
      </w:pPr>
      <w:r w:rsidRPr="009C1F21">
        <w:rPr>
          <w:rFonts w:eastAsia="SimSun"/>
          <w:lang w:eastAsia="en-IE"/>
        </w:rPr>
        <w:t>Compliance with Part 5 of the Disability Act 2005</w:t>
      </w:r>
    </w:p>
    <w:p w14:paraId="4E167DEE" w14:textId="77777777" w:rsidR="00DC4A09" w:rsidRDefault="00DC4A09" w:rsidP="00E12FFA">
      <w:pPr>
        <w:autoSpaceDE w:val="0"/>
        <w:autoSpaceDN w:val="0"/>
        <w:adjustRightInd w:val="0"/>
        <w:spacing w:after="0"/>
        <w:rPr>
          <w:rFonts w:eastAsia="SimSun" w:cs="Gill Sans MT"/>
          <w:szCs w:val="26"/>
          <w:lang w:eastAsia="en-IE"/>
        </w:rPr>
      </w:pPr>
      <w:r w:rsidRPr="009C1F21">
        <w:rPr>
          <w:rFonts w:eastAsia="SimSun" w:cs="Arial"/>
          <w:szCs w:val="26"/>
          <w:lang w:eastAsia="en-IE"/>
        </w:rPr>
        <w:t xml:space="preserve">Part 5 of the Disability Act 2005 details the obligations public bodies have to promote and support the employment of persons with disabilities. </w:t>
      </w:r>
      <w:r w:rsidRPr="009C1F21">
        <w:rPr>
          <w:rFonts w:eastAsia="SimSun" w:cs="Gill Sans MT"/>
          <w:szCs w:val="26"/>
          <w:lang w:eastAsia="en-IE"/>
        </w:rPr>
        <w:t xml:space="preserve">The NDA is pleased to note the record of the </w:t>
      </w:r>
      <w:r>
        <w:rPr>
          <w:rFonts w:eastAsia="SimSun" w:cs="Gill Sans MT"/>
          <w:szCs w:val="26"/>
          <w:lang w:eastAsia="en-IE"/>
        </w:rPr>
        <w:t>Office of the Revenue Commissioners</w:t>
      </w:r>
      <w:r w:rsidRPr="009C1F21">
        <w:rPr>
          <w:rFonts w:eastAsia="SimSun" w:cs="Gill Sans MT"/>
          <w:szCs w:val="26"/>
          <w:lang w:eastAsia="en-IE"/>
        </w:rPr>
        <w:t xml:space="preserve"> in relation to the employment of persons with disabilities, achieving </w:t>
      </w:r>
      <w:r w:rsidR="00787943">
        <w:rPr>
          <w:rFonts w:eastAsia="SimSun" w:cs="Gill Sans MT"/>
          <w:szCs w:val="26"/>
          <w:lang w:eastAsia="en-IE"/>
        </w:rPr>
        <w:t>4.1% in 2021</w:t>
      </w:r>
      <w:r w:rsidRPr="009C1F21">
        <w:rPr>
          <w:rFonts w:eastAsia="SimSun" w:cs="Gill Sans MT"/>
          <w:szCs w:val="26"/>
          <w:lang w:eastAsia="en-IE"/>
        </w:rPr>
        <w:t>. It is important to continue maintaining compliance with Part 5 of the Disability Act as a key focus of the department's HR strategy, and articulating a commitment to same in the overall Statement of Strategy can also demonstrate the standing</w:t>
      </w:r>
      <w:r w:rsidR="0088667F">
        <w:rPr>
          <w:rFonts w:eastAsia="SimSun" w:cs="Gill Sans MT"/>
          <w:szCs w:val="26"/>
          <w:lang w:eastAsia="en-IE"/>
        </w:rPr>
        <w:t xml:space="preserve"> of the Officer of the Revenue Commissioners</w:t>
      </w:r>
      <w:r w:rsidRPr="009C1F21">
        <w:rPr>
          <w:rFonts w:eastAsia="SimSun" w:cs="Gill Sans MT"/>
          <w:szCs w:val="26"/>
          <w:lang w:eastAsia="en-IE"/>
        </w:rPr>
        <w:t xml:space="preserve"> as an employer invested in equality, diversity and inclusion (EDI).</w:t>
      </w:r>
      <w:r w:rsidRPr="009C1F21">
        <w:rPr>
          <w:rStyle w:val="FootnoteReference"/>
          <w:rFonts w:eastAsia="SimSun" w:cs="Gill Sans MT"/>
          <w:szCs w:val="26"/>
          <w:lang w:eastAsia="en-IE"/>
        </w:rPr>
        <w:footnoteReference w:id="8"/>
      </w:r>
      <w:r w:rsidRPr="009C1F21">
        <w:rPr>
          <w:rFonts w:eastAsia="SimSun" w:cs="Gill Sans MT"/>
          <w:szCs w:val="26"/>
          <w:lang w:eastAsia="en-IE"/>
        </w:rPr>
        <w:t xml:space="preserve"> Recent legislation relating to the Assisted Decision Making (Capacity) (Amendment) Act 2022 will increase the minimum target from 3% to 6% by 2025. </w:t>
      </w:r>
    </w:p>
    <w:p w14:paraId="4FE9EAE7" w14:textId="77777777" w:rsidR="00E12FFA" w:rsidRPr="00E12FFA" w:rsidRDefault="00E12FFA" w:rsidP="00E12FFA">
      <w:pPr>
        <w:autoSpaceDE w:val="0"/>
        <w:autoSpaceDN w:val="0"/>
        <w:adjustRightInd w:val="0"/>
        <w:spacing w:after="0"/>
        <w:rPr>
          <w:rFonts w:eastAsia="SimSun" w:cs="Arial"/>
          <w:szCs w:val="26"/>
          <w:lang w:eastAsia="en-IE"/>
        </w:rPr>
      </w:pPr>
    </w:p>
    <w:p w14:paraId="5BE578C8" w14:textId="77777777" w:rsidR="002E0B55" w:rsidRPr="009C1F21" w:rsidRDefault="002E0B55" w:rsidP="002E0B55">
      <w:pPr>
        <w:pStyle w:val="Heading2"/>
        <w:rPr>
          <w:rFonts w:eastAsia="SimSun"/>
          <w:lang w:eastAsia="en-IE"/>
        </w:rPr>
      </w:pPr>
      <w:r w:rsidRPr="009C1F21">
        <w:rPr>
          <w:rFonts w:eastAsia="SimSun"/>
          <w:lang w:eastAsia="en-IE"/>
        </w:rPr>
        <w:lastRenderedPageBreak/>
        <w:t xml:space="preserve">Irish Sign Language Act </w:t>
      </w:r>
    </w:p>
    <w:p w14:paraId="0D577AD5" w14:textId="77777777" w:rsidR="002E0B55" w:rsidRPr="009C1F21" w:rsidRDefault="002E0B55" w:rsidP="002E0B55">
      <w:pPr>
        <w:spacing w:after="0"/>
        <w:rPr>
          <w:szCs w:val="26"/>
        </w:rPr>
      </w:pPr>
      <w:r w:rsidRPr="009C1F21">
        <w:rPr>
          <w:szCs w:val="26"/>
        </w:rPr>
        <w:t xml:space="preserve">The Irish Sign Language Act 2017, which recognises the right of ISL users to use ISL as their native language, and to develop and preserve it, was enacted in December 2020. This Act places a statutory duty on all public bodies to do all that is reasonable to provide ISL users with free ISL interpretation when availing of or seeking to access statutory entitlements and services provided by or under statute. The NDA is pleased to note that in the recently published report on the operation of the Act, </w:t>
      </w:r>
      <w:r>
        <w:rPr>
          <w:szCs w:val="26"/>
        </w:rPr>
        <w:t xml:space="preserve">the </w:t>
      </w:r>
      <w:r w:rsidR="00243072">
        <w:rPr>
          <w:szCs w:val="26"/>
        </w:rPr>
        <w:t xml:space="preserve">Office of the </w:t>
      </w:r>
      <w:r>
        <w:rPr>
          <w:szCs w:val="26"/>
        </w:rPr>
        <w:t xml:space="preserve">Revenue Commissioners reported themselves as being aware of the ISL Act and their responsibilities under it, have procedures in place for arranging ISL interpretation and </w:t>
      </w:r>
      <w:r w:rsidRPr="009C1F21">
        <w:rPr>
          <w:szCs w:val="26"/>
        </w:rPr>
        <w:t>assessed themselves as compliant with the Act.</w:t>
      </w:r>
      <w:r w:rsidRPr="009C1F21">
        <w:rPr>
          <w:rStyle w:val="FootnoteReference"/>
          <w:rFonts w:ascii="Gill Sans MT" w:hAnsi="Gill Sans MT"/>
          <w:sz w:val="26"/>
          <w:szCs w:val="26"/>
        </w:rPr>
        <w:footnoteReference w:id="9"/>
      </w:r>
      <w:r w:rsidRPr="009C1F21">
        <w:rPr>
          <w:szCs w:val="26"/>
        </w:rPr>
        <w:t xml:space="preserve"> </w:t>
      </w:r>
    </w:p>
    <w:p w14:paraId="700FFF9D" w14:textId="77777777" w:rsidR="00C258F3" w:rsidRDefault="00C258F3" w:rsidP="002334CE">
      <w:pPr>
        <w:spacing w:after="0"/>
        <w:rPr>
          <w:szCs w:val="26"/>
          <w:lang w:eastAsia="en-IE"/>
        </w:rPr>
      </w:pPr>
    </w:p>
    <w:p w14:paraId="30CE19C1" w14:textId="77777777" w:rsidR="000925B5" w:rsidRPr="009C1F21" w:rsidRDefault="000925B5" w:rsidP="000925B5">
      <w:pPr>
        <w:pStyle w:val="Heading2"/>
        <w:rPr>
          <w:lang w:eastAsia="en-IE"/>
        </w:rPr>
      </w:pPr>
      <w:r w:rsidRPr="009C1F21">
        <w:rPr>
          <w:lang w:eastAsia="en-IE"/>
        </w:rPr>
        <w:t>Requirement for Accessible Public Buildings under Section 25 of the Disability Act 2005</w:t>
      </w:r>
    </w:p>
    <w:p w14:paraId="6DBED45B" w14:textId="77777777" w:rsidR="000925B5" w:rsidRPr="009C1F21" w:rsidRDefault="000925B5" w:rsidP="000925B5">
      <w:pPr>
        <w:spacing w:after="0"/>
        <w:rPr>
          <w:rFonts w:eastAsiaTheme="minorHAnsi"/>
          <w:sz w:val="28"/>
          <w:szCs w:val="28"/>
        </w:rPr>
      </w:pPr>
      <w:r w:rsidRPr="009C1F21">
        <w:rPr>
          <w:rFonts w:eastAsia="SimSun" w:cs="Gill Sans MT"/>
          <w:szCs w:val="26"/>
          <w:lang w:eastAsia="en-IE"/>
        </w:rPr>
        <w:t>Section 25 of the Disability Act requires all departments and public bodies to ensure that the parts of their buildings w</w:t>
      </w:r>
      <w:r w:rsidR="006C1542">
        <w:rPr>
          <w:rFonts w:eastAsia="SimSun" w:cs="Gill Sans MT"/>
          <w:szCs w:val="26"/>
          <w:lang w:eastAsia="en-IE"/>
        </w:rPr>
        <w:t>hich are accessed by the public</w:t>
      </w:r>
      <w:r w:rsidRPr="009C1F21">
        <w:rPr>
          <w:rFonts w:eastAsia="SimSun" w:cs="Gill Sans MT"/>
          <w:szCs w:val="26"/>
          <w:lang w:eastAsia="en-IE"/>
        </w:rPr>
        <w:t>, are brought into compliance with Part M of the building regulations, which deals with access and use. The requirement is to upgrade older public buildings so that they comply with Part M, within a ten-year time-frame of any amendment to part M. Part M 2010 commenced on 1 January 2012 and was subsequently reviewed and replaced again with Part M 2022, which commenced on 1 January 2023. Under Section 25 therefore, public bodies are required to bring their public buildings into compliance with Part M 2010 by 1st January 2022 and Part M 2022 by 1st January 2033. The new requirements under Part M 2022 relate to the provision of changing places toilets.</w:t>
      </w:r>
    </w:p>
    <w:p w14:paraId="4CE59FB1" w14:textId="77777777" w:rsidR="000925B5" w:rsidRPr="009C1F21" w:rsidRDefault="000925B5" w:rsidP="000925B5">
      <w:pPr>
        <w:autoSpaceDE w:val="0"/>
        <w:autoSpaceDN w:val="0"/>
        <w:adjustRightInd w:val="0"/>
        <w:spacing w:after="0"/>
        <w:rPr>
          <w:rFonts w:eastAsia="SimSun" w:cs="Gill Sans MT"/>
          <w:szCs w:val="26"/>
          <w:lang w:eastAsia="en-IE"/>
        </w:rPr>
      </w:pPr>
    </w:p>
    <w:p w14:paraId="202C343A" w14:textId="77777777" w:rsidR="000925B5" w:rsidRPr="009C1F21" w:rsidRDefault="000925B5" w:rsidP="000925B5">
      <w:pPr>
        <w:autoSpaceDE w:val="0"/>
        <w:autoSpaceDN w:val="0"/>
        <w:adjustRightInd w:val="0"/>
        <w:spacing w:after="0"/>
        <w:rPr>
          <w:rFonts w:eastAsia="SimSun" w:cs="Gill Sans MT"/>
          <w:szCs w:val="26"/>
          <w:lang w:eastAsia="en-IE"/>
        </w:rPr>
      </w:pPr>
      <w:r w:rsidRPr="00A6729F">
        <w:rPr>
          <w:rFonts w:eastAsia="SimSun" w:cs="Gill Sans MT"/>
          <w:szCs w:val="26"/>
          <w:lang w:eastAsia="en-IE"/>
        </w:rPr>
        <w:t>The NDA advise that each department and agency should develop an action plan including access audits, planned improvements works, timeframes for implementation and earmarked</w:t>
      </w:r>
      <w:r w:rsidRPr="009C1F21">
        <w:rPr>
          <w:rFonts w:eastAsia="SimSun" w:cs="Gill Sans MT"/>
          <w:szCs w:val="26"/>
          <w:lang w:eastAsia="en-IE"/>
        </w:rPr>
        <w:t xml:space="preserve"> funding, to work towards achieving compliance with these legal obligations. This may involve engaging with other authorities as appropriate, including for example, the OPW. We also advise that compliance with Section 25 should be factored into performance framework agreements with agencies as a governance matter to comply with legal duties. The NDA recommends that the </w:t>
      </w:r>
      <w:r w:rsidR="006A437F">
        <w:rPr>
          <w:rFonts w:eastAsia="SimSun" w:cs="Gill Sans MT"/>
          <w:szCs w:val="26"/>
          <w:lang w:eastAsia="en-IE"/>
        </w:rPr>
        <w:t>Office of the Revenue Commissioner</w:t>
      </w:r>
      <w:r w:rsidRPr="009C1F21">
        <w:rPr>
          <w:rFonts w:eastAsia="SimSun" w:cs="Gill Sans MT"/>
          <w:szCs w:val="26"/>
          <w:lang w:eastAsia="en-IE"/>
        </w:rPr>
        <w:t xml:space="preserve"> develops a plan to implement Section 25 recommendations in buildings within its remit, including public buildings such as </w:t>
      </w:r>
      <w:r>
        <w:rPr>
          <w:rFonts w:eastAsia="SimSun" w:cs="Gill Sans MT"/>
          <w:szCs w:val="26"/>
          <w:lang w:eastAsia="en-IE"/>
        </w:rPr>
        <w:t>Public Revenue O</w:t>
      </w:r>
      <w:r w:rsidRPr="009C1F21">
        <w:rPr>
          <w:rFonts w:eastAsia="SimSun" w:cs="Gill Sans MT"/>
          <w:szCs w:val="26"/>
          <w:lang w:eastAsia="en-IE"/>
        </w:rPr>
        <w:t xml:space="preserve">ffices, and that this commitment is clearly articulated in the Statement of Strategy. </w:t>
      </w:r>
    </w:p>
    <w:p w14:paraId="5ADC5043" w14:textId="77777777" w:rsidR="000925B5" w:rsidRPr="009C1F21" w:rsidRDefault="000925B5" w:rsidP="000925B5">
      <w:pPr>
        <w:autoSpaceDE w:val="0"/>
        <w:autoSpaceDN w:val="0"/>
        <w:adjustRightInd w:val="0"/>
        <w:spacing w:after="0"/>
        <w:rPr>
          <w:rFonts w:eastAsia="SimSun" w:cs="Gill Sans MT"/>
          <w:szCs w:val="26"/>
          <w:lang w:eastAsia="en-IE"/>
        </w:rPr>
      </w:pPr>
    </w:p>
    <w:p w14:paraId="51000736" w14:textId="77777777" w:rsidR="00C258F3" w:rsidRPr="00AE1828" w:rsidRDefault="000925B5" w:rsidP="00AE1828">
      <w:pPr>
        <w:autoSpaceDE w:val="0"/>
        <w:autoSpaceDN w:val="0"/>
        <w:adjustRightInd w:val="0"/>
        <w:spacing w:after="0"/>
        <w:rPr>
          <w:rFonts w:eastAsia="SimSun" w:cs="Gill Sans MT"/>
          <w:szCs w:val="26"/>
          <w:lang w:eastAsia="en-IE"/>
        </w:rPr>
      </w:pPr>
      <w:r w:rsidRPr="009C1F21">
        <w:rPr>
          <w:rFonts w:eastAsia="SimSun" w:cs="Gill Sans MT"/>
          <w:szCs w:val="26"/>
          <w:lang w:eastAsia="en-IE"/>
        </w:rPr>
        <w:lastRenderedPageBreak/>
        <w:t>An Operational Review of the Effectiveness of Section 25 of the Disability Act 2005 was published by the NDA in 2019 providing guidance on how public bodies can comply with Section 25.</w:t>
      </w:r>
      <w:r w:rsidRPr="009C1F21">
        <w:rPr>
          <w:sz w:val="28"/>
          <w:szCs w:val="28"/>
          <w:lang w:eastAsia="en-IE"/>
        </w:rPr>
        <w:t xml:space="preserve"> </w:t>
      </w:r>
      <w:r w:rsidRPr="009C1F21">
        <w:rPr>
          <w:rFonts w:eastAsia="SimSun" w:cs="Gill Sans MT"/>
          <w:szCs w:val="26"/>
          <w:lang w:eastAsia="en-IE"/>
        </w:rPr>
        <w:t xml:space="preserve">Under Part 3 of the Disability Act, the NDA is developing a statutory Code of Practice on Accessible Public Buildings at the request of the Minister, informed by the findings of the Operational Review. When completed, the NDA will have a role to monitor compliance with same, and to provide advice to departments on areas requiring further action or focus. </w:t>
      </w:r>
    </w:p>
    <w:p w14:paraId="0921798A" w14:textId="77777777" w:rsidR="00716EB0" w:rsidRPr="009C1F21" w:rsidRDefault="00716EB0" w:rsidP="00716EB0">
      <w:pPr>
        <w:pStyle w:val="Heading1"/>
      </w:pPr>
      <w:r w:rsidRPr="009C1F21">
        <w:t>Conclusion</w:t>
      </w:r>
    </w:p>
    <w:p w14:paraId="64404B38" w14:textId="77777777" w:rsidR="006745A3" w:rsidRPr="005D6D07" w:rsidRDefault="00716EB0" w:rsidP="005D6D07">
      <w:pPr>
        <w:pStyle w:val="NormalWeb"/>
        <w:spacing w:before="0" w:beforeAutospacing="0" w:after="0" w:afterAutospacing="0"/>
        <w:rPr>
          <w:rFonts w:ascii="Gill Sans MT" w:hAnsi="Gill Sans MT"/>
          <w:sz w:val="26"/>
          <w:szCs w:val="26"/>
          <w:lang w:eastAsia="en-US"/>
        </w:rPr>
      </w:pPr>
      <w:r w:rsidRPr="009C1F21">
        <w:rPr>
          <w:rFonts w:ascii="Gill Sans MT" w:hAnsi="Gill Sans MT"/>
          <w:sz w:val="26"/>
          <w:szCs w:val="26"/>
          <w:lang w:eastAsia="en-US"/>
        </w:rPr>
        <w:t xml:space="preserve">The NDA would be happy to engage with officials from the </w:t>
      </w:r>
      <w:r w:rsidR="006C5778">
        <w:rPr>
          <w:rFonts w:ascii="Gill Sans MT" w:hAnsi="Gill Sans MT"/>
          <w:sz w:val="26"/>
          <w:szCs w:val="26"/>
          <w:lang w:eastAsia="en-US"/>
        </w:rPr>
        <w:t>Office of the Revenue Commissioners</w:t>
      </w:r>
      <w:r w:rsidRPr="009C1F21">
        <w:rPr>
          <w:rFonts w:ascii="Gill Sans MT" w:hAnsi="Gill Sans MT"/>
          <w:sz w:val="26"/>
          <w:szCs w:val="26"/>
          <w:lang w:eastAsia="en-US"/>
        </w:rPr>
        <w:t xml:space="preserve"> on any of the points raised in this submission</w:t>
      </w:r>
      <w:r w:rsidR="00975DDB">
        <w:rPr>
          <w:rFonts w:ascii="Gill Sans MT" w:hAnsi="Gill Sans MT"/>
          <w:sz w:val="26"/>
          <w:szCs w:val="26"/>
          <w:lang w:eastAsia="en-US"/>
        </w:rPr>
        <w:t xml:space="preserve">. </w:t>
      </w:r>
      <w:r w:rsidRPr="009C1F21">
        <w:rPr>
          <w:rFonts w:ascii="Gill Sans MT" w:hAnsi="Gill Sans MT"/>
          <w:sz w:val="26"/>
          <w:szCs w:val="26"/>
          <w:lang w:eastAsia="en-US"/>
        </w:rPr>
        <w:t xml:space="preserve">We look forward to </w:t>
      </w:r>
      <w:r w:rsidR="00975DDB">
        <w:rPr>
          <w:rFonts w:ascii="Gill Sans MT" w:hAnsi="Gill Sans MT"/>
          <w:sz w:val="26"/>
          <w:szCs w:val="26"/>
          <w:lang w:eastAsia="en-US"/>
        </w:rPr>
        <w:t>continued engagement with the Office of the Revenue Commissioners on</w:t>
      </w:r>
      <w:r w:rsidRPr="009C1F21">
        <w:rPr>
          <w:rFonts w:ascii="Gill Sans MT" w:hAnsi="Gill Sans MT"/>
          <w:sz w:val="26"/>
          <w:szCs w:val="26"/>
          <w:lang w:eastAsia="en-US"/>
        </w:rPr>
        <w:t xml:space="preserve"> various pieces of work which can have a significant impact on the lives of people with disabilities. </w:t>
      </w:r>
    </w:p>
    <w:sectPr w:rsidR="006745A3" w:rsidRPr="005D6D07">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31011" w14:textId="77777777" w:rsidR="009C3180" w:rsidRDefault="009C3180">
      <w:r>
        <w:separator/>
      </w:r>
    </w:p>
  </w:endnote>
  <w:endnote w:type="continuationSeparator" w:id="0">
    <w:p w14:paraId="2BE704EE" w14:textId="77777777" w:rsidR="009C3180" w:rsidRDefault="009C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0E16" w14:textId="0A4D82AD" w:rsidR="009C4D62" w:rsidRDefault="009C4D62">
    <w:pPr>
      <w:pStyle w:val="Footer"/>
    </w:pPr>
    <w:r>
      <w:tab/>
    </w:r>
    <w:r>
      <w:tab/>
    </w:r>
    <w:r>
      <w:fldChar w:fldCharType="begin"/>
    </w:r>
    <w:r>
      <w:instrText xml:space="preserve"> PAGE  \* Arabic  \* MERGEFORMAT </w:instrText>
    </w:r>
    <w:r>
      <w:fldChar w:fldCharType="separate"/>
    </w:r>
    <w:r w:rsidR="007B73E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E6E5A" w14:textId="77777777" w:rsidR="009C3180" w:rsidRDefault="009C3180">
      <w:r>
        <w:separator/>
      </w:r>
    </w:p>
  </w:footnote>
  <w:footnote w:type="continuationSeparator" w:id="0">
    <w:p w14:paraId="7FB81583" w14:textId="77777777" w:rsidR="009C3180" w:rsidRDefault="009C3180">
      <w:r>
        <w:continuationSeparator/>
      </w:r>
    </w:p>
  </w:footnote>
  <w:footnote w:id="1">
    <w:p w14:paraId="3DF16697" w14:textId="138B5472" w:rsidR="00835AD6" w:rsidRDefault="00835AD6">
      <w:pPr>
        <w:pStyle w:val="FootnoteText"/>
      </w:pPr>
      <w:r>
        <w:rPr>
          <w:rStyle w:val="FootnoteReference"/>
        </w:rPr>
        <w:footnoteRef/>
      </w:r>
      <w:r>
        <w:t xml:space="preserve"> </w:t>
      </w:r>
      <w:hyperlink r:id="rId1" w:history="1">
        <w:r w:rsidRPr="004507AE">
          <w:rPr>
            <w:rStyle w:val="Hyperlink"/>
          </w:rPr>
          <w:t>https://www.gov.ie/en/consultation/8ca7f-department-statement-of-strategy-for-2023-to-2025/</w:t>
        </w:r>
      </w:hyperlink>
    </w:p>
  </w:footnote>
  <w:footnote w:id="2">
    <w:p w14:paraId="611E2D6D" w14:textId="71D31E09" w:rsidR="00101498" w:rsidRPr="000D2C05" w:rsidRDefault="00101498" w:rsidP="00101498">
      <w:pPr>
        <w:pStyle w:val="FootnoteText"/>
        <w:spacing w:after="0"/>
        <w:rPr>
          <w:sz w:val="20"/>
        </w:rPr>
      </w:pPr>
      <w:r w:rsidRPr="000D2C05">
        <w:rPr>
          <w:rStyle w:val="FootnoteReference"/>
          <w:rFonts w:ascii="Gill Sans MT" w:hAnsi="Gill Sans MT"/>
          <w:sz w:val="20"/>
        </w:rPr>
        <w:footnoteRef/>
      </w:r>
      <w:r w:rsidRPr="000D2C05">
        <w:rPr>
          <w:sz w:val="20"/>
        </w:rPr>
        <w:t xml:space="preserve"> </w:t>
      </w:r>
      <w:r w:rsidR="00AF3838" w:rsidRPr="000D2C05">
        <w:rPr>
          <w:sz w:val="20"/>
        </w:rPr>
        <w:t xml:space="preserve">Customer Communications Toolkit for the Public Service – A Universal Design Approach: </w:t>
      </w:r>
      <w:hyperlink r:id="rId2" w:history="1">
        <w:r w:rsidR="00AF3838" w:rsidRPr="000D2C05">
          <w:rPr>
            <w:rStyle w:val="Hyperlink"/>
            <w:sz w:val="20"/>
          </w:rPr>
          <w:t>Customer Communications Toolkit for the Public Service - A Universal Design Approach | Centre for Excellence in Universal Design</w:t>
        </w:r>
      </w:hyperlink>
      <w:hyperlink r:id="rId3" w:history="1"/>
      <w:r w:rsidR="00AF3838" w:rsidRPr="000D2C05">
        <w:rPr>
          <w:rStyle w:val="Hyperlink"/>
          <w:sz w:val="20"/>
        </w:rPr>
        <w:t xml:space="preserve"> This toolkit is currently being updated in conjunction with the Department of Public Expenditure and Reform.</w:t>
      </w:r>
    </w:p>
  </w:footnote>
  <w:footnote w:id="3">
    <w:p w14:paraId="67BB1E68" w14:textId="77777777" w:rsidR="003030FD" w:rsidRPr="003030FD" w:rsidRDefault="003030FD" w:rsidP="00B74AF9">
      <w:pPr>
        <w:pStyle w:val="FootnoteText"/>
        <w:spacing w:after="0"/>
        <w:rPr>
          <w:sz w:val="20"/>
        </w:rPr>
      </w:pPr>
      <w:r w:rsidRPr="003030FD">
        <w:rPr>
          <w:rStyle w:val="FootnoteReference"/>
          <w:rFonts w:ascii="Gill Sans MT" w:hAnsi="Gill Sans MT"/>
          <w:sz w:val="20"/>
        </w:rPr>
        <w:footnoteRef/>
      </w:r>
      <w:r w:rsidRPr="003030FD">
        <w:rPr>
          <w:sz w:val="20"/>
        </w:rPr>
        <w:t xml:space="preserve"> </w:t>
      </w:r>
      <w:hyperlink r:id="rId4" w:history="1">
        <w:r w:rsidRPr="003030FD">
          <w:rPr>
            <w:rStyle w:val="Hyperlink"/>
            <w:sz w:val="20"/>
          </w:rPr>
          <w:t>The Cost of Disability in Ireland – Research Report (www.gov.ie)</w:t>
        </w:r>
      </w:hyperlink>
    </w:p>
  </w:footnote>
  <w:footnote w:id="4">
    <w:p w14:paraId="108A5A6B" w14:textId="77777777" w:rsidR="0077029D" w:rsidRPr="00296280" w:rsidRDefault="0077029D" w:rsidP="00F91C06">
      <w:pPr>
        <w:pStyle w:val="FootnoteText"/>
        <w:spacing w:after="0"/>
        <w:rPr>
          <w:sz w:val="20"/>
        </w:rPr>
      </w:pPr>
      <w:r w:rsidRPr="00296280">
        <w:rPr>
          <w:rStyle w:val="FootnoteReference"/>
          <w:rFonts w:ascii="Gill Sans MT" w:hAnsi="Gill Sans MT"/>
          <w:sz w:val="20"/>
        </w:rPr>
        <w:footnoteRef/>
      </w:r>
      <w:r w:rsidRPr="00296280">
        <w:rPr>
          <w:sz w:val="20"/>
        </w:rPr>
        <w:t xml:space="preserve"> The US Congress has</w:t>
      </w:r>
      <w:r w:rsidR="00C25BC6">
        <w:rPr>
          <w:sz w:val="20"/>
        </w:rPr>
        <w:t xml:space="preserve"> passed such a legislation, </w:t>
      </w:r>
      <w:r w:rsidRPr="00296280">
        <w:rPr>
          <w:sz w:val="20"/>
        </w:rPr>
        <w:t>Achieving a Better Life Experience Act (ABLE Act 2014).</w:t>
      </w:r>
    </w:p>
  </w:footnote>
  <w:footnote w:id="5">
    <w:p w14:paraId="26BB7E29" w14:textId="77777777" w:rsidR="00DC65A0" w:rsidRPr="00A6729F" w:rsidRDefault="00DC65A0" w:rsidP="00DC65A0">
      <w:pPr>
        <w:pStyle w:val="FootnoteText"/>
        <w:spacing w:after="0"/>
        <w:rPr>
          <w:sz w:val="20"/>
        </w:rPr>
      </w:pPr>
      <w:r w:rsidRPr="00A6729F">
        <w:rPr>
          <w:rStyle w:val="FootnoteReference"/>
          <w:rFonts w:ascii="Gill Sans MT" w:hAnsi="Gill Sans MT"/>
          <w:sz w:val="20"/>
        </w:rPr>
        <w:footnoteRef/>
      </w:r>
      <w:r w:rsidRPr="00A6729F">
        <w:rPr>
          <w:sz w:val="20"/>
        </w:rPr>
        <w:t xml:space="preserve"> </w:t>
      </w:r>
      <w:hyperlink r:id="rId5" w:history="1">
        <w:r w:rsidRPr="005660FC">
          <w:rPr>
            <w:rStyle w:val="Hyperlink"/>
            <w:sz w:val="20"/>
          </w:rPr>
          <w:t>https://nda.ie/publications/participation-matters-guidelines-on-implementing-the-obligation-to-meaningfully-engage-with-disabled-people-in-public-decision-making</w:t>
        </w:r>
      </w:hyperlink>
    </w:p>
  </w:footnote>
  <w:footnote w:id="6">
    <w:p w14:paraId="01E3A2B8" w14:textId="77777777" w:rsidR="00DC65A0" w:rsidRDefault="00DC65A0" w:rsidP="00DC65A0">
      <w:pPr>
        <w:pStyle w:val="FootnoteText"/>
        <w:spacing w:after="0"/>
      </w:pPr>
      <w:r w:rsidRPr="00A6729F">
        <w:rPr>
          <w:rStyle w:val="FootnoteReference"/>
          <w:rFonts w:ascii="Gill Sans MT" w:hAnsi="Gill Sans MT"/>
          <w:sz w:val="20"/>
        </w:rPr>
        <w:footnoteRef/>
      </w:r>
      <w:r w:rsidRPr="00A6729F">
        <w:rPr>
          <w:sz w:val="20"/>
        </w:rPr>
        <w:t xml:space="preserve"> </w:t>
      </w:r>
      <w:hyperlink r:id="rId6" w:history="1">
        <w:r w:rsidRPr="00A6729F">
          <w:rPr>
            <w:rStyle w:val="Hyperlink"/>
            <w:sz w:val="20"/>
          </w:rPr>
          <w:t>https://nda.ie/publications/nda-advice-paper-on-disability-language-and-terminology</w:t>
        </w:r>
      </w:hyperlink>
      <w:r>
        <w:t xml:space="preserve"> </w:t>
      </w:r>
    </w:p>
  </w:footnote>
  <w:footnote w:id="7">
    <w:p w14:paraId="14E62CB0" w14:textId="77777777" w:rsidR="009B563A" w:rsidRPr="00914909" w:rsidRDefault="009B563A" w:rsidP="009B563A">
      <w:pPr>
        <w:pStyle w:val="FootnoteText"/>
        <w:spacing w:after="0"/>
        <w:rPr>
          <w:sz w:val="20"/>
        </w:rPr>
      </w:pPr>
      <w:r w:rsidRPr="00914909">
        <w:rPr>
          <w:rStyle w:val="FootnoteReference"/>
          <w:rFonts w:ascii="Gill Sans MT" w:hAnsi="Gill Sans MT"/>
          <w:sz w:val="20"/>
        </w:rPr>
        <w:footnoteRef/>
      </w:r>
      <w:r w:rsidRPr="00914909">
        <w:rPr>
          <w:sz w:val="20"/>
        </w:rPr>
        <w:t xml:space="preserve"> </w:t>
      </w:r>
      <w:hyperlink r:id="rId7" w:history="1">
        <w:r w:rsidRPr="00914909">
          <w:rPr>
            <w:rStyle w:val="Hyperlink"/>
            <w:sz w:val="20"/>
          </w:rPr>
          <w:t>Monitoring Report EU WAD Ireland 2021: NDA Report - National Disability Authority</w:t>
        </w:r>
      </w:hyperlink>
      <w:r w:rsidRPr="00914909">
        <w:rPr>
          <w:sz w:val="20"/>
        </w:rPr>
        <w:t xml:space="preserve"> </w:t>
      </w:r>
    </w:p>
  </w:footnote>
  <w:footnote w:id="8">
    <w:p w14:paraId="5D4D061F" w14:textId="77777777" w:rsidR="00DC4A09" w:rsidRDefault="00DC4A09" w:rsidP="00DC4A09">
      <w:pPr>
        <w:pStyle w:val="FootnoteText"/>
        <w:spacing w:after="0"/>
      </w:pPr>
      <w:r w:rsidRPr="00914909">
        <w:rPr>
          <w:rStyle w:val="FootnoteReference"/>
          <w:rFonts w:ascii="Gill Sans MT" w:hAnsi="Gill Sans MT"/>
          <w:sz w:val="20"/>
        </w:rPr>
        <w:footnoteRef/>
      </w:r>
      <w:r w:rsidRPr="00914909">
        <w:rPr>
          <w:sz w:val="20"/>
        </w:rPr>
        <w:t xml:space="preserve"> </w:t>
      </w:r>
      <w:hyperlink r:id="rId8" w:history="1">
        <w:r w:rsidRPr="00914909">
          <w:rPr>
            <w:rStyle w:val="Hyperlink"/>
            <w:sz w:val="20"/>
          </w:rPr>
          <w:t>https://nda.ie/publications/nda-annual-reports-on-compliance-with-part-5-of-the-disability-act</w:t>
        </w:r>
      </w:hyperlink>
    </w:p>
  </w:footnote>
  <w:footnote w:id="9">
    <w:p w14:paraId="6EF0CE37" w14:textId="77777777" w:rsidR="002E0B55" w:rsidRPr="00520FEE" w:rsidRDefault="002E0B55" w:rsidP="002E0B55">
      <w:pPr>
        <w:pStyle w:val="FootnoteText"/>
        <w:spacing w:after="0"/>
        <w:rPr>
          <w:sz w:val="20"/>
        </w:rPr>
      </w:pPr>
      <w:r w:rsidRPr="00520FEE">
        <w:rPr>
          <w:rStyle w:val="FootnoteReference"/>
          <w:rFonts w:ascii="Gill Sans MT" w:hAnsi="Gill Sans MT"/>
          <w:sz w:val="20"/>
        </w:rPr>
        <w:footnoteRef/>
      </w:r>
      <w:r w:rsidRPr="00520FEE">
        <w:rPr>
          <w:sz w:val="20"/>
        </w:rPr>
        <w:t xml:space="preserve"> See Technical Annex 2 on the Public Body Survey: </w:t>
      </w:r>
      <w:hyperlink r:id="rId9" w:history="1">
        <w:r w:rsidRPr="00520FEE">
          <w:rPr>
            <w:rStyle w:val="Hyperlink"/>
            <w:sz w:val="20"/>
          </w:rPr>
          <w:t>Report on the Operation of the Irish Sign Language Act 2017 (December 2021) - National Disability Authority (nda.ie)</w:t>
        </w:r>
      </w:hyperlink>
      <w:r w:rsidRPr="00520FEE">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lvlText w:val=""/>
      <w:lvlJc w:val="left"/>
      <w:pPr>
        <w:tabs>
          <w:tab w:val="num" w:pos="360"/>
        </w:tabs>
        <w:ind w:left="360" w:hanging="360"/>
      </w:pPr>
      <w:rPr>
        <w:rFonts w:ascii="Symbol" w:hAnsi="Symbol" w:hint="default"/>
        <w:sz w:val="20"/>
        <w:szCs w:val="20"/>
      </w:rPr>
    </w:lvl>
  </w:abstractNum>
  <w:abstractNum w:abstractNumId="10" w15:restartNumberingAfterBreak="0">
    <w:nsid w:val="00C5248A"/>
    <w:multiLevelType w:val="hybridMultilevel"/>
    <w:tmpl w:val="1BD8A848"/>
    <w:lvl w:ilvl="0" w:tplc="1809000F">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11" w15:restartNumberingAfterBreak="0">
    <w:nsid w:val="00E501CE"/>
    <w:multiLevelType w:val="hybridMultilevel"/>
    <w:tmpl w:val="EEF255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3B546F0"/>
    <w:multiLevelType w:val="multilevel"/>
    <w:tmpl w:val="6318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5B0148"/>
    <w:multiLevelType w:val="hybridMultilevel"/>
    <w:tmpl w:val="3AE8652C"/>
    <w:lvl w:ilvl="0" w:tplc="DA2C46C4">
      <w:numFmt w:val="bullet"/>
      <w:lvlText w:val="-"/>
      <w:lvlJc w:val="left"/>
      <w:pPr>
        <w:ind w:left="720" w:hanging="360"/>
      </w:pPr>
      <w:rPr>
        <w:rFonts w:ascii="Gill Sans MT" w:eastAsia="SimSun" w:hAnsi="Gill Sans MT" w:cs="Gill Sans M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13C3917"/>
    <w:multiLevelType w:val="hybridMultilevel"/>
    <w:tmpl w:val="E766B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B175BB4"/>
    <w:multiLevelType w:val="hybridMultilevel"/>
    <w:tmpl w:val="B178E4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36C7B11"/>
    <w:multiLevelType w:val="hybridMultilevel"/>
    <w:tmpl w:val="703653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70866D6"/>
    <w:multiLevelType w:val="hybridMultilevel"/>
    <w:tmpl w:val="FF12F5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6223782"/>
    <w:multiLevelType w:val="hybridMultilevel"/>
    <w:tmpl w:val="582E6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82A439E"/>
    <w:multiLevelType w:val="hybridMultilevel"/>
    <w:tmpl w:val="8EA61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A1C4969"/>
    <w:multiLevelType w:val="hybridMultilevel"/>
    <w:tmpl w:val="0B622B88"/>
    <w:lvl w:ilvl="0" w:tplc="18090001">
      <w:start w:val="1"/>
      <w:numFmt w:val="bullet"/>
      <w:lvlText w:val=""/>
      <w:lvlJc w:val="left"/>
      <w:pPr>
        <w:ind w:left="915" w:hanging="360"/>
      </w:pPr>
      <w:rPr>
        <w:rFonts w:ascii="Symbol" w:hAnsi="Symbol" w:hint="default"/>
      </w:rPr>
    </w:lvl>
    <w:lvl w:ilvl="1" w:tplc="18090003">
      <w:start w:val="1"/>
      <w:numFmt w:val="bullet"/>
      <w:lvlText w:val="o"/>
      <w:lvlJc w:val="left"/>
      <w:pPr>
        <w:ind w:left="1635" w:hanging="360"/>
      </w:pPr>
      <w:rPr>
        <w:rFonts w:ascii="Courier New" w:hAnsi="Courier New" w:cs="Courier New" w:hint="default"/>
      </w:rPr>
    </w:lvl>
    <w:lvl w:ilvl="2" w:tplc="18090005">
      <w:start w:val="1"/>
      <w:numFmt w:val="bullet"/>
      <w:lvlText w:val=""/>
      <w:lvlJc w:val="left"/>
      <w:pPr>
        <w:ind w:left="2355" w:hanging="360"/>
      </w:pPr>
      <w:rPr>
        <w:rFonts w:ascii="Wingdings" w:hAnsi="Wingdings" w:hint="default"/>
      </w:rPr>
    </w:lvl>
    <w:lvl w:ilvl="3" w:tplc="18090001">
      <w:start w:val="1"/>
      <w:numFmt w:val="bullet"/>
      <w:lvlText w:val=""/>
      <w:lvlJc w:val="left"/>
      <w:pPr>
        <w:ind w:left="3075" w:hanging="360"/>
      </w:pPr>
      <w:rPr>
        <w:rFonts w:ascii="Symbol" w:hAnsi="Symbol" w:hint="default"/>
      </w:rPr>
    </w:lvl>
    <w:lvl w:ilvl="4" w:tplc="18090003">
      <w:start w:val="1"/>
      <w:numFmt w:val="bullet"/>
      <w:lvlText w:val="o"/>
      <w:lvlJc w:val="left"/>
      <w:pPr>
        <w:ind w:left="3795" w:hanging="360"/>
      </w:pPr>
      <w:rPr>
        <w:rFonts w:ascii="Courier New" w:hAnsi="Courier New" w:cs="Courier New" w:hint="default"/>
      </w:rPr>
    </w:lvl>
    <w:lvl w:ilvl="5" w:tplc="18090005">
      <w:start w:val="1"/>
      <w:numFmt w:val="bullet"/>
      <w:lvlText w:val=""/>
      <w:lvlJc w:val="left"/>
      <w:pPr>
        <w:ind w:left="4515" w:hanging="360"/>
      </w:pPr>
      <w:rPr>
        <w:rFonts w:ascii="Wingdings" w:hAnsi="Wingdings" w:hint="default"/>
      </w:rPr>
    </w:lvl>
    <w:lvl w:ilvl="6" w:tplc="18090001">
      <w:start w:val="1"/>
      <w:numFmt w:val="bullet"/>
      <w:lvlText w:val=""/>
      <w:lvlJc w:val="left"/>
      <w:pPr>
        <w:ind w:left="5235" w:hanging="360"/>
      </w:pPr>
      <w:rPr>
        <w:rFonts w:ascii="Symbol" w:hAnsi="Symbol" w:hint="default"/>
      </w:rPr>
    </w:lvl>
    <w:lvl w:ilvl="7" w:tplc="18090003">
      <w:start w:val="1"/>
      <w:numFmt w:val="bullet"/>
      <w:lvlText w:val="o"/>
      <w:lvlJc w:val="left"/>
      <w:pPr>
        <w:ind w:left="5955" w:hanging="360"/>
      </w:pPr>
      <w:rPr>
        <w:rFonts w:ascii="Courier New" w:hAnsi="Courier New" w:cs="Courier New" w:hint="default"/>
      </w:rPr>
    </w:lvl>
    <w:lvl w:ilvl="8" w:tplc="18090005">
      <w:start w:val="1"/>
      <w:numFmt w:val="bullet"/>
      <w:lvlText w:val=""/>
      <w:lvlJc w:val="left"/>
      <w:pPr>
        <w:ind w:left="6675" w:hanging="360"/>
      </w:pPr>
      <w:rPr>
        <w:rFonts w:ascii="Wingdings" w:hAnsi="Wingdings" w:hint="default"/>
      </w:rPr>
    </w:lvl>
  </w:abstractNum>
  <w:abstractNum w:abstractNumId="21" w15:restartNumberingAfterBreak="0">
    <w:nsid w:val="4A526C39"/>
    <w:multiLevelType w:val="hybridMultilevel"/>
    <w:tmpl w:val="27809F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3F80A78"/>
    <w:multiLevelType w:val="hybridMultilevel"/>
    <w:tmpl w:val="BF0EFB36"/>
    <w:lvl w:ilvl="0" w:tplc="13FAE528">
      <w:start w:val="30"/>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5212D1A"/>
    <w:multiLevelType w:val="multilevel"/>
    <w:tmpl w:val="FCEC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8C7455"/>
    <w:multiLevelType w:val="hybridMultilevel"/>
    <w:tmpl w:val="548C16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A0A6F5B"/>
    <w:multiLevelType w:val="hybridMultilevel"/>
    <w:tmpl w:val="A3962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CD0636A"/>
    <w:multiLevelType w:val="hybridMultilevel"/>
    <w:tmpl w:val="61D21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F495038"/>
    <w:multiLevelType w:val="hybridMultilevel"/>
    <w:tmpl w:val="E09421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0973AF9"/>
    <w:multiLevelType w:val="hybridMultilevel"/>
    <w:tmpl w:val="33BE48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39C28E5"/>
    <w:multiLevelType w:val="hybridMultilevel"/>
    <w:tmpl w:val="1BD413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5594F94"/>
    <w:multiLevelType w:val="hybridMultilevel"/>
    <w:tmpl w:val="64B85E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65F277F"/>
    <w:multiLevelType w:val="hybridMultilevel"/>
    <w:tmpl w:val="E6587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7CA7761"/>
    <w:multiLevelType w:val="hybridMultilevel"/>
    <w:tmpl w:val="26CA88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C8739B1"/>
    <w:multiLevelType w:val="hybridMultilevel"/>
    <w:tmpl w:val="FA2AD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732047B"/>
    <w:multiLevelType w:val="hybridMultilevel"/>
    <w:tmpl w:val="2E5864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111EED"/>
    <w:multiLevelType w:val="hybridMultilevel"/>
    <w:tmpl w:val="B882CA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F7C04A2"/>
    <w:multiLevelType w:val="hybridMultilevel"/>
    <w:tmpl w:val="F732E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5345308">
    <w:abstractNumId w:val="9"/>
  </w:num>
  <w:num w:numId="2" w16cid:durableId="80222491">
    <w:abstractNumId w:val="9"/>
  </w:num>
  <w:num w:numId="3" w16cid:durableId="2006322222">
    <w:abstractNumId w:val="7"/>
  </w:num>
  <w:num w:numId="4" w16cid:durableId="92168395">
    <w:abstractNumId w:val="7"/>
  </w:num>
  <w:num w:numId="5" w16cid:durableId="65764388">
    <w:abstractNumId w:val="6"/>
  </w:num>
  <w:num w:numId="6" w16cid:durableId="574360726">
    <w:abstractNumId w:val="6"/>
  </w:num>
  <w:num w:numId="7" w16cid:durableId="1107459978">
    <w:abstractNumId w:val="8"/>
  </w:num>
  <w:num w:numId="8" w16cid:durableId="1840273609">
    <w:abstractNumId w:val="8"/>
  </w:num>
  <w:num w:numId="9" w16cid:durableId="1865749308">
    <w:abstractNumId w:val="3"/>
  </w:num>
  <w:num w:numId="10" w16cid:durableId="1623266088">
    <w:abstractNumId w:val="3"/>
  </w:num>
  <w:num w:numId="11" w16cid:durableId="1832671460">
    <w:abstractNumId w:val="2"/>
  </w:num>
  <w:num w:numId="12" w16cid:durableId="1988699895">
    <w:abstractNumId w:val="2"/>
  </w:num>
  <w:num w:numId="13" w16cid:durableId="1180899914">
    <w:abstractNumId w:val="5"/>
  </w:num>
  <w:num w:numId="14" w16cid:durableId="896360163">
    <w:abstractNumId w:val="4"/>
  </w:num>
  <w:num w:numId="15" w16cid:durableId="344986230">
    <w:abstractNumId w:val="1"/>
  </w:num>
  <w:num w:numId="16" w16cid:durableId="304896760">
    <w:abstractNumId w:val="0"/>
  </w:num>
  <w:num w:numId="17" w16cid:durableId="2065375340">
    <w:abstractNumId w:val="15"/>
  </w:num>
  <w:num w:numId="18" w16cid:durableId="1736317234">
    <w:abstractNumId w:val="34"/>
  </w:num>
  <w:num w:numId="19" w16cid:durableId="1391462776">
    <w:abstractNumId w:val="16"/>
  </w:num>
  <w:num w:numId="20" w16cid:durableId="418139075">
    <w:abstractNumId w:val="24"/>
  </w:num>
  <w:num w:numId="21" w16cid:durableId="760756326">
    <w:abstractNumId w:val="36"/>
  </w:num>
  <w:num w:numId="22" w16cid:durableId="1626424633">
    <w:abstractNumId w:val="19"/>
  </w:num>
  <w:num w:numId="23" w16cid:durableId="1395813504">
    <w:abstractNumId w:val="22"/>
  </w:num>
  <w:num w:numId="24" w16cid:durableId="1758285564">
    <w:abstractNumId w:val="27"/>
  </w:num>
  <w:num w:numId="25" w16cid:durableId="1210072324">
    <w:abstractNumId w:val="21"/>
  </w:num>
  <w:num w:numId="26" w16cid:durableId="581986966">
    <w:abstractNumId w:val="34"/>
  </w:num>
  <w:num w:numId="27" w16cid:durableId="119762349">
    <w:abstractNumId w:val="23"/>
  </w:num>
  <w:num w:numId="28" w16cid:durableId="897665486">
    <w:abstractNumId w:val="17"/>
  </w:num>
  <w:num w:numId="29" w16cid:durableId="2017030277">
    <w:abstractNumId w:val="33"/>
  </w:num>
  <w:num w:numId="30" w16cid:durableId="338847215">
    <w:abstractNumId w:val="28"/>
  </w:num>
  <w:num w:numId="31" w16cid:durableId="20014039">
    <w:abstractNumId w:val="26"/>
  </w:num>
  <w:num w:numId="32" w16cid:durableId="2097823757">
    <w:abstractNumId w:val="12"/>
  </w:num>
  <w:num w:numId="33" w16cid:durableId="266929055">
    <w:abstractNumId w:val="29"/>
  </w:num>
  <w:num w:numId="34" w16cid:durableId="14192137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7034825">
    <w:abstractNumId w:val="11"/>
  </w:num>
  <w:num w:numId="36" w16cid:durableId="1825269490">
    <w:abstractNumId w:val="32"/>
  </w:num>
  <w:num w:numId="37" w16cid:durableId="459418689">
    <w:abstractNumId w:val="10"/>
  </w:num>
  <w:num w:numId="38" w16cid:durableId="899825097">
    <w:abstractNumId w:val="35"/>
  </w:num>
  <w:num w:numId="39" w16cid:durableId="1692610844">
    <w:abstractNumId w:val="14"/>
  </w:num>
  <w:num w:numId="40" w16cid:durableId="1634166275">
    <w:abstractNumId w:val="18"/>
  </w:num>
  <w:num w:numId="41" w16cid:durableId="1236628786">
    <w:abstractNumId w:val="25"/>
  </w:num>
  <w:num w:numId="42" w16cid:durableId="1530486254">
    <w:abstractNumId w:val="20"/>
  </w:num>
  <w:num w:numId="43" w16cid:durableId="727537882">
    <w:abstractNumId w:val="13"/>
  </w:num>
  <w:num w:numId="44" w16cid:durableId="634061719">
    <w:abstractNumId w:val="31"/>
  </w:num>
  <w:num w:numId="45" w16cid:durableId="10020106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09A"/>
    <w:rsid w:val="00005D0C"/>
    <w:rsid w:val="00006459"/>
    <w:rsid w:val="00006D27"/>
    <w:rsid w:val="00006FB3"/>
    <w:rsid w:val="00010A08"/>
    <w:rsid w:val="0001171D"/>
    <w:rsid w:val="000123B2"/>
    <w:rsid w:val="0001243D"/>
    <w:rsid w:val="00013012"/>
    <w:rsid w:val="0001426A"/>
    <w:rsid w:val="0001446D"/>
    <w:rsid w:val="0001616D"/>
    <w:rsid w:val="0001762E"/>
    <w:rsid w:val="000220CA"/>
    <w:rsid w:val="00023FCE"/>
    <w:rsid w:val="0002440C"/>
    <w:rsid w:val="00024523"/>
    <w:rsid w:val="00026CE2"/>
    <w:rsid w:val="00027CB9"/>
    <w:rsid w:val="000324AA"/>
    <w:rsid w:val="00033FC1"/>
    <w:rsid w:val="0003508A"/>
    <w:rsid w:val="000352A7"/>
    <w:rsid w:val="00037521"/>
    <w:rsid w:val="0003760C"/>
    <w:rsid w:val="00041780"/>
    <w:rsid w:val="00042253"/>
    <w:rsid w:val="00042669"/>
    <w:rsid w:val="000433AD"/>
    <w:rsid w:val="00043EAC"/>
    <w:rsid w:val="00044295"/>
    <w:rsid w:val="0004487C"/>
    <w:rsid w:val="0004523F"/>
    <w:rsid w:val="000460B0"/>
    <w:rsid w:val="00047CD3"/>
    <w:rsid w:val="00052B46"/>
    <w:rsid w:val="000532D4"/>
    <w:rsid w:val="00053DAE"/>
    <w:rsid w:val="000540A6"/>
    <w:rsid w:val="000541C0"/>
    <w:rsid w:val="00055870"/>
    <w:rsid w:val="00055A16"/>
    <w:rsid w:val="00060CC4"/>
    <w:rsid w:val="00060DEE"/>
    <w:rsid w:val="000616CD"/>
    <w:rsid w:val="0006179C"/>
    <w:rsid w:val="000627B1"/>
    <w:rsid w:val="0006366A"/>
    <w:rsid w:val="00063708"/>
    <w:rsid w:val="00063A77"/>
    <w:rsid w:val="0006463B"/>
    <w:rsid w:val="000646A7"/>
    <w:rsid w:val="00064EE2"/>
    <w:rsid w:val="000655BE"/>
    <w:rsid w:val="00066BA7"/>
    <w:rsid w:val="000714D8"/>
    <w:rsid w:val="00071B17"/>
    <w:rsid w:val="00074A84"/>
    <w:rsid w:val="00075120"/>
    <w:rsid w:val="00075E69"/>
    <w:rsid w:val="000804B3"/>
    <w:rsid w:val="00081F59"/>
    <w:rsid w:val="000822FC"/>
    <w:rsid w:val="00082396"/>
    <w:rsid w:val="000831F6"/>
    <w:rsid w:val="0008415D"/>
    <w:rsid w:val="00084885"/>
    <w:rsid w:val="00085194"/>
    <w:rsid w:val="00085FC1"/>
    <w:rsid w:val="0008689E"/>
    <w:rsid w:val="00086C7E"/>
    <w:rsid w:val="00091A0C"/>
    <w:rsid w:val="00092433"/>
    <w:rsid w:val="000925B5"/>
    <w:rsid w:val="00093154"/>
    <w:rsid w:val="00094A83"/>
    <w:rsid w:val="00095E0B"/>
    <w:rsid w:val="00096879"/>
    <w:rsid w:val="000A0212"/>
    <w:rsid w:val="000A08C6"/>
    <w:rsid w:val="000A0B9E"/>
    <w:rsid w:val="000A133E"/>
    <w:rsid w:val="000A2112"/>
    <w:rsid w:val="000A3C85"/>
    <w:rsid w:val="000A517E"/>
    <w:rsid w:val="000B0E34"/>
    <w:rsid w:val="000B120A"/>
    <w:rsid w:val="000B25A4"/>
    <w:rsid w:val="000C11E8"/>
    <w:rsid w:val="000C2850"/>
    <w:rsid w:val="000C29E0"/>
    <w:rsid w:val="000C479D"/>
    <w:rsid w:val="000C5578"/>
    <w:rsid w:val="000C7B2A"/>
    <w:rsid w:val="000D0997"/>
    <w:rsid w:val="000D1F5A"/>
    <w:rsid w:val="000D2C05"/>
    <w:rsid w:val="000D3921"/>
    <w:rsid w:val="000D4A98"/>
    <w:rsid w:val="000D4F43"/>
    <w:rsid w:val="000D76C6"/>
    <w:rsid w:val="000E13C8"/>
    <w:rsid w:val="000E2042"/>
    <w:rsid w:val="000E251E"/>
    <w:rsid w:val="000E68C2"/>
    <w:rsid w:val="000E7511"/>
    <w:rsid w:val="000E7BC0"/>
    <w:rsid w:val="000F03A4"/>
    <w:rsid w:val="000F3E0C"/>
    <w:rsid w:val="000F44B3"/>
    <w:rsid w:val="000F497C"/>
    <w:rsid w:val="000F4A39"/>
    <w:rsid w:val="000F4A77"/>
    <w:rsid w:val="000F527F"/>
    <w:rsid w:val="000F5B62"/>
    <w:rsid w:val="000F6A36"/>
    <w:rsid w:val="000F72E3"/>
    <w:rsid w:val="000F764E"/>
    <w:rsid w:val="00101498"/>
    <w:rsid w:val="00101AC4"/>
    <w:rsid w:val="00101E08"/>
    <w:rsid w:val="00105400"/>
    <w:rsid w:val="001057F7"/>
    <w:rsid w:val="0011041D"/>
    <w:rsid w:val="00110FF6"/>
    <w:rsid w:val="0011107C"/>
    <w:rsid w:val="001111DB"/>
    <w:rsid w:val="001117FB"/>
    <w:rsid w:val="001125F9"/>
    <w:rsid w:val="00114115"/>
    <w:rsid w:val="00114345"/>
    <w:rsid w:val="00121CAB"/>
    <w:rsid w:val="00123C48"/>
    <w:rsid w:val="00125FFD"/>
    <w:rsid w:val="001269E0"/>
    <w:rsid w:val="0013102E"/>
    <w:rsid w:val="00131537"/>
    <w:rsid w:val="00134370"/>
    <w:rsid w:val="001364B3"/>
    <w:rsid w:val="00136A06"/>
    <w:rsid w:val="0013743F"/>
    <w:rsid w:val="00137473"/>
    <w:rsid w:val="00140043"/>
    <w:rsid w:val="0014085C"/>
    <w:rsid w:val="001431FE"/>
    <w:rsid w:val="001432DC"/>
    <w:rsid w:val="001445D8"/>
    <w:rsid w:val="00146D95"/>
    <w:rsid w:val="0015096D"/>
    <w:rsid w:val="00150BA9"/>
    <w:rsid w:val="00150D6F"/>
    <w:rsid w:val="00151294"/>
    <w:rsid w:val="00152900"/>
    <w:rsid w:val="00152AA5"/>
    <w:rsid w:val="00152C81"/>
    <w:rsid w:val="00155037"/>
    <w:rsid w:val="001600E4"/>
    <w:rsid w:val="0016033B"/>
    <w:rsid w:val="00160C5E"/>
    <w:rsid w:val="00161591"/>
    <w:rsid w:val="00161F23"/>
    <w:rsid w:val="00163B31"/>
    <w:rsid w:val="00165672"/>
    <w:rsid w:val="00165A1E"/>
    <w:rsid w:val="00165E13"/>
    <w:rsid w:val="00166153"/>
    <w:rsid w:val="001673CB"/>
    <w:rsid w:val="0017308F"/>
    <w:rsid w:val="0017351E"/>
    <w:rsid w:val="00173E8F"/>
    <w:rsid w:val="001769E1"/>
    <w:rsid w:val="00177247"/>
    <w:rsid w:val="00181FE6"/>
    <w:rsid w:val="00184D55"/>
    <w:rsid w:val="00185B40"/>
    <w:rsid w:val="0018603D"/>
    <w:rsid w:val="001870D6"/>
    <w:rsid w:val="00187425"/>
    <w:rsid w:val="0018780C"/>
    <w:rsid w:val="00193607"/>
    <w:rsid w:val="00193ABD"/>
    <w:rsid w:val="0019600F"/>
    <w:rsid w:val="00197417"/>
    <w:rsid w:val="00197AC9"/>
    <w:rsid w:val="001A0C5F"/>
    <w:rsid w:val="001A0F61"/>
    <w:rsid w:val="001B1096"/>
    <w:rsid w:val="001B1FDD"/>
    <w:rsid w:val="001B2192"/>
    <w:rsid w:val="001B2560"/>
    <w:rsid w:val="001B26F7"/>
    <w:rsid w:val="001B3FC9"/>
    <w:rsid w:val="001B5810"/>
    <w:rsid w:val="001B5FBB"/>
    <w:rsid w:val="001B61CB"/>
    <w:rsid w:val="001B63CD"/>
    <w:rsid w:val="001B6752"/>
    <w:rsid w:val="001C03FA"/>
    <w:rsid w:val="001C12F9"/>
    <w:rsid w:val="001C16FD"/>
    <w:rsid w:val="001C1986"/>
    <w:rsid w:val="001C1A75"/>
    <w:rsid w:val="001C6570"/>
    <w:rsid w:val="001D08A6"/>
    <w:rsid w:val="001D0E54"/>
    <w:rsid w:val="001D17A3"/>
    <w:rsid w:val="001D32F8"/>
    <w:rsid w:val="001D4205"/>
    <w:rsid w:val="001D6C2C"/>
    <w:rsid w:val="001E04D0"/>
    <w:rsid w:val="001E0590"/>
    <w:rsid w:val="001E1936"/>
    <w:rsid w:val="001E1E36"/>
    <w:rsid w:val="001E2640"/>
    <w:rsid w:val="001E50E8"/>
    <w:rsid w:val="001E536E"/>
    <w:rsid w:val="001E6557"/>
    <w:rsid w:val="001E6F68"/>
    <w:rsid w:val="001F0F76"/>
    <w:rsid w:val="001F5D87"/>
    <w:rsid w:val="002016CD"/>
    <w:rsid w:val="00202206"/>
    <w:rsid w:val="002025C7"/>
    <w:rsid w:val="002048D1"/>
    <w:rsid w:val="002052F2"/>
    <w:rsid w:val="002108F4"/>
    <w:rsid w:val="00211ACF"/>
    <w:rsid w:val="00211BEB"/>
    <w:rsid w:val="002121A1"/>
    <w:rsid w:val="00212771"/>
    <w:rsid w:val="002134A3"/>
    <w:rsid w:val="00215919"/>
    <w:rsid w:val="00216425"/>
    <w:rsid w:val="002166C6"/>
    <w:rsid w:val="0022129F"/>
    <w:rsid w:val="00221761"/>
    <w:rsid w:val="00226874"/>
    <w:rsid w:val="00227C39"/>
    <w:rsid w:val="0023036E"/>
    <w:rsid w:val="00230444"/>
    <w:rsid w:val="00231563"/>
    <w:rsid w:val="00231963"/>
    <w:rsid w:val="00231BDA"/>
    <w:rsid w:val="002328BA"/>
    <w:rsid w:val="002334CE"/>
    <w:rsid w:val="00234BA3"/>
    <w:rsid w:val="002368F2"/>
    <w:rsid w:val="00236A02"/>
    <w:rsid w:val="00237E8A"/>
    <w:rsid w:val="00242EA4"/>
    <w:rsid w:val="00243072"/>
    <w:rsid w:val="00244608"/>
    <w:rsid w:val="00252CA7"/>
    <w:rsid w:val="002552FB"/>
    <w:rsid w:val="002558C8"/>
    <w:rsid w:val="0025595D"/>
    <w:rsid w:val="00255F8E"/>
    <w:rsid w:val="00256B49"/>
    <w:rsid w:val="002602C7"/>
    <w:rsid w:val="00264EF5"/>
    <w:rsid w:val="0026622C"/>
    <w:rsid w:val="002667A9"/>
    <w:rsid w:val="0026733C"/>
    <w:rsid w:val="00267720"/>
    <w:rsid w:val="002677EE"/>
    <w:rsid w:val="002702C5"/>
    <w:rsid w:val="00271295"/>
    <w:rsid w:val="002725BC"/>
    <w:rsid w:val="00275162"/>
    <w:rsid w:val="002755DD"/>
    <w:rsid w:val="00276CCD"/>
    <w:rsid w:val="002770A8"/>
    <w:rsid w:val="0027717A"/>
    <w:rsid w:val="0027765E"/>
    <w:rsid w:val="0027794D"/>
    <w:rsid w:val="00280073"/>
    <w:rsid w:val="00280846"/>
    <w:rsid w:val="00281DE2"/>
    <w:rsid w:val="00282413"/>
    <w:rsid w:val="00284606"/>
    <w:rsid w:val="00284E78"/>
    <w:rsid w:val="00284F5F"/>
    <w:rsid w:val="0028614B"/>
    <w:rsid w:val="00287B8E"/>
    <w:rsid w:val="00290617"/>
    <w:rsid w:val="00290F10"/>
    <w:rsid w:val="002912A3"/>
    <w:rsid w:val="00291822"/>
    <w:rsid w:val="00291833"/>
    <w:rsid w:val="00295382"/>
    <w:rsid w:val="0029581C"/>
    <w:rsid w:val="00296280"/>
    <w:rsid w:val="00297BD2"/>
    <w:rsid w:val="002A3FE3"/>
    <w:rsid w:val="002A4777"/>
    <w:rsid w:val="002A5038"/>
    <w:rsid w:val="002A6326"/>
    <w:rsid w:val="002B09F1"/>
    <w:rsid w:val="002B1D9D"/>
    <w:rsid w:val="002B36F8"/>
    <w:rsid w:val="002B3A24"/>
    <w:rsid w:val="002B5BF4"/>
    <w:rsid w:val="002B5D3E"/>
    <w:rsid w:val="002C06E0"/>
    <w:rsid w:val="002C202C"/>
    <w:rsid w:val="002C3702"/>
    <w:rsid w:val="002C4141"/>
    <w:rsid w:val="002C4FDD"/>
    <w:rsid w:val="002C5FEE"/>
    <w:rsid w:val="002C6785"/>
    <w:rsid w:val="002D03ED"/>
    <w:rsid w:val="002D05B0"/>
    <w:rsid w:val="002D0E1A"/>
    <w:rsid w:val="002D2093"/>
    <w:rsid w:val="002D214A"/>
    <w:rsid w:val="002D4420"/>
    <w:rsid w:val="002D51B4"/>
    <w:rsid w:val="002E0B55"/>
    <w:rsid w:val="002E1821"/>
    <w:rsid w:val="002E1848"/>
    <w:rsid w:val="002E1AB6"/>
    <w:rsid w:val="002E4262"/>
    <w:rsid w:val="002E5AE0"/>
    <w:rsid w:val="002E5CDC"/>
    <w:rsid w:val="002E68F4"/>
    <w:rsid w:val="002E6FF8"/>
    <w:rsid w:val="002F006B"/>
    <w:rsid w:val="002F7AA0"/>
    <w:rsid w:val="00300C54"/>
    <w:rsid w:val="003026DE"/>
    <w:rsid w:val="003030FD"/>
    <w:rsid w:val="00303E0B"/>
    <w:rsid w:val="00303E7E"/>
    <w:rsid w:val="00305924"/>
    <w:rsid w:val="00305C41"/>
    <w:rsid w:val="00306554"/>
    <w:rsid w:val="00306A13"/>
    <w:rsid w:val="00306A50"/>
    <w:rsid w:val="00307E6F"/>
    <w:rsid w:val="00322A31"/>
    <w:rsid w:val="003233BA"/>
    <w:rsid w:val="00323741"/>
    <w:rsid w:val="00324DCB"/>
    <w:rsid w:val="00325A0D"/>
    <w:rsid w:val="00326AA8"/>
    <w:rsid w:val="00326EBD"/>
    <w:rsid w:val="00327993"/>
    <w:rsid w:val="00327FA9"/>
    <w:rsid w:val="0033125D"/>
    <w:rsid w:val="00334954"/>
    <w:rsid w:val="00334D68"/>
    <w:rsid w:val="00341A53"/>
    <w:rsid w:val="00342EB2"/>
    <w:rsid w:val="00343475"/>
    <w:rsid w:val="003450FE"/>
    <w:rsid w:val="0034698C"/>
    <w:rsid w:val="00346D0C"/>
    <w:rsid w:val="00347440"/>
    <w:rsid w:val="0035022A"/>
    <w:rsid w:val="003538FA"/>
    <w:rsid w:val="00353941"/>
    <w:rsid w:val="00354563"/>
    <w:rsid w:val="00354DD3"/>
    <w:rsid w:val="0035560B"/>
    <w:rsid w:val="003560E3"/>
    <w:rsid w:val="00360712"/>
    <w:rsid w:val="00361618"/>
    <w:rsid w:val="003639C9"/>
    <w:rsid w:val="00364DDE"/>
    <w:rsid w:val="003716CB"/>
    <w:rsid w:val="00373762"/>
    <w:rsid w:val="003750B7"/>
    <w:rsid w:val="00376728"/>
    <w:rsid w:val="00382ABB"/>
    <w:rsid w:val="003926AF"/>
    <w:rsid w:val="00392C52"/>
    <w:rsid w:val="0039392F"/>
    <w:rsid w:val="00393CF3"/>
    <w:rsid w:val="00395753"/>
    <w:rsid w:val="00397C37"/>
    <w:rsid w:val="003A05CC"/>
    <w:rsid w:val="003A0AAE"/>
    <w:rsid w:val="003A44C8"/>
    <w:rsid w:val="003A4C08"/>
    <w:rsid w:val="003A7436"/>
    <w:rsid w:val="003B04E4"/>
    <w:rsid w:val="003B10EC"/>
    <w:rsid w:val="003B1749"/>
    <w:rsid w:val="003B2DEB"/>
    <w:rsid w:val="003B31B1"/>
    <w:rsid w:val="003B4891"/>
    <w:rsid w:val="003B4D63"/>
    <w:rsid w:val="003C253D"/>
    <w:rsid w:val="003C3670"/>
    <w:rsid w:val="003C5008"/>
    <w:rsid w:val="003C5331"/>
    <w:rsid w:val="003C61E8"/>
    <w:rsid w:val="003C7A5A"/>
    <w:rsid w:val="003D0C37"/>
    <w:rsid w:val="003D635E"/>
    <w:rsid w:val="003D6B4D"/>
    <w:rsid w:val="003D71FB"/>
    <w:rsid w:val="003D726B"/>
    <w:rsid w:val="003D7B65"/>
    <w:rsid w:val="003E1129"/>
    <w:rsid w:val="003E6627"/>
    <w:rsid w:val="003F1334"/>
    <w:rsid w:val="003F40BF"/>
    <w:rsid w:val="003F549D"/>
    <w:rsid w:val="003F5B83"/>
    <w:rsid w:val="003F5F1B"/>
    <w:rsid w:val="003F6ACD"/>
    <w:rsid w:val="004016B4"/>
    <w:rsid w:val="00401E40"/>
    <w:rsid w:val="00402126"/>
    <w:rsid w:val="0040221F"/>
    <w:rsid w:val="004023DD"/>
    <w:rsid w:val="00402C5C"/>
    <w:rsid w:val="00403EA5"/>
    <w:rsid w:val="00404C6C"/>
    <w:rsid w:val="0040522C"/>
    <w:rsid w:val="0041121C"/>
    <w:rsid w:val="00413A28"/>
    <w:rsid w:val="00413EC1"/>
    <w:rsid w:val="0041504B"/>
    <w:rsid w:val="00416087"/>
    <w:rsid w:val="00417ECF"/>
    <w:rsid w:val="00421222"/>
    <w:rsid w:val="0042232F"/>
    <w:rsid w:val="004228A9"/>
    <w:rsid w:val="00422F5D"/>
    <w:rsid w:val="00423573"/>
    <w:rsid w:val="0042403F"/>
    <w:rsid w:val="0042424D"/>
    <w:rsid w:val="00425D4A"/>
    <w:rsid w:val="004267D9"/>
    <w:rsid w:val="00426900"/>
    <w:rsid w:val="00426D76"/>
    <w:rsid w:val="004314DB"/>
    <w:rsid w:val="00432A5D"/>
    <w:rsid w:val="00432C07"/>
    <w:rsid w:val="00435924"/>
    <w:rsid w:val="00435C21"/>
    <w:rsid w:val="00437014"/>
    <w:rsid w:val="004410EC"/>
    <w:rsid w:val="0044227D"/>
    <w:rsid w:val="0044238B"/>
    <w:rsid w:val="00447B6F"/>
    <w:rsid w:val="00447D14"/>
    <w:rsid w:val="00452FB7"/>
    <w:rsid w:val="00455BCD"/>
    <w:rsid w:val="00455C45"/>
    <w:rsid w:val="00463452"/>
    <w:rsid w:val="00464444"/>
    <w:rsid w:val="00464C4C"/>
    <w:rsid w:val="0046563F"/>
    <w:rsid w:val="004667FC"/>
    <w:rsid w:val="00472699"/>
    <w:rsid w:val="0047301B"/>
    <w:rsid w:val="00475860"/>
    <w:rsid w:val="0047682C"/>
    <w:rsid w:val="00482C65"/>
    <w:rsid w:val="00484455"/>
    <w:rsid w:val="00484E11"/>
    <w:rsid w:val="00485E63"/>
    <w:rsid w:val="00486698"/>
    <w:rsid w:val="00487252"/>
    <w:rsid w:val="004934C9"/>
    <w:rsid w:val="004959F9"/>
    <w:rsid w:val="00495E13"/>
    <w:rsid w:val="004A0303"/>
    <w:rsid w:val="004A0DED"/>
    <w:rsid w:val="004A2592"/>
    <w:rsid w:val="004A3945"/>
    <w:rsid w:val="004A43CD"/>
    <w:rsid w:val="004A6250"/>
    <w:rsid w:val="004A7E41"/>
    <w:rsid w:val="004B12E7"/>
    <w:rsid w:val="004B5A3C"/>
    <w:rsid w:val="004B7565"/>
    <w:rsid w:val="004B758F"/>
    <w:rsid w:val="004B7884"/>
    <w:rsid w:val="004B7EDB"/>
    <w:rsid w:val="004B7F88"/>
    <w:rsid w:val="004C0362"/>
    <w:rsid w:val="004C06E2"/>
    <w:rsid w:val="004C1881"/>
    <w:rsid w:val="004C3390"/>
    <w:rsid w:val="004C5836"/>
    <w:rsid w:val="004C7B16"/>
    <w:rsid w:val="004D277A"/>
    <w:rsid w:val="004D2D5E"/>
    <w:rsid w:val="004D45F6"/>
    <w:rsid w:val="004D563E"/>
    <w:rsid w:val="004E185F"/>
    <w:rsid w:val="004E46FD"/>
    <w:rsid w:val="004E6228"/>
    <w:rsid w:val="004E6FD1"/>
    <w:rsid w:val="004E7278"/>
    <w:rsid w:val="004F0B05"/>
    <w:rsid w:val="004F1301"/>
    <w:rsid w:val="004F4590"/>
    <w:rsid w:val="004F7208"/>
    <w:rsid w:val="004F7A5C"/>
    <w:rsid w:val="0050229B"/>
    <w:rsid w:val="00503F27"/>
    <w:rsid w:val="00506BF7"/>
    <w:rsid w:val="0051203E"/>
    <w:rsid w:val="00512148"/>
    <w:rsid w:val="00513029"/>
    <w:rsid w:val="005130EF"/>
    <w:rsid w:val="0051336F"/>
    <w:rsid w:val="00515CEC"/>
    <w:rsid w:val="0052012D"/>
    <w:rsid w:val="005202D4"/>
    <w:rsid w:val="00520FEE"/>
    <w:rsid w:val="005237FB"/>
    <w:rsid w:val="00523AF6"/>
    <w:rsid w:val="00525CBA"/>
    <w:rsid w:val="00526872"/>
    <w:rsid w:val="005272C2"/>
    <w:rsid w:val="00527E93"/>
    <w:rsid w:val="00530CD0"/>
    <w:rsid w:val="00531BE2"/>
    <w:rsid w:val="005333AC"/>
    <w:rsid w:val="00534444"/>
    <w:rsid w:val="00534E43"/>
    <w:rsid w:val="00535160"/>
    <w:rsid w:val="00536249"/>
    <w:rsid w:val="00537596"/>
    <w:rsid w:val="00540956"/>
    <w:rsid w:val="00541F96"/>
    <w:rsid w:val="005428C9"/>
    <w:rsid w:val="00542E8F"/>
    <w:rsid w:val="00544335"/>
    <w:rsid w:val="00544763"/>
    <w:rsid w:val="00544E8C"/>
    <w:rsid w:val="0054637F"/>
    <w:rsid w:val="00547BD9"/>
    <w:rsid w:val="00550195"/>
    <w:rsid w:val="00551D87"/>
    <w:rsid w:val="00553FE1"/>
    <w:rsid w:val="00554C46"/>
    <w:rsid w:val="00554D71"/>
    <w:rsid w:val="005550EC"/>
    <w:rsid w:val="00555AFB"/>
    <w:rsid w:val="0056066E"/>
    <w:rsid w:val="0056076F"/>
    <w:rsid w:val="005614B1"/>
    <w:rsid w:val="005616D6"/>
    <w:rsid w:val="00561DB3"/>
    <w:rsid w:val="0056522A"/>
    <w:rsid w:val="005660FC"/>
    <w:rsid w:val="00566EDF"/>
    <w:rsid w:val="00567FA0"/>
    <w:rsid w:val="00571658"/>
    <w:rsid w:val="005726A8"/>
    <w:rsid w:val="0057523F"/>
    <w:rsid w:val="00575689"/>
    <w:rsid w:val="005778B8"/>
    <w:rsid w:val="00581CE2"/>
    <w:rsid w:val="00582974"/>
    <w:rsid w:val="00583B85"/>
    <w:rsid w:val="00584F24"/>
    <w:rsid w:val="00585F6D"/>
    <w:rsid w:val="00586299"/>
    <w:rsid w:val="005865B9"/>
    <w:rsid w:val="00591D3D"/>
    <w:rsid w:val="00592508"/>
    <w:rsid w:val="0059265D"/>
    <w:rsid w:val="00595A36"/>
    <w:rsid w:val="00596BD0"/>
    <w:rsid w:val="00597757"/>
    <w:rsid w:val="005A4A53"/>
    <w:rsid w:val="005A741F"/>
    <w:rsid w:val="005B0026"/>
    <w:rsid w:val="005B2F3B"/>
    <w:rsid w:val="005B33FF"/>
    <w:rsid w:val="005B4CB9"/>
    <w:rsid w:val="005B56A1"/>
    <w:rsid w:val="005B6BB9"/>
    <w:rsid w:val="005C0471"/>
    <w:rsid w:val="005C45EB"/>
    <w:rsid w:val="005C4E85"/>
    <w:rsid w:val="005C7C57"/>
    <w:rsid w:val="005C7D5C"/>
    <w:rsid w:val="005C7ED4"/>
    <w:rsid w:val="005D3252"/>
    <w:rsid w:val="005D46EE"/>
    <w:rsid w:val="005D5061"/>
    <w:rsid w:val="005D5A7F"/>
    <w:rsid w:val="005D6042"/>
    <w:rsid w:val="005D6D07"/>
    <w:rsid w:val="005E00FF"/>
    <w:rsid w:val="005E06C3"/>
    <w:rsid w:val="005E091A"/>
    <w:rsid w:val="005E383C"/>
    <w:rsid w:val="005E3ED2"/>
    <w:rsid w:val="005E400E"/>
    <w:rsid w:val="005E4065"/>
    <w:rsid w:val="005E4171"/>
    <w:rsid w:val="005E4CEF"/>
    <w:rsid w:val="005E6206"/>
    <w:rsid w:val="005F0260"/>
    <w:rsid w:val="005F085A"/>
    <w:rsid w:val="00601535"/>
    <w:rsid w:val="00601C74"/>
    <w:rsid w:val="00602D3B"/>
    <w:rsid w:val="00603AE0"/>
    <w:rsid w:val="00604A0A"/>
    <w:rsid w:val="00606109"/>
    <w:rsid w:val="0060618F"/>
    <w:rsid w:val="0061017D"/>
    <w:rsid w:val="006109BB"/>
    <w:rsid w:val="00610E01"/>
    <w:rsid w:val="00613926"/>
    <w:rsid w:val="006144CC"/>
    <w:rsid w:val="00615244"/>
    <w:rsid w:val="00617D22"/>
    <w:rsid w:val="00622C66"/>
    <w:rsid w:val="006243E1"/>
    <w:rsid w:val="00624667"/>
    <w:rsid w:val="006246A1"/>
    <w:rsid w:val="00625C7D"/>
    <w:rsid w:val="00634530"/>
    <w:rsid w:val="006349ED"/>
    <w:rsid w:val="00636540"/>
    <w:rsid w:val="00637530"/>
    <w:rsid w:val="0064265D"/>
    <w:rsid w:val="0064333C"/>
    <w:rsid w:val="00644039"/>
    <w:rsid w:val="00645075"/>
    <w:rsid w:val="006501C1"/>
    <w:rsid w:val="00650B53"/>
    <w:rsid w:val="0065190D"/>
    <w:rsid w:val="006536A0"/>
    <w:rsid w:val="00654757"/>
    <w:rsid w:val="00654E07"/>
    <w:rsid w:val="0065606A"/>
    <w:rsid w:val="00660EEB"/>
    <w:rsid w:val="00662613"/>
    <w:rsid w:val="006630E9"/>
    <w:rsid w:val="00663E12"/>
    <w:rsid w:val="00664C26"/>
    <w:rsid w:val="00664D78"/>
    <w:rsid w:val="00665FB1"/>
    <w:rsid w:val="0067068D"/>
    <w:rsid w:val="006745A3"/>
    <w:rsid w:val="006756BE"/>
    <w:rsid w:val="00680EE0"/>
    <w:rsid w:val="00682A61"/>
    <w:rsid w:val="0068407C"/>
    <w:rsid w:val="006851EF"/>
    <w:rsid w:val="006875ED"/>
    <w:rsid w:val="00690A09"/>
    <w:rsid w:val="00692706"/>
    <w:rsid w:val="00693BF4"/>
    <w:rsid w:val="00695709"/>
    <w:rsid w:val="006A3A30"/>
    <w:rsid w:val="006A3D25"/>
    <w:rsid w:val="006A3D65"/>
    <w:rsid w:val="006A437F"/>
    <w:rsid w:val="006A5B41"/>
    <w:rsid w:val="006A6720"/>
    <w:rsid w:val="006A7662"/>
    <w:rsid w:val="006A7A83"/>
    <w:rsid w:val="006B31C4"/>
    <w:rsid w:val="006B48CE"/>
    <w:rsid w:val="006B4D2C"/>
    <w:rsid w:val="006B5EC4"/>
    <w:rsid w:val="006B6962"/>
    <w:rsid w:val="006B6B2D"/>
    <w:rsid w:val="006B79EC"/>
    <w:rsid w:val="006B7E07"/>
    <w:rsid w:val="006C1542"/>
    <w:rsid w:val="006C27CB"/>
    <w:rsid w:val="006C289B"/>
    <w:rsid w:val="006C4719"/>
    <w:rsid w:val="006C489B"/>
    <w:rsid w:val="006C4A39"/>
    <w:rsid w:val="006C4FE6"/>
    <w:rsid w:val="006C5778"/>
    <w:rsid w:val="006C6267"/>
    <w:rsid w:val="006C6E9A"/>
    <w:rsid w:val="006C73BE"/>
    <w:rsid w:val="006C7B4D"/>
    <w:rsid w:val="006D1490"/>
    <w:rsid w:val="006D276E"/>
    <w:rsid w:val="006D38EB"/>
    <w:rsid w:val="006D3F2E"/>
    <w:rsid w:val="006D501F"/>
    <w:rsid w:val="006D5136"/>
    <w:rsid w:val="006D5EE0"/>
    <w:rsid w:val="006D6890"/>
    <w:rsid w:val="006E0E99"/>
    <w:rsid w:val="006E1F8E"/>
    <w:rsid w:val="006E21BA"/>
    <w:rsid w:val="006E389A"/>
    <w:rsid w:val="006E5754"/>
    <w:rsid w:val="006E60A6"/>
    <w:rsid w:val="006E7FE0"/>
    <w:rsid w:val="006F18DE"/>
    <w:rsid w:val="006F263D"/>
    <w:rsid w:val="006F290D"/>
    <w:rsid w:val="006F3575"/>
    <w:rsid w:val="006F4D3B"/>
    <w:rsid w:val="006F5C4E"/>
    <w:rsid w:val="006F700D"/>
    <w:rsid w:val="006F7058"/>
    <w:rsid w:val="006F7960"/>
    <w:rsid w:val="007035B0"/>
    <w:rsid w:val="00703D2B"/>
    <w:rsid w:val="007040CF"/>
    <w:rsid w:val="00704396"/>
    <w:rsid w:val="007046A5"/>
    <w:rsid w:val="00706461"/>
    <w:rsid w:val="00706B29"/>
    <w:rsid w:val="00707E80"/>
    <w:rsid w:val="00707FAC"/>
    <w:rsid w:val="00707FD9"/>
    <w:rsid w:val="00710AE2"/>
    <w:rsid w:val="00710F02"/>
    <w:rsid w:val="00714758"/>
    <w:rsid w:val="00716EB0"/>
    <w:rsid w:val="00717ECF"/>
    <w:rsid w:val="0072018B"/>
    <w:rsid w:val="007204BA"/>
    <w:rsid w:val="00720A23"/>
    <w:rsid w:val="00721708"/>
    <w:rsid w:val="007233A8"/>
    <w:rsid w:val="00726454"/>
    <w:rsid w:val="0072671F"/>
    <w:rsid w:val="007269A8"/>
    <w:rsid w:val="00727EF2"/>
    <w:rsid w:val="007316CE"/>
    <w:rsid w:val="007350D1"/>
    <w:rsid w:val="007371A7"/>
    <w:rsid w:val="007377F3"/>
    <w:rsid w:val="0074077B"/>
    <w:rsid w:val="00741924"/>
    <w:rsid w:val="00741F1C"/>
    <w:rsid w:val="00743383"/>
    <w:rsid w:val="00744A27"/>
    <w:rsid w:val="00746224"/>
    <w:rsid w:val="00746FDB"/>
    <w:rsid w:val="0074750A"/>
    <w:rsid w:val="007475C6"/>
    <w:rsid w:val="007478FB"/>
    <w:rsid w:val="00750076"/>
    <w:rsid w:val="007506C4"/>
    <w:rsid w:val="007507B5"/>
    <w:rsid w:val="007507F4"/>
    <w:rsid w:val="00750DD5"/>
    <w:rsid w:val="0075196F"/>
    <w:rsid w:val="007526D3"/>
    <w:rsid w:val="00754A49"/>
    <w:rsid w:val="00760999"/>
    <w:rsid w:val="007646EB"/>
    <w:rsid w:val="0077028C"/>
    <w:rsid w:val="0077029D"/>
    <w:rsid w:val="00770A87"/>
    <w:rsid w:val="00770A94"/>
    <w:rsid w:val="00771542"/>
    <w:rsid w:val="00773A5A"/>
    <w:rsid w:val="00773DA5"/>
    <w:rsid w:val="00774B5B"/>
    <w:rsid w:val="007752EE"/>
    <w:rsid w:val="00775F9D"/>
    <w:rsid w:val="00776A5C"/>
    <w:rsid w:val="00777A66"/>
    <w:rsid w:val="00782576"/>
    <w:rsid w:val="00782A01"/>
    <w:rsid w:val="00782D96"/>
    <w:rsid w:val="00783F7C"/>
    <w:rsid w:val="007846BF"/>
    <w:rsid w:val="00784B4F"/>
    <w:rsid w:val="007859EA"/>
    <w:rsid w:val="00785CB1"/>
    <w:rsid w:val="00786535"/>
    <w:rsid w:val="00787943"/>
    <w:rsid w:val="00790246"/>
    <w:rsid w:val="00790A1F"/>
    <w:rsid w:val="007912AE"/>
    <w:rsid w:val="00792064"/>
    <w:rsid w:val="00793D3C"/>
    <w:rsid w:val="00793F28"/>
    <w:rsid w:val="0079545F"/>
    <w:rsid w:val="00795990"/>
    <w:rsid w:val="007976E3"/>
    <w:rsid w:val="00797BD3"/>
    <w:rsid w:val="007A0C0C"/>
    <w:rsid w:val="007A142B"/>
    <w:rsid w:val="007A1FF1"/>
    <w:rsid w:val="007A5555"/>
    <w:rsid w:val="007A6886"/>
    <w:rsid w:val="007B0170"/>
    <w:rsid w:val="007B06FC"/>
    <w:rsid w:val="007B16D1"/>
    <w:rsid w:val="007B5AD5"/>
    <w:rsid w:val="007B614A"/>
    <w:rsid w:val="007B64B1"/>
    <w:rsid w:val="007B73BB"/>
    <w:rsid w:val="007B73E3"/>
    <w:rsid w:val="007B744E"/>
    <w:rsid w:val="007B75C1"/>
    <w:rsid w:val="007B7D1D"/>
    <w:rsid w:val="007C06B3"/>
    <w:rsid w:val="007C1D90"/>
    <w:rsid w:val="007C29D2"/>
    <w:rsid w:val="007C334A"/>
    <w:rsid w:val="007C4A01"/>
    <w:rsid w:val="007C5CEB"/>
    <w:rsid w:val="007C6358"/>
    <w:rsid w:val="007C71E3"/>
    <w:rsid w:val="007D059F"/>
    <w:rsid w:val="007D0A35"/>
    <w:rsid w:val="007D11B4"/>
    <w:rsid w:val="007D5E76"/>
    <w:rsid w:val="007E086B"/>
    <w:rsid w:val="007E19F2"/>
    <w:rsid w:val="007E26A2"/>
    <w:rsid w:val="007E2FEA"/>
    <w:rsid w:val="007E69C5"/>
    <w:rsid w:val="007F0856"/>
    <w:rsid w:val="007F21A5"/>
    <w:rsid w:val="007F51EA"/>
    <w:rsid w:val="007F6AD5"/>
    <w:rsid w:val="007F7570"/>
    <w:rsid w:val="008008AA"/>
    <w:rsid w:val="008010F7"/>
    <w:rsid w:val="00801394"/>
    <w:rsid w:val="00802665"/>
    <w:rsid w:val="00810FFC"/>
    <w:rsid w:val="00811AB4"/>
    <w:rsid w:val="00813935"/>
    <w:rsid w:val="00814E94"/>
    <w:rsid w:val="00816048"/>
    <w:rsid w:val="00816598"/>
    <w:rsid w:val="00817D12"/>
    <w:rsid w:val="00817DAB"/>
    <w:rsid w:val="0082520D"/>
    <w:rsid w:val="008264EA"/>
    <w:rsid w:val="00827D25"/>
    <w:rsid w:val="00830845"/>
    <w:rsid w:val="00830FAD"/>
    <w:rsid w:val="00831B84"/>
    <w:rsid w:val="00831FA1"/>
    <w:rsid w:val="00835AD6"/>
    <w:rsid w:val="00836F3A"/>
    <w:rsid w:val="008371D6"/>
    <w:rsid w:val="0083731D"/>
    <w:rsid w:val="00840B33"/>
    <w:rsid w:val="00842C44"/>
    <w:rsid w:val="00845440"/>
    <w:rsid w:val="008505A5"/>
    <w:rsid w:val="008517AF"/>
    <w:rsid w:val="0085376D"/>
    <w:rsid w:val="0085638B"/>
    <w:rsid w:val="00856C07"/>
    <w:rsid w:val="00857A6D"/>
    <w:rsid w:val="00857F7C"/>
    <w:rsid w:val="00861889"/>
    <w:rsid w:val="00862942"/>
    <w:rsid w:val="00863A45"/>
    <w:rsid w:val="008657EE"/>
    <w:rsid w:val="0086610E"/>
    <w:rsid w:val="00866459"/>
    <w:rsid w:val="00871927"/>
    <w:rsid w:val="00872A95"/>
    <w:rsid w:val="00872E83"/>
    <w:rsid w:val="0087376F"/>
    <w:rsid w:val="0087390F"/>
    <w:rsid w:val="00885BD8"/>
    <w:rsid w:val="0088667F"/>
    <w:rsid w:val="00887693"/>
    <w:rsid w:val="00894724"/>
    <w:rsid w:val="00896F6B"/>
    <w:rsid w:val="008A1430"/>
    <w:rsid w:val="008A14B7"/>
    <w:rsid w:val="008A2296"/>
    <w:rsid w:val="008A22B7"/>
    <w:rsid w:val="008A5511"/>
    <w:rsid w:val="008A5D1A"/>
    <w:rsid w:val="008A5D26"/>
    <w:rsid w:val="008A70CB"/>
    <w:rsid w:val="008B06A4"/>
    <w:rsid w:val="008B0CA9"/>
    <w:rsid w:val="008B2A26"/>
    <w:rsid w:val="008B3F48"/>
    <w:rsid w:val="008B42FF"/>
    <w:rsid w:val="008B44AC"/>
    <w:rsid w:val="008B7273"/>
    <w:rsid w:val="008B7939"/>
    <w:rsid w:val="008C61E4"/>
    <w:rsid w:val="008C62A8"/>
    <w:rsid w:val="008C7721"/>
    <w:rsid w:val="008C791C"/>
    <w:rsid w:val="008C7A9A"/>
    <w:rsid w:val="008D048F"/>
    <w:rsid w:val="008D0CF6"/>
    <w:rsid w:val="008D32B9"/>
    <w:rsid w:val="008D3A5E"/>
    <w:rsid w:val="008D6376"/>
    <w:rsid w:val="008E0F84"/>
    <w:rsid w:val="008E12B9"/>
    <w:rsid w:val="008E147A"/>
    <w:rsid w:val="008E2438"/>
    <w:rsid w:val="008E24A4"/>
    <w:rsid w:val="008E3809"/>
    <w:rsid w:val="008E7B4E"/>
    <w:rsid w:val="008F29EC"/>
    <w:rsid w:val="008F5853"/>
    <w:rsid w:val="008F61F2"/>
    <w:rsid w:val="008F6E58"/>
    <w:rsid w:val="00902C5B"/>
    <w:rsid w:val="009033EF"/>
    <w:rsid w:val="00903590"/>
    <w:rsid w:val="009036F8"/>
    <w:rsid w:val="00903CDE"/>
    <w:rsid w:val="0091073C"/>
    <w:rsid w:val="00910EC8"/>
    <w:rsid w:val="00911AD8"/>
    <w:rsid w:val="00912399"/>
    <w:rsid w:val="00913638"/>
    <w:rsid w:val="00914909"/>
    <w:rsid w:val="00914F12"/>
    <w:rsid w:val="00917110"/>
    <w:rsid w:val="0092178F"/>
    <w:rsid w:val="00922EEB"/>
    <w:rsid w:val="00923010"/>
    <w:rsid w:val="00923DC7"/>
    <w:rsid w:val="0092436C"/>
    <w:rsid w:val="009272AC"/>
    <w:rsid w:val="00930242"/>
    <w:rsid w:val="0093313C"/>
    <w:rsid w:val="00934B05"/>
    <w:rsid w:val="00937C34"/>
    <w:rsid w:val="009422DB"/>
    <w:rsid w:val="009436D6"/>
    <w:rsid w:val="00944EE1"/>
    <w:rsid w:val="0094595E"/>
    <w:rsid w:val="00950AD7"/>
    <w:rsid w:val="00952510"/>
    <w:rsid w:val="00952658"/>
    <w:rsid w:val="0095483D"/>
    <w:rsid w:val="0095589F"/>
    <w:rsid w:val="00955D2A"/>
    <w:rsid w:val="0095743E"/>
    <w:rsid w:val="0096055C"/>
    <w:rsid w:val="00963625"/>
    <w:rsid w:val="00963CF5"/>
    <w:rsid w:val="00966C30"/>
    <w:rsid w:val="009706FE"/>
    <w:rsid w:val="009719FD"/>
    <w:rsid w:val="00971C80"/>
    <w:rsid w:val="00973B50"/>
    <w:rsid w:val="009754F6"/>
    <w:rsid w:val="00975DDB"/>
    <w:rsid w:val="00976C58"/>
    <w:rsid w:val="009802DC"/>
    <w:rsid w:val="009820E3"/>
    <w:rsid w:val="00982D84"/>
    <w:rsid w:val="009842F8"/>
    <w:rsid w:val="00984AB9"/>
    <w:rsid w:val="009862C1"/>
    <w:rsid w:val="009863CC"/>
    <w:rsid w:val="00986EE8"/>
    <w:rsid w:val="009914A9"/>
    <w:rsid w:val="00994483"/>
    <w:rsid w:val="0099472B"/>
    <w:rsid w:val="009963D9"/>
    <w:rsid w:val="00996F76"/>
    <w:rsid w:val="00997EEC"/>
    <w:rsid w:val="009A0654"/>
    <w:rsid w:val="009A12BE"/>
    <w:rsid w:val="009A2F55"/>
    <w:rsid w:val="009A3345"/>
    <w:rsid w:val="009A3A4B"/>
    <w:rsid w:val="009A3A81"/>
    <w:rsid w:val="009A661D"/>
    <w:rsid w:val="009A6C78"/>
    <w:rsid w:val="009B17C5"/>
    <w:rsid w:val="009B2890"/>
    <w:rsid w:val="009B371E"/>
    <w:rsid w:val="009B38D8"/>
    <w:rsid w:val="009B396D"/>
    <w:rsid w:val="009B4106"/>
    <w:rsid w:val="009B52DC"/>
    <w:rsid w:val="009B563A"/>
    <w:rsid w:val="009B5AB2"/>
    <w:rsid w:val="009B5C1D"/>
    <w:rsid w:val="009B772D"/>
    <w:rsid w:val="009C18E0"/>
    <w:rsid w:val="009C1F21"/>
    <w:rsid w:val="009C3180"/>
    <w:rsid w:val="009C389B"/>
    <w:rsid w:val="009C3BD7"/>
    <w:rsid w:val="009C4D62"/>
    <w:rsid w:val="009C6032"/>
    <w:rsid w:val="009C7596"/>
    <w:rsid w:val="009D00AA"/>
    <w:rsid w:val="009D4098"/>
    <w:rsid w:val="009D5530"/>
    <w:rsid w:val="009E2559"/>
    <w:rsid w:val="009E3A46"/>
    <w:rsid w:val="009E5406"/>
    <w:rsid w:val="009F22B2"/>
    <w:rsid w:val="009F26C9"/>
    <w:rsid w:val="009F6A72"/>
    <w:rsid w:val="00A02CCE"/>
    <w:rsid w:val="00A04593"/>
    <w:rsid w:val="00A04D1C"/>
    <w:rsid w:val="00A05233"/>
    <w:rsid w:val="00A05270"/>
    <w:rsid w:val="00A06A84"/>
    <w:rsid w:val="00A07153"/>
    <w:rsid w:val="00A075AF"/>
    <w:rsid w:val="00A10A75"/>
    <w:rsid w:val="00A10ADB"/>
    <w:rsid w:val="00A1195A"/>
    <w:rsid w:val="00A125E8"/>
    <w:rsid w:val="00A12ABA"/>
    <w:rsid w:val="00A16EC3"/>
    <w:rsid w:val="00A2125D"/>
    <w:rsid w:val="00A26651"/>
    <w:rsid w:val="00A268FD"/>
    <w:rsid w:val="00A27F63"/>
    <w:rsid w:val="00A30B65"/>
    <w:rsid w:val="00A30C7F"/>
    <w:rsid w:val="00A33226"/>
    <w:rsid w:val="00A33CAA"/>
    <w:rsid w:val="00A3469F"/>
    <w:rsid w:val="00A36286"/>
    <w:rsid w:val="00A40944"/>
    <w:rsid w:val="00A41941"/>
    <w:rsid w:val="00A41E98"/>
    <w:rsid w:val="00A41F14"/>
    <w:rsid w:val="00A42E1D"/>
    <w:rsid w:val="00A45036"/>
    <w:rsid w:val="00A45C5E"/>
    <w:rsid w:val="00A51158"/>
    <w:rsid w:val="00A54650"/>
    <w:rsid w:val="00A54BD7"/>
    <w:rsid w:val="00A54C20"/>
    <w:rsid w:val="00A54CA2"/>
    <w:rsid w:val="00A55EDA"/>
    <w:rsid w:val="00A56579"/>
    <w:rsid w:val="00A56666"/>
    <w:rsid w:val="00A572C8"/>
    <w:rsid w:val="00A62953"/>
    <w:rsid w:val="00A64B90"/>
    <w:rsid w:val="00A65C73"/>
    <w:rsid w:val="00A66340"/>
    <w:rsid w:val="00A665B8"/>
    <w:rsid w:val="00A6729F"/>
    <w:rsid w:val="00A67E0A"/>
    <w:rsid w:val="00A67F47"/>
    <w:rsid w:val="00A70AC3"/>
    <w:rsid w:val="00A70AFA"/>
    <w:rsid w:val="00A72B1D"/>
    <w:rsid w:val="00A73204"/>
    <w:rsid w:val="00A73687"/>
    <w:rsid w:val="00A73A46"/>
    <w:rsid w:val="00A75E6A"/>
    <w:rsid w:val="00A775AC"/>
    <w:rsid w:val="00A80100"/>
    <w:rsid w:val="00A8250E"/>
    <w:rsid w:val="00A8294B"/>
    <w:rsid w:val="00A84034"/>
    <w:rsid w:val="00A8447C"/>
    <w:rsid w:val="00A847CF"/>
    <w:rsid w:val="00A84E60"/>
    <w:rsid w:val="00A85159"/>
    <w:rsid w:val="00A87591"/>
    <w:rsid w:val="00A87721"/>
    <w:rsid w:val="00A90432"/>
    <w:rsid w:val="00A91986"/>
    <w:rsid w:val="00A92A08"/>
    <w:rsid w:val="00A93069"/>
    <w:rsid w:val="00A9353D"/>
    <w:rsid w:val="00A94A28"/>
    <w:rsid w:val="00A94CBE"/>
    <w:rsid w:val="00A95C0E"/>
    <w:rsid w:val="00A96F78"/>
    <w:rsid w:val="00A97D23"/>
    <w:rsid w:val="00AA1D59"/>
    <w:rsid w:val="00AA307E"/>
    <w:rsid w:val="00AA339A"/>
    <w:rsid w:val="00AA5C6A"/>
    <w:rsid w:val="00AA6CCE"/>
    <w:rsid w:val="00AA740C"/>
    <w:rsid w:val="00AB0CC0"/>
    <w:rsid w:val="00AB484D"/>
    <w:rsid w:val="00AB5546"/>
    <w:rsid w:val="00AB681C"/>
    <w:rsid w:val="00AB72B4"/>
    <w:rsid w:val="00AB7303"/>
    <w:rsid w:val="00AC0E5F"/>
    <w:rsid w:val="00AC19B9"/>
    <w:rsid w:val="00AC231B"/>
    <w:rsid w:val="00AC3455"/>
    <w:rsid w:val="00AC3922"/>
    <w:rsid w:val="00AC548A"/>
    <w:rsid w:val="00AD4A51"/>
    <w:rsid w:val="00AD5AA0"/>
    <w:rsid w:val="00AD6380"/>
    <w:rsid w:val="00AD79DB"/>
    <w:rsid w:val="00AE036D"/>
    <w:rsid w:val="00AE0F9C"/>
    <w:rsid w:val="00AE1421"/>
    <w:rsid w:val="00AE1828"/>
    <w:rsid w:val="00AE2F88"/>
    <w:rsid w:val="00AE43F2"/>
    <w:rsid w:val="00AE4C13"/>
    <w:rsid w:val="00AE54A3"/>
    <w:rsid w:val="00AE7F0B"/>
    <w:rsid w:val="00AF0003"/>
    <w:rsid w:val="00AF1735"/>
    <w:rsid w:val="00AF3838"/>
    <w:rsid w:val="00AF5935"/>
    <w:rsid w:val="00AF685E"/>
    <w:rsid w:val="00B002DB"/>
    <w:rsid w:val="00B00BC5"/>
    <w:rsid w:val="00B00F97"/>
    <w:rsid w:val="00B01F07"/>
    <w:rsid w:val="00B04BAE"/>
    <w:rsid w:val="00B063BD"/>
    <w:rsid w:val="00B063E2"/>
    <w:rsid w:val="00B111CB"/>
    <w:rsid w:val="00B12620"/>
    <w:rsid w:val="00B12854"/>
    <w:rsid w:val="00B1298D"/>
    <w:rsid w:val="00B12B7E"/>
    <w:rsid w:val="00B12F09"/>
    <w:rsid w:val="00B13431"/>
    <w:rsid w:val="00B13A9E"/>
    <w:rsid w:val="00B14008"/>
    <w:rsid w:val="00B14618"/>
    <w:rsid w:val="00B2056C"/>
    <w:rsid w:val="00B21262"/>
    <w:rsid w:val="00B23E81"/>
    <w:rsid w:val="00B26CEA"/>
    <w:rsid w:val="00B27094"/>
    <w:rsid w:val="00B30288"/>
    <w:rsid w:val="00B32EA0"/>
    <w:rsid w:val="00B34E14"/>
    <w:rsid w:val="00B40997"/>
    <w:rsid w:val="00B412D2"/>
    <w:rsid w:val="00B423C8"/>
    <w:rsid w:val="00B42C10"/>
    <w:rsid w:val="00B42D6A"/>
    <w:rsid w:val="00B45EA8"/>
    <w:rsid w:val="00B45FDC"/>
    <w:rsid w:val="00B4695D"/>
    <w:rsid w:val="00B47636"/>
    <w:rsid w:val="00B479AA"/>
    <w:rsid w:val="00B47D23"/>
    <w:rsid w:val="00B50E39"/>
    <w:rsid w:val="00B52A51"/>
    <w:rsid w:val="00B5323E"/>
    <w:rsid w:val="00B53A01"/>
    <w:rsid w:val="00B53A5A"/>
    <w:rsid w:val="00B5756B"/>
    <w:rsid w:val="00B60BF3"/>
    <w:rsid w:val="00B616A9"/>
    <w:rsid w:val="00B616D2"/>
    <w:rsid w:val="00B6200F"/>
    <w:rsid w:val="00B63B43"/>
    <w:rsid w:val="00B64418"/>
    <w:rsid w:val="00B65FDC"/>
    <w:rsid w:val="00B66A74"/>
    <w:rsid w:val="00B67125"/>
    <w:rsid w:val="00B675AE"/>
    <w:rsid w:val="00B74204"/>
    <w:rsid w:val="00B74AF9"/>
    <w:rsid w:val="00B74BD3"/>
    <w:rsid w:val="00B74CBE"/>
    <w:rsid w:val="00B76547"/>
    <w:rsid w:val="00B76B65"/>
    <w:rsid w:val="00B770A8"/>
    <w:rsid w:val="00B8048C"/>
    <w:rsid w:val="00B817B0"/>
    <w:rsid w:val="00B83D7A"/>
    <w:rsid w:val="00B84850"/>
    <w:rsid w:val="00B85D18"/>
    <w:rsid w:val="00B85EF6"/>
    <w:rsid w:val="00B8616C"/>
    <w:rsid w:val="00B8690F"/>
    <w:rsid w:val="00B86D43"/>
    <w:rsid w:val="00B86EDB"/>
    <w:rsid w:val="00B91FB4"/>
    <w:rsid w:val="00B92385"/>
    <w:rsid w:val="00B93918"/>
    <w:rsid w:val="00B94A64"/>
    <w:rsid w:val="00B96693"/>
    <w:rsid w:val="00B97F75"/>
    <w:rsid w:val="00BA2579"/>
    <w:rsid w:val="00BA2AAF"/>
    <w:rsid w:val="00BA4149"/>
    <w:rsid w:val="00BA4638"/>
    <w:rsid w:val="00BA469E"/>
    <w:rsid w:val="00BA550D"/>
    <w:rsid w:val="00BA58C1"/>
    <w:rsid w:val="00BA676B"/>
    <w:rsid w:val="00BB00D5"/>
    <w:rsid w:val="00BB1B1D"/>
    <w:rsid w:val="00BB3BD1"/>
    <w:rsid w:val="00BB405D"/>
    <w:rsid w:val="00BB41CD"/>
    <w:rsid w:val="00BB6184"/>
    <w:rsid w:val="00BC05D1"/>
    <w:rsid w:val="00BC3890"/>
    <w:rsid w:val="00BC4B93"/>
    <w:rsid w:val="00BC4FDB"/>
    <w:rsid w:val="00BC5355"/>
    <w:rsid w:val="00BC5674"/>
    <w:rsid w:val="00BC6AF9"/>
    <w:rsid w:val="00BC74C2"/>
    <w:rsid w:val="00BD007C"/>
    <w:rsid w:val="00BD0365"/>
    <w:rsid w:val="00BD30DF"/>
    <w:rsid w:val="00BD5011"/>
    <w:rsid w:val="00BD58E9"/>
    <w:rsid w:val="00BD7403"/>
    <w:rsid w:val="00BE270D"/>
    <w:rsid w:val="00BE3DCC"/>
    <w:rsid w:val="00BE42CF"/>
    <w:rsid w:val="00BE4C3E"/>
    <w:rsid w:val="00BE5FA8"/>
    <w:rsid w:val="00BE60B0"/>
    <w:rsid w:val="00BE7B3F"/>
    <w:rsid w:val="00BF05F5"/>
    <w:rsid w:val="00BF0E0B"/>
    <w:rsid w:val="00BF1F5A"/>
    <w:rsid w:val="00BF2D26"/>
    <w:rsid w:val="00BF3C30"/>
    <w:rsid w:val="00BF4AC9"/>
    <w:rsid w:val="00BF7EF6"/>
    <w:rsid w:val="00C01AB0"/>
    <w:rsid w:val="00C03161"/>
    <w:rsid w:val="00C03613"/>
    <w:rsid w:val="00C03FC5"/>
    <w:rsid w:val="00C04A17"/>
    <w:rsid w:val="00C05398"/>
    <w:rsid w:val="00C06020"/>
    <w:rsid w:val="00C0666E"/>
    <w:rsid w:val="00C117CB"/>
    <w:rsid w:val="00C12C2B"/>
    <w:rsid w:val="00C13242"/>
    <w:rsid w:val="00C13388"/>
    <w:rsid w:val="00C1521D"/>
    <w:rsid w:val="00C154AE"/>
    <w:rsid w:val="00C1553A"/>
    <w:rsid w:val="00C21361"/>
    <w:rsid w:val="00C2240D"/>
    <w:rsid w:val="00C2518B"/>
    <w:rsid w:val="00C258F3"/>
    <w:rsid w:val="00C25BC6"/>
    <w:rsid w:val="00C2601A"/>
    <w:rsid w:val="00C261A9"/>
    <w:rsid w:val="00C31774"/>
    <w:rsid w:val="00C35C0F"/>
    <w:rsid w:val="00C35EBB"/>
    <w:rsid w:val="00C37698"/>
    <w:rsid w:val="00C409D3"/>
    <w:rsid w:val="00C40C3E"/>
    <w:rsid w:val="00C4322B"/>
    <w:rsid w:val="00C43319"/>
    <w:rsid w:val="00C4684C"/>
    <w:rsid w:val="00C46DB9"/>
    <w:rsid w:val="00C47269"/>
    <w:rsid w:val="00C506F6"/>
    <w:rsid w:val="00C5107B"/>
    <w:rsid w:val="00C511CA"/>
    <w:rsid w:val="00C523A1"/>
    <w:rsid w:val="00C5343D"/>
    <w:rsid w:val="00C5388F"/>
    <w:rsid w:val="00C552EA"/>
    <w:rsid w:val="00C56852"/>
    <w:rsid w:val="00C57B45"/>
    <w:rsid w:val="00C608B0"/>
    <w:rsid w:val="00C6327C"/>
    <w:rsid w:val="00C67E5B"/>
    <w:rsid w:val="00C703B2"/>
    <w:rsid w:val="00C71031"/>
    <w:rsid w:val="00C71511"/>
    <w:rsid w:val="00C720DE"/>
    <w:rsid w:val="00C72409"/>
    <w:rsid w:val="00C7298E"/>
    <w:rsid w:val="00C75F6B"/>
    <w:rsid w:val="00C83F41"/>
    <w:rsid w:val="00C84828"/>
    <w:rsid w:val="00C862AE"/>
    <w:rsid w:val="00C867C9"/>
    <w:rsid w:val="00C87597"/>
    <w:rsid w:val="00C87618"/>
    <w:rsid w:val="00C9222C"/>
    <w:rsid w:val="00C930CD"/>
    <w:rsid w:val="00C957A0"/>
    <w:rsid w:val="00C95B97"/>
    <w:rsid w:val="00C9685F"/>
    <w:rsid w:val="00CA2DB6"/>
    <w:rsid w:val="00CA69F1"/>
    <w:rsid w:val="00CA7ECC"/>
    <w:rsid w:val="00CB08F8"/>
    <w:rsid w:val="00CB17DE"/>
    <w:rsid w:val="00CB1E77"/>
    <w:rsid w:val="00CB2602"/>
    <w:rsid w:val="00CB39D9"/>
    <w:rsid w:val="00CC055E"/>
    <w:rsid w:val="00CC288E"/>
    <w:rsid w:val="00CC33B2"/>
    <w:rsid w:val="00CC5953"/>
    <w:rsid w:val="00CC66C8"/>
    <w:rsid w:val="00CC7357"/>
    <w:rsid w:val="00CD1785"/>
    <w:rsid w:val="00CD2686"/>
    <w:rsid w:val="00CD5CD9"/>
    <w:rsid w:val="00CD78E8"/>
    <w:rsid w:val="00CE47EB"/>
    <w:rsid w:val="00CE535C"/>
    <w:rsid w:val="00CE5B34"/>
    <w:rsid w:val="00CE700F"/>
    <w:rsid w:val="00CF1A54"/>
    <w:rsid w:val="00CF3214"/>
    <w:rsid w:val="00CF32F3"/>
    <w:rsid w:val="00CF3765"/>
    <w:rsid w:val="00CF430D"/>
    <w:rsid w:val="00CF4DEF"/>
    <w:rsid w:val="00D003D9"/>
    <w:rsid w:val="00D009DF"/>
    <w:rsid w:val="00D01899"/>
    <w:rsid w:val="00D0273E"/>
    <w:rsid w:val="00D0394E"/>
    <w:rsid w:val="00D04508"/>
    <w:rsid w:val="00D04908"/>
    <w:rsid w:val="00D058C3"/>
    <w:rsid w:val="00D066A0"/>
    <w:rsid w:val="00D06F6B"/>
    <w:rsid w:val="00D11C1A"/>
    <w:rsid w:val="00D13399"/>
    <w:rsid w:val="00D13DEB"/>
    <w:rsid w:val="00D2342A"/>
    <w:rsid w:val="00D24FBD"/>
    <w:rsid w:val="00D264B6"/>
    <w:rsid w:val="00D27043"/>
    <w:rsid w:val="00D30A29"/>
    <w:rsid w:val="00D319A4"/>
    <w:rsid w:val="00D3210A"/>
    <w:rsid w:val="00D3317D"/>
    <w:rsid w:val="00D3326E"/>
    <w:rsid w:val="00D36441"/>
    <w:rsid w:val="00D36F82"/>
    <w:rsid w:val="00D40810"/>
    <w:rsid w:val="00D46085"/>
    <w:rsid w:val="00D47651"/>
    <w:rsid w:val="00D4772E"/>
    <w:rsid w:val="00D524D2"/>
    <w:rsid w:val="00D5289A"/>
    <w:rsid w:val="00D56DEB"/>
    <w:rsid w:val="00D61734"/>
    <w:rsid w:val="00D617CC"/>
    <w:rsid w:val="00D61A82"/>
    <w:rsid w:val="00D639B6"/>
    <w:rsid w:val="00D64099"/>
    <w:rsid w:val="00D648AD"/>
    <w:rsid w:val="00D6538D"/>
    <w:rsid w:val="00D65E56"/>
    <w:rsid w:val="00D70522"/>
    <w:rsid w:val="00D74A36"/>
    <w:rsid w:val="00D77089"/>
    <w:rsid w:val="00D80560"/>
    <w:rsid w:val="00D80B18"/>
    <w:rsid w:val="00D814E5"/>
    <w:rsid w:val="00D8166E"/>
    <w:rsid w:val="00D81E9F"/>
    <w:rsid w:val="00D83306"/>
    <w:rsid w:val="00D83727"/>
    <w:rsid w:val="00D83854"/>
    <w:rsid w:val="00D85788"/>
    <w:rsid w:val="00D85BAA"/>
    <w:rsid w:val="00D91198"/>
    <w:rsid w:val="00D91603"/>
    <w:rsid w:val="00D91956"/>
    <w:rsid w:val="00D94215"/>
    <w:rsid w:val="00D9523F"/>
    <w:rsid w:val="00D95864"/>
    <w:rsid w:val="00D97F5D"/>
    <w:rsid w:val="00DA298B"/>
    <w:rsid w:val="00DA4271"/>
    <w:rsid w:val="00DA6D3C"/>
    <w:rsid w:val="00DB1059"/>
    <w:rsid w:val="00DB11B6"/>
    <w:rsid w:val="00DB1A60"/>
    <w:rsid w:val="00DB2046"/>
    <w:rsid w:val="00DC02F0"/>
    <w:rsid w:val="00DC4A09"/>
    <w:rsid w:val="00DC5E42"/>
    <w:rsid w:val="00DC5EFF"/>
    <w:rsid w:val="00DC65A0"/>
    <w:rsid w:val="00DD10F8"/>
    <w:rsid w:val="00DD3016"/>
    <w:rsid w:val="00DE2C4A"/>
    <w:rsid w:val="00DE386A"/>
    <w:rsid w:val="00DE38A4"/>
    <w:rsid w:val="00DF00F3"/>
    <w:rsid w:val="00DF0DD5"/>
    <w:rsid w:val="00DF19D1"/>
    <w:rsid w:val="00DF32A7"/>
    <w:rsid w:val="00DF4318"/>
    <w:rsid w:val="00DF6747"/>
    <w:rsid w:val="00E008B4"/>
    <w:rsid w:val="00E01E22"/>
    <w:rsid w:val="00E03C90"/>
    <w:rsid w:val="00E04BC8"/>
    <w:rsid w:val="00E0653E"/>
    <w:rsid w:val="00E066E5"/>
    <w:rsid w:val="00E0676A"/>
    <w:rsid w:val="00E069CA"/>
    <w:rsid w:val="00E06FDB"/>
    <w:rsid w:val="00E10AC8"/>
    <w:rsid w:val="00E10C2E"/>
    <w:rsid w:val="00E10F0C"/>
    <w:rsid w:val="00E122E4"/>
    <w:rsid w:val="00E12FFA"/>
    <w:rsid w:val="00E130A3"/>
    <w:rsid w:val="00E1359B"/>
    <w:rsid w:val="00E13936"/>
    <w:rsid w:val="00E15367"/>
    <w:rsid w:val="00E1621B"/>
    <w:rsid w:val="00E1685E"/>
    <w:rsid w:val="00E16D76"/>
    <w:rsid w:val="00E1730B"/>
    <w:rsid w:val="00E17C6D"/>
    <w:rsid w:val="00E21434"/>
    <w:rsid w:val="00E21686"/>
    <w:rsid w:val="00E233AE"/>
    <w:rsid w:val="00E269A2"/>
    <w:rsid w:val="00E3034F"/>
    <w:rsid w:val="00E3375C"/>
    <w:rsid w:val="00E36793"/>
    <w:rsid w:val="00E378B3"/>
    <w:rsid w:val="00E37B5E"/>
    <w:rsid w:val="00E37BC9"/>
    <w:rsid w:val="00E407D9"/>
    <w:rsid w:val="00E4183A"/>
    <w:rsid w:val="00E4390D"/>
    <w:rsid w:val="00E44FD4"/>
    <w:rsid w:val="00E46576"/>
    <w:rsid w:val="00E47865"/>
    <w:rsid w:val="00E50E38"/>
    <w:rsid w:val="00E54876"/>
    <w:rsid w:val="00E54C5A"/>
    <w:rsid w:val="00E5541F"/>
    <w:rsid w:val="00E55801"/>
    <w:rsid w:val="00E57614"/>
    <w:rsid w:val="00E576CF"/>
    <w:rsid w:val="00E628B0"/>
    <w:rsid w:val="00E6308D"/>
    <w:rsid w:val="00E6467A"/>
    <w:rsid w:val="00E6609A"/>
    <w:rsid w:val="00E67E44"/>
    <w:rsid w:val="00E72988"/>
    <w:rsid w:val="00E73998"/>
    <w:rsid w:val="00E746AC"/>
    <w:rsid w:val="00E74CAD"/>
    <w:rsid w:val="00E74F08"/>
    <w:rsid w:val="00E80749"/>
    <w:rsid w:val="00E81DE3"/>
    <w:rsid w:val="00E82D79"/>
    <w:rsid w:val="00E82FF0"/>
    <w:rsid w:val="00E863F9"/>
    <w:rsid w:val="00E92B70"/>
    <w:rsid w:val="00E93724"/>
    <w:rsid w:val="00E96936"/>
    <w:rsid w:val="00E96DE6"/>
    <w:rsid w:val="00EA1046"/>
    <w:rsid w:val="00EA4453"/>
    <w:rsid w:val="00EA50EA"/>
    <w:rsid w:val="00EA580C"/>
    <w:rsid w:val="00EA61D2"/>
    <w:rsid w:val="00EB2497"/>
    <w:rsid w:val="00EB3E73"/>
    <w:rsid w:val="00EB4384"/>
    <w:rsid w:val="00EC0377"/>
    <w:rsid w:val="00EC09DE"/>
    <w:rsid w:val="00EC2ADB"/>
    <w:rsid w:val="00ED0568"/>
    <w:rsid w:val="00ED0B9E"/>
    <w:rsid w:val="00ED0FD5"/>
    <w:rsid w:val="00ED2244"/>
    <w:rsid w:val="00ED2629"/>
    <w:rsid w:val="00ED295B"/>
    <w:rsid w:val="00ED65B9"/>
    <w:rsid w:val="00ED6768"/>
    <w:rsid w:val="00ED6BFA"/>
    <w:rsid w:val="00ED6E91"/>
    <w:rsid w:val="00ED7F2E"/>
    <w:rsid w:val="00ED7F67"/>
    <w:rsid w:val="00EE2F98"/>
    <w:rsid w:val="00EE3F67"/>
    <w:rsid w:val="00EE5852"/>
    <w:rsid w:val="00EE5A02"/>
    <w:rsid w:val="00EE6A43"/>
    <w:rsid w:val="00EE6CA8"/>
    <w:rsid w:val="00EE7E1A"/>
    <w:rsid w:val="00EF11F5"/>
    <w:rsid w:val="00EF1E19"/>
    <w:rsid w:val="00EF1F1C"/>
    <w:rsid w:val="00EF5778"/>
    <w:rsid w:val="00EF5DE6"/>
    <w:rsid w:val="00EF662E"/>
    <w:rsid w:val="00F0240B"/>
    <w:rsid w:val="00F03522"/>
    <w:rsid w:val="00F05C12"/>
    <w:rsid w:val="00F0718B"/>
    <w:rsid w:val="00F118D8"/>
    <w:rsid w:val="00F11D32"/>
    <w:rsid w:val="00F151D6"/>
    <w:rsid w:val="00F17067"/>
    <w:rsid w:val="00F17296"/>
    <w:rsid w:val="00F17665"/>
    <w:rsid w:val="00F20F5D"/>
    <w:rsid w:val="00F22161"/>
    <w:rsid w:val="00F226B1"/>
    <w:rsid w:val="00F22BBF"/>
    <w:rsid w:val="00F249B4"/>
    <w:rsid w:val="00F24DC3"/>
    <w:rsid w:val="00F2746C"/>
    <w:rsid w:val="00F30EA8"/>
    <w:rsid w:val="00F32111"/>
    <w:rsid w:val="00F32210"/>
    <w:rsid w:val="00F34877"/>
    <w:rsid w:val="00F34F17"/>
    <w:rsid w:val="00F351D6"/>
    <w:rsid w:val="00F402CA"/>
    <w:rsid w:val="00F42474"/>
    <w:rsid w:val="00F4304C"/>
    <w:rsid w:val="00F433CC"/>
    <w:rsid w:val="00F442DB"/>
    <w:rsid w:val="00F44BFD"/>
    <w:rsid w:val="00F4676C"/>
    <w:rsid w:val="00F5363E"/>
    <w:rsid w:val="00F5430A"/>
    <w:rsid w:val="00F54D56"/>
    <w:rsid w:val="00F55168"/>
    <w:rsid w:val="00F56D7B"/>
    <w:rsid w:val="00F57DF3"/>
    <w:rsid w:val="00F6320E"/>
    <w:rsid w:val="00F643D8"/>
    <w:rsid w:val="00F64C29"/>
    <w:rsid w:val="00F65171"/>
    <w:rsid w:val="00F658F8"/>
    <w:rsid w:val="00F70D77"/>
    <w:rsid w:val="00F732E9"/>
    <w:rsid w:val="00F73AE1"/>
    <w:rsid w:val="00F750BE"/>
    <w:rsid w:val="00F759C7"/>
    <w:rsid w:val="00F76CBB"/>
    <w:rsid w:val="00F77979"/>
    <w:rsid w:val="00F80B8D"/>
    <w:rsid w:val="00F83545"/>
    <w:rsid w:val="00F8431A"/>
    <w:rsid w:val="00F91C06"/>
    <w:rsid w:val="00F91ED9"/>
    <w:rsid w:val="00F97284"/>
    <w:rsid w:val="00FA030B"/>
    <w:rsid w:val="00FA0F95"/>
    <w:rsid w:val="00FA54B2"/>
    <w:rsid w:val="00FA5D16"/>
    <w:rsid w:val="00FA7876"/>
    <w:rsid w:val="00FB012E"/>
    <w:rsid w:val="00FB0B6E"/>
    <w:rsid w:val="00FB2FE5"/>
    <w:rsid w:val="00FB3718"/>
    <w:rsid w:val="00FB4614"/>
    <w:rsid w:val="00FB47B7"/>
    <w:rsid w:val="00FB5011"/>
    <w:rsid w:val="00FB5703"/>
    <w:rsid w:val="00FB61B6"/>
    <w:rsid w:val="00FB6E6A"/>
    <w:rsid w:val="00FC021C"/>
    <w:rsid w:val="00FC2109"/>
    <w:rsid w:val="00FC57D7"/>
    <w:rsid w:val="00FC6C49"/>
    <w:rsid w:val="00FD07F9"/>
    <w:rsid w:val="00FD1990"/>
    <w:rsid w:val="00FD7B6A"/>
    <w:rsid w:val="00FE01D1"/>
    <w:rsid w:val="00FE1E73"/>
    <w:rsid w:val="00FE32A9"/>
    <w:rsid w:val="00FE43E9"/>
    <w:rsid w:val="00FE5972"/>
    <w:rsid w:val="00FE6BB1"/>
    <w:rsid w:val="00FF07EE"/>
    <w:rsid w:val="00FF10F9"/>
    <w:rsid w:val="00FF2AF4"/>
    <w:rsid w:val="00FF31B7"/>
    <w:rsid w:val="00FF39C5"/>
    <w:rsid w:val="00FF47F3"/>
    <w:rsid w:val="00FF62CF"/>
    <w:rsid w:val="00FF6328"/>
    <w:rsid w:val="00FF6B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1A537"/>
  <w15:chartTrackingRefBased/>
  <w15:docId w15:val="{73294A16-3896-4EC2-9ABB-7AE84C2C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link w:val="Heading1Char"/>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link w:val="Heading2Char"/>
    <w:qFormat/>
    <w:rsid w:val="00B14618"/>
    <w:pPr>
      <w:keepNext/>
      <w:spacing w:after="60"/>
      <w:outlineLvl w:val="1"/>
    </w:pPr>
    <w:rPr>
      <w:rFonts w:cs="Arial Bold"/>
      <w:b/>
      <w:bCs/>
      <w:iCs/>
      <w:sz w:val="28"/>
      <w:szCs w:val="28"/>
    </w:rPr>
  </w:style>
  <w:style w:type="paragraph" w:styleId="Heading3">
    <w:name w:val="heading 3"/>
    <w:basedOn w:val="Normal"/>
    <w:next w:val="Normal"/>
    <w:link w:val="Heading3Char"/>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uiPriority w:val="20"/>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link w:val="ListBulletChar"/>
    <w:p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link w:val="FootnoteTextChar"/>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uiPriority w:val="22"/>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paragraph" w:customStyle="1" w:styleId="Default">
    <w:name w:val="Default"/>
    <w:rsid w:val="00E6609A"/>
    <w:pPr>
      <w:autoSpaceDE w:val="0"/>
      <w:autoSpaceDN w:val="0"/>
      <w:adjustRightInd w:val="0"/>
    </w:pPr>
    <w:rPr>
      <w:rFonts w:ascii="Gill Sans MT" w:hAnsi="Gill Sans MT" w:cs="Gill Sans MT"/>
      <w:color w:val="000000"/>
      <w:sz w:val="24"/>
      <w:szCs w:val="24"/>
    </w:rPr>
  </w:style>
  <w:style w:type="paragraph" w:styleId="ListParagraph">
    <w:name w:val="List Paragraph"/>
    <w:basedOn w:val="Normal"/>
    <w:uiPriority w:val="34"/>
    <w:qFormat/>
    <w:rsid w:val="00484455"/>
    <w:pPr>
      <w:ind w:left="720"/>
      <w:contextualSpacing/>
    </w:pPr>
    <w:rPr>
      <w:rFonts w:ascii="Gill Sans" w:hAnsi="Gill Sans"/>
    </w:rPr>
  </w:style>
  <w:style w:type="paragraph" w:styleId="NormalWeb">
    <w:name w:val="Normal (Web)"/>
    <w:basedOn w:val="Normal"/>
    <w:uiPriority w:val="99"/>
    <w:unhideWhenUsed/>
    <w:rsid w:val="007269A8"/>
    <w:pPr>
      <w:spacing w:before="100" w:beforeAutospacing="1" w:after="100" w:afterAutospacing="1"/>
    </w:pPr>
    <w:rPr>
      <w:rFonts w:ascii="Times New Roman" w:hAnsi="Times New Roman"/>
      <w:sz w:val="24"/>
      <w:lang w:eastAsia="en-IE"/>
    </w:rPr>
  </w:style>
  <w:style w:type="character" w:styleId="CommentReference">
    <w:name w:val="annotation reference"/>
    <w:basedOn w:val="DefaultParagraphFont"/>
    <w:rsid w:val="00F17665"/>
    <w:rPr>
      <w:sz w:val="16"/>
      <w:szCs w:val="16"/>
    </w:rPr>
  </w:style>
  <w:style w:type="paragraph" w:styleId="BalloonText">
    <w:name w:val="Balloon Text"/>
    <w:basedOn w:val="Normal"/>
    <w:link w:val="BalloonTextChar"/>
    <w:rsid w:val="00F17665"/>
    <w:pPr>
      <w:spacing w:after="0"/>
    </w:pPr>
    <w:rPr>
      <w:rFonts w:ascii="Segoe UI" w:hAnsi="Segoe UI" w:cs="Segoe UI"/>
      <w:sz w:val="18"/>
      <w:szCs w:val="18"/>
    </w:rPr>
  </w:style>
  <w:style w:type="character" w:customStyle="1" w:styleId="BalloonTextChar">
    <w:name w:val="Balloon Text Char"/>
    <w:basedOn w:val="DefaultParagraphFont"/>
    <w:link w:val="BalloonText"/>
    <w:rsid w:val="00F17665"/>
    <w:rPr>
      <w:rFonts w:ascii="Segoe UI" w:eastAsia="Times New Roman" w:hAnsi="Segoe UI" w:cs="Segoe UI"/>
      <w:sz w:val="18"/>
      <w:szCs w:val="18"/>
      <w:lang w:eastAsia="en-US"/>
    </w:rPr>
  </w:style>
  <w:style w:type="paragraph" w:styleId="CommentSubject">
    <w:name w:val="annotation subject"/>
    <w:basedOn w:val="CommentText"/>
    <w:next w:val="CommentText"/>
    <w:link w:val="CommentSubjectChar"/>
    <w:rsid w:val="001B6752"/>
    <w:rPr>
      <w:rFonts w:ascii="Gill Sans MT" w:hAnsi="Gill Sans MT"/>
      <w:b/>
      <w:bCs/>
      <w:szCs w:val="20"/>
      <w:lang w:val="en-IE"/>
    </w:rPr>
  </w:style>
  <w:style w:type="character" w:customStyle="1" w:styleId="CommentSubjectChar">
    <w:name w:val="Comment Subject Char"/>
    <w:basedOn w:val="CommentTextChar"/>
    <w:link w:val="CommentSubject"/>
    <w:rsid w:val="001B6752"/>
    <w:rPr>
      <w:rFonts w:ascii="Gill Sans MT" w:eastAsia="Times New Roman" w:hAnsi="Gill Sans MT"/>
      <w:b/>
      <w:bCs/>
      <w:szCs w:val="24"/>
      <w:lang w:eastAsia="en-US"/>
    </w:rPr>
  </w:style>
  <w:style w:type="paragraph" w:styleId="Revision">
    <w:name w:val="Revision"/>
    <w:hidden/>
    <w:uiPriority w:val="99"/>
    <w:semiHidden/>
    <w:rsid w:val="001B61CB"/>
    <w:rPr>
      <w:rFonts w:ascii="Gill Sans MT" w:eastAsia="Times New Roman" w:hAnsi="Gill Sans MT"/>
      <w:sz w:val="26"/>
      <w:szCs w:val="24"/>
      <w:lang w:eastAsia="en-US"/>
    </w:rPr>
  </w:style>
  <w:style w:type="character" w:customStyle="1" w:styleId="FootnoteTextChar">
    <w:name w:val="Footnote Text Char"/>
    <w:link w:val="FootnoteText"/>
    <w:semiHidden/>
    <w:rsid w:val="0096055C"/>
    <w:rPr>
      <w:rFonts w:ascii="Gill Sans MT" w:eastAsia="Times New Roman" w:hAnsi="Gill Sans MT"/>
      <w:sz w:val="22"/>
      <w:lang w:eastAsia="en-US"/>
    </w:rPr>
  </w:style>
  <w:style w:type="character" w:customStyle="1" w:styleId="ListBulletChar">
    <w:name w:val="List Bullet Char"/>
    <w:link w:val="ListBullet"/>
    <w:rsid w:val="00EE3F67"/>
    <w:rPr>
      <w:rFonts w:ascii="Gill Sans MT" w:eastAsia="Times New Roman" w:hAnsi="Gill Sans MT"/>
      <w:sz w:val="26"/>
      <w:szCs w:val="24"/>
      <w:lang w:eastAsia="en-US"/>
    </w:rPr>
  </w:style>
  <w:style w:type="character" w:customStyle="1" w:styleId="Heading2Char">
    <w:name w:val="Heading 2 Char"/>
    <w:basedOn w:val="DefaultParagraphFont"/>
    <w:link w:val="Heading2"/>
    <w:rsid w:val="00DC4A09"/>
    <w:rPr>
      <w:rFonts w:ascii="Gill Sans MT" w:eastAsia="Times New Roman" w:hAnsi="Gill Sans MT" w:cs="Arial Bold"/>
      <w:b/>
      <w:bCs/>
      <w:iCs/>
      <w:sz w:val="28"/>
      <w:szCs w:val="28"/>
      <w:lang w:eastAsia="en-US"/>
    </w:rPr>
  </w:style>
  <w:style w:type="character" w:customStyle="1" w:styleId="Heading1Char">
    <w:name w:val="Heading 1 Char"/>
    <w:basedOn w:val="DefaultParagraphFont"/>
    <w:link w:val="Heading1"/>
    <w:rsid w:val="00716EB0"/>
    <w:rPr>
      <w:rFonts w:ascii="Gill Sans MT" w:eastAsia="Times New Roman" w:hAnsi="Gill Sans MT" w:cs="Arial"/>
      <w:b/>
      <w:bCs/>
      <w:kern w:val="32"/>
      <w:sz w:val="32"/>
      <w:szCs w:val="32"/>
      <w:lang w:eastAsia="en-US"/>
    </w:rPr>
  </w:style>
  <w:style w:type="character" w:customStyle="1" w:styleId="Heading3Char">
    <w:name w:val="Heading 3 Char"/>
    <w:basedOn w:val="DefaultParagraphFont"/>
    <w:link w:val="Heading3"/>
    <w:rsid w:val="00DC5EFF"/>
    <w:rPr>
      <w:rFonts w:ascii="Gill Sans MT" w:eastAsia="Times New Roman" w:hAnsi="Gill Sans MT" w:cs="Arial Bold"/>
      <w:b/>
      <w:bCs/>
      <w:sz w:val="26"/>
      <w:szCs w:val="24"/>
      <w:lang w:eastAsia="en-US"/>
    </w:rPr>
  </w:style>
  <w:style w:type="paragraph" w:styleId="PlainText">
    <w:name w:val="Plain Text"/>
    <w:basedOn w:val="Normal"/>
    <w:link w:val="PlainTextChar"/>
    <w:uiPriority w:val="99"/>
    <w:unhideWhenUsed/>
    <w:rsid w:val="00665FB1"/>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65FB1"/>
    <w:rPr>
      <w:rFonts w:ascii="Calibri" w:eastAsiaTheme="minorHAnsi" w:hAnsi="Calibri" w:cstheme="minorBidi"/>
      <w:sz w:val="22"/>
      <w:szCs w:val="21"/>
      <w:lang w:eastAsia="en-US"/>
    </w:rPr>
  </w:style>
  <w:style w:type="character" w:styleId="UnresolvedMention">
    <w:name w:val="Unresolved Mention"/>
    <w:basedOn w:val="DefaultParagraphFont"/>
    <w:uiPriority w:val="99"/>
    <w:semiHidden/>
    <w:unhideWhenUsed/>
    <w:rsid w:val="00835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37127">
      <w:bodyDiv w:val="1"/>
      <w:marLeft w:val="0"/>
      <w:marRight w:val="0"/>
      <w:marTop w:val="0"/>
      <w:marBottom w:val="0"/>
      <w:divBdr>
        <w:top w:val="none" w:sz="0" w:space="0" w:color="auto"/>
        <w:left w:val="none" w:sz="0" w:space="0" w:color="auto"/>
        <w:bottom w:val="none" w:sz="0" w:space="0" w:color="auto"/>
        <w:right w:val="none" w:sz="0" w:space="0" w:color="auto"/>
      </w:divBdr>
    </w:div>
    <w:div w:id="379791427">
      <w:bodyDiv w:val="1"/>
      <w:marLeft w:val="0"/>
      <w:marRight w:val="0"/>
      <w:marTop w:val="0"/>
      <w:marBottom w:val="0"/>
      <w:divBdr>
        <w:top w:val="none" w:sz="0" w:space="0" w:color="auto"/>
        <w:left w:val="none" w:sz="0" w:space="0" w:color="auto"/>
        <w:bottom w:val="none" w:sz="0" w:space="0" w:color="auto"/>
        <w:right w:val="none" w:sz="0" w:space="0" w:color="auto"/>
      </w:divBdr>
    </w:div>
    <w:div w:id="415322610">
      <w:bodyDiv w:val="1"/>
      <w:marLeft w:val="0"/>
      <w:marRight w:val="0"/>
      <w:marTop w:val="0"/>
      <w:marBottom w:val="0"/>
      <w:divBdr>
        <w:top w:val="none" w:sz="0" w:space="0" w:color="auto"/>
        <w:left w:val="none" w:sz="0" w:space="0" w:color="auto"/>
        <w:bottom w:val="none" w:sz="0" w:space="0" w:color="auto"/>
        <w:right w:val="none" w:sz="0" w:space="0" w:color="auto"/>
      </w:divBdr>
    </w:div>
    <w:div w:id="573054404">
      <w:bodyDiv w:val="1"/>
      <w:marLeft w:val="0"/>
      <w:marRight w:val="0"/>
      <w:marTop w:val="0"/>
      <w:marBottom w:val="0"/>
      <w:divBdr>
        <w:top w:val="none" w:sz="0" w:space="0" w:color="auto"/>
        <w:left w:val="none" w:sz="0" w:space="0" w:color="auto"/>
        <w:bottom w:val="none" w:sz="0" w:space="0" w:color="auto"/>
        <w:right w:val="none" w:sz="0" w:space="0" w:color="auto"/>
      </w:divBdr>
    </w:div>
    <w:div w:id="663702635">
      <w:bodyDiv w:val="1"/>
      <w:marLeft w:val="0"/>
      <w:marRight w:val="0"/>
      <w:marTop w:val="0"/>
      <w:marBottom w:val="0"/>
      <w:divBdr>
        <w:top w:val="none" w:sz="0" w:space="0" w:color="auto"/>
        <w:left w:val="none" w:sz="0" w:space="0" w:color="auto"/>
        <w:bottom w:val="none" w:sz="0" w:space="0" w:color="auto"/>
        <w:right w:val="none" w:sz="0" w:space="0" w:color="auto"/>
      </w:divBdr>
    </w:div>
    <w:div w:id="836506714">
      <w:bodyDiv w:val="1"/>
      <w:marLeft w:val="0"/>
      <w:marRight w:val="0"/>
      <w:marTop w:val="0"/>
      <w:marBottom w:val="0"/>
      <w:divBdr>
        <w:top w:val="none" w:sz="0" w:space="0" w:color="auto"/>
        <w:left w:val="none" w:sz="0" w:space="0" w:color="auto"/>
        <w:bottom w:val="none" w:sz="0" w:space="0" w:color="auto"/>
        <w:right w:val="none" w:sz="0" w:space="0" w:color="auto"/>
      </w:divBdr>
    </w:div>
    <w:div w:id="887298986">
      <w:bodyDiv w:val="1"/>
      <w:marLeft w:val="0"/>
      <w:marRight w:val="0"/>
      <w:marTop w:val="0"/>
      <w:marBottom w:val="0"/>
      <w:divBdr>
        <w:top w:val="none" w:sz="0" w:space="0" w:color="auto"/>
        <w:left w:val="none" w:sz="0" w:space="0" w:color="auto"/>
        <w:bottom w:val="none" w:sz="0" w:space="0" w:color="auto"/>
        <w:right w:val="none" w:sz="0" w:space="0" w:color="auto"/>
      </w:divBdr>
    </w:div>
    <w:div w:id="907377434">
      <w:bodyDiv w:val="1"/>
      <w:marLeft w:val="0"/>
      <w:marRight w:val="0"/>
      <w:marTop w:val="0"/>
      <w:marBottom w:val="0"/>
      <w:divBdr>
        <w:top w:val="none" w:sz="0" w:space="0" w:color="auto"/>
        <w:left w:val="none" w:sz="0" w:space="0" w:color="auto"/>
        <w:bottom w:val="none" w:sz="0" w:space="0" w:color="auto"/>
        <w:right w:val="none" w:sz="0" w:space="0" w:color="auto"/>
      </w:divBdr>
    </w:div>
    <w:div w:id="936446634">
      <w:bodyDiv w:val="1"/>
      <w:marLeft w:val="0"/>
      <w:marRight w:val="0"/>
      <w:marTop w:val="0"/>
      <w:marBottom w:val="0"/>
      <w:divBdr>
        <w:top w:val="none" w:sz="0" w:space="0" w:color="auto"/>
        <w:left w:val="none" w:sz="0" w:space="0" w:color="auto"/>
        <w:bottom w:val="none" w:sz="0" w:space="0" w:color="auto"/>
        <w:right w:val="none" w:sz="0" w:space="0" w:color="auto"/>
      </w:divBdr>
    </w:div>
    <w:div w:id="1143540753">
      <w:bodyDiv w:val="1"/>
      <w:marLeft w:val="0"/>
      <w:marRight w:val="0"/>
      <w:marTop w:val="0"/>
      <w:marBottom w:val="0"/>
      <w:divBdr>
        <w:top w:val="none" w:sz="0" w:space="0" w:color="auto"/>
        <w:left w:val="none" w:sz="0" w:space="0" w:color="auto"/>
        <w:bottom w:val="none" w:sz="0" w:space="0" w:color="auto"/>
        <w:right w:val="none" w:sz="0" w:space="0" w:color="auto"/>
      </w:divBdr>
    </w:div>
    <w:div w:id="1164934217">
      <w:bodyDiv w:val="1"/>
      <w:marLeft w:val="0"/>
      <w:marRight w:val="0"/>
      <w:marTop w:val="0"/>
      <w:marBottom w:val="0"/>
      <w:divBdr>
        <w:top w:val="none" w:sz="0" w:space="0" w:color="auto"/>
        <w:left w:val="none" w:sz="0" w:space="0" w:color="auto"/>
        <w:bottom w:val="none" w:sz="0" w:space="0" w:color="auto"/>
        <w:right w:val="none" w:sz="0" w:space="0" w:color="auto"/>
      </w:divBdr>
    </w:div>
    <w:div w:id="1181553007">
      <w:bodyDiv w:val="1"/>
      <w:marLeft w:val="0"/>
      <w:marRight w:val="0"/>
      <w:marTop w:val="0"/>
      <w:marBottom w:val="0"/>
      <w:divBdr>
        <w:top w:val="none" w:sz="0" w:space="0" w:color="auto"/>
        <w:left w:val="none" w:sz="0" w:space="0" w:color="auto"/>
        <w:bottom w:val="none" w:sz="0" w:space="0" w:color="auto"/>
        <w:right w:val="none" w:sz="0" w:space="0" w:color="auto"/>
      </w:divBdr>
    </w:div>
    <w:div w:id="1396470694">
      <w:bodyDiv w:val="1"/>
      <w:marLeft w:val="0"/>
      <w:marRight w:val="0"/>
      <w:marTop w:val="0"/>
      <w:marBottom w:val="0"/>
      <w:divBdr>
        <w:top w:val="none" w:sz="0" w:space="0" w:color="auto"/>
        <w:left w:val="none" w:sz="0" w:space="0" w:color="auto"/>
        <w:bottom w:val="none" w:sz="0" w:space="0" w:color="auto"/>
        <w:right w:val="none" w:sz="0" w:space="0" w:color="auto"/>
      </w:divBdr>
    </w:div>
    <w:div w:id="1623920715">
      <w:bodyDiv w:val="1"/>
      <w:marLeft w:val="0"/>
      <w:marRight w:val="0"/>
      <w:marTop w:val="0"/>
      <w:marBottom w:val="0"/>
      <w:divBdr>
        <w:top w:val="none" w:sz="0" w:space="0" w:color="auto"/>
        <w:left w:val="none" w:sz="0" w:space="0" w:color="auto"/>
        <w:bottom w:val="none" w:sz="0" w:space="0" w:color="auto"/>
        <w:right w:val="none" w:sz="0" w:space="0" w:color="auto"/>
      </w:divBdr>
    </w:div>
    <w:div w:id="1665815464">
      <w:bodyDiv w:val="1"/>
      <w:marLeft w:val="0"/>
      <w:marRight w:val="0"/>
      <w:marTop w:val="0"/>
      <w:marBottom w:val="0"/>
      <w:divBdr>
        <w:top w:val="none" w:sz="0" w:space="0" w:color="auto"/>
        <w:left w:val="none" w:sz="0" w:space="0" w:color="auto"/>
        <w:bottom w:val="none" w:sz="0" w:space="0" w:color="auto"/>
        <w:right w:val="none" w:sz="0" w:space="0" w:color="auto"/>
      </w:divBdr>
    </w:div>
    <w:div w:id="1694185634">
      <w:bodyDiv w:val="1"/>
      <w:marLeft w:val="0"/>
      <w:marRight w:val="0"/>
      <w:marTop w:val="0"/>
      <w:marBottom w:val="0"/>
      <w:divBdr>
        <w:top w:val="none" w:sz="0" w:space="0" w:color="auto"/>
        <w:left w:val="none" w:sz="0" w:space="0" w:color="auto"/>
        <w:bottom w:val="none" w:sz="0" w:space="0" w:color="auto"/>
        <w:right w:val="none" w:sz="0" w:space="0" w:color="auto"/>
      </w:divBdr>
    </w:div>
    <w:div w:id="1713731623">
      <w:bodyDiv w:val="1"/>
      <w:marLeft w:val="0"/>
      <w:marRight w:val="0"/>
      <w:marTop w:val="0"/>
      <w:marBottom w:val="0"/>
      <w:divBdr>
        <w:top w:val="none" w:sz="0" w:space="0" w:color="auto"/>
        <w:left w:val="none" w:sz="0" w:space="0" w:color="auto"/>
        <w:bottom w:val="none" w:sz="0" w:space="0" w:color="auto"/>
        <w:right w:val="none" w:sz="0" w:space="0" w:color="auto"/>
      </w:divBdr>
    </w:div>
    <w:div w:id="1762943630">
      <w:bodyDiv w:val="1"/>
      <w:marLeft w:val="0"/>
      <w:marRight w:val="0"/>
      <w:marTop w:val="0"/>
      <w:marBottom w:val="0"/>
      <w:divBdr>
        <w:top w:val="none" w:sz="0" w:space="0" w:color="auto"/>
        <w:left w:val="none" w:sz="0" w:space="0" w:color="auto"/>
        <w:bottom w:val="none" w:sz="0" w:space="0" w:color="auto"/>
        <w:right w:val="none" w:sz="0" w:space="0" w:color="auto"/>
      </w:divBdr>
    </w:div>
    <w:div w:id="1821799110">
      <w:bodyDiv w:val="1"/>
      <w:marLeft w:val="0"/>
      <w:marRight w:val="0"/>
      <w:marTop w:val="0"/>
      <w:marBottom w:val="0"/>
      <w:divBdr>
        <w:top w:val="none" w:sz="0" w:space="0" w:color="auto"/>
        <w:left w:val="none" w:sz="0" w:space="0" w:color="auto"/>
        <w:bottom w:val="none" w:sz="0" w:space="0" w:color="auto"/>
        <w:right w:val="none" w:sz="0" w:space="0" w:color="auto"/>
      </w:divBdr>
    </w:div>
    <w:div w:id="1837529788">
      <w:bodyDiv w:val="1"/>
      <w:marLeft w:val="0"/>
      <w:marRight w:val="0"/>
      <w:marTop w:val="0"/>
      <w:marBottom w:val="0"/>
      <w:divBdr>
        <w:top w:val="none" w:sz="0" w:space="0" w:color="auto"/>
        <w:left w:val="none" w:sz="0" w:space="0" w:color="auto"/>
        <w:bottom w:val="none" w:sz="0" w:space="0" w:color="auto"/>
        <w:right w:val="none" w:sz="0" w:space="0" w:color="auto"/>
      </w:divBdr>
    </w:div>
    <w:div w:id="1904365648">
      <w:bodyDiv w:val="1"/>
      <w:marLeft w:val="0"/>
      <w:marRight w:val="0"/>
      <w:marTop w:val="0"/>
      <w:marBottom w:val="0"/>
      <w:divBdr>
        <w:top w:val="none" w:sz="0" w:space="0" w:color="auto"/>
        <w:left w:val="none" w:sz="0" w:space="0" w:color="auto"/>
        <w:bottom w:val="none" w:sz="0" w:space="0" w:color="auto"/>
        <w:right w:val="none" w:sz="0" w:space="0" w:color="auto"/>
      </w:divBdr>
    </w:div>
    <w:div w:id="1927179534">
      <w:bodyDiv w:val="1"/>
      <w:marLeft w:val="0"/>
      <w:marRight w:val="0"/>
      <w:marTop w:val="0"/>
      <w:marBottom w:val="0"/>
      <w:divBdr>
        <w:top w:val="none" w:sz="0" w:space="0" w:color="auto"/>
        <w:left w:val="none" w:sz="0" w:space="0" w:color="auto"/>
        <w:bottom w:val="none" w:sz="0" w:space="0" w:color="auto"/>
        <w:right w:val="none" w:sz="0" w:space="0" w:color="auto"/>
      </w:divBdr>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546869075">
          <w:marLeft w:val="0"/>
          <w:marRight w:val="0"/>
          <w:marTop w:val="0"/>
          <w:marBottom w:val="0"/>
          <w:divBdr>
            <w:top w:val="none" w:sz="0" w:space="0" w:color="auto"/>
            <w:left w:val="none" w:sz="0" w:space="0" w:color="auto"/>
            <w:bottom w:val="none" w:sz="0" w:space="0" w:color="auto"/>
            <w:right w:val="none" w:sz="0" w:space="0" w:color="auto"/>
          </w:divBdr>
          <w:divsChild>
            <w:div w:id="472261830">
              <w:marLeft w:val="-225"/>
              <w:marRight w:val="-225"/>
              <w:marTop w:val="0"/>
              <w:marBottom w:val="0"/>
              <w:divBdr>
                <w:top w:val="none" w:sz="0" w:space="0" w:color="auto"/>
                <w:left w:val="none" w:sz="0" w:space="0" w:color="auto"/>
                <w:bottom w:val="none" w:sz="0" w:space="0" w:color="auto"/>
                <w:right w:val="none" w:sz="0" w:space="0" w:color="auto"/>
              </w:divBdr>
            </w:div>
          </w:divsChild>
        </w:div>
        <w:div w:id="1630358555">
          <w:marLeft w:val="0"/>
          <w:marRight w:val="0"/>
          <w:marTop w:val="0"/>
          <w:marBottom w:val="0"/>
          <w:divBdr>
            <w:top w:val="none" w:sz="0" w:space="0" w:color="auto"/>
            <w:left w:val="none" w:sz="0" w:space="0" w:color="auto"/>
            <w:bottom w:val="none" w:sz="0" w:space="0" w:color="auto"/>
            <w:right w:val="none" w:sz="0" w:space="0" w:color="auto"/>
          </w:divBdr>
          <w:divsChild>
            <w:div w:id="2044624387">
              <w:marLeft w:val="-225"/>
              <w:marRight w:val="-225"/>
              <w:marTop w:val="0"/>
              <w:marBottom w:val="0"/>
              <w:divBdr>
                <w:top w:val="none" w:sz="0" w:space="0" w:color="auto"/>
                <w:left w:val="none" w:sz="0" w:space="0" w:color="auto"/>
                <w:bottom w:val="none" w:sz="0" w:space="0" w:color="auto"/>
                <w:right w:val="none" w:sz="0" w:space="0" w:color="auto"/>
              </w:divBdr>
            </w:div>
          </w:divsChild>
        </w:div>
        <w:div w:id="1807091165">
          <w:marLeft w:val="0"/>
          <w:marRight w:val="0"/>
          <w:marTop w:val="0"/>
          <w:marBottom w:val="0"/>
          <w:divBdr>
            <w:top w:val="none" w:sz="0" w:space="0" w:color="auto"/>
            <w:left w:val="none" w:sz="0" w:space="0" w:color="auto"/>
            <w:bottom w:val="none" w:sz="0" w:space="0" w:color="auto"/>
            <w:right w:val="none" w:sz="0" w:space="0" w:color="auto"/>
          </w:divBdr>
          <w:divsChild>
            <w:div w:id="147587683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4918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venue.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da.ie/publications/monitoring-report-eu-wad-ireland-2021-nda-repo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da.ie/monitoring/eu-web-accessibility-directive/accessibility-statements" TargetMode="External"/><Relationship Id="rId4" Type="http://schemas.openxmlformats.org/officeDocument/2006/relationships/settings" Target="settings.xml"/><Relationship Id="rId9" Type="http://schemas.openxmlformats.org/officeDocument/2006/relationships/hyperlink" Target="https://nda.ie/monitoring/eu-web-accessibility-directive/eu-web-accessibility-directive-monitoring-report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nda.ie/publications/nda-annual-reports-on-compliance-with-part-5-of-the-disability-act" TargetMode="External"/><Relationship Id="rId3" Type="http://schemas.openxmlformats.org/officeDocument/2006/relationships/hyperlink" Target="http://publicservice.universaldesign.ie/" TargetMode="External"/><Relationship Id="rId7" Type="http://schemas.openxmlformats.org/officeDocument/2006/relationships/hyperlink" Target="https://nda.ie/publications/monitoring-report-eu-wad-ireland-2021-nda-report" TargetMode="External"/><Relationship Id="rId2" Type="http://schemas.openxmlformats.org/officeDocument/2006/relationships/hyperlink" Target="https://universaldesign.ie/Products-Services/Customer-Communications-Toolkit-for-the-Public-Service-A-Universal-Design-Approach/" TargetMode="External"/><Relationship Id="rId1" Type="http://schemas.openxmlformats.org/officeDocument/2006/relationships/hyperlink" Target="https://www.gov.ie/en/consultation/8ca7f-department-statement-of-strategy-for-2023-to-2025/" TargetMode="External"/><Relationship Id="rId6" Type="http://schemas.openxmlformats.org/officeDocument/2006/relationships/hyperlink" Target="https://nda.ie/publications/nda-advice-paper-on-disability-language-and-terminology" TargetMode="External"/><Relationship Id="rId5" Type="http://schemas.openxmlformats.org/officeDocument/2006/relationships/hyperlink" Target="https://nda.ie/publications/participation-matters-guidelines-on-implementing-the-obligation-to-meaningfully-engage-with-disabled-people-in-public-decision-making" TargetMode="External"/><Relationship Id="rId4" Type="http://schemas.openxmlformats.org/officeDocument/2006/relationships/hyperlink" Target="https://www.gov.ie/en/publication/1d84e-the-cost-of-disability-in-ireland-research-report/" TargetMode="External"/><Relationship Id="rId9" Type="http://schemas.openxmlformats.org/officeDocument/2006/relationships/hyperlink" Target="https://nda.ie/publications/report-on-the-operation-of-the-irish-sign-language-act-2017-december-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13689-2AF4-4425-BD89-57F3A71D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4</TotalTime>
  <Pages>8</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A. Brennan</dc:creator>
  <cp:keywords/>
  <cp:lastModifiedBy>Rosalyn Tamming (NDA)</cp:lastModifiedBy>
  <cp:revision>3</cp:revision>
  <cp:lastPrinted>2023-02-28T16:43:00Z</cp:lastPrinted>
  <dcterms:created xsi:type="dcterms:W3CDTF">2023-08-14T08:32:00Z</dcterms:created>
  <dcterms:modified xsi:type="dcterms:W3CDTF">2023-08-14T12:01:00Z</dcterms:modified>
</cp:coreProperties>
</file>