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EF67" w14:textId="77777777" w:rsidR="00B6001A" w:rsidRDefault="00B6001A" w:rsidP="00B6001A">
      <w:pPr>
        <w:pStyle w:val="Title"/>
        <w:jc w:val="left"/>
      </w:pPr>
      <w:r>
        <w:rPr>
          <w:noProof/>
          <w:lang w:eastAsia="en-IE"/>
        </w:rPr>
        <w:drawing>
          <wp:inline distT="0" distB="0" distL="0" distR="0" wp14:anchorId="52D6AB6C" wp14:editId="107B3903">
            <wp:extent cx="2523490" cy="1799590"/>
            <wp:effectExtent l="0" t="0" r="0" b="0"/>
            <wp:docPr id="3" name="Picture 3" descr="Logo of the National Disability Authority" title="Logo of the National Disability Author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of the National Disability Authority" title="Logo of the National Disability Authorit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CFBBE" w14:textId="31AAC6B3" w:rsidR="00B6001A" w:rsidRPr="00B6001A" w:rsidRDefault="00DA5F46" w:rsidP="00B6001A">
      <w:pPr>
        <w:rPr>
          <w:b/>
        </w:rPr>
      </w:pPr>
      <w:r>
        <w:rPr>
          <w:b/>
        </w:rPr>
        <w:t>09</w:t>
      </w:r>
      <w:r w:rsidR="005A2100">
        <w:rPr>
          <w:b/>
        </w:rPr>
        <w:t xml:space="preserve"> </w:t>
      </w:r>
      <w:r w:rsidR="001F06A9">
        <w:rPr>
          <w:b/>
        </w:rPr>
        <w:t>May</w:t>
      </w:r>
      <w:r w:rsidR="005A2100">
        <w:rPr>
          <w:b/>
        </w:rPr>
        <w:t xml:space="preserve"> 2024</w:t>
      </w:r>
    </w:p>
    <w:p w14:paraId="779259C6" w14:textId="53BD6634" w:rsidR="009C4D62" w:rsidRPr="00AA327B" w:rsidRDefault="00B6001A" w:rsidP="00AA327B">
      <w:pPr>
        <w:pStyle w:val="Title"/>
      </w:pPr>
      <w:r w:rsidRPr="00B6001A">
        <w:rPr>
          <w:color w:val="BF2296"/>
        </w:rPr>
        <w:t>NDA Submission to</w:t>
      </w:r>
      <w:r w:rsidR="005A2100">
        <w:rPr>
          <w:color w:val="BF2296"/>
        </w:rPr>
        <w:t xml:space="preserve"> the Department of Justice on </w:t>
      </w:r>
      <w:bookmarkStart w:id="0" w:name="_Hlk164073249"/>
      <w:r w:rsidR="00A04BA0" w:rsidRPr="00A04BA0">
        <w:rPr>
          <w:color w:val="BF2296"/>
        </w:rPr>
        <w:t xml:space="preserve">draft </w:t>
      </w:r>
      <w:r w:rsidR="00FF776E">
        <w:rPr>
          <w:color w:val="BF2296"/>
        </w:rPr>
        <w:t>R</w:t>
      </w:r>
      <w:r w:rsidR="00A04BA0" w:rsidRPr="00A04BA0">
        <w:rPr>
          <w:color w:val="BF2296"/>
        </w:rPr>
        <w:t>egulations concerning legal aid</w:t>
      </w:r>
      <w:r w:rsidR="00F31E78">
        <w:rPr>
          <w:color w:val="BF2296"/>
        </w:rPr>
        <w:t xml:space="preserve"> costs</w:t>
      </w:r>
      <w:r w:rsidR="00A04BA0" w:rsidRPr="00A04BA0">
        <w:rPr>
          <w:color w:val="BF2296"/>
        </w:rPr>
        <w:t xml:space="preserve"> </w:t>
      </w:r>
      <w:bookmarkStart w:id="1" w:name="_Hlk163834346"/>
      <w:r w:rsidR="00A04BA0" w:rsidRPr="00A04BA0">
        <w:rPr>
          <w:color w:val="BF2296"/>
        </w:rPr>
        <w:t>in discharge applications</w:t>
      </w:r>
      <w:r w:rsidR="00F31E78">
        <w:rPr>
          <w:color w:val="BF2296"/>
        </w:rPr>
        <w:t xml:space="preserve"> under Part 6 of the Assisted Decision Making (Capacity) Act 2015 (as amended</w:t>
      </w:r>
      <w:bookmarkEnd w:id="1"/>
      <w:r w:rsidR="00F31E78">
        <w:rPr>
          <w:color w:val="BF2296"/>
        </w:rPr>
        <w:t>)</w:t>
      </w:r>
    </w:p>
    <w:bookmarkEnd w:id="0"/>
    <w:p w14:paraId="448B0924" w14:textId="7F536382" w:rsidR="009C3BD7" w:rsidRDefault="005A2100" w:rsidP="009C3BD7">
      <w:pPr>
        <w:pStyle w:val="Heading1"/>
      </w:pPr>
      <w:r>
        <w:t xml:space="preserve">Introduction </w:t>
      </w:r>
    </w:p>
    <w:p w14:paraId="24EA7D53" w14:textId="4C00BEA5" w:rsidR="00B14618" w:rsidRDefault="005A2100" w:rsidP="00B14618">
      <w:r w:rsidRPr="005A2100">
        <w:t>The National Disability Authority (NDA) is the independent statutory body with a duty to provide information and advice to the Government on policy and practice relevant to the lives of persons with disabilities, and to promote Universal Design.</w:t>
      </w:r>
      <w:r>
        <w:t xml:space="preserve"> The NDA welcomes the opportunity to input on the development </w:t>
      </w:r>
      <w:r w:rsidR="00047656" w:rsidRPr="00047656">
        <w:t xml:space="preserve">by the Department of Justice </w:t>
      </w:r>
      <w:r>
        <w:t xml:space="preserve">of </w:t>
      </w:r>
      <w:bookmarkStart w:id="2" w:name="_Hlk163827797"/>
      <w:r w:rsidR="00821493">
        <w:t xml:space="preserve">draft </w:t>
      </w:r>
      <w:r w:rsidR="00FF776E">
        <w:t>R</w:t>
      </w:r>
      <w:r w:rsidR="00821493">
        <w:t>egulations concerning legal aid</w:t>
      </w:r>
      <w:r w:rsidR="00F31E78">
        <w:t xml:space="preserve"> costs</w:t>
      </w:r>
      <w:r w:rsidR="00821493">
        <w:t xml:space="preserve"> </w:t>
      </w:r>
      <w:r w:rsidR="00F31E78" w:rsidRPr="00F31E78">
        <w:t>in discharge applications under Part 6 of the Assisted Decision Making (Capacity) Act 2015 (as amended</w:t>
      </w:r>
      <w:bookmarkEnd w:id="2"/>
      <w:r w:rsidR="00047656">
        <w:t>)</w:t>
      </w:r>
      <w:r w:rsidR="00821493">
        <w:t>.</w:t>
      </w:r>
    </w:p>
    <w:p w14:paraId="6176BE8D" w14:textId="4E96461B" w:rsidR="005A2100" w:rsidRDefault="005A2100" w:rsidP="005A2100">
      <w:pPr>
        <w:pStyle w:val="Heading1"/>
      </w:pPr>
      <w:r>
        <w:t xml:space="preserve">Wardship </w:t>
      </w:r>
      <w:r w:rsidR="003F6D0B">
        <w:t>r</w:t>
      </w:r>
      <w:r>
        <w:t>esearch</w:t>
      </w:r>
    </w:p>
    <w:p w14:paraId="301BD679" w14:textId="1D1673CF" w:rsidR="005A2100" w:rsidRDefault="005A2100" w:rsidP="005A2100">
      <w:r w:rsidRPr="005A2100">
        <w:t>The NDA is currently undertaking research</w:t>
      </w:r>
      <w:r w:rsidR="001F06A9">
        <w:t xml:space="preserve"> </w:t>
      </w:r>
      <w:r w:rsidRPr="005A2100">
        <w:t xml:space="preserve">to evaluate the impact of the cessation of the wardship system in Ireland on people who were made Wards of Court, their </w:t>
      </w:r>
      <w:proofErr w:type="gramStart"/>
      <w:r w:rsidRPr="005A2100">
        <w:t>Committees</w:t>
      </w:r>
      <w:proofErr w:type="gramEnd"/>
      <w:r w:rsidRPr="005A2100">
        <w:t xml:space="preserve"> and the </w:t>
      </w:r>
      <w:r w:rsidR="003D1572">
        <w:t>process of</w:t>
      </w:r>
      <w:r w:rsidRPr="005A2100">
        <w:t xml:space="preserve"> transition</w:t>
      </w:r>
      <w:r w:rsidR="003D1572">
        <w:t>ing</w:t>
      </w:r>
      <w:r w:rsidRPr="005A2100">
        <w:t xml:space="preserve"> to the new system of supported decision-making arrangements under the Assisted Decision Making (Capacity) Act 2015</w:t>
      </w:r>
      <w:r>
        <w:t xml:space="preserve"> (as amended)</w:t>
      </w:r>
      <w:r w:rsidRPr="005A2100">
        <w:t>.</w:t>
      </w:r>
    </w:p>
    <w:p w14:paraId="19F88C3B" w14:textId="50F00477" w:rsidR="00E8411A" w:rsidRDefault="00DB5FF3" w:rsidP="005A2100">
      <w:r>
        <w:t xml:space="preserve">While the research is still ongoing, </w:t>
      </w:r>
      <w:r w:rsidR="00042730">
        <w:t>the NDA is</w:t>
      </w:r>
      <w:r w:rsidR="00042730" w:rsidRPr="00042730">
        <w:t xml:space="preserve"> aware</w:t>
      </w:r>
      <w:r w:rsidR="0040210C">
        <w:t xml:space="preserve"> from our engagement with </w:t>
      </w:r>
      <w:r w:rsidR="0052293E">
        <w:t xml:space="preserve">key </w:t>
      </w:r>
      <w:r w:rsidR="0040210C">
        <w:t>stakeholders</w:t>
      </w:r>
      <w:r w:rsidR="00042730" w:rsidRPr="00042730">
        <w:t xml:space="preserve"> that progress</w:t>
      </w:r>
      <w:r w:rsidR="0040210C">
        <w:t xml:space="preserve"> in discharging </w:t>
      </w:r>
      <w:r w:rsidR="00901C0B">
        <w:t xml:space="preserve">adults </w:t>
      </w:r>
      <w:r w:rsidR="0040210C">
        <w:t>from wardship</w:t>
      </w:r>
      <w:r w:rsidR="00042730" w:rsidRPr="00042730">
        <w:t xml:space="preserve"> has been slower than anticipated</w:t>
      </w:r>
      <w:r w:rsidR="0040210C">
        <w:t xml:space="preserve">. While the reasons for this appear to vary, </w:t>
      </w:r>
      <w:r>
        <w:t>o</w:t>
      </w:r>
      <w:r w:rsidR="005A2100">
        <w:t xml:space="preserve">ne of the issues </w:t>
      </w:r>
      <w:r w:rsidR="00EA42F0">
        <w:t>we have identified</w:t>
      </w:r>
      <w:r w:rsidR="0040210C">
        <w:t xml:space="preserve"> as a possible barrier to </w:t>
      </w:r>
      <w:r w:rsidR="0052293E">
        <w:t>engagement with</w:t>
      </w:r>
      <w:r w:rsidR="0040210C">
        <w:t xml:space="preserve"> the discharge </w:t>
      </w:r>
      <w:r w:rsidR="0040210C">
        <w:lastRenderedPageBreak/>
        <w:t>process</w:t>
      </w:r>
      <w:r w:rsidR="005700C6">
        <w:t xml:space="preserve"> is</w:t>
      </w:r>
      <w:r w:rsidR="003D1572">
        <w:t xml:space="preserve"> a lack of information about eligibility for legal aid</w:t>
      </w:r>
      <w:r w:rsidR="005700C6">
        <w:t xml:space="preserve"> </w:t>
      </w:r>
      <w:r w:rsidR="00EA42F0">
        <w:t xml:space="preserve">and uncertainty </w:t>
      </w:r>
      <w:r w:rsidR="005700C6">
        <w:t>regarding</w:t>
      </w:r>
      <w:r w:rsidR="00CD6F76">
        <w:t xml:space="preserve"> </w:t>
      </w:r>
      <w:r w:rsidR="006141C9">
        <w:t>legal aid costs</w:t>
      </w:r>
      <w:r w:rsidR="005700C6">
        <w:t>.</w:t>
      </w:r>
      <w:r w:rsidR="00932255">
        <w:t xml:space="preserve"> </w:t>
      </w:r>
      <w:proofErr w:type="gramStart"/>
      <w:r w:rsidR="00CD6F76">
        <w:t>In particular, there</w:t>
      </w:r>
      <w:proofErr w:type="gramEnd"/>
      <w:r w:rsidR="00CD6F76">
        <w:t xml:space="preserve"> is some</w:t>
      </w:r>
      <w:r w:rsidR="00932255">
        <w:t xml:space="preserve"> confusion </w:t>
      </w:r>
      <w:r w:rsidR="00CD6F76">
        <w:t xml:space="preserve">as </w:t>
      </w:r>
      <w:r w:rsidR="00932255">
        <w:t xml:space="preserve">to whether </w:t>
      </w:r>
      <w:r w:rsidR="00072BEF">
        <w:t xml:space="preserve">and to what extent </w:t>
      </w:r>
      <w:r w:rsidR="009469CB">
        <w:t>adults under wardship</w:t>
      </w:r>
      <w:r w:rsidR="00932255">
        <w:t xml:space="preserve"> are liable for</w:t>
      </w:r>
      <w:r w:rsidR="00CD6F76">
        <w:t xml:space="preserve"> civil legal aid</w:t>
      </w:r>
      <w:r w:rsidR="00932255">
        <w:t xml:space="preserve"> costs</w:t>
      </w:r>
      <w:r w:rsidR="00CD6F76">
        <w:t xml:space="preserve"> relating to their discharge application from wardship</w:t>
      </w:r>
      <w:r w:rsidR="00932255">
        <w:t xml:space="preserve">. </w:t>
      </w:r>
      <w:r w:rsidR="001F06A9">
        <w:t xml:space="preserve">We are also </w:t>
      </w:r>
      <w:r w:rsidR="001F06A9" w:rsidRPr="001F06A9">
        <w:t>aware that conflicting advice is being provided</w:t>
      </w:r>
      <w:r w:rsidR="001F06A9">
        <w:t xml:space="preserve"> on this point</w:t>
      </w:r>
      <w:r w:rsidR="001F06A9" w:rsidRPr="001F06A9">
        <w:t xml:space="preserve"> from sources including legal professionals and advocacy organisations.</w:t>
      </w:r>
    </w:p>
    <w:p w14:paraId="7F900151" w14:textId="2A048620" w:rsidR="00E8411A" w:rsidRDefault="00E8411A" w:rsidP="00E8411A">
      <w:pPr>
        <w:pStyle w:val="Heading1"/>
      </w:pPr>
      <w:r>
        <w:t xml:space="preserve">Legal </w:t>
      </w:r>
      <w:r w:rsidR="00BB7062">
        <w:t>a</w:t>
      </w:r>
      <w:r>
        <w:t xml:space="preserve">id </w:t>
      </w:r>
      <w:r w:rsidR="00BB7062">
        <w:t>c</w:t>
      </w:r>
      <w:r w:rsidR="00DD67C5">
        <w:t xml:space="preserve">osts </w:t>
      </w:r>
      <w:r>
        <w:t xml:space="preserve">for </w:t>
      </w:r>
      <w:r w:rsidR="009469CB">
        <w:t>adults under wardship</w:t>
      </w:r>
      <w:r w:rsidRPr="00E8411A">
        <w:t xml:space="preserve"> in </w:t>
      </w:r>
      <w:r w:rsidR="00BB7062">
        <w:t>d</w:t>
      </w:r>
      <w:r w:rsidRPr="00E8411A">
        <w:t xml:space="preserve">ischarge </w:t>
      </w:r>
      <w:r w:rsidR="00BB7062">
        <w:t>a</w:t>
      </w:r>
      <w:r w:rsidRPr="00E8411A">
        <w:t xml:space="preserve">pplications </w:t>
      </w:r>
    </w:p>
    <w:p w14:paraId="7176B003" w14:textId="0A9A4875" w:rsidR="006141C9" w:rsidRDefault="005A42B3" w:rsidP="005A2100">
      <w:r>
        <w:t>The NDA is aware that a</w:t>
      </w:r>
      <w:r w:rsidR="00F31E78">
        <w:t xml:space="preserve">ll </w:t>
      </w:r>
      <w:r w:rsidR="009469CB">
        <w:t>adults under wardship</w:t>
      </w:r>
      <w:r w:rsidR="00F31E78">
        <w:t xml:space="preserve"> are </w:t>
      </w:r>
      <w:r w:rsidR="006141C9">
        <w:t>eligible for</w:t>
      </w:r>
      <w:r w:rsidR="00F31E78">
        <w:t xml:space="preserve"> legal aid for </w:t>
      </w:r>
      <w:r w:rsidR="006141C9" w:rsidRPr="006141C9">
        <w:t>discharge applications under Part 6 of the 2015 Act</w:t>
      </w:r>
      <w:r w:rsidR="00F31E78">
        <w:t xml:space="preserve">, irrespective of their financial situation. </w:t>
      </w:r>
      <w:r w:rsidR="006141C9" w:rsidRPr="006141C9">
        <w:t>However, costs may be recoverable at the conclusion of proceedings where the Ward</w:t>
      </w:r>
      <w:r w:rsidR="006141C9">
        <w:t xml:space="preserve"> of Court</w:t>
      </w:r>
      <w:r w:rsidR="006141C9" w:rsidRPr="006141C9">
        <w:t xml:space="preserve"> does not satisfy the financial eligibility criteria.</w:t>
      </w:r>
    </w:p>
    <w:p w14:paraId="6CD8B360" w14:textId="3062B26C" w:rsidR="006141C9" w:rsidRDefault="006141C9" w:rsidP="005A2100">
      <w:r>
        <w:t xml:space="preserve">While the Legal Aid Board has established maximum legal aid costs for both contested and uncontested </w:t>
      </w:r>
      <w:r w:rsidR="00820CE7">
        <w:t xml:space="preserve">discharge </w:t>
      </w:r>
      <w:r>
        <w:t>applications</w:t>
      </w:r>
      <w:r w:rsidR="00820CE7" w:rsidRPr="00820CE7">
        <w:t xml:space="preserve"> under Part 6 of the 2015 Act</w:t>
      </w:r>
      <w:r>
        <w:t xml:space="preserve">, </w:t>
      </w:r>
      <w:r w:rsidRPr="006141C9">
        <w:t>it is the NDA’s understanding</w:t>
      </w:r>
      <w:r>
        <w:t xml:space="preserve"> from our engagement with</w:t>
      </w:r>
      <w:r w:rsidRPr="006141C9">
        <w:t xml:space="preserve"> the Legal Aid Board </w:t>
      </w:r>
      <w:r>
        <w:t>that</w:t>
      </w:r>
      <w:r w:rsidRPr="006141C9">
        <w:t xml:space="preserve"> clarity on the extent of </w:t>
      </w:r>
      <w:r w:rsidR="00901C0B">
        <w:t xml:space="preserve">the liability for </w:t>
      </w:r>
      <w:r w:rsidRPr="006141C9">
        <w:t xml:space="preserve">legal aid costs </w:t>
      </w:r>
      <w:r>
        <w:t xml:space="preserve">cannot be provided </w:t>
      </w:r>
      <w:r w:rsidRPr="006141C9">
        <w:t xml:space="preserve">in the absence of Regulations from Department of Justice </w:t>
      </w:r>
      <w:r w:rsidR="00DF0B63">
        <w:t>outlining</w:t>
      </w:r>
      <w:r w:rsidRPr="006141C9">
        <w:t xml:space="preserve"> whether and how the agency should operate clawback of costs.</w:t>
      </w:r>
    </w:p>
    <w:p w14:paraId="7A4EE741" w14:textId="0969ACC9" w:rsidR="006141C9" w:rsidRPr="00CD6F76" w:rsidRDefault="006141C9" w:rsidP="006141C9">
      <w:r>
        <w:t xml:space="preserve">The NDA notes that </w:t>
      </w:r>
      <w:r w:rsidRPr="00CD6F76">
        <w:t xml:space="preserve">Section 33(7A) of the Civil Legal Aid Act 1995 as amended </w:t>
      </w:r>
      <w:r w:rsidRPr="00E8411A">
        <w:t xml:space="preserve">by </w:t>
      </w:r>
      <w:r>
        <w:t xml:space="preserve">the </w:t>
      </w:r>
      <w:r w:rsidRPr="00E8411A">
        <w:t>Assisted Decision-Making (Capacity) (Amendment) Act 2022</w:t>
      </w:r>
      <w:r>
        <w:t xml:space="preserve"> provides that where a Ward of Court is granted legal aid for a discharge application under Part 6, but does not satisfy the financial eligibility criteria, the Legal Aid Board </w:t>
      </w:r>
      <w:r w:rsidR="00DF0B63">
        <w:t>‘</w:t>
      </w:r>
      <w:r w:rsidRPr="00CD6F76">
        <w:t>may seek to recover some or all of the costs of providing the legal aid to the relevant person concerned.</w:t>
      </w:r>
      <w:r w:rsidR="00DF0B63">
        <w:t>’</w:t>
      </w:r>
      <w:r>
        <w:t xml:space="preserve"> The legislation also provides that the </w:t>
      </w:r>
      <w:r w:rsidRPr="00CD6F76">
        <w:t xml:space="preserve">Minister for Justice may </w:t>
      </w:r>
      <w:r>
        <w:t xml:space="preserve">enact </w:t>
      </w:r>
      <w:r w:rsidRPr="00CD6F76">
        <w:t>regulations to</w:t>
      </w:r>
      <w:r>
        <w:t xml:space="preserve"> </w:t>
      </w:r>
      <w:r w:rsidR="00DF0B63">
        <w:t>‘</w:t>
      </w:r>
      <w:r w:rsidRPr="00CD6F76">
        <w:t>make provision for the mechanism for recovery of the costs referred to in section 33(7A)</w:t>
      </w:r>
      <w:r w:rsidR="00DF0B63">
        <w:t>’</w:t>
      </w:r>
      <w:r w:rsidRPr="00CD6F76">
        <w:t>.</w:t>
      </w:r>
    </w:p>
    <w:p w14:paraId="002DDB9E" w14:textId="4C6993C8" w:rsidR="006141C9" w:rsidRDefault="006141C9" w:rsidP="005A2100">
      <w:r w:rsidRPr="00CD6F76">
        <w:t xml:space="preserve">The </w:t>
      </w:r>
      <w:r>
        <w:t xml:space="preserve">NDA further notes that the </w:t>
      </w:r>
      <w:r w:rsidRPr="00CD6F76">
        <w:t xml:space="preserve">Civil Legal Aid Act 1995 </w:t>
      </w:r>
      <w:r>
        <w:t xml:space="preserve">(as amended) </w:t>
      </w:r>
      <w:r w:rsidRPr="00CD6F76">
        <w:t xml:space="preserve">affords the </w:t>
      </w:r>
      <w:r>
        <w:t xml:space="preserve">Legal Aid </w:t>
      </w:r>
      <w:r w:rsidRPr="00CD6F76">
        <w:t xml:space="preserve">Board a discretion to waive its right to recover its costs – either fully or in part – where it is of the opinion that not to do so would </w:t>
      </w:r>
      <w:r w:rsidR="00AE08F3">
        <w:t>‘</w:t>
      </w:r>
      <w:r w:rsidRPr="00CD6F76">
        <w:t>create hardship</w:t>
      </w:r>
      <w:r w:rsidR="00AE08F3">
        <w:t>’</w:t>
      </w:r>
      <w:r w:rsidRPr="00CD6F76">
        <w:t xml:space="preserve"> for the person. </w:t>
      </w:r>
      <w:r>
        <w:t>The</w:t>
      </w:r>
      <w:r w:rsidR="00DF0B63">
        <w:t xml:space="preserve"> NDA understands that the</w:t>
      </w:r>
      <w:r>
        <w:t xml:space="preserve"> Legal Aid Board has </w:t>
      </w:r>
      <w:r w:rsidR="003D1572">
        <w:t xml:space="preserve">internally </w:t>
      </w:r>
      <w:r>
        <w:t xml:space="preserve">agreed a </w:t>
      </w:r>
      <w:r w:rsidRPr="00DD67C5">
        <w:t xml:space="preserve">set of fixed criteria and guidelines </w:t>
      </w:r>
      <w:r w:rsidR="00DF0B63">
        <w:t xml:space="preserve">for </w:t>
      </w:r>
      <w:r w:rsidR="00ED15A1">
        <w:t xml:space="preserve">general </w:t>
      </w:r>
      <w:r w:rsidR="00DF0B63">
        <w:t xml:space="preserve">waiver applications </w:t>
      </w:r>
      <w:r>
        <w:t>to ensure consistency of approach</w:t>
      </w:r>
      <w:r w:rsidR="00DF0B63">
        <w:t>, but these are not publicly available</w:t>
      </w:r>
      <w:r w:rsidR="00ED15A1">
        <w:t xml:space="preserve"> and do not consider ‘hardship’ in the specific context</w:t>
      </w:r>
      <w:r w:rsidR="0040554C">
        <w:t xml:space="preserve"> of adults</w:t>
      </w:r>
      <w:r w:rsidR="00ED15A1" w:rsidRPr="00ED15A1">
        <w:t xml:space="preserve"> discharg</w:t>
      </w:r>
      <w:r w:rsidR="0040554C">
        <w:t>ing</w:t>
      </w:r>
      <w:r w:rsidR="00ED15A1" w:rsidRPr="00ED15A1">
        <w:t xml:space="preserve"> </w:t>
      </w:r>
      <w:r w:rsidR="0040554C">
        <w:t>from wardship</w:t>
      </w:r>
      <w:r w:rsidR="00ED15A1">
        <w:t>.</w:t>
      </w:r>
      <w:r>
        <w:t xml:space="preserve"> </w:t>
      </w:r>
    </w:p>
    <w:p w14:paraId="38D648E4" w14:textId="651113D0" w:rsidR="005A2100" w:rsidRDefault="005A2100" w:rsidP="00CD6F76">
      <w:pPr>
        <w:pStyle w:val="Heading1"/>
        <w:ind w:left="0"/>
      </w:pPr>
      <w:r>
        <w:lastRenderedPageBreak/>
        <w:t>Recommendations</w:t>
      </w:r>
    </w:p>
    <w:p w14:paraId="25B9F7EB" w14:textId="5072D317" w:rsidR="005A2100" w:rsidRDefault="005A2100" w:rsidP="005A2100">
      <w:pPr>
        <w:pStyle w:val="Heading2"/>
      </w:pPr>
      <w:r>
        <w:t xml:space="preserve">Recommendation 1: </w:t>
      </w:r>
      <w:r w:rsidR="00265F0F">
        <w:t xml:space="preserve">Enact Regulations </w:t>
      </w:r>
      <w:r w:rsidR="0071093C">
        <w:t xml:space="preserve">on </w:t>
      </w:r>
      <w:r w:rsidR="00B32608" w:rsidRPr="00B32608">
        <w:t xml:space="preserve">legal aid costs relating to discharge applications under Part 6 of the 2015 Act </w:t>
      </w:r>
      <w:r>
        <w:t xml:space="preserve">as a matter of </w:t>
      </w:r>
      <w:proofErr w:type="gramStart"/>
      <w:r>
        <w:t>priority</w:t>
      </w:r>
      <w:proofErr w:type="gramEnd"/>
    </w:p>
    <w:p w14:paraId="7ECF4831" w14:textId="5BDA57EA" w:rsidR="00355F9C" w:rsidRDefault="009A768F" w:rsidP="005A2100">
      <w:r>
        <w:t>The NDA note</w:t>
      </w:r>
      <w:r w:rsidR="00B67175">
        <w:t>s</w:t>
      </w:r>
      <w:r>
        <w:t xml:space="preserve"> that a</w:t>
      </w:r>
      <w:r w:rsidR="001824B3">
        <w:t>lmost one year has elapsed since t</w:t>
      </w:r>
      <w:r w:rsidR="001824B3" w:rsidRPr="001824B3">
        <w:t xml:space="preserve">he </w:t>
      </w:r>
      <w:r w:rsidR="001824B3">
        <w:t xml:space="preserve">commencement of the </w:t>
      </w:r>
      <w:r w:rsidR="001824B3" w:rsidRPr="001824B3">
        <w:t>Assisted Decision-Making (Capacity) Act </w:t>
      </w:r>
      <w:r w:rsidR="001824B3">
        <w:t xml:space="preserve">2015 (as amended) on 26 April 2023. </w:t>
      </w:r>
      <w:r w:rsidR="00661C14">
        <w:t xml:space="preserve">The legislation requires that all </w:t>
      </w:r>
      <w:r w:rsidR="009469CB">
        <w:t>adults</w:t>
      </w:r>
      <w:r w:rsidR="00661C14">
        <w:t xml:space="preserve"> be discharged from wardship within a three-year transitional period i.e. </w:t>
      </w:r>
      <w:r w:rsidR="00901C0B">
        <w:t xml:space="preserve">by </w:t>
      </w:r>
      <w:r w:rsidR="00661C14">
        <w:t>26 April 202</w:t>
      </w:r>
      <w:r w:rsidR="00B67175">
        <w:t>6</w:t>
      </w:r>
      <w:r w:rsidR="00661C14">
        <w:t>.</w:t>
      </w:r>
      <w:bookmarkStart w:id="3" w:name="_Hlk164070403"/>
      <w:r w:rsidR="00355F9C">
        <w:t xml:space="preserve"> </w:t>
      </w:r>
      <w:r w:rsidR="00DD0800">
        <w:t xml:space="preserve">The NDA is aware from its </w:t>
      </w:r>
      <w:r w:rsidR="0044738E">
        <w:t>engagement with key stakeholders</w:t>
      </w:r>
      <w:r w:rsidR="00DD0800">
        <w:t xml:space="preserve"> that progress</w:t>
      </w:r>
      <w:r w:rsidR="00265F0F">
        <w:t xml:space="preserve"> </w:t>
      </w:r>
      <w:r w:rsidR="00D313CC">
        <w:t xml:space="preserve">in terms of wardship discharge applications </w:t>
      </w:r>
      <w:r w:rsidR="00265F0F">
        <w:t>has been slow</w:t>
      </w:r>
      <w:r w:rsidR="00DD0800">
        <w:t>er than anticipated</w:t>
      </w:r>
      <w:bookmarkEnd w:id="3"/>
      <w:r w:rsidR="00B87E3E">
        <w:t>, underscoring the need for significant</w:t>
      </w:r>
      <w:r w:rsidR="00C50C14">
        <w:t>ly increased</w:t>
      </w:r>
      <w:r w:rsidR="00B87E3E">
        <w:t xml:space="preserve"> engagement with the discharge process over the </w:t>
      </w:r>
      <w:r w:rsidR="00C4559F">
        <w:t>next</w:t>
      </w:r>
      <w:r w:rsidR="00B87E3E">
        <w:t xml:space="preserve"> two years</w:t>
      </w:r>
      <w:r w:rsidR="00BE794D">
        <w:t xml:space="preserve">. This </w:t>
      </w:r>
      <w:r w:rsidR="00B87E3E">
        <w:t xml:space="preserve">also </w:t>
      </w:r>
      <w:r w:rsidR="00BE794D">
        <w:t>underscores</w:t>
      </w:r>
      <w:r w:rsidR="00DD0800">
        <w:t xml:space="preserve"> the importance of </w:t>
      </w:r>
      <w:r w:rsidR="00C4559F">
        <w:t xml:space="preserve">promptly </w:t>
      </w:r>
      <w:r w:rsidR="00DD0800">
        <w:t>addressing</w:t>
      </w:r>
      <w:r w:rsidR="00265F0F">
        <w:t xml:space="preserve"> any possible barriers</w:t>
      </w:r>
      <w:r w:rsidR="0044738E">
        <w:t xml:space="preserve"> to engagement with the discharge process under Part 6 of the 2015 Act</w:t>
      </w:r>
      <w:r w:rsidR="00DD0800">
        <w:t xml:space="preserve">, including lack of clarity regarding </w:t>
      </w:r>
      <w:r w:rsidR="00901C0B">
        <w:t xml:space="preserve">liability for </w:t>
      </w:r>
      <w:r w:rsidR="00DD0800">
        <w:t>legal aid</w:t>
      </w:r>
      <w:r w:rsidR="00AE08F3">
        <w:t xml:space="preserve"> costs</w:t>
      </w:r>
      <w:r w:rsidR="00DD0800">
        <w:t>.</w:t>
      </w:r>
      <w:r w:rsidR="0044738E">
        <w:t xml:space="preserve"> </w:t>
      </w:r>
    </w:p>
    <w:p w14:paraId="451076C4" w14:textId="6E7CDF77" w:rsidR="005A2100" w:rsidRDefault="00AE08F3" w:rsidP="005A2100">
      <w:r>
        <w:t>The</w:t>
      </w:r>
      <w:r w:rsidR="0044738E">
        <w:t xml:space="preserve"> NDA </w:t>
      </w:r>
      <w:r w:rsidR="00D220FD">
        <w:t xml:space="preserve">therefore </w:t>
      </w:r>
      <w:r w:rsidR="0044738E">
        <w:t>advises that the Department of Justice enacts Regulations</w:t>
      </w:r>
      <w:r w:rsidR="00486206">
        <w:t xml:space="preserve"> on the rules governing legal aid costs for </w:t>
      </w:r>
      <w:r w:rsidR="00486206" w:rsidRPr="00486206">
        <w:t>discharge applications under Part 6 of the 2015 Act</w:t>
      </w:r>
      <w:r w:rsidR="00486206">
        <w:t xml:space="preserve"> as a matter of priority.</w:t>
      </w:r>
      <w:r w:rsidRPr="00AE08F3">
        <w:t xml:space="preserve"> </w:t>
      </w:r>
    </w:p>
    <w:p w14:paraId="10B1DB1F" w14:textId="626B9AAD" w:rsidR="005A2100" w:rsidRDefault="005A2100" w:rsidP="005A2100">
      <w:pPr>
        <w:pStyle w:val="Heading2"/>
      </w:pPr>
      <w:r>
        <w:t>Recommendation 2</w:t>
      </w:r>
      <w:bookmarkStart w:id="4" w:name="_Hlk164071634"/>
      <w:r>
        <w:t xml:space="preserve">: </w:t>
      </w:r>
      <w:r w:rsidR="00DD0800">
        <w:t xml:space="preserve">Exempt </w:t>
      </w:r>
      <w:bookmarkStart w:id="5" w:name="_Hlk164072567"/>
      <w:r w:rsidR="00DD0800">
        <w:t xml:space="preserve">all </w:t>
      </w:r>
      <w:r w:rsidR="009469CB">
        <w:t>adults under wardship</w:t>
      </w:r>
      <w:r w:rsidR="00DD0800">
        <w:t xml:space="preserve"> from legal aid costs relating to</w:t>
      </w:r>
      <w:r w:rsidR="00DD0800" w:rsidRPr="00DD0800">
        <w:t xml:space="preserve"> discharge applications under Part 6 of the 2015 Act</w:t>
      </w:r>
    </w:p>
    <w:bookmarkEnd w:id="4"/>
    <w:bookmarkEnd w:id="5"/>
    <w:p w14:paraId="2B575BBE" w14:textId="6F40C470" w:rsidR="00D313CC" w:rsidRDefault="00DD0800" w:rsidP="005A2100">
      <w:r>
        <w:t xml:space="preserve">The NDA </w:t>
      </w:r>
      <w:r w:rsidR="00486206">
        <w:t xml:space="preserve">is aware that some confusion exists as to whether and to what extent </w:t>
      </w:r>
      <w:r w:rsidR="009469CB">
        <w:t>adults under wardship</w:t>
      </w:r>
      <w:r w:rsidR="00486206" w:rsidRPr="00486206">
        <w:t xml:space="preserve"> are liable for civil legal aid costs relating to their discharge application</w:t>
      </w:r>
      <w:r w:rsidR="00486206">
        <w:t xml:space="preserve"> under Part 6 of the 2015 Act</w:t>
      </w:r>
      <w:r w:rsidR="00486206" w:rsidRPr="00486206">
        <w:t>.</w:t>
      </w:r>
      <w:r w:rsidR="00486206">
        <w:t xml:space="preserve"> </w:t>
      </w:r>
      <w:r w:rsidR="00355F9C">
        <w:t xml:space="preserve">The Regulations </w:t>
      </w:r>
      <w:r w:rsidR="00AE08F3">
        <w:t>should</w:t>
      </w:r>
      <w:r w:rsidR="00355F9C">
        <w:t xml:space="preserve"> therefore </w:t>
      </w:r>
      <w:r w:rsidR="00AE08F3">
        <w:t>provide</w:t>
      </w:r>
      <w:r w:rsidR="00355F9C">
        <w:t xml:space="preserve"> c</w:t>
      </w:r>
      <w:r w:rsidR="00D313CC">
        <w:t xml:space="preserve">larity on this point </w:t>
      </w:r>
      <w:r w:rsidR="00AE08F3">
        <w:t>as a way of</w:t>
      </w:r>
      <w:r w:rsidR="00355F9C">
        <w:t xml:space="preserve"> </w:t>
      </w:r>
      <w:r w:rsidR="00D313CC">
        <w:t xml:space="preserve">promoting engagement with the </w:t>
      </w:r>
      <w:r w:rsidR="001B18B3">
        <w:t>discharge process</w:t>
      </w:r>
      <w:r w:rsidR="00D313CC">
        <w:t>.</w:t>
      </w:r>
    </w:p>
    <w:p w14:paraId="5CA989B6" w14:textId="7DFDC120" w:rsidR="00486206" w:rsidRPr="001B18B3" w:rsidRDefault="00486206" w:rsidP="005A2100">
      <w:r>
        <w:t xml:space="preserve">The NDA also notes that </w:t>
      </w:r>
      <w:r w:rsidR="00D313CC" w:rsidRPr="00D313CC">
        <w:t xml:space="preserve">where the General Solicitor for Minors and Wards of Court acts as Committee, </w:t>
      </w:r>
      <w:r w:rsidR="009469CB">
        <w:t>adults under wardship</w:t>
      </w:r>
      <w:r w:rsidR="00D313CC" w:rsidRPr="00D313CC">
        <w:t xml:space="preserve"> </w:t>
      </w:r>
      <w:r w:rsidR="00D82DAB">
        <w:t>navigating the</w:t>
      </w:r>
      <w:r w:rsidR="00D82DAB" w:rsidRPr="00D82DAB">
        <w:t xml:space="preserve"> discharge </w:t>
      </w:r>
      <w:r w:rsidR="00D82DAB">
        <w:t>process</w:t>
      </w:r>
      <w:r w:rsidR="00D82DAB" w:rsidRPr="00D82DAB">
        <w:t xml:space="preserve"> </w:t>
      </w:r>
      <w:r w:rsidR="00D313CC" w:rsidRPr="00D313CC">
        <w:t>are not charged legal fees.</w:t>
      </w:r>
      <w:r w:rsidR="00D313CC">
        <w:t xml:space="preserve"> This may lead to inequalities in legal costs </w:t>
      </w:r>
      <w:r w:rsidR="001B18B3">
        <w:t>based on</w:t>
      </w:r>
      <w:r w:rsidR="00D313CC">
        <w:t xml:space="preserve"> who is acting as Committee.</w:t>
      </w:r>
      <w:r w:rsidR="001B18B3">
        <w:t xml:space="preserve"> </w:t>
      </w:r>
      <w:r w:rsidR="00D313CC">
        <w:t xml:space="preserve">In addition, </w:t>
      </w:r>
      <w:r>
        <w:t xml:space="preserve">the NDA understands that a waiver system currently exists, and </w:t>
      </w:r>
      <w:r w:rsidR="009469CB">
        <w:t>adults under wardship</w:t>
      </w:r>
      <w:r>
        <w:t xml:space="preserve"> </w:t>
      </w:r>
      <w:r w:rsidR="00D313CC">
        <w:t>can apply for a waiver of legal aid costs once the</w:t>
      </w:r>
      <w:r w:rsidR="00D313CC" w:rsidRPr="00D313CC">
        <w:t xml:space="preserve"> </w:t>
      </w:r>
      <w:r w:rsidR="00D313CC" w:rsidRPr="00D313CC">
        <w:rPr>
          <w:iCs/>
        </w:rPr>
        <w:t>discharge application</w:t>
      </w:r>
      <w:r w:rsidR="00D313CC">
        <w:rPr>
          <w:iCs/>
        </w:rPr>
        <w:t xml:space="preserve"> </w:t>
      </w:r>
      <w:r w:rsidR="00D313CC" w:rsidRPr="00D313CC">
        <w:rPr>
          <w:iCs/>
        </w:rPr>
        <w:t>under Part 6 of the 2015 Act</w:t>
      </w:r>
      <w:r w:rsidR="00D313CC">
        <w:rPr>
          <w:iCs/>
        </w:rPr>
        <w:t xml:space="preserve"> has been completed</w:t>
      </w:r>
      <w:r>
        <w:t>. However, the NDA advises that u</w:t>
      </w:r>
      <w:r w:rsidRPr="00486206">
        <w:t xml:space="preserve">ncertainty </w:t>
      </w:r>
      <w:r>
        <w:t xml:space="preserve">may </w:t>
      </w:r>
      <w:r w:rsidRPr="00486206">
        <w:t xml:space="preserve">persist, as </w:t>
      </w:r>
      <w:r w:rsidR="009469CB">
        <w:t>adults under wardship</w:t>
      </w:r>
      <w:r w:rsidR="00355F9C">
        <w:t xml:space="preserve"> who have been granted legal aid</w:t>
      </w:r>
      <w:r w:rsidRPr="00486206">
        <w:t xml:space="preserve"> will not know whether </w:t>
      </w:r>
      <w:r w:rsidR="00355F9C">
        <w:t>their</w:t>
      </w:r>
      <w:r w:rsidRPr="00486206">
        <w:t xml:space="preserve"> </w:t>
      </w:r>
      <w:r w:rsidR="001B18B3">
        <w:t>waiver</w:t>
      </w:r>
      <w:r w:rsidR="00145AFB">
        <w:t xml:space="preserve"> application</w:t>
      </w:r>
      <w:r w:rsidR="00355F9C">
        <w:t xml:space="preserve"> is approved</w:t>
      </w:r>
      <w:r w:rsidR="001B18B3">
        <w:t xml:space="preserve"> </w:t>
      </w:r>
      <w:r w:rsidRPr="00486206">
        <w:t>until after the discharge process has been completed.</w:t>
      </w:r>
    </w:p>
    <w:p w14:paraId="04BA3670" w14:textId="60A455DA" w:rsidR="005700C6" w:rsidRDefault="00486206" w:rsidP="005A2100">
      <w:r>
        <w:lastRenderedPageBreak/>
        <w:t xml:space="preserve">To provide utmost clarity, the NDA </w:t>
      </w:r>
      <w:r w:rsidR="00ED15A1">
        <w:t xml:space="preserve">recommends </w:t>
      </w:r>
      <w:r w:rsidR="00DD0800">
        <w:t xml:space="preserve">that the Regulations </w:t>
      </w:r>
      <w:r>
        <w:t>e</w:t>
      </w:r>
      <w:r w:rsidRPr="00486206">
        <w:t xml:space="preserve">xempt all </w:t>
      </w:r>
      <w:r w:rsidR="009469CB">
        <w:t>adults under wardship</w:t>
      </w:r>
      <w:r w:rsidRPr="00486206">
        <w:t xml:space="preserve"> from legal aid costs relating to discharge applications under Part 6 of the 2015 Act</w:t>
      </w:r>
      <w:r>
        <w:t>.</w:t>
      </w:r>
      <w:r w:rsidR="009D3521">
        <w:t xml:space="preserve"> In the Appendix</w:t>
      </w:r>
      <w:r w:rsidR="006C37F6">
        <w:t>,</w:t>
      </w:r>
      <w:r w:rsidR="009D3521">
        <w:t xml:space="preserve"> we outline the potential cost of this.</w:t>
      </w:r>
    </w:p>
    <w:p w14:paraId="05ECA42B" w14:textId="2C0D77B7" w:rsidR="005A2100" w:rsidRDefault="005A2100" w:rsidP="005A2100">
      <w:pPr>
        <w:pStyle w:val="Heading2"/>
      </w:pPr>
      <w:r>
        <w:t xml:space="preserve">Recommendation 3: </w:t>
      </w:r>
      <w:r w:rsidR="009B24E0">
        <w:t>Elaborate</w:t>
      </w:r>
      <w:r w:rsidR="00265F0F">
        <w:t xml:space="preserve"> </w:t>
      </w:r>
      <w:r w:rsidR="00116403">
        <w:t xml:space="preserve">additional grounds for waiver of legal aid </w:t>
      </w:r>
      <w:r w:rsidR="00B32608">
        <w:t>costs</w:t>
      </w:r>
      <w:r w:rsidR="00B32608" w:rsidRPr="00B32608">
        <w:t xml:space="preserve"> relating to discharge applications under Part 6 of the 2015 Act</w:t>
      </w:r>
    </w:p>
    <w:p w14:paraId="426A25DB" w14:textId="27CA4C00" w:rsidR="001B18B3" w:rsidRDefault="001B18B3" w:rsidP="005700C6">
      <w:r>
        <w:t xml:space="preserve">The NDA is aware that </w:t>
      </w:r>
      <w:r w:rsidRPr="001B18B3">
        <w:t xml:space="preserve">the Civil Legal Aid Act 1995 (as amended) affords the Legal Aid Board a discretion to waive its right to recover its costs – either fully or in part – where it is of the opinion that not to do so would </w:t>
      </w:r>
      <w:r w:rsidR="00116403">
        <w:t>‘</w:t>
      </w:r>
      <w:r w:rsidRPr="001B18B3">
        <w:t>create hardship</w:t>
      </w:r>
      <w:r w:rsidR="00116403">
        <w:t>’</w:t>
      </w:r>
      <w:r w:rsidRPr="001B18B3">
        <w:t xml:space="preserve"> for the person</w:t>
      </w:r>
      <w:r>
        <w:t>.</w:t>
      </w:r>
    </w:p>
    <w:p w14:paraId="44EFE4D1" w14:textId="46CBBC25" w:rsidR="00776CEF" w:rsidRDefault="001B18B3" w:rsidP="005700C6">
      <w:r>
        <w:t>If the Department of Justice chooses not to exempt</w:t>
      </w:r>
      <w:r w:rsidRPr="001B18B3">
        <w:t xml:space="preserve"> </w:t>
      </w:r>
      <w:r w:rsidRPr="001B18B3">
        <w:rPr>
          <w:iCs/>
        </w:rPr>
        <w:t xml:space="preserve">all </w:t>
      </w:r>
      <w:r w:rsidR="009469CB">
        <w:rPr>
          <w:iCs/>
        </w:rPr>
        <w:t>adults discharging from wardship</w:t>
      </w:r>
      <w:r w:rsidRPr="001B18B3">
        <w:rPr>
          <w:iCs/>
        </w:rPr>
        <w:t xml:space="preserve"> from legal aid costs relating to discharge applications under Part 6 of the 2015 Act, the NDA advises tha</w:t>
      </w:r>
      <w:r>
        <w:rPr>
          <w:iCs/>
        </w:rPr>
        <w:t>t the</w:t>
      </w:r>
      <w:r w:rsidR="00145AFB">
        <w:rPr>
          <w:iCs/>
        </w:rPr>
        <w:t xml:space="preserve"> mechanism for clawback of costs provided for in the</w:t>
      </w:r>
      <w:r>
        <w:rPr>
          <w:iCs/>
        </w:rPr>
        <w:t xml:space="preserve"> Regulations </w:t>
      </w:r>
      <w:r w:rsidR="00145AFB">
        <w:rPr>
          <w:iCs/>
        </w:rPr>
        <w:t>recognise and</w:t>
      </w:r>
      <w:r w:rsidR="00776CEF">
        <w:rPr>
          <w:iCs/>
        </w:rPr>
        <w:t xml:space="preserve"> </w:t>
      </w:r>
      <w:r>
        <w:rPr>
          <w:iCs/>
        </w:rPr>
        <w:t xml:space="preserve">elaborate a wide variety of potential grounds for </w:t>
      </w:r>
      <w:r w:rsidR="00116403">
        <w:rPr>
          <w:iCs/>
        </w:rPr>
        <w:t>waiver of legal aid costs</w:t>
      </w:r>
      <w:r w:rsidR="0040554C">
        <w:rPr>
          <w:iCs/>
        </w:rPr>
        <w:t xml:space="preserve"> based on ‘hardship’</w:t>
      </w:r>
      <w:r w:rsidR="00776CEF">
        <w:rPr>
          <w:iCs/>
        </w:rPr>
        <w:t xml:space="preserve"> relevant to the </w:t>
      </w:r>
      <w:r w:rsidR="0040554C">
        <w:rPr>
          <w:iCs/>
        </w:rPr>
        <w:t xml:space="preserve">unique and </w:t>
      </w:r>
      <w:r w:rsidR="00776CEF">
        <w:rPr>
          <w:iCs/>
        </w:rPr>
        <w:t xml:space="preserve">specific circumstances of </w:t>
      </w:r>
      <w:r w:rsidR="009469CB">
        <w:rPr>
          <w:iCs/>
        </w:rPr>
        <w:t>adults under wardship</w:t>
      </w:r>
      <w:r w:rsidR="00145AFB">
        <w:rPr>
          <w:iCs/>
        </w:rPr>
        <w:t xml:space="preserve">. For example, the mechanism for clawback of costs </w:t>
      </w:r>
      <w:r w:rsidR="0040554C">
        <w:rPr>
          <w:iCs/>
        </w:rPr>
        <w:t>c</w:t>
      </w:r>
      <w:r w:rsidR="00145AFB">
        <w:rPr>
          <w:iCs/>
        </w:rPr>
        <w:t xml:space="preserve">ould account for </w:t>
      </w:r>
      <w:r w:rsidR="00116403">
        <w:rPr>
          <w:iCs/>
        </w:rPr>
        <w:t>and authorise waivers for</w:t>
      </w:r>
      <w:r w:rsidR="005700C6">
        <w:t xml:space="preserve"> </w:t>
      </w:r>
      <w:r w:rsidR="009469CB">
        <w:t>adults discharging from wardship</w:t>
      </w:r>
      <w:r w:rsidR="005700C6">
        <w:t xml:space="preserve"> </w:t>
      </w:r>
      <w:r w:rsidR="00116403">
        <w:t xml:space="preserve">who </w:t>
      </w:r>
      <w:r w:rsidR="005700C6">
        <w:t xml:space="preserve">may have significant </w:t>
      </w:r>
      <w:proofErr w:type="gramStart"/>
      <w:r w:rsidR="005700C6">
        <w:t>funds</w:t>
      </w:r>
      <w:r w:rsidR="001F06A9">
        <w:t>,</w:t>
      </w:r>
      <w:r w:rsidR="00392FEB">
        <w:t xml:space="preserve"> but</w:t>
      </w:r>
      <w:proofErr w:type="gramEnd"/>
      <w:r w:rsidR="00392FEB">
        <w:t xml:space="preserve"> require these funds</w:t>
      </w:r>
      <w:r w:rsidR="005700C6">
        <w:t xml:space="preserve"> </w:t>
      </w:r>
      <w:r w:rsidR="0040554C">
        <w:t xml:space="preserve">to cater </w:t>
      </w:r>
      <w:r w:rsidR="009B24E0" w:rsidRPr="009B24E0">
        <w:t>for their</w:t>
      </w:r>
      <w:r w:rsidR="0040554C">
        <w:t xml:space="preserve"> current and future</w:t>
      </w:r>
      <w:r w:rsidR="009B24E0" w:rsidRPr="009B24E0">
        <w:t xml:space="preserve"> care</w:t>
      </w:r>
      <w:r w:rsidR="0040554C">
        <w:t xml:space="preserve">, education, medical </w:t>
      </w:r>
      <w:r w:rsidR="009B24E0" w:rsidRPr="009B24E0">
        <w:t xml:space="preserve">or accommodation </w:t>
      </w:r>
      <w:r w:rsidR="0040554C">
        <w:t xml:space="preserve">needs </w:t>
      </w:r>
      <w:r w:rsidR="005700C6">
        <w:t xml:space="preserve">due to a personal injury </w:t>
      </w:r>
      <w:r w:rsidR="0040554C">
        <w:t xml:space="preserve">or medical negligence </w:t>
      </w:r>
      <w:r w:rsidR="005700C6">
        <w:t xml:space="preserve">award or settlement. </w:t>
      </w:r>
      <w:r w:rsidR="00392FEB">
        <w:t xml:space="preserve">A reduction in these funds through the clawback arrangement could lead to future hardship. </w:t>
      </w:r>
    </w:p>
    <w:p w14:paraId="64306543" w14:textId="5E6491D4" w:rsidR="009D6CA8" w:rsidRDefault="009D6CA8" w:rsidP="009D6CA8">
      <w:pPr>
        <w:pStyle w:val="Heading2"/>
      </w:pPr>
      <w:r>
        <w:t>Recommendation 4: Consult with disabled people</w:t>
      </w:r>
      <w:r w:rsidR="009B24E0">
        <w:t xml:space="preserve"> and their representative organisations</w:t>
      </w:r>
      <w:r w:rsidR="00B32608">
        <w:t xml:space="preserve"> in the development of the draft </w:t>
      </w:r>
      <w:proofErr w:type="gramStart"/>
      <w:r w:rsidR="00B32608">
        <w:t>Regulations</w:t>
      </w:r>
      <w:proofErr w:type="gramEnd"/>
    </w:p>
    <w:p w14:paraId="5A181291" w14:textId="6E696D54" w:rsidR="001B18B3" w:rsidRDefault="00776CEF" w:rsidP="001B18B3">
      <w:r w:rsidRPr="00776CEF">
        <w:t xml:space="preserve">The NDA strongly encourages the </w:t>
      </w:r>
      <w:r>
        <w:t>Department of Justice</w:t>
      </w:r>
      <w:r w:rsidRPr="00776CEF">
        <w:t xml:space="preserve"> to effectively and meaningfully engage with Disabled Persons’ Organisations</w:t>
      </w:r>
      <w:r w:rsidR="001F06A9">
        <w:t>,</w:t>
      </w:r>
      <w:r w:rsidRPr="00776CEF">
        <w:t xml:space="preserve"> disabled people</w:t>
      </w:r>
      <w:r w:rsidR="001F06A9">
        <w:t xml:space="preserve">, and people under wardship and their </w:t>
      </w:r>
      <w:proofErr w:type="gramStart"/>
      <w:r w:rsidR="001F06A9">
        <w:t>Committees</w:t>
      </w:r>
      <w:proofErr w:type="gramEnd"/>
      <w:r w:rsidR="00576F68">
        <w:t xml:space="preserve"> </w:t>
      </w:r>
      <w:r>
        <w:t>in the development of the draft Regulations</w:t>
      </w:r>
      <w:r w:rsidRPr="00776CEF">
        <w:t>.</w:t>
      </w:r>
    </w:p>
    <w:p w14:paraId="641C50E0" w14:textId="59C0471B" w:rsidR="00D819CD" w:rsidRDefault="00D819CD" w:rsidP="00D819CD">
      <w:pPr>
        <w:pStyle w:val="Heading1"/>
      </w:pPr>
      <w:r>
        <w:t>Conclusion</w:t>
      </w:r>
    </w:p>
    <w:p w14:paraId="287B1BA9" w14:textId="32D6FEE5" w:rsidR="009D3521" w:rsidRDefault="00776CEF" w:rsidP="00B14618">
      <w:r w:rsidRPr="00776CEF">
        <w:t xml:space="preserve">The NDA welcomes the opportunity to input on the </w:t>
      </w:r>
      <w:r>
        <w:t xml:space="preserve">development of </w:t>
      </w:r>
      <w:r w:rsidRPr="00776CEF">
        <w:t xml:space="preserve">draft Regulations concerning legal aid costs in discharge applications under Part 6 of the Assisted Decision Making (Capacity) Act 2015 (as amended). We would be happy to engage with the </w:t>
      </w:r>
      <w:r>
        <w:t>Department of Justice</w:t>
      </w:r>
      <w:r w:rsidRPr="00776CEF">
        <w:t xml:space="preserve"> on any of the points raised in this submission.</w:t>
      </w:r>
    </w:p>
    <w:p w14:paraId="7CFD52E8" w14:textId="77777777" w:rsidR="009D3521" w:rsidRDefault="009D3521">
      <w:pPr>
        <w:spacing w:after="0"/>
      </w:pPr>
      <w:r>
        <w:br w:type="page"/>
      </w:r>
    </w:p>
    <w:p w14:paraId="7F95D9F1" w14:textId="794B8117" w:rsidR="005A2100" w:rsidRDefault="009D3521" w:rsidP="009D3521">
      <w:pPr>
        <w:pStyle w:val="Heading1"/>
      </w:pPr>
      <w:r>
        <w:lastRenderedPageBreak/>
        <w:t xml:space="preserve">Appendix – Estimated costs of </w:t>
      </w:r>
      <w:r w:rsidR="009A5E0B">
        <w:t>e</w:t>
      </w:r>
      <w:r w:rsidR="009A5E0B" w:rsidRPr="009A5E0B">
        <w:t>xempt</w:t>
      </w:r>
      <w:r w:rsidR="009A5E0B">
        <w:t>ing</w:t>
      </w:r>
      <w:r w:rsidR="009A5E0B" w:rsidRPr="009A5E0B">
        <w:t xml:space="preserve"> all adults </w:t>
      </w:r>
      <w:r w:rsidR="00EF2767">
        <w:t>discharging from</w:t>
      </w:r>
      <w:r w:rsidR="009A5E0B" w:rsidRPr="009A5E0B">
        <w:t xml:space="preserve"> wardship from </w:t>
      </w:r>
      <w:r>
        <w:t xml:space="preserve">legal </w:t>
      </w:r>
      <w:r w:rsidR="009A5E0B" w:rsidRPr="009A5E0B">
        <w:t xml:space="preserve">aid </w:t>
      </w:r>
      <w:proofErr w:type="gramStart"/>
      <w:r w:rsidR="009A5E0B" w:rsidRPr="009A5E0B">
        <w:t>costs</w:t>
      </w:r>
      <w:proofErr w:type="gramEnd"/>
      <w:r w:rsidR="009A5E0B" w:rsidRPr="009A5E0B">
        <w:t xml:space="preserve"> </w:t>
      </w:r>
    </w:p>
    <w:p w14:paraId="437487D5" w14:textId="6F4CC2E4" w:rsidR="009D3521" w:rsidRPr="00BF6EAC" w:rsidRDefault="009D3521" w:rsidP="009D3521">
      <w:pPr>
        <w:pStyle w:val="pf0"/>
        <w:rPr>
          <w:rFonts w:ascii="Gill Sans MT" w:hAnsi="Gill Sans MT" w:cs="Arial"/>
          <w:sz w:val="26"/>
          <w:szCs w:val="26"/>
        </w:rPr>
      </w:pPr>
      <w:r w:rsidRPr="00BF6EAC">
        <w:rPr>
          <w:rStyle w:val="cf01"/>
          <w:rFonts w:ascii="Gill Sans MT" w:hAnsi="Gill Sans MT"/>
          <w:sz w:val="26"/>
          <w:szCs w:val="26"/>
        </w:rPr>
        <w:t xml:space="preserve">There are approximately 2100 </w:t>
      </w:r>
      <w:r w:rsidR="009A5E0B">
        <w:rPr>
          <w:rStyle w:val="cf01"/>
          <w:rFonts w:ascii="Gill Sans MT" w:hAnsi="Gill Sans MT"/>
          <w:sz w:val="26"/>
          <w:szCs w:val="26"/>
        </w:rPr>
        <w:t>people under wardship</w:t>
      </w:r>
      <w:r w:rsidRPr="00BF6EAC">
        <w:rPr>
          <w:rStyle w:val="cf01"/>
          <w:rFonts w:ascii="Gill Sans MT" w:hAnsi="Gill Sans MT"/>
          <w:sz w:val="26"/>
          <w:szCs w:val="26"/>
        </w:rPr>
        <w:t xml:space="preserve">. </w:t>
      </w:r>
      <w:r w:rsidR="009A5E0B">
        <w:rPr>
          <w:rStyle w:val="cf01"/>
          <w:rFonts w:ascii="Gill Sans MT" w:hAnsi="Gill Sans MT"/>
          <w:sz w:val="26"/>
          <w:szCs w:val="26"/>
        </w:rPr>
        <w:t>The</w:t>
      </w:r>
      <w:r w:rsidRPr="00BF6EAC">
        <w:rPr>
          <w:rStyle w:val="cf01"/>
          <w:rFonts w:ascii="Gill Sans MT" w:hAnsi="Gill Sans MT"/>
          <w:sz w:val="26"/>
          <w:szCs w:val="26"/>
        </w:rPr>
        <w:t xml:space="preserve"> General Solicitor for Minors and </w:t>
      </w:r>
      <w:r w:rsidR="009A5E0B">
        <w:rPr>
          <w:rStyle w:val="cf01"/>
          <w:rFonts w:ascii="Gill Sans MT" w:hAnsi="Gill Sans MT"/>
          <w:sz w:val="26"/>
          <w:szCs w:val="26"/>
        </w:rPr>
        <w:t xml:space="preserve">Wards of Court </w:t>
      </w:r>
      <w:r w:rsidRPr="00BF6EAC">
        <w:rPr>
          <w:rStyle w:val="cf01"/>
          <w:rFonts w:ascii="Gill Sans MT" w:hAnsi="Gill Sans MT"/>
          <w:sz w:val="26"/>
          <w:szCs w:val="26"/>
        </w:rPr>
        <w:t>acts as Committee for approximately one third of these</w:t>
      </w:r>
      <w:r w:rsidR="009A5E0B">
        <w:rPr>
          <w:rStyle w:val="cf01"/>
          <w:rFonts w:ascii="Gill Sans MT" w:hAnsi="Gill Sans MT"/>
          <w:sz w:val="26"/>
          <w:szCs w:val="26"/>
        </w:rPr>
        <w:t xml:space="preserve"> individuals</w:t>
      </w:r>
      <w:r w:rsidRPr="00BF6EAC">
        <w:rPr>
          <w:rStyle w:val="cf01"/>
          <w:rFonts w:ascii="Gill Sans MT" w:hAnsi="Gill Sans MT"/>
          <w:sz w:val="26"/>
          <w:szCs w:val="26"/>
        </w:rPr>
        <w:t xml:space="preserve"> (approx</w:t>
      </w:r>
      <w:r w:rsidR="009A5E0B">
        <w:rPr>
          <w:rStyle w:val="cf01"/>
          <w:rFonts w:ascii="Gill Sans MT" w:hAnsi="Gill Sans MT"/>
          <w:sz w:val="26"/>
          <w:szCs w:val="26"/>
        </w:rPr>
        <w:t>imately</w:t>
      </w:r>
      <w:r w:rsidRPr="00BF6EAC">
        <w:rPr>
          <w:rStyle w:val="cf01"/>
          <w:rFonts w:ascii="Gill Sans MT" w:hAnsi="Gill Sans MT"/>
          <w:sz w:val="26"/>
          <w:szCs w:val="26"/>
        </w:rPr>
        <w:t xml:space="preserve"> 700</w:t>
      </w:r>
      <w:r w:rsidR="009A5E0B">
        <w:rPr>
          <w:rStyle w:val="cf01"/>
          <w:rFonts w:ascii="Gill Sans MT" w:hAnsi="Gill Sans MT"/>
          <w:sz w:val="26"/>
          <w:szCs w:val="26"/>
        </w:rPr>
        <w:t xml:space="preserve"> people</w:t>
      </w:r>
      <w:r w:rsidRPr="00BF6EAC">
        <w:rPr>
          <w:rStyle w:val="cf01"/>
          <w:rFonts w:ascii="Gill Sans MT" w:hAnsi="Gill Sans MT"/>
          <w:sz w:val="26"/>
          <w:szCs w:val="26"/>
        </w:rPr>
        <w:t xml:space="preserve">). </w:t>
      </w:r>
      <w:r w:rsidRPr="00BF6EAC">
        <w:rPr>
          <w:rStyle w:val="cf11"/>
          <w:rFonts w:ascii="Gill Sans MT" w:hAnsi="Gill Sans MT"/>
          <w:sz w:val="26"/>
          <w:szCs w:val="26"/>
        </w:rPr>
        <w:t xml:space="preserve">Where the General Solicitor acts as Committee, </w:t>
      </w:r>
      <w:r w:rsidR="009A5E0B">
        <w:rPr>
          <w:rStyle w:val="cf11"/>
          <w:rFonts w:ascii="Gill Sans MT" w:hAnsi="Gill Sans MT"/>
          <w:sz w:val="26"/>
          <w:szCs w:val="26"/>
        </w:rPr>
        <w:t xml:space="preserve">persons </w:t>
      </w:r>
      <w:r w:rsidR="00C01910">
        <w:rPr>
          <w:rStyle w:val="cf11"/>
          <w:rFonts w:ascii="Gill Sans MT" w:hAnsi="Gill Sans MT"/>
          <w:sz w:val="26"/>
          <w:szCs w:val="26"/>
        </w:rPr>
        <w:t>discharging from</w:t>
      </w:r>
      <w:r w:rsidR="009A5E0B">
        <w:rPr>
          <w:rStyle w:val="cf11"/>
          <w:rFonts w:ascii="Gill Sans MT" w:hAnsi="Gill Sans MT"/>
          <w:sz w:val="26"/>
          <w:szCs w:val="26"/>
        </w:rPr>
        <w:t xml:space="preserve"> wardship </w:t>
      </w:r>
      <w:r w:rsidRPr="00BF6EAC">
        <w:rPr>
          <w:rStyle w:val="cf11"/>
          <w:rFonts w:ascii="Gill Sans MT" w:hAnsi="Gill Sans MT"/>
          <w:sz w:val="26"/>
          <w:szCs w:val="26"/>
        </w:rPr>
        <w:t xml:space="preserve">are not </w:t>
      </w:r>
      <w:r w:rsidR="009A5E0B">
        <w:rPr>
          <w:rStyle w:val="cf11"/>
          <w:rFonts w:ascii="Gill Sans MT" w:hAnsi="Gill Sans MT"/>
          <w:sz w:val="26"/>
          <w:szCs w:val="26"/>
        </w:rPr>
        <w:t xml:space="preserve">being </w:t>
      </w:r>
      <w:r w:rsidRPr="00BF6EAC">
        <w:rPr>
          <w:rStyle w:val="cf11"/>
          <w:rFonts w:ascii="Gill Sans MT" w:hAnsi="Gill Sans MT"/>
          <w:sz w:val="26"/>
          <w:szCs w:val="26"/>
        </w:rPr>
        <w:t xml:space="preserve">charged legal fees. </w:t>
      </w:r>
    </w:p>
    <w:p w14:paraId="6B91F51C" w14:textId="3CBD438A" w:rsidR="00C77D58" w:rsidRDefault="009D3521" w:rsidP="009D3521">
      <w:pPr>
        <w:pStyle w:val="pf0"/>
        <w:rPr>
          <w:rStyle w:val="cf01"/>
          <w:rFonts w:ascii="Gill Sans MT" w:hAnsi="Gill Sans MT"/>
          <w:sz w:val="26"/>
          <w:szCs w:val="26"/>
        </w:rPr>
      </w:pPr>
      <w:r w:rsidRPr="00BF6EAC">
        <w:rPr>
          <w:rStyle w:val="cf01"/>
          <w:rFonts w:ascii="Gill Sans MT" w:hAnsi="Gill Sans MT"/>
          <w:sz w:val="26"/>
          <w:szCs w:val="26"/>
        </w:rPr>
        <w:t xml:space="preserve">For the remaining </w:t>
      </w:r>
      <w:r w:rsidR="009A5E0B">
        <w:rPr>
          <w:rStyle w:val="cf01"/>
          <w:rFonts w:ascii="Gill Sans MT" w:hAnsi="Gill Sans MT"/>
          <w:sz w:val="26"/>
          <w:szCs w:val="26"/>
        </w:rPr>
        <w:t>(approximately)</w:t>
      </w:r>
      <w:r w:rsidRPr="00BF6EAC">
        <w:rPr>
          <w:rStyle w:val="cf01"/>
          <w:rFonts w:ascii="Gill Sans MT" w:hAnsi="Gill Sans MT"/>
          <w:sz w:val="26"/>
          <w:szCs w:val="26"/>
        </w:rPr>
        <w:t>1</w:t>
      </w:r>
      <w:r w:rsidR="00965A5D">
        <w:rPr>
          <w:rStyle w:val="cf01"/>
          <w:rFonts w:ascii="Gill Sans MT" w:hAnsi="Gill Sans MT"/>
          <w:sz w:val="26"/>
          <w:szCs w:val="26"/>
        </w:rPr>
        <w:t>,</w:t>
      </w:r>
      <w:r w:rsidRPr="00BF6EAC">
        <w:rPr>
          <w:rStyle w:val="cf01"/>
          <w:rFonts w:ascii="Gill Sans MT" w:hAnsi="Gill Sans MT"/>
          <w:sz w:val="26"/>
          <w:szCs w:val="26"/>
        </w:rPr>
        <w:t>400</w:t>
      </w:r>
      <w:r w:rsidR="009A5E0B">
        <w:rPr>
          <w:rStyle w:val="cf01"/>
          <w:rFonts w:ascii="Gill Sans MT" w:hAnsi="Gill Sans MT"/>
          <w:sz w:val="26"/>
          <w:szCs w:val="26"/>
        </w:rPr>
        <w:t xml:space="preserve"> people under wardship, t</w:t>
      </w:r>
      <w:r w:rsidRPr="00BF6EAC">
        <w:rPr>
          <w:rStyle w:val="cf01"/>
          <w:rFonts w:ascii="Gill Sans MT" w:hAnsi="Gill Sans MT"/>
          <w:sz w:val="26"/>
          <w:szCs w:val="26"/>
        </w:rPr>
        <w:t xml:space="preserve">he Legal Aid Board </w:t>
      </w:r>
      <w:bookmarkStart w:id="6" w:name="_Hlk165994460"/>
      <w:r w:rsidR="00C565F5">
        <w:rPr>
          <w:rStyle w:val="cf01"/>
          <w:rFonts w:ascii="Gill Sans MT" w:hAnsi="Gill Sans MT"/>
          <w:sz w:val="26"/>
          <w:szCs w:val="26"/>
        </w:rPr>
        <w:t>has capped the</w:t>
      </w:r>
      <w:r w:rsidRPr="00BF6EAC">
        <w:rPr>
          <w:rStyle w:val="cf01"/>
          <w:rFonts w:ascii="Gill Sans MT" w:hAnsi="Gill Sans MT"/>
          <w:sz w:val="26"/>
          <w:szCs w:val="26"/>
        </w:rPr>
        <w:t xml:space="preserve"> legal </w:t>
      </w:r>
      <w:r w:rsidR="00C01910">
        <w:rPr>
          <w:rStyle w:val="cf01"/>
          <w:rFonts w:ascii="Gill Sans MT" w:hAnsi="Gill Sans MT"/>
          <w:sz w:val="26"/>
          <w:szCs w:val="26"/>
        </w:rPr>
        <w:t xml:space="preserve">aid </w:t>
      </w:r>
      <w:r w:rsidRPr="00BF6EAC">
        <w:rPr>
          <w:rStyle w:val="cf01"/>
          <w:rFonts w:ascii="Gill Sans MT" w:hAnsi="Gill Sans MT"/>
          <w:sz w:val="26"/>
          <w:szCs w:val="26"/>
        </w:rPr>
        <w:t>costs</w:t>
      </w:r>
      <w:r w:rsidR="00C01910">
        <w:rPr>
          <w:rStyle w:val="cf01"/>
          <w:rFonts w:ascii="Gill Sans MT" w:hAnsi="Gill Sans MT"/>
          <w:sz w:val="26"/>
          <w:szCs w:val="26"/>
        </w:rPr>
        <w:t xml:space="preserve"> for discharge applications</w:t>
      </w:r>
      <w:r w:rsidRPr="00BF6EAC">
        <w:rPr>
          <w:rStyle w:val="cf01"/>
          <w:rFonts w:ascii="Gill Sans MT" w:hAnsi="Gill Sans MT"/>
          <w:sz w:val="26"/>
          <w:szCs w:val="26"/>
        </w:rPr>
        <w:t xml:space="preserve"> </w:t>
      </w:r>
      <w:r w:rsidR="00C565F5">
        <w:rPr>
          <w:rStyle w:val="cf01"/>
          <w:rFonts w:ascii="Gill Sans MT" w:hAnsi="Gill Sans MT"/>
          <w:sz w:val="26"/>
          <w:szCs w:val="26"/>
        </w:rPr>
        <w:t xml:space="preserve">at </w:t>
      </w:r>
      <w:r w:rsidRPr="00BF6EAC">
        <w:rPr>
          <w:rStyle w:val="cf01"/>
          <w:rFonts w:ascii="Gill Sans MT" w:hAnsi="Gill Sans MT"/>
          <w:sz w:val="26"/>
          <w:szCs w:val="26"/>
        </w:rPr>
        <w:t>€3,950</w:t>
      </w:r>
      <w:r w:rsidR="00C565F5">
        <w:rPr>
          <w:rStyle w:val="cf01"/>
          <w:rFonts w:ascii="Gill Sans MT" w:hAnsi="Gill Sans MT"/>
          <w:sz w:val="26"/>
          <w:szCs w:val="26"/>
        </w:rPr>
        <w:t xml:space="preserve"> (ex</w:t>
      </w:r>
      <w:r w:rsidR="00C01910">
        <w:rPr>
          <w:rStyle w:val="cf01"/>
          <w:rFonts w:ascii="Gill Sans MT" w:hAnsi="Gill Sans MT"/>
          <w:sz w:val="26"/>
          <w:szCs w:val="26"/>
        </w:rPr>
        <w:t>c</w:t>
      </w:r>
      <w:r w:rsidR="00EF2767">
        <w:rPr>
          <w:rStyle w:val="cf01"/>
          <w:rFonts w:ascii="Gill Sans MT" w:hAnsi="Gill Sans MT"/>
          <w:sz w:val="26"/>
          <w:szCs w:val="26"/>
        </w:rPr>
        <w:t>luding</w:t>
      </w:r>
      <w:r w:rsidR="00C565F5">
        <w:rPr>
          <w:rStyle w:val="cf01"/>
          <w:rFonts w:ascii="Gill Sans MT" w:hAnsi="Gill Sans MT"/>
          <w:sz w:val="26"/>
          <w:szCs w:val="26"/>
        </w:rPr>
        <w:t xml:space="preserve"> VAT) for</w:t>
      </w:r>
      <w:r w:rsidRPr="00BF6EAC">
        <w:rPr>
          <w:rStyle w:val="cf01"/>
          <w:rFonts w:ascii="Gill Sans MT" w:hAnsi="Gill Sans MT"/>
          <w:sz w:val="26"/>
          <w:szCs w:val="26"/>
        </w:rPr>
        <w:t xml:space="preserve"> </w:t>
      </w:r>
      <w:r w:rsidR="00C565F5" w:rsidRPr="00BF6EAC">
        <w:rPr>
          <w:rStyle w:val="cf01"/>
          <w:rFonts w:ascii="Gill Sans MT" w:hAnsi="Gill Sans MT"/>
          <w:sz w:val="26"/>
          <w:szCs w:val="26"/>
        </w:rPr>
        <w:t>uncontested cases (</w:t>
      </w:r>
      <w:r w:rsidR="00C01910">
        <w:rPr>
          <w:rStyle w:val="cf01"/>
          <w:rFonts w:ascii="Gill Sans MT" w:hAnsi="Gill Sans MT"/>
          <w:sz w:val="26"/>
          <w:szCs w:val="26"/>
        </w:rPr>
        <w:t xml:space="preserve">which will likely constitute </w:t>
      </w:r>
      <w:r w:rsidR="0059404D" w:rsidRPr="00BF6EAC">
        <w:rPr>
          <w:rStyle w:val="cf01"/>
          <w:rFonts w:ascii="Gill Sans MT" w:hAnsi="Gill Sans MT"/>
          <w:sz w:val="26"/>
          <w:szCs w:val="26"/>
        </w:rPr>
        <w:t>most</w:t>
      </w:r>
      <w:r w:rsidR="00C01910">
        <w:rPr>
          <w:rStyle w:val="cf01"/>
          <w:rFonts w:ascii="Gill Sans MT" w:hAnsi="Gill Sans MT"/>
          <w:sz w:val="26"/>
          <w:szCs w:val="26"/>
        </w:rPr>
        <w:t xml:space="preserve"> cases</w:t>
      </w:r>
      <w:r w:rsidR="00C565F5" w:rsidRPr="00BF6EAC">
        <w:rPr>
          <w:rStyle w:val="cf01"/>
          <w:rFonts w:ascii="Gill Sans MT" w:hAnsi="Gill Sans MT"/>
          <w:sz w:val="26"/>
          <w:szCs w:val="26"/>
        </w:rPr>
        <w:t xml:space="preserve">) </w:t>
      </w:r>
      <w:r w:rsidR="00C565F5">
        <w:rPr>
          <w:rStyle w:val="cf01"/>
          <w:rFonts w:ascii="Gill Sans MT" w:hAnsi="Gill Sans MT"/>
          <w:sz w:val="26"/>
          <w:szCs w:val="26"/>
        </w:rPr>
        <w:t>and</w:t>
      </w:r>
      <w:r w:rsidRPr="00BF6EAC">
        <w:rPr>
          <w:rStyle w:val="cf01"/>
          <w:rFonts w:ascii="Gill Sans MT" w:hAnsi="Gill Sans MT"/>
          <w:sz w:val="26"/>
          <w:szCs w:val="26"/>
        </w:rPr>
        <w:t xml:space="preserve"> €5,835 </w:t>
      </w:r>
      <w:bookmarkEnd w:id="6"/>
      <w:r w:rsidRPr="00BF6EAC">
        <w:rPr>
          <w:rStyle w:val="cf01"/>
          <w:rFonts w:ascii="Gill Sans MT" w:hAnsi="Gill Sans MT"/>
          <w:sz w:val="26"/>
          <w:szCs w:val="26"/>
        </w:rPr>
        <w:t>(</w:t>
      </w:r>
      <w:r w:rsidR="00C565F5">
        <w:rPr>
          <w:rStyle w:val="cf01"/>
          <w:rFonts w:ascii="Gill Sans MT" w:hAnsi="Gill Sans MT"/>
          <w:sz w:val="26"/>
          <w:szCs w:val="26"/>
        </w:rPr>
        <w:t>ex</w:t>
      </w:r>
      <w:r w:rsidR="00C01910">
        <w:rPr>
          <w:rStyle w:val="cf01"/>
          <w:rFonts w:ascii="Gill Sans MT" w:hAnsi="Gill Sans MT"/>
          <w:sz w:val="26"/>
          <w:szCs w:val="26"/>
        </w:rPr>
        <w:t>c</w:t>
      </w:r>
      <w:r w:rsidR="00EF2767">
        <w:rPr>
          <w:rStyle w:val="cf01"/>
          <w:rFonts w:ascii="Gill Sans MT" w:hAnsi="Gill Sans MT"/>
          <w:sz w:val="26"/>
          <w:szCs w:val="26"/>
        </w:rPr>
        <w:t>luding</w:t>
      </w:r>
      <w:r w:rsidRPr="00BF6EAC">
        <w:rPr>
          <w:rStyle w:val="cf01"/>
          <w:rFonts w:ascii="Gill Sans MT" w:hAnsi="Gill Sans MT"/>
          <w:sz w:val="26"/>
          <w:szCs w:val="26"/>
        </w:rPr>
        <w:t xml:space="preserve"> VAT)</w:t>
      </w:r>
      <w:r w:rsidR="00C565F5">
        <w:rPr>
          <w:rStyle w:val="cf01"/>
          <w:rFonts w:ascii="Gill Sans MT" w:hAnsi="Gill Sans MT"/>
          <w:sz w:val="26"/>
          <w:szCs w:val="26"/>
        </w:rPr>
        <w:t xml:space="preserve"> </w:t>
      </w:r>
      <w:r w:rsidRPr="00BF6EAC">
        <w:rPr>
          <w:rStyle w:val="cf01"/>
          <w:rFonts w:ascii="Gill Sans MT" w:hAnsi="Gill Sans MT"/>
          <w:sz w:val="26"/>
          <w:szCs w:val="26"/>
        </w:rPr>
        <w:t>for contested cases. Any</w:t>
      </w:r>
      <w:r w:rsidR="009A5E0B">
        <w:rPr>
          <w:rStyle w:val="cf01"/>
          <w:rFonts w:ascii="Gill Sans MT" w:hAnsi="Gill Sans MT"/>
          <w:sz w:val="26"/>
          <w:szCs w:val="26"/>
        </w:rPr>
        <w:t xml:space="preserve"> person </w:t>
      </w:r>
      <w:r w:rsidR="00C01910">
        <w:rPr>
          <w:rStyle w:val="cf01"/>
          <w:rFonts w:ascii="Gill Sans MT" w:hAnsi="Gill Sans MT"/>
          <w:sz w:val="26"/>
          <w:szCs w:val="26"/>
        </w:rPr>
        <w:t>discharging from</w:t>
      </w:r>
      <w:r w:rsidR="009A5E0B">
        <w:rPr>
          <w:rStyle w:val="cf01"/>
          <w:rFonts w:ascii="Gill Sans MT" w:hAnsi="Gill Sans MT"/>
          <w:sz w:val="26"/>
          <w:szCs w:val="26"/>
        </w:rPr>
        <w:t xml:space="preserve"> wardship</w:t>
      </w:r>
      <w:r w:rsidRPr="00BF6EAC">
        <w:rPr>
          <w:rStyle w:val="cf01"/>
          <w:rFonts w:ascii="Gill Sans MT" w:hAnsi="Gill Sans MT"/>
          <w:sz w:val="26"/>
          <w:szCs w:val="26"/>
        </w:rPr>
        <w:t xml:space="preserve"> who satisfies the means test does not have to pay</w:t>
      </w:r>
      <w:r w:rsidR="009A5E0B">
        <w:rPr>
          <w:rStyle w:val="cf01"/>
          <w:rFonts w:ascii="Gill Sans MT" w:hAnsi="Gill Sans MT"/>
          <w:sz w:val="26"/>
          <w:szCs w:val="26"/>
        </w:rPr>
        <w:t xml:space="preserve"> legal aid costs</w:t>
      </w:r>
      <w:r w:rsidR="00965A5D">
        <w:rPr>
          <w:rStyle w:val="cf01"/>
          <w:rFonts w:ascii="Gill Sans MT" w:hAnsi="Gill Sans MT"/>
          <w:sz w:val="26"/>
          <w:szCs w:val="26"/>
        </w:rPr>
        <w:t>.</w:t>
      </w:r>
      <w:r w:rsidR="006C37F6">
        <w:rPr>
          <w:rStyle w:val="FootnoteReference"/>
          <w:rFonts w:cs="Segoe UI"/>
          <w:szCs w:val="26"/>
        </w:rPr>
        <w:footnoteReference w:id="1"/>
      </w:r>
      <w:r w:rsidR="00965A5D">
        <w:rPr>
          <w:rStyle w:val="cf01"/>
          <w:rFonts w:ascii="Gill Sans MT" w:hAnsi="Gill Sans MT"/>
          <w:sz w:val="26"/>
          <w:szCs w:val="26"/>
        </w:rPr>
        <w:t xml:space="preserve"> </w:t>
      </w:r>
      <w:r w:rsidR="00C01910">
        <w:rPr>
          <w:rStyle w:val="cf01"/>
          <w:rFonts w:ascii="Gill Sans MT" w:hAnsi="Gill Sans MT"/>
          <w:sz w:val="26"/>
          <w:szCs w:val="26"/>
        </w:rPr>
        <w:t>To</w:t>
      </w:r>
      <w:r w:rsidR="00965A5D">
        <w:rPr>
          <w:rStyle w:val="cf01"/>
          <w:rFonts w:ascii="Gill Sans MT" w:hAnsi="Gill Sans MT"/>
          <w:sz w:val="26"/>
          <w:szCs w:val="26"/>
        </w:rPr>
        <w:t xml:space="preserve"> estimate costs</w:t>
      </w:r>
      <w:r w:rsidR="00C01910">
        <w:rPr>
          <w:rStyle w:val="cf01"/>
          <w:rFonts w:ascii="Gill Sans MT" w:hAnsi="Gill Sans MT"/>
          <w:sz w:val="26"/>
          <w:szCs w:val="26"/>
        </w:rPr>
        <w:t>,</w:t>
      </w:r>
      <w:r w:rsidR="00965A5D">
        <w:rPr>
          <w:rStyle w:val="cf01"/>
          <w:rFonts w:ascii="Gill Sans MT" w:hAnsi="Gill Sans MT"/>
          <w:sz w:val="26"/>
          <w:szCs w:val="26"/>
        </w:rPr>
        <w:t xml:space="preserve"> </w:t>
      </w:r>
      <w:r w:rsidR="005142E8">
        <w:rPr>
          <w:rStyle w:val="cf01"/>
          <w:rFonts w:ascii="Gill Sans MT" w:hAnsi="Gill Sans MT"/>
          <w:sz w:val="26"/>
          <w:szCs w:val="26"/>
        </w:rPr>
        <w:t>three</w:t>
      </w:r>
      <w:r w:rsidR="00965A5D">
        <w:rPr>
          <w:rStyle w:val="cf01"/>
          <w:rFonts w:ascii="Gill Sans MT" w:hAnsi="Gill Sans MT"/>
          <w:sz w:val="26"/>
          <w:szCs w:val="26"/>
        </w:rPr>
        <w:t xml:space="preserve"> </w:t>
      </w:r>
      <w:r w:rsidR="00C01910">
        <w:rPr>
          <w:rStyle w:val="cf01"/>
          <w:rFonts w:ascii="Gill Sans MT" w:hAnsi="Gill Sans MT"/>
          <w:sz w:val="26"/>
          <w:szCs w:val="26"/>
        </w:rPr>
        <w:t>possible</w:t>
      </w:r>
      <w:r w:rsidR="00965A5D">
        <w:rPr>
          <w:rStyle w:val="cf01"/>
          <w:rFonts w:ascii="Gill Sans MT" w:hAnsi="Gill Sans MT"/>
          <w:sz w:val="26"/>
          <w:szCs w:val="26"/>
        </w:rPr>
        <w:t xml:space="preserve"> scenario</w:t>
      </w:r>
      <w:r w:rsidR="00EF2767">
        <w:rPr>
          <w:rStyle w:val="cf01"/>
          <w:rFonts w:ascii="Gill Sans MT" w:hAnsi="Gill Sans MT"/>
          <w:sz w:val="26"/>
          <w:szCs w:val="26"/>
        </w:rPr>
        <w:t>s</w:t>
      </w:r>
      <w:r w:rsidR="00965A5D">
        <w:rPr>
          <w:rStyle w:val="cf01"/>
          <w:rFonts w:ascii="Gill Sans MT" w:hAnsi="Gill Sans MT"/>
          <w:sz w:val="26"/>
          <w:szCs w:val="26"/>
        </w:rPr>
        <w:t xml:space="preserve"> are outlined in Table 1 below</w:t>
      </w:r>
      <w:r w:rsidR="006C37F6">
        <w:rPr>
          <w:rStyle w:val="cf01"/>
          <w:rFonts w:ascii="Gill Sans MT" w:hAnsi="Gill Sans MT"/>
          <w:sz w:val="26"/>
          <w:szCs w:val="26"/>
        </w:rPr>
        <w:t>.</w:t>
      </w:r>
    </w:p>
    <w:p w14:paraId="25AD4AD9" w14:textId="77777777" w:rsidR="00C77D58" w:rsidRDefault="00C77D58" w:rsidP="00C77D58">
      <w:pPr>
        <w:pStyle w:val="pf0"/>
        <w:numPr>
          <w:ilvl w:val="0"/>
          <w:numId w:val="18"/>
        </w:numPr>
        <w:rPr>
          <w:rStyle w:val="cf01"/>
          <w:rFonts w:ascii="Gill Sans MT" w:hAnsi="Gill Sans MT"/>
          <w:sz w:val="26"/>
          <w:szCs w:val="26"/>
        </w:rPr>
      </w:pPr>
      <w:r>
        <w:rPr>
          <w:rStyle w:val="cf01"/>
          <w:rFonts w:ascii="Gill Sans MT" w:hAnsi="Gill Sans MT"/>
          <w:sz w:val="26"/>
          <w:szCs w:val="26"/>
        </w:rPr>
        <w:t xml:space="preserve">Scenario A would cost just over €6 million, excluding VAT. However, the NDA considers this scenario highly unlikely as it </w:t>
      </w:r>
      <w:r w:rsidRPr="006C37F6">
        <w:rPr>
          <w:rFonts w:ascii="Gill Sans MT" w:hAnsi="Gill Sans MT" w:cs="Segoe UI"/>
          <w:sz w:val="26"/>
          <w:szCs w:val="26"/>
        </w:rPr>
        <w:t>is based on a high proportion of contested discharges and assumes that no applicants meet the means test</w:t>
      </w:r>
      <w:r>
        <w:rPr>
          <w:rStyle w:val="cf01"/>
          <w:rFonts w:ascii="Gill Sans MT" w:hAnsi="Gill Sans MT"/>
          <w:sz w:val="26"/>
          <w:szCs w:val="26"/>
        </w:rPr>
        <w:t xml:space="preserve">. </w:t>
      </w:r>
    </w:p>
    <w:p w14:paraId="041D3ECD" w14:textId="77777777" w:rsidR="00C77D58" w:rsidRDefault="00C77D58" w:rsidP="00C77D58">
      <w:pPr>
        <w:pStyle w:val="pf0"/>
        <w:numPr>
          <w:ilvl w:val="0"/>
          <w:numId w:val="18"/>
        </w:numPr>
        <w:rPr>
          <w:rStyle w:val="cf01"/>
          <w:rFonts w:ascii="Gill Sans MT" w:hAnsi="Gill Sans MT"/>
          <w:sz w:val="26"/>
          <w:szCs w:val="26"/>
        </w:rPr>
      </w:pPr>
      <w:r>
        <w:rPr>
          <w:rStyle w:val="cf01"/>
          <w:rFonts w:ascii="Gill Sans MT" w:hAnsi="Gill Sans MT"/>
          <w:sz w:val="26"/>
          <w:szCs w:val="26"/>
        </w:rPr>
        <w:t>Scenario B assumes that 25% of applicants meet the means test, and that contested applications account for 10% of all applications (or approximately 13% of those that do not meet the means test). Scenario B is a more likely and possible scenario and would cost €4.4 million, excluding VAT. However,</w:t>
      </w:r>
      <w:r w:rsidRPr="00EF2767">
        <w:rPr>
          <w:rFonts w:ascii="Gill Sans MT" w:hAnsi="Gill Sans MT" w:cs="Segoe UI"/>
          <w:sz w:val="26"/>
          <w:szCs w:val="26"/>
          <w:lang w:eastAsia="en-US"/>
        </w:rPr>
        <w:t xml:space="preserve"> </w:t>
      </w:r>
      <w:r>
        <w:rPr>
          <w:rFonts w:ascii="Gill Sans MT" w:hAnsi="Gill Sans MT" w:cs="Segoe UI"/>
          <w:sz w:val="26"/>
          <w:szCs w:val="26"/>
        </w:rPr>
        <w:t>the</w:t>
      </w:r>
      <w:r w:rsidRPr="00EF2767">
        <w:rPr>
          <w:rFonts w:ascii="Gill Sans MT" w:hAnsi="Gill Sans MT" w:cs="Segoe UI"/>
          <w:sz w:val="26"/>
          <w:szCs w:val="26"/>
        </w:rPr>
        <w:t xml:space="preserve"> estimate of 25% of people satisfying the means test</w:t>
      </w:r>
      <w:r>
        <w:rPr>
          <w:rFonts w:ascii="Gill Sans MT" w:hAnsi="Gill Sans MT" w:cs="Segoe UI"/>
          <w:sz w:val="26"/>
          <w:szCs w:val="26"/>
        </w:rPr>
        <w:t xml:space="preserve"> included in this scenario may be overly conservative</w:t>
      </w:r>
      <w:r>
        <w:rPr>
          <w:rStyle w:val="cf01"/>
          <w:rFonts w:ascii="Gill Sans MT" w:hAnsi="Gill Sans MT"/>
          <w:sz w:val="26"/>
          <w:szCs w:val="26"/>
        </w:rPr>
        <w:t xml:space="preserve">. </w:t>
      </w:r>
    </w:p>
    <w:p w14:paraId="70FEFB63" w14:textId="77777777" w:rsidR="00C77D58" w:rsidRDefault="00C77D58" w:rsidP="00C77D58">
      <w:pPr>
        <w:pStyle w:val="pf0"/>
        <w:numPr>
          <w:ilvl w:val="0"/>
          <w:numId w:val="18"/>
        </w:numPr>
        <w:rPr>
          <w:rStyle w:val="cf01"/>
          <w:rFonts w:ascii="Gill Sans MT" w:hAnsi="Gill Sans MT"/>
          <w:sz w:val="26"/>
          <w:szCs w:val="26"/>
        </w:rPr>
      </w:pPr>
      <w:r>
        <w:rPr>
          <w:rStyle w:val="cf01"/>
          <w:rFonts w:ascii="Gill Sans MT" w:hAnsi="Gill Sans MT"/>
          <w:sz w:val="26"/>
          <w:szCs w:val="26"/>
        </w:rPr>
        <w:t>Scenario C would cost €3.5 million, excluding VAT, and assumes that 40% of people discharging from wardship would satisfy the means test</w:t>
      </w:r>
      <w:r w:rsidRPr="006277E6">
        <w:rPr>
          <w:rStyle w:val="cf01"/>
          <w:rFonts w:ascii="Gill Sans MT" w:hAnsi="Gill Sans MT"/>
          <w:sz w:val="26"/>
          <w:szCs w:val="26"/>
        </w:rPr>
        <w:t xml:space="preserve"> and that contested applications account for </w:t>
      </w:r>
      <w:r>
        <w:rPr>
          <w:rStyle w:val="cf01"/>
          <w:rFonts w:ascii="Gill Sans MT" w:hAnsi="Gill Sans MT"/>
          <w:sz w:val="26"/>
          <w:szCs w:val="26"/>
        </w:rPr>
        <w:t>7.5</w:t>
      </w:r>
      <w:r w:rsidRPr="006277E6">
        <w:rPr>
          <w:rStyle w:val="cf01"/>
          <w:rFonts w:ascii="Gill Sans MT" w:hAnsi="Gill Sans MT"/>
          <w:sz w:val="26"/>
          <w:szCs w:val="26"/>
        </w:rPr>
        <w:t xml:space="preserve">% of all applications </w:t>
      </w:r>
      <w:r>
        <w:rPr>
          <w:rStyle w:val="cf01"/>
          <w:rFonts w:ascii="Gill Sans MT" w:hAnsi="Gill Sans MT"/>
          <w:sz w:val="26"/>
          <w:szCs w:val="26"/>
        </w:rPr>
        <w:t>(or</w:t>
      </w:r>
      <w:r w:rsidRPr="006277E6">
        <w:rPr>
          <w:rStyle w:val="cf01"/>
          <w:rFonts w:ascii="Gill Sans MT" w:hAnsi="Gill Sans MT"/>
          <w:sz w:val="26"/>
          <w:szCs w:val="26"/>
        </w:rPr>
        <w:t xml:space="preserve"> 1</w:t>
      </w:r>
      <w:r>
        <w:rPr>
          <w:rStyle w:val="cf01"/>
          <w:rFonts w:ascii="Gill Sans MT" w:hAnsi="Gill Sans MT"/>
          <w:sz w:val="26"/>
          <w:szCs w:val="26"/>
        </w:rPr>
        <w:t>2.5</w:t>
      </w:r>
      <w:r w:rsidRPr="006277E6">
        <w:rPr>
          <w:rStyle w:val="cf01"/>
          <w:rFonts w:ascii="Gill Sans MT" w:hAnsi="Gill Sans MT"/>
          <w:sz w:val="26"/>
          <w:szCs w:val="26"/>
        </w:rPr>
        <w:t>% of those that do not meet the means test</w:t>
      </w:r>
      <w:r>
        <w:rPr>
          <w:rStyle w:val="cf01"/>
          <w:rFonts w:ascii="Gill Sans MT" w:hAnsi="Gill Sans MT"/>
          <w:sz w:val="26"/>
          <w:szCs w:val="26"/>
        </w:rPr>
        <w:t>)</w:t>
      </w:r>
      <w:r w:rsidRPr="006277E6">
        <w:rPr>
          <w:rStyle w:val="cf01"/>
          <w:rFonts w:ascii="Gill Sans MT" w:hAnsi="Gill Sans MT"/>
          <w:sz w:val="26"/>
          <w:szCs w:val="26"/>
        </w:rPr>
        <w:t xml:space="preserve">.  </w:t>
      </w:r>
      <w:r>
        <w:rPr>
          <w:rStyle w:val="cf01"/>
          <w:rFonts w:ascii="Gill Sans MT" w:hAnsi="Gill Sans MT"/>
          <w:sz w:val="26"/>
          <w:szCs w:val="26"/>
        </w:rPr>
        <w:t xml:space="preserve"> </w:t>
      </w:r>
    </w:p>
    <w:p w14:paraId="00FEF8A9" w14:textId="77777777" w:rsidR="00C77D58" w:rsidRDefault="00C77D58" w:rsidP="00C77D58">
      <w:pPr>
        <w:pStyle w:val="pf0"/>
        <w:rPr>
          <w:rStyle w:val="cf01"/>
          <w:rFonts w:ascii="Gill Sans MT" w:hAnsi="Gill Sans MT"/>
          <w:sz w:val="26"/>
          <w:szCs w:val="26"/>
        </w:rPr>
      </w:pPr>
      <w:r>
        <w:rPr>
          <w:rStyle w:val="cf01"/>
          <w:rFonts w:ascii="Gill Sans MT" w:hAnsi="Gill Sans MT"/>
          <w:sz w:val="26"/>
          <w:szCs w:val="26"/>
        </w:rPr>
        <w:t xml:space="preserve">These estimates are based on several assumptions that cannot be verified at this time and are intended only to serve as a guide as to possible costs associated with this one-off measure, which would be incurred over a two-year period. The Legal Aid Board and </w:t>
      </w:r>
      <w:r w:rsidRPr="00EF2767">
        <w:rPr>
          <w:rFonts w:ascii="Gill Sans MT" w:hAnsi="Gill Sans MT" w:cs="Segoe UI"/>
          <w:sz w:val="26"/>
          <w:szCs w:val="26"/>
        </w:rPr>
        <w:t>General Solicitor for Minors and Wards of Court</w:t>
      </w:r>
      <w:r>
        <w:rPr>
          <w:rFonts w:ascii="Gill Sans MT" w:hAnsi="Gill Sans MT" w:cs="Segoe UI"/>
          <w:sz w:val="26"/>
          <w:szCs w:val="26"/>
        </w:rPr>
        <w:t xml:space="preserve"> may be able to provide a more concrete steer on the likelihood of people discharging from wardship satisfying the means test.</w:t>
      </w:r>
    </w:p>
    <w:p w14:paraId="0701D7F9" w14:textId="77777777" w:rsidR="00C77D58" w:rsidRDefault="00C77D58" w:rsidP="009D3521">
      <w:pPr>
        <w:pStyle w:val="pf0"/>
        <w:rPr>
          <w:rStyle w:val="cf01"/>
          <w:rFonts w:ascii="Gill Sans MT" w:hAnsi="Gill Sans MT"/>
          <w:sz w:val="26"/>
          <w:szCs w:val="26"/>
        </w:rPr>
        <w:sectPr w:rsidR="00C77D58"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07FC6C9" w14:textId="65B733B7" w:rsidR="006C37F6" w:rsidRPr="00701EF2" w:rsidRDefault="006C37F6" w:rsidP="006C37F6">
      <w:pPr>
        <w:pStyle w:val="pf0"/>
        <w:rPr>
          <w:rStyle w:val="cf01"/>
          <w:rFonts w:ascii="Gill Sans MT" w:hAnsi="Gill Sans MT"/>
          <w:b/>
          <w:bCs/>
          <w:sz w:val="26"/>
          <w:szCs w:val="26"/>
        </w:rPr>
      </w:pPr>
      <w:r w:rsidRPr="00701EF2">
        <w:rPr>
          <w:rStyle w:val="cf01"/>
          <w:rFonts w:ascii="Gill Sans MT" w:hAnsi="Gill Sans MT"/>
          <w:b/>
          <w:bCs/>
          <w:sz w:val="26"/>
          <w:szCs w:val="26"/>
        </w:rPr>
        <w:lastRenderedPageBreak/>
        <w:t>Table 1: Estimate of costs of</w:t>
      </w:r>
      <w:r w:rsidRPr="00701EF2">
        <w:rPr>
          <w:rFonts w:ascii="Gill Sans MT" w:hAnsi="Gill Sans MT"/>
          <w:b/>
          <w:bCs/>
          <w:sz w:val="26"/>
          <w:lang w:eastAsia="en-US"/>
        </w:rPr>
        <w:t xml:space="preserve"> </w:t>
      </w:r>
      <w:r w:rsidRPr="00701EF2">
        <w:rPr>
          <w:rFonts w:ascii="Gill Sans MT" w:hAnsi="Gill Sans MT" w:cs="Segoe UI"/>
          <w:b/>
          <w:bCs/>
          <w:sz w:val="26"/>
          <w:szCs w:val="26"/>
        </w:rPr>
        <w:t>exempting all adults discharging from wardship from</w:t>
      </w:r>
      <w:r w:rsidRPr="00701EF2">
        <w:rPr>
          <w:rStyle w:val="cf01"/>
          <w:rFonts w:ascii="Gill Sans MT" w:hAnsi="Gill Sans MT"/>
          <w:b/>
          <w:bCs/>
          <w:sz w:val="26"/>
          <w:szCs w:val="26"/>
        </w:rPr>
        <w:t xml:space="preserve"> legal aid costs</w:t>
      </w:r>
      <w:r w:rsidR="000B62F0" w:rsidRPr="00701EF2">
        <w:rPr>
          <w:rStyle w:val="cf01"/>
          <w:rFonts w:ascii="Gill Sans MT" w:hAnsi="Gill Sans MT"/>
          <w:b/>
          <w:bCs/>
          <w:sz w:val="26"/>
          <w:szCs w:val="26"/>
        </w:rPr>
        <w:t>.</w:t>
      </w:r>
      <w:r w:rsidRPr="00701EF2">
        <w:rPr>
          <w:rStyle w:val="cf01"/>
          <w:rFonts w:ascii="Gill Sans MT" w:hAnsi="Gill Sans MT"/>
          <w:b/>
          <w:bCs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560"/>
        <w:gridCol w:w="1984"/>
        <w:gridCol w:w="1701"/>
        <w:gridCol w:w="1985"/>
      </w:tblGrid>
      <w:tr w:rsidR="00C77D58" w:rsidRPr="00C77D58" w14:paraId="7C985970" w14:textId="77777777" w:rsidTr="00701EF2">
        <w:tc>
          <w:tcPr>
            <w:tcW w:w="2122" w:type="dxa"/>
          </w:tcPr>
          <w:p w14:paraId="10F9CA9D" w14:textId="77777777" w:rsidR="006C37F6" w:rsidRPr="00701EF2" w:rsidRDefault="006C37F6" w:rsidP="00E15DAF">
            <w:pPr>
              <w:pStyle w:val="pf0"/>
              <w:rPr>
                <w:rFonts w:ascii="Gill Sans MT" w:hAnsi="Gill Sans MT" w:cs="Arial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9DEA859" w14:textId="77777777" w:rsidR="006C37F6" w:rsidRPr="00701EF2" w:rsidRDefault="006C37F6" w:rsidP="00E15DAF">
            <w:pPr>
              <w:pStyle w:val="pf0"/>
              <w:rPr>
                <w:rFonts w:ascii="Gill Sans MT" w:hAnsi="Gill Sans MT" w:cs="Arial"/>
                <w:b/>
                <w:bCs/>
                <w:sz w:val="26"/>
                <w:szCs w:val="26"/>
              </w:rPr>
            </w:pPr>
            <w:r w:rsidRPr="00701EF2">
              <w:rPr>
                <w:rFonts w:ascii="Gill Sans MT" w:hAnsi="Gill Sans MT" w:cs="Arial"/>
                <w:b/>
                <w:bCs/>
                <w:sz w:val="26"/>
                <w:szCs w:val="26"/>
              </w:rPr>
              <w:t>Scenario A</w:t>
            </w:r>
          </w:p>
        </w:tc>
        <w:tc>
          <w:tcPr>
            <w:tcW w:w="1984" w:type="dxa"/>
          </w:tcPr>
          <w:p w14:paraId="4DED4AD4" w14:textId="77777777" w:rsidR="006C37F6" w:rsidRPr="00701EF2" w:rsidRDefault="006C37F6" w:rsidP="00E15DAF">
            <w:pPr>
              <w:pStyle w:val="pf0"/>
              <w:rPr>
                <w:rFonts w:ascii="Gill Sans MT" w:hAnsi="Gill Sans MT" w:cs="Arial"/>
                <w:b/>
                <w:bCs/>
                <w:sz w:val="26"/>
                <w:szCs w:val="26"/>
              </w:rPr>
            </w:pPr>
            <w:r w:rsidRPr="00701EF2">
              <w:rPr>
                <w:rFonts w:ascii="Gill Sans MT" w:hAnsi="Gill Sans MT" w:cs="Arial"/>
                <w:b/>
                <w:bCs/>
                <w:sz w:val="26"/>
                <w:szCs w:val="26"/>
              </w:rPr>
              <w:t>A</w:t>
            </w:r>
            <w:r w:rsidRPr="00701EF2">
              <w:rPr>
                <w:rFonts w:ascii="Gill Sans MT" w:hAnsi="Gill Sans MT" w:cs="Arial"/>
                <w:b/>
                <w:bCs/>
              </w:rPr>
              <w:t>mount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235C8175" w14:textId="77777777" w:rsidR="006C37F6" w:rsidRPr="00701EF2" w:rsidRDefault="006C37F6" w:rsidP="00E15DAF">
            <w:pPr>
              <w:pStyle w:val="pf0"/>
              <w:rPr>
                <w:rFonts w:ascii="Gill Sans MT" w:hAnsi="Gill Sans MT" w:cs="Arial"/>
                <w:b/>
                <w:bCs/>
                <w:sz w:val="26"/>
                <w:szCs w:val="26"/>
              </w:rPr>
            </w:pPr>
            <w:r w:rsidRPr="00701EF2">
              <w:rPr>
                <w:rFonts w:ascii="Gill Sans MT" w:hAnsi="Gill Sans MT" w:cs="Arial"/>
                <w:b/>
                <w:bCs/>
                <w:sz w:val="26"/>
                <w:szCs w:val="26"/>
              </w:rPr>
              <w:t>Scenario B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2EDF2232" w14:textId="77777777" w:rsidR="006C37F6" w:rsidRPr="00701EF2" w:rsidRDefault="006C37F6" w:rsidP="00E15DAF">
            <w:pPr>
              <w:pStyle w:val="pf0"/>
              <w:rPr>
                <w:rFonts w:ascii="Gill Sans MT" w:hAnsi="Gill Sans MT" w:cs="Arial"/>
                <w:b/>
                <w:bCs/>
                <w:sz w:val="26"/>
                <w:szCs w:val="26"/>
              </w:rPr>
            </w:pPr>
            <w:r w:rsidRPr="00701EF2">
              <w:rPr>
                <w:rFonts w:ascii="Gill Sans MT" w:hAnsi="Gill Sans MT" w:cs="Arial"/>
                <w:b/>
                <w:bCs/>
                <w:sz w:val="26"/>
                <w:szCs w:val="26"/>
              </w:rPr>
              <w:t>Amount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412FB6F3" w14:textId="77777777" w:rsidR="006C37F6" w:rsidRPr="00701EF2" w:rsidRDefault="006C37F6" w:rsidP="00E15DAF">
            <w:pPr>
              <w:pStyle w:val="pf0"/>
              <w:rPr>
                <w:rFonts w:ascii="Gill Sans MT" w:hAnsi="Gill Sans MT" w:cs="Arial"/>
                <w:b/>
                <w:bCs/>
                <w:sz w:val="26"/>
                <w:szCs w:val="26"/>
              </w:rPr>
            </w:pPr>
            <w:r w:rsidRPr="00701EF2">
              <w:rPr>
                <w:rFonts w:ascii="Gill Sans MT" w:hAnsi="Gill Sans MT" w:cs="Arial"/>
                <w:b/>
                <w:bCs/>
                <w:sz w:val="26"/>
                <w:szCs w:val="26"/>
              </w:rPr>
              <w:t>Scenario C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5E8A5980" w14:textId="77777777" w:rsidR="006C37F6" w:rsidRPr="00701EF2" w:rsidRDefault="006C37F6" w:rsidP="00E15DAF">
            <w:pPr>
              <w:pStyle w:val="pf0"/>
              <w:rPr>
                <w:rFonts w:ascii="Gill Sans MT" w:hAnsi="Gill Sans MT" w:cs="Arial"/>
                <w:b/>
                <w:bCs/>
                <w:sz w:val="26"/>
                <w:szCs w:val="26"/>
              </w:rPr>
            </w:pPr>
            <w:r w:rsidRPr="00701EF2">
              <w:rPr>
                <w:rFonts w:ascii="Gill Sans MT" w:hAnsi="Gill Sans MT" w:cs="Arial"/>
                <w:b/>
                <w:bCs/>
                <w:sz w:val="26"/>
                <w:szCs w:val="26"/>
              </w:rPr>
              <w:t>Amount</w:t>
            </w:r>
          </w:p>
        </w:tc>
      </w:tr>
      <w:tr w:rsidR="00C77D58" w14:paraId="5E29502D" w14:textId="77777777" w:rsidTr="00701EF2">
        <w:tc>
          <w:tcPr>
            <w:tcW w:w="2122" w:type="dxa"/>
          </w:tcPr>
          <w:p w14:paraId="7BAC2B00" w14:textId="3723D8BC" w:rsidR="006C37F6" w:rsidRDefault="006C37F6" w:rsidP="00701EF2">
            <w:pPr>
              <w:pStyle w:val="pf0"/>
              <w:spacing w:before="120" w:beforeAutospacing="0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 xml:space="preserve">Uncontested </w:t>
            </w:r>
          </w:p>
        </w:tc>
        <w:tc>
          <w:tcPr>
            <w:tcW w:w="1559" w:type="dxa"/>
            <w:shd w:val="clear" w:color="auto" w:fill="FF99CC"/>
          </w:tcPr>
          <w:p w14:paraId="16FA8F05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 xml:space="preserve">75% </w:t>
            </w:r>
          </w:p>
          <w:p w14:paraId="254D7B93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(n=1,050)</w:t>
            </w:r>
          </w:p>
        </w:tc>
        <w:tc>
          <w:tcPr>
            <w:tcW w:w="1984" w:type="dxa"/>
            <w:shd w:val="clear" w:color="auto" w:fill="FF99CC"/>
          </w:tcPr>
          <w:p w14:paraId="288A7831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€4,147,500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6331B5B5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65%</w:t>
            </w:r>
          </w:p>
          <w:p w14:paraId="0514CCA8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(n=910)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09FBEBBA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€3,594,500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08EF5DF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52.5%</w:t>
            </w:r>
          </w:p>
          <w:p w14:paraId="277B2170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(n=735)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39BE8CB8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€2,903,250</w:t>
            </w:r>
          </w:p>
        </w:tc>
      </w:tr>
      <w:tr w:rsidR="00C77D58" w14:paraId="04F3B818" w14:textId="77777777" w:rsidTr="00701EF2">
        <w:tc>
          <w:tcPr>
            <w:tcW w:w="2122" w:type="dxa"/>
          </w:tcPr>
          <w:p w14:paraId="71F5A650" w14:textId="787A01E5" w:rsidR="006C37F6" w:rsidRDefault="006C37F6" w:rsidP="00701EF2">
            <w:pPr>
              <w:pStyle w:val="pf0"/>
              <w:spacing w:before="120" w:beforeAutospacing="0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 xml:space="preserve">Contested </w:t>
            </w:r>
          </w:p>
        </w:tc>
        <w:tc>
          <w:tcPr>
            <w:tcW w:w="1559" w:type="dxa"/>
            <w:shd w:val="clear" w:color="auto" w:fill="FF99CC"/>
          </w:tcPr>
          <w:p w14:paraId="77FA2E57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 xml:space="preserve">25% </w:t>
            </w:r>
          </w:p>
          <w:p w14:paraId="53D0B35E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(n=350)</w:t>
            </w:r>
          </w:p>
        </w:tc>
        <w:tc>
          <w:tcPr>
            <w:tcW w:w="1984" w:type="dxa"/>
            <w:shd w:val="clear" w:color="auto" w:fill="FF99CC"/>
          </w:tcPr>
          <w:p w14:paraId="087E0F6B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€2,042,250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67222F6B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10%</w:t>
            </w:r>
          </w:p>
          <w:p w14:paraId="25821AE0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(n=140)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0B4DD8A6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€816,900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447D008B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7.5%</w:t>
            </w:r>
          </w:p>
          <w:p w14:paraId="0A8A9CBB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(n=105)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02AB694F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€612,675</w:t>
            </w:r>
          </w:p>
        </w:tc>
      </w:tr>
      <w:tr w:rsidR="00C77D58" w14:paraId="60D427F3" w14:textId="77777777" w:rsidTr="00701EF2">
        <w:tc>
          <w:tcPr>
            <w:tcW w:w="2122" w:type="dxa"/>
          </w:tcPr>
          <w:p w14:paraId="14EA33A3" w14:textId="77777777" w:rsidR="006C37F6" w:rsidRDefault="006C37F6" w:rsidP="00701EF2">
            <w:pPr>
              <w:pStyle w:val="pf0"/>
              <w:spacing w:before="120" w:beforeAutospacing="0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Satisfies means test</w:t>
            </w:r>
          </w:p>
        </w:tc>
        <w:tc>
          <w:tcPr>
            <w:tcW w:w="1559" w:type="dxa"/>
            <w:shd w:val="clear" w:color="auto" w:fill="FF99CC"/>
          </w:tcPr>
          <w:p w14:paraId="77CBA02F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0</w:t>
            </w:r>
          </w:p>
        </w:tc>
        <w:tc>
          <w:tcPr>
            <w:tcW w:w="1984" w:type="dxa"/>
            <w:shd w:val="clear" w:color="auto" w:fill="FF99CC"/>
          </w:tcPr>
          <w:p w14:paraId="59CD33EE" w14:textId="22CE6F87" w:rsidR="006C37F6" w:rsidRDefault="00C77D58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€</w:t>
            </w:r>
            <w:r w:rsidR="006C37F6">
              <w:rPr>
                <w:rFonts w:ascii="Gill Sans MT" w:hAnsi="Gill Sans MT" w:cs="Arial"/>
                <w:sz w:val="26"/>
                <w:szCs w:val="26"/>
              </w:rPr>
              <w:t>0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304E15A4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25%</w:t>
            </w:r>
          </w:p>
          <w:p w14:paraId="3EA108CC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(n=350)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42DB5A3E" w14:textId="41DB30A7" w:rsidR="006C37F6" w:rsidRDefault="00C77D58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€</w:t>
            </w:r>
            <w:r w:rsidR="006C37F6">
              <w:rPr>
                <w:rFonts w:ascii="Gill Sans MT" w:hAnsi="Gill Sans MT" w:cs="Arial"/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7421D815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40%</w:t>
            </w:r>
          </w:p>
          <w:p w14:paraId="516B9C7B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(n=560)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285F0875" w14:textId="420C13A6" w:rsidR="006C37F6" w:rsidRDefault="00C77D58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€</w:t>
            </w:r>
            <w:r w:rsidR="006C37F6">
              <w:rPr>
                <w:rFonts w:ascii="Gill Sans MT" w:hAnsi="Gill Sans MT" w:cs="Arial"/>
                <w:sz w:val="26"/>
                <w:szCs w:val="26"/>
              </w:rPr>
              <w:t>0</w:t>
            </w:r>
          </w:p>
        </w:tc>
      </w:tr>
      <w:tr w:rsidR="00C77D58" w14:paraId="32990A54" w14:textId="77777777" w:rsidTr="00701EF2">
        <w:tc>
          <w:tcPr>
            <w:tcW w:w="2122" w:type="dxa"/>
          </w:tcPr>
          <w:p w14:paraId="460D7F00" w14:textId="77777777" w:rsidR="006C37F6" w:rsidRDefault="006C37F6" w:rsidP="00701EF2">
            <w:pPr>
              <w:pStyle w:val="pf0"/>
              <w:spacing w:before="120" w:beforeAutospacing="0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Total</w:t>
            </w:r>
          </w:p>
        </w:tc>
        <w:tc>
          <w:tcPr>
            <w:tcW w:w="1559" w:type="dxa"/>
            <w:shd w:val="clear" w:color="auto" w:fill="FF99CC"/>
          </w:tcPr>
          <w:p w14:paraId="0ECE0828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99CC"/>
          </w:tcPr>
          <w:p w14:paraId="111BA241" w14:textId="43D4D3E2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€6,189,750 (ex</w:t>
            </w:r>
            <w:r w:rsidR="00C77D58">
              <w:rPr>
                <w:rFonts w:ascii="Gill Sans MT" w:hAnsi="Gill Sans MT" w:cs="Arial"/>
                <w:sz w:val="26"/>
                <w:szCs w:val="26"/>
              </w:rPr>
              <w:t>.</w:t>
            </w:r>
            <w:r>
              <w:rPr>
                <w:rFonts w:ascii="Gill Sans MT" w:hAnsi="Gill Sans MT" w:cs="Arial"/>
                <w:sz w:val="26"/>
                <w:szCs w:val="26"/>
              </w:rPr>
              <w:t xml:space="preserve"> VAT)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6C2C422C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78F3726A" w14:textId="56D15B45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€4,411,400 (ex</w:t>
            </w:r>
            <w:r w:rsidR="00C77D58">
              <w:rPr>
                <w:rFonts w:ascii="Gill Sans MT" w:hAnsi="Gill Sans MT" w:cs="Arial"/>
                <w:sz w:val="26"/>
                <w:szCs w:val="26"/>
              </w:rPr>
              <w:t>.</w:t>
            </w:r>
            <w:r>
              <w:rPr>
                <w:rFonts w:ascii="Gill Sans MT" w:hAnsi="Gill Sans MT" w:cs="Arial"/>
                <w:sz w:val="26"/>
                <w:szCs w:val="26"/>
              </w:rPr>
              <w:t xml:space="preserve"> VAT)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E794405" w14:textId="77777777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14:paraId="7D3342DD" w14:textId="38A73B8F" w:rsidR="006C37F6" w:rsidRDefault="006C37F6" w:rsidP="00701EF2">
            <w:pPr>
              <w:pStyle w:val="pf0"/>
              <w:spacing w:before="120" w:beforeAutospacing="0"/>
              <w:jc w:val="right"/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€3,515,925 (ex</w:t>
            </w:r>
            <w:r w:rsidR="00C77D58">
              <w:rPr>
                <w:rFonts w:ascii="Gill Sans MT" w:hAnsi="Gill Sans MT" w:cs="Arial"/>
                <w:sz w:val="26"/>
                <w:szCs w:val="26"/>
              </w:rPr>
              <w:t>.</w:t>
            </w:r>
            <w:r>
              <w:rPr>
                <w:rFonts w:ascii="Gill Sans MT" w:hAnsi="Gill Sans MT" w:cs="Arial"/>
                <w:sz w:val="26"/>
                <w:szCs w:val="26"/>
              </w:rPr>
              <w:t xml:space="preserve"> VAT)</w:t>
            </w:r>
          </w:p>
        </w:tc>
      </w:tr>
    </w:tbl>
    <w:p w14:paraId="0406845A" w14:textId="77777777" w:rsidR="009D3521" w:rsidRPr="00BF6EAC" w:rsidRDefault="009D3521" w:rsidP="009D3521">
      <w:pPr>
        <w:pStyle w:val="pf0"/>
        <w:rPr>
          <w:rFonts w:ascii="Gill Sans MT" w:hAnsi="Gill Sans MT" w:cs="Arial"/>
          <w:sz w:val="26"/>
          <w:szCs w:val="26"/>
        </w:rPr>
      </w:pPr>
    </w:p>
    <w:p w14:paraId="048E7870" w14:textId="77777777" w:rsidR="009D3521" w:rsidRPr="009D3521" w:rsidRDefault="009D3521" w:rsidP="009D3521"/>
    <w:sectPr w:rsidR="009D3521" w:rsidRPr="009D3521" w:rsidSect="00701EF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147B" w14:textId="77777777" w:rsidR="00B249EB" w:rsidRDefault="00B249EB">
      <w:r>
        <w:separator/>
      </w:r>
    </w:p>
  </w:endnote>
  <w:endnote w:type="continuationSeparator" w:id="0">
    <w:p w14:paraId="29352E3C" w14:textId="77777777" w:rsidR="00B249EB" w:rsidRDefault="00B2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0EA3" w14:textId="62EFF608" w:rsidR="009C4D62" w:rsidRDefault="00B6001A">
    <w:pPr>
      <w:pStyle w:val="Footer"/>
    </w:pPr>
    <w:r>
      <w:rPr>
        <w:color w:val="BF2296"/>
      </w:rPr>
      <w:t>NDA Submission to</w:t>
    </w:r>
    <w:r w:rsidR="000F0AA5">
      <w:rPr>
        <w:color w:val="BF2296"/>
      </w:rPr>
      <w:t xml:space="preserve"> </w:t>
    </w:r>
    <w:r w:rsidR="00D819CD">
      <w:rPr>
        <w:color w:val="BF2296"/>
      </w:rPr>
      <w:t xml:space="preserve">the </w:t>
    </w:r>
    <w:r w:rsidR="000F0AA5">
      <w:rPr>
        <w:color w:val="BF2296"/>
      </w:rPr>
      <w:t xml:space="preserve">Department of Justice </w:t>
    </w:r>
    <w:r w:rsidR="00D819CD">
      <w:rPr>
        <w:color w:val="BF2296"/>
      </w:rPr>
      <w:t>(</w:t>
    </w:r>
    <w:r w:rsidR="00BF706D">
      <w:rPr>
        <w:color w:val="BF2296"/>
      </w:rPr>
      <w:t>May</w:t>
    </w:r>
    <w:r w:rsidR="000F0AA5">
      <w:rPr>
        <w:color w:val="BF2296"/>
      </w:rPr>
      <w:t xml:space="preserve"> 2024</w:t>
    </w:r>
    <w:r w:rsidR="00D819CD">
      <w:rPr>
        <w:color w:val="BF2296"/>
      </w:rPr>
      <w:t>)</w:t>
    </w:r>
    <w:r>
      <w:rPr>
        <w:color w:val="BF2296"/>
      </w:rPr>
      <w:t xml:space="preserve"> </w:t>
    </w:r>
    <w:r w:rsidR="009C4D62">
      <w:tab/>
    </w:r>
    <w:r w:rsidR="009C4D62">
      <w:tab/>
    </w:r>
    <w:r w:rsidR="009C4D62">
      <w:fldChar w:fldCharType="begin"/>
    </w:r>
    <w:r w:rsidR="009C4D62">
      <w:instrText xml:space="preserve"> PAGE  \* Arabic  \* MERGEFORMAT </w:instrText>
    </w:r>
    <w:r w:rsidR="009C4D62">
      <w:fldChar w:fldCharType="separate"/>
    </w:r>
    <w:r w:rsidR="00AA327B">
      <w:rPr>
        <w:noProof/>
      </w:rPr>
      <w:t>1</w:t>
    </w:r>
    <w:r w:rsidR="009C4D6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BFD1" w14:textId="77777777" w:rsidR="00B249EB" w:rsidRDefault="00B249EB">
      <w:r>
        <w:separator/>
      </w:r>
    </w:p>
  </w:footnote>
  <w:footnote w:type="continuationSeparator" w:id="0">
    <w:p w14:paraId="721B721C" w14:textId="77777777" w:rsidR="00B249EB" w:rsidRDefault="00B249EB">
      <w:r>
        <w:continuationSeparator/>
      </w:r>
    </w:p>
  </w:footnote>
  <w:footnote w:id="1">
    <w:p w14:paraId="1759629C" w14:textId="54930EBE" w:rsidR="006C37F6" w:rsidRDefault="006C37F6">
      <w:pPr>
        <w:pStyle w:val="FootnoteText"/>
      </w:pPr>
      <w:r>
        <w:rPr>
          <w:rStyle w:val="FootnoteReference"/>
        </w:rPr>
        <w:footnoteRef/>
      </w:r>
      <w:r>
        <w:t xml:space="preserve"> To satisfy the means test for civil legal aid</w:t>
      </w:r>
      <w:r w:rsidRPr="006C37F6">
        <w:t>, a person's annual 'disposable income' must be less than €18,000</w:t>
      </w:r>
      <w:r>
        <w:t xml:space="preserve"> and their </w:t>
      </w:r>
      <w:r w:rsidRPr="006C37F6">
        <w:t>‘disposable capital’ must be less than €100,000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66E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D4F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0E6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587E54"/>
    <w:lvl w:ilvl="0">
      <w:start w:val="1"/>
      <w:numFmt w:val="decimal"/>
      <w:pStyle w:val="ListNumber2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68CB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813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28FE14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7" w15:restartNumberingAfterBreak="0">
    <w:nsid w:val="FFFFFF83"/>
    <w:multiLevelType w:val="singleLevel"/>
    <w:tmpl w:val="1B8401F8"/>
    <w:lvl w:ilvl="0">
      <w:start w:val="1"/>
      <w:numFmt w:val="bullet"/>
      <w:pStyle w:val="ListBullet2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8" w15:restartNumberingAfterBreak="0">
    <w:nsid w:val="FFFFFF88"/>
    <w:multiLevelType w:val="singleLevel"/>
    <w:tmpl w:val="5A3418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8239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0" w15:restartNumberingAfterBreak="0">
    <w:nsid w:val="1FA6607F"/>
    <w:multiLevelType w:val="hybridMultilevel"/>
    <w:tmpl w:val="5A5A8D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13C53"/>
    <w:multiLevelType w:val="hybridMultilevel"/>
    <w:tmpl w:val="EDD482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989454">
    <w:abstractNumId w:val="9"/>
  </w:num>
  <w:num w:numId="2" w16cid:durableId="1448935837">
    <w:abstractNumId w:val="9"/>
  </w:num>
  <w:num w:numId="3" w16cid:durableId="1979648480">
    <w:abstractNumId w:val="7"/>
  </w:num>
  <w:num w:numId="4" w16cid:durableId="168298185">
    <w:abstractNumId w:val="7"/>
  </w:num>
  <w:num w:numId="5" w16cid:durableId="536504222">
    <w:abstractNumId w:val="6"/>
  </w:num>
  <w:num w:numId="6" w16cid:durableId="2078044710">
    <w:abstractNumId w:val="6"/>
  </w:num>
  <w:num w:numId="7" w16cid:durableId="1043406009">
    <w:abstractNumId w:val="8"/>
  </w:num>
  <w:num w:numId="8" w16cid:durableId="1460303158">
    <w:abstractNumId w:val="8"/>
  </w:num>
  <w:num w:numId="9" w16cid:durableId="780222322">
    <w:abstractNumId w:val="3"/>
  </w:num>
  <w:num w:numId="10" w16cid:durableId="138692074">
    <w:abstractNumId w:val="3"/>
  </w:num>
  <w:num w:numId="11" w16cid:durableId="1573731146">
    <w:abstractNumId w:val="2"/>
  </w:num>
  <w:num w:numId="12" w16cid:durableId="746611778">
    <w:abstractNumId w:val="2"/>
  </w:num>
  <w:num w:numId="13" w16cid:durableId="15351854">
    <w:abstractNumId w:val="5"/>
  </w:num>
  <w:num w:numId="14" w16cid:durableId="988441735">
    <w:abstractNumId w:val="4"/>
  </w:num>
  <w:num w:numId="15" w16cid:durableId="2006591267">
    <w:abstractNumId w:val="1"/>
  </w:num>
  <w:num w:numId="16" w16cid:durableId="1466310792">
    <w:abstractNumId w:val="0"/>
  </w:num>
  <w:num w:numId="17" w16cid:durableId="1101756008">
    <w:abstractNumId w:val="11"/>
  </w:num>
  <w:num w:numId="18" w16cid:durableId="1572110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D6"/>
    <w:rsid w:val="00042730"/>
    <w:rsid w:val="00047656"/>
    <w:rsid w:val="00072BEF"/>
    <w:rsid w:val="000B62F0"/>
    <w:rsid w:val="000F0AA5"/>
    <w:rsid w:val="00116403"/>
    <w:rsid w:val="00145AFB"/>
    <w:rsid w:val="00181FE6"/>
    <w:rsid w:val="001824B3"/>
    <w:rsid w:val="001B18B3"/>
    <w:rsid w:val="001F06A9"/>
    <w:rsid w:val="00265F0F"/>
    <w:rsid w:val="00287B8E"/>
    <w:rsid w:val="002B4112"/>
    <w:rsid w:val="00342187"/>
    <w:rsid w:val="00355F9C"/>
    <w:rsid w:val="00385266"/>
    <w:rsid w:val="00392FEB"/>
    <w:rsid w:val="003A1150"/>
    <w:rsid w:val="003A44C8"/>
    <w:rsid w:val="003B10EC"/>
    <w:rsid w:val="003D1572"/>
    <w:rsid w:val="003F6D0B"/>
    <w:rsid w:val="0040210C"/>
    <w:rsid w:val="0040554C"/>
    <w:rsid w:val="004415DB"/>
    <w:rsid w:val="0044738E"/>
    <w:rsid w:val="00447EFF"/>
    <w:rsid w:val="00486206"/>
    <w:rsid w:val="004934C9"/>
    <w:rsid w:val="004C5836"/>
    <w:rsid w:val="004D28A8"/>
    <w:rsid w:val="005142E8"/>
    <w:rsid w:val="0052293E"/>
    <w:rsid w:val="0053483D"/>
    <w:rsid w:val="005700C6"/>
    <w:rsid w:val="00576F68"/>
    <w:rsid w:val="0059404D"/>
    <w:rsid w:val="005A2100"/>
    <w:rsid w:val="005A42B3"/>
    <w:rsid w:val="005B0BF9"/>
    <w:rsid w:val="006141C9"/>
    <w:rsid w:val="00620274"/>
    <w:rsid w:val="006277E6"/>
    <w:rsid w:val="006349ED"/>
    <w:rsid w:val="00646FCC"/>
    <w:rsid w:val="00650912"/>
    <w:rsid w:val="00661C14"/>
    <w:rsid w:val="006834B3"/>
    <w:rsid w:val="006B1B80"/>
    <w:rsid w:val="006C37F6"/>
    <w:rsid w:val="00701EF2"/>
    <w:rsid w:val="00706CB6"/>
    <w:rsid w:val="0071093C"/>
    <w:rsid w:val="00776CEF"/>
    <w:rsid w:val="007849BA"/>
    <w:rsid w:val="00796CBC"/>
    <w:rsid w:val="007C1D90"/>
    <w:rsid w:val="00820CE7"/>
    <w:rsid w:val="00821493"/>
    <w:rsid w:val="00831FA1"/>
    <w:rsid w:val="008541D6"/>
    <w:rsid w:val="008F29EC"/>
    <w:rsid w:val="00901C0B"/>
    <w:rsid w:val="0093186D"/>
    <w:rsid w:val="00932255"/>
    <w:rsid w:val="0093436D"/>
    <w:rsid w:val="009469CB"/>
    <w:rsid w:val="00955608"/>
    <w:rsid w:val="00965A5D"/>
    <w:rsid w:val="009A5E0B"/>
    <w:rsid w:val="009A768F"/>
    <w:rsid w:val="009B24E0"/>
    <w:rsid w:val="009C3BD7"/>
    <w:rsid w:val="009C4D62"/>
    <w:rsid w:val="009D3521"/>
    <w:rsid w:val="009D6CA8"/>
    <w:rsid w:val="00A04BA0"/>
    <w:rsid w:val="00A05270"/>
    <w:rsid w:val="00A162B4"/>
    <w:rsid w:val="00A268FD"/>
    <w:rsid w:val="00A429A6"/>
    <w:rsid w:val="00A53D59"/>
    <w:rsid w:val="00A55006"/>
    <w:rsid w:val="00A66089"/>
    <w:rsid w:val="00A95376"/>
    <w:rsid w:val="00AA327B"/>
    <w:rsid w:val="00AE08F3"/>
    <w:rsid w:val="00AF71EC"/>
    <w:rsid w:val="00B14618"/>
    <w:rsid w:val="00B249EB"/>
    <w:rsid w:val="00B26F72"/>
    <w:rsid w:val="00B32608"/>
    <w:rsid w:val="00B6001A"/>
    <w:rsid w:val="00B67175"/>
    <w:rsid w:val="00B76547"/>
    <w:rsid w:val="00B87E3E"/>
    <w:rsid w:val="00BA2579"/>
    <w:rsid w:val="00BB2D9F"/>
    <w:rsid w:val="00BB7062"/>
    <w:rsid w:val="00BC74C2"/>
    <w:rsid w:val="00BE3DCC"/>
    <w:rsid w:val="00BE4ED1"/>
    <w:rsid w:val="00BE794D"/>
    <w:rsid w:val="00BF6EAC"/>
    <w:rsid w:val="00BF706D"/>
    <w:rsid w:val="00C01910"/>
    <w:rsid w:val="00C154AE"/>
    <w:rsid w:val="00C4559F"/>
    <w:rsid w:val="00C50C14"/>
    <w:rsid w:val="00C565F5"/>
    <w:rsid w:val="00C64589"/>
    <w:rsid w:val="00C77D58"/>
    <w:rsid w:val="00C867C9"/>
    <w:rsid w:val="00CD6F76"/>
    <w:rsid w:val="00CF285B"/>
    <w:rsid w:val="00CF68D4"/>
    <w:rsid w:val="00D220FD"/>
    <w:rsid w:val="00D313CC"/>
    <w:rsid w:val="00D31BF9"/>
    <w:rsid w:val="00D42171"/>
    <w:rsid w:val="00D437D8"/>
    <w:rsid w:val="00D70522"/>
    <w:rsid w:val="00D819CD"/>
    <w:rsid w:val="00D82DAB"/>
    <w:rsid w:val="00DA5F46"/>
    <w:rsid w:val="00DB5FF3"/>
    <w:rsid w:val="00DD0800"/>
    <w:rsid w:val="00DD0909"/>
    <w:rsid w:val="00DD67C5"/>
    <w:rsid w:val="00DF00F3"/>
    <w:rsid w:val="00DF0B63"/>
    <w:rsid w:val="00E251C1"/>
    <w:rsid w:val="00E37100"/>
    <w:rsid w:val="00E56A32"/>
    <w:rsid w:val="00E8411A"/>
    <w:rsid w:val="00E86120"/>
    <w:rsid w:val="00EA42F0"/>
    <w:rsid w:val="00ED0249"/>
    <w:rsid w:val="00ED15A1"/>
    <w:rsid w:val="00EF2767"/>
    <w:rsid w:val="00F2526B"/>
    <w:rsid w:val="00F31E78"/>
    <w:rsid w:val="00F351D6"/>
    <w:rsid w:val="00F35B5C"/>
    <w:rsid w:val="00FC117C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EE97C"/>
  <w15:chartTrackingRefBased/>
  <w15:docId w15:val="{04BF39A6-9833-4EF0-9606-5CE746E8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4618"/>
    <w:pPr>
      <w:spacing w:after="240"/>
    </w:pPr>
    <w:rPr>
      <w:rFonts w:ascii="Gill Sans MT" w:eastAsia="Times New Roman" w:hAnsi="Gill Sans MT"/>
      <w:sz w:val="26"/>
      <w:szCs w:val="24"/>
      <w:lang w:eastAsia="en-US"/>
    </w:rPr>
  </w:style>
  <w:style w:type="paragraph" w:styleId="Heading1">
    <w:name w:val="heading 1"/>
    <w:basedOn w:val="Normal"/>
    <w:next w:val="Normal"/>
    <w:qFormat/>
    <w:rsid w:val="00B14618"/>
    <w:pPr>
      <w:keepNext/>
      <w:pBdr>
        <w:top w:val="single" w:sz="4" w:space="4" w:color="auto"/>
        <w:left w:val="single" w:sz="4" w:space="2" w:color="auto"/>
        <w:bottom w:val="single" w:sz="4" w:space="4" w:color="auto"/>
        <w:right w:val="single" w:sz="4" w:space="4" w:color="auto"/>
      </w:pBdr>
      <w:spacing w:before="360"/>
      <w:ind w:left="-284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14618"/>
    <w:pPr>
      <w:keepNext/>
      <w:spacing w:after="60"/>
      <w:outlineLvl w:val="1"/>
    </w:pPr>
    <w:rPr>
      <w:rFonts w:cs="Arial Bold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14618"/>
    <w:pPr>
      <w:keepNext/>
      <w:spacing w:after="0"/>
      <w:outlineLvl w:val="2"/>
    </w:pPr>
    <w:rPr>
      <w:rFonts w:cs="Arial Bold"/>
      <w:b/>
      <w:bCs/>
    </w:rPr>
  </w:style>
  <w:style w:type="paragraph" w:styleId="Heading4">
    <w:name w:val="heading 4"/>
    <w:basedOn w:val="Normal"/>
    <w:next w:val="Normal"/>
    <w:qFormat/>
    <w:rsid w:val="00B14618"/>
    <w:pPr>
      <w:keepNext/>
      <w:spacing w:after="0"/>
      <w:outlineLvl w:val="3"/>
    </w:pPr>
    <w:rPr>
      <w:b/>
      <w:bCs/>
      <w:color w:val="333333"/>
    </w:rPr>
  </w:style>
  <w:style w:type="paragraph" w:styleId="Heading5">
    <w:name w:val="heading 5"/>
    <w:basedOn w:val="Normal"/>
    <w:next w:val="Normal"/>
    <w:qFormat/>
    <w:rsid w:val="00B14618"/>
    <w:pPr>
      <w:spacing w:after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B14618"/>
    <w:pPr>
      <w:spacing w:after="0"/>
      <w:outlineLvl w:val="5"/>
    </w:pPr>
    <w:rPr>
      <w:b/>
      <w:bCs/>
      <w:i/>
      <w:sz w:val="22"/>
      <w:szCs w:val="22"/>
    </w:rPr>
  </w:style>
  <w:style w:type="paragraph" w:styleId="Heading7">
    <w:name w:val="heading 7"/>
    <w:basedOn w:val="Normal"/>
    <w:next w:val="Normal"/>
    <w:qFormat/>
    <w:rsid w:val="00B14618"/>
    <w:pPr>
      <w:keepNext/>
      <w:spacing w:after="0"/>
      <w:jc w:val="center"/>
      <w:outlineLvl w:val="6"/>
    </w:pPr>
    <w:rPr>
      <w:rFonts w:cs="Arial"/>
      <w:b/>
      <w:sz w:val="22"/>
      <w:szCs w:val="40"/>
    </w:rPr>
  </w:style>
  <w:style w:type="paragraph" w:styleId="Heading8">
    <w:name w:val="heading 8"/>
    <w:basedOn w:val="Normal"/>
    <w:next w:val="Normal"/>
    <w:qFormat/>
    <w:rsid w:val="00B14618"/>
    <w:pPr>
      <w:keepNext/>
      <w:spacing w:after="0"/>
      <w:outlineLvl w:val="7"/>
    </w:pPr>
    <w:rPr>
      <w:b/>
      <w:i/>
      <w:sz w:val="22"/>
    </w:rPr>
  </w:style>
  <w:style w:type="paragraph" w:styleId="Heading9">
    <w:name w:val="heading 9"/>
    <w:basedOn w:val="Normal"/>
    <w:next w:val="Normal"/>
    <w:qFormat/>
    <w:rsid w:val="00B14618"/>
    <w:pPr>
      <w:keepNext/>
      <w:spacing w:after="0"/>
      <w:outlineLvl w:val="8"/>
    </w:pPr>
    <w:rPr>
      <w:rFonts w:cs="Arial"/>
      <w:i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breviation">
    <w:name w:val="Abbreviation"/>
    <w:rPr>
      <w:u w:val="dottedHeavy"/>
    </w:rPr>
  </w:style>
  <w:style w:type="character" w:customStyle="1" w:styleId="Acronym">
    <w:name w:val="Acronym"/>
    <w:rPr>
      <w:u w:val="dotted"/>
    </w:rPr>
  </w:style>
  <w:style w:type="paragraph" w:styleId="CommentText">
    <w:name w:val="annotation text"/>
    <w:basedOn w:val="Normal"/>
    <w:link w:val="CommentTextChar"/>
    <w:semiHidden/>
    <w:rPr>
      <w:rFonts w:ascii="Arial" w:hAnsi="Arial"/>
      <w:sz w:val="20"/>
      <w:lang w:val="x-none"/>
    </w:rPr>
  </w:style>
  <w:style w:type="character" w:customStyle="1" w:styleId="CommentTextChar">
    <w:name w:val="Comment Text Char"/>
    <w:link w:val="CommentText"/>
    <w:semiHidden/>
    <w:rsid w:val="00181FE6"/>
    <w:rPr>
      <w:rFonts w:ascii="Arial" w:eastAsia="Times New Roman" w:hAnsi="Arial"/>
      <w:szCs w:val="24"/>
      <w:lang w:eastAsia="en-US"/>
    </w:rPr>
  </w:style>
  <w:style w:type="paragraph" w:customStyle="1" w:styleId="BlockQuote">
    <w:name w:val="Block Quote"/>
    <w:basedOn w:val="Normal"/>
    <w:qFormat/>
    <w:rsid w:val="00B14618"/>
    <w:pPr>
      <w:ind w:left="72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OC1">
    <w:name w:val="toc 1"/>
    <w:basedOn w:val="Normal"/>
    <w:next w:val="Normal"/>
    <w:autoRedefine/>
    <w:rsid w:val="00F351D6"/>
    <w:pPr>
      <w:keepNext/>
      <w:keepLines/>
      <w:spacing w:before="240" w:after="60"/>
    </w:pPr>
    <w:rPr>
      <w:b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ascii="Arial" w:hAnsi="Arial"/>
      <w:sz w:val="24"/>
      <w:lang w:val="x-none"/>
    </w:rPr>
  </w:style>
  <w:style w:type="character" w:customStyle="1" w:styleId="BodyTextIndentChar">
    <w:name w:val="Body Text Indent Char"/>
    <w:link w:val="BodyTextIndent"/>
    <w:rsid w:val="00181FE6"/>
    <w:rPr>
      <w:rFonts w:ascii="Arial" w:eastAsia="Times New Roman" w:hAnsi="Arial"/>
      <w:sz w:val="24"/>
      <w:szCs w:val="24"/>
      <w:lang w:eastAsia="en-US"/>
    </w:rPr>
  </w:style>
  <w:style w:type="paragraph" w:styleId="Caption">
    <w:name w:val="caption"/>
    <w:basedOn w:val="Normal"/>
    <w:next w:val="Normal"/>
    <w:qFormat/>
    <w:rsid w:val="00B14618"/>
    <w:pPr>
      <w:spacing w:after="120"/>
      <w:jc w:val="center"/>
    </w:pPr>
    <w:rPr>
      <w:b/>
      <w:bCs/>
    </w:rPr>
  </w:style>
  <w:style w:type="paragraph" w:styleId="Date">
    <w:name w:val="Date"/>
    <w:basedOn w:val="Normal"/>
    <w:next w:val="Normal"/>
    <w:rPr>
      <w:i/>
    </w:rPr>
  </w:style>
  <w:style w:type="paragraph" w:customStyle="1" w:styleId="DefinitionDescription">
    <w:name w:val="Definition Description"/>
    <w:basedOn w:val="Normal"/>
    <w:next w:val="Normal"/>
    <w:pPr>
      <w:ind w:left="1077"/>
    </w:pPr>
  </w:style>
  <w:style w:type="paragraph" w:customStyle="1" w:styleId="DefinitionTerm">
    <w:name w:val="Definition Term"/>
    <w:basedOn w:val="Normal"/>
    <w:next w:val="DefinitionDescription"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B14618"/>
    <w:rPr>
      <w:rFonts w:ascii="Gill Sans MT" w:hAnsi="Gill Sans MT"/>
      <w:i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before="60" w:after="60"/>
    </w:pPr>
    <w:rPr>
      <w:color w:val="323232"/>
      <w:sz w:val="20"/>
      <w:szCs w:val="20"/>
    </w:rPr>
  </w:style>
  <w:style w:type="paragraph" w:customStyle="1" w:styleId="GraphCaption">
    <w:name w:val="GraphCaption"/>
    <w:basedOn w:val="Normal"/>
    <w:rsid w:val="00B76547"/>
    <w:pPr>
      <w:keepNext/>
      <w:keepLines/>
      <w:spacing w:after="120"/>
      <w:jc w:val="center"/>
    </w:pPr>
    <w:rPr>
      <w:b/>
    </w:rPr>
  </w:style>
  <w:style w:type="paragraph" w:styleId="Header">
    <w:name w:val="header"/>
    <w:basedOn w:val="Normal"/>
    <w:rsid w:val="00F351D6"/>
    <w:pPr>
      <w:tabs>
        <w:tab w:val="center" w:pos="4320"/>
        <w:tab w:val="right" w:pos="8640"/>
      </w:tabs>
      <w:spacing w:after="120"/>
    </w:pPr>
    <w:rPr>
      <w:color w:val="333333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2"/>
      </w:numPr>
      <w:spacing w:before="120" w:after="120"/>
    </w:pPr>
  </w:style>
  <w:style w:type="paragraph" w:styleId="ListBullet2">
    <w:name w:val="List Bullet 2"/>
    <w:basedOn w:val="Normal"/>
    <w:pPr>
      <w:numPr>
        <w:numId w:val="4"/>
      </w:numPr>
      <w:spacing w:before="60" w:after="60"/>
    </w:pPr>
  </w:style>
  <w:style w:type="paragraph" w:styleId="ListBullet3">
    <w:name w:val="List Bullet 3"/>
    <w:basedOn w:val="Normal"/>
    <w:pPr>
      <w:numPr>
        <w:numId w:val="6"/>
      </w:numPr>
      <w:spacing w:before="60" w:after="60"/>
    </w:pPr>
  </w:style>
  <w:style w:type="paragraph" w:styleId="ListContinue">
    <w:name w:val="List Continue"/>
    <w:basedOn w:val="Normal"/>
    <w:pPr>
      <w:spacing w:before="120" w:after="120"/>
      <w:ind w:left="357"/>
    </w:pPr>
  </w:style>
  <w:style w:type="paragraph" w:styleId="ListContinue2">
    <w:name w:val="List Continue 2"/>
    <w:basedOn w:val="Normal"/>
    <w:pPr>
      <w:spacing w:before="60" w:after="60"/>
      <w:ind w:left="641"/>
    </w:pPr>
  </w:style>
  <w:style w:type="paragraph" w:styleId="ListContinue3">
    <w:name w:val="List Continue 3"/>
    <w:basedOn w:val="Normal"/>
    <w:pPr>
      <w:spacing w:before="60" w:after="60"/>
      <w:ind w:left="924"/>
    </w:pPr>
  </w:style>
  <w:style w:type="paragraph" w:styleId="ListNumber">
    <w:name w:val="List Number"/>
    <w:basedOn w:val="Normal"/>
    <w:pPr>
      <w:numPr>
        <w:numId w:val="8"/>
      </w:numPr>
      <w:tabs>
        <w:tab w:val="clear" w:pos="360"/>
      </w:tabs>
      <w:spacing w:after="120"/>
    </w:pPr>
  </w:style>
  <w:style w:type="paragraph" w:styleId="ListNumber2">
    <w:name w:val="List Number 2"/>
    <w:basedOn w:val="Normal"/>
    <w:pPr>
      <w:numPr>
        <w:numId w:val="10"/>
      </w:numPr>
      <w:tabs>
        <w:tab w:val="clear" w:pos="641"/>
        <w:tab w:val="num" w:pos="643"/>
      </w:tabs>
      <w:spacing w:before="60" w:after="60"/>
    </w:pPr>
  </w:style>
  <w:style w:type="paragraph" w:styleId="ListNumber3">
    <w:name w:val="List Number 3"/>
    <w:basedOn w:val="Normal"/>
    <w:pPr>
      <w:numPr>
        <w:numId w:val="12"/>
      </w:numPr>
      <w:tabs>
        <w:tab w:val="clear" w:pos="926"/>
        <w:tab w:val="num" w:pos="360"/>
      </w:tabs>
      <w:spacing w:before="60" w:after="60"/>
      <w:ind w:left="357" w:hanging="357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</w:pPr>
    <w:rPr>
      <w:rFonts w:ascii="Courier New" w:eastAsia="Times New Roman" w:hAnsi="Courier New" w:cs="Courier New"/>
      <w:lang w:eastAsia="en-US"/>
    </w:rPr>
  </w:style>
  <w:style w:type="paragraph" w:styleId="NormalIndent">
    <w:name w:val="Normal Indent"/>
    <w:basedOn w:val="Normal"/>
    <w:pPr>
      <w:ind w:left="720"/>
    </w:pPr>
  </w:style>
  <w:style w:type="paragraph" w:customStyle="1" w:styleId="Note">
    <w:name w:val="Note"/>
    <w:basedOn w:val="Normal"/>
    <w:rsid w:val="00B76547"/>
    <w:pPr>
      <w:keepLines/>
      <w:pBdr>
        <w:top w:val="single" w:sz="12" w:space="1" w:color="808080"/>
        <w:bottom w:val="single" w:sz="12" w:space="1" w:color="808080"/>
      </w:pBdr>
      <w:spacing w:before="120"/>
      <w:jc w:val="center"/>
    </w:pPr>
    <w:rPr>
      <w:sz w:val="22"/>
      <w:lang w:val="en-GB"/>
    </w:rPr>
  </w:style>
  <w:style w:type="character" w:styleId="PageNumber">
    <w:name w:val="page number"/>
    <w:basedOn w:val="DefaultParagraphFont"/>
  </w:style>
  <w:style w:type="character" w:customStyle="1" w:styleId="Quote1">
    <w:name w:val="Quote1"/>
    <w:rPr>
      <w:i/>
    </w:rPr>
  </w:style>
  <w:style w:type="paragraph" w:styleId="Subtitle">
    <w:name w:val="Subtitle"/>
    <w:basedOn w:val="Normal"/>
    <w:next w:val="Normal"/>
    <w:qFormat/>
    <w:pPr>
      <w:jc w:val="center"/>
      <w:outlineLvl w:val="1"/>
    </w:pPr>
    <w:rPr>
      <w:sz w:val="28"/>
    </w:rPr>
  </w:style>
  <w:style w:type="paragraph" w:customStyle="1" w:styleId="TableCell">
    <w:name w:val="Table Cell"/>
    <w:basedOn w:val="Normal"/>
    <w:pPr>
      <w:spacing w:after="0"/>
    </w:pPr>
  </w:style>
  <w:style w:type="paragraph" w:customStyle="1" w:styleId="TableHead">
    <w:name w:val="Table Head"/>
    <w:basedOn w:val="Normal"/>
    <w:next w:val="Normal"/>
    <w:pPr>
      <w:spacing w:after="0"/>
    </w:pPr>
    <w:rPr>
      <w:b/>
    </w:rPr>
  </w:style>
  <w:style w:type="paragraph" w:customStyle="1" w:styleId="TableNote">
    <w:name w:val="Table Note"/>
    <w:basedOn w:val="Normal"/>
    <w:next w:val="Normal"/>
    <w:pPr>
      <w:spacing w:before="120"/>
      <w:jc w:val="center"/>
    </w:pPr>
    <w:rPr>
      <w:sz w:val="20"/>
      <w:szCs w:val="20"/>
    </w:rPr>
  </w:style>
  <w:style w:type="paragraph" w:customStyle="1" w:styleId="TableRowHead">
    <w:name w:val="Table Row Head"/>
    <w:basedOn w:val="Normal"/>
    <w:pPr>
      <w:keepNext/>
      <w:spacing w:after="0"/>
    </w:pPr>
    <w:rPr>
      <w:rFonts w:ascii="Arial Bold" w:hAnsi="Arial Bold"/>
      <w:b/>
    </w:rPr>
  </w:style>
  <w:style w:type="paragraph" w:customStyle="1" w:styleId="TableSummary">
    <w:name w:val="Table Summary"/>
    <w:basedOn w:val="Normal"/>
    <w:next w:val="TableHead"/>
    <w:pPr>
      <w:ind w:left="567" w:right="567"/>
      <w:jc w:val="center"/>
    </w:pPr>
    <w:rPr>
      <w:i/>
    </w:rPr>
  </w:style>
  <w:style w:type="paragraph" w:customStyle="1" w:styleId="TableTitle">
    <w:name w:val="Table Title"/>
    <w:basedOn w:val="Normal"/>
    <w:next w:val="TableSummary"/>
    <w:rsid w:val="00B76547"/>
    <w:pPr>
      <w:keepNext/>
      <w:keepLines/>
      <w:spacing w:after="120"/>
      <w:jc w:val="center"/>
    </w:pPr>
    <w:rPr>
      <w:b/>
    </w:rPr>
  </w:style>
  <w:style w:type="paragraph" w:customStyle="1" w:styleId="TaggedText">
    <w:name w:val="Tagged Text"/>
    <w:basedOn w:val="Normal"/>
    <w:pPr>
      <w:suppressAutoHyphens/>
      <w:spacing w:after="0"/>
    </w:pPr>
    <w:rPr>
      <w:rFonts w:ascii="Courier New" w:hAnsi="Courier New"/>
      <w:color w:val="FF0000"/>
    </w:rPr>
  </w:style>
  <w:style w:type="paragraph" w:styleId="Title">
    <w:name w:val="Title"/>
    <w:basedOn w:val="Normal"/>
    <w:next w:val="Normal"/>
    <w:qFormat/>
    <w:rsid w:val="003B10EC"/>
    <w:pPr>
      <w:spacing w:after="3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customStyle="1" w:styleId="NormalBeforeList">
    <w:name w:val="Normal (Before List)"/>
    <w:basedOn w:val="Normal"/>
    <w:qFormat/>
    <w:rsid w:val="00BA2579"/>
    <w:pPr>
      <w:spacing w:after="120"/>
    </w:pPr>
  </w:style>
  <w:style w:type="paragraph" w:customStyle="1" w:styleId="TableHeadRight">
    <w:name w:val="Table Head Right"/>
    <w:basedOn w:val="TableHead"/>
    <w:pPr>
      <w:jc w:val="right"/>
    </w:pPr>
  </w:style>
  <w:style w:type="paragraph" w:customStyle="1" w:styleId="TableCellLeft">
    <w:name w:val="Table Cell Left"/>
    <w:basedOn w:val="TableCell"/>
  </w:style>
  <w:style w:type="paragraph" w:styleId="FootnoteText">
    <w:name w:val="footnote text"/>
    <w:basedOn w:val="Normal"/>
    <w:semiHidden/>
    <w:rsid w:val="00287B8E"/>
    <w:pPr>
      <w:spacing w:after="120"/>
    </w:pPr>
    <w:rPr>
      <w:sz w:val="22"/>
      <w:szCs w:val="20"/>
    </w:rPr>
  </w:style>
  <w:style w:type="paragraph" w:styleId="TOC2">
    <w:name w:val="toc 2"/>
    <w:basedOn w:val="Normal"/>
    <w:next w:val="Normal"/>
    <w:autoRedefine/>
    <w:rsid w:val="00F351D6"/>
    <w:pPr>
      <w:keepLines/>
      <w:spacing w:after="60"/>
      <w:ind w:left="261"/>
    </w:pPr>
  </w:style>
  <w:style w:type="paragraph" w:customStyle="1" w:styleId="NormalAfterList">
    <w:name w:val="Normal (After List)"/>
    <w:basedOn w:val="Normal"/>
    <w:qFormat/>
    <w:rsid w:val="00C154AE"/>
    <w:pPr>
      <w:spacing w:before="120"/>
    </w:pPr>
  </w:style>
  <w:style w:type="character" w:styleId="FootnoteReference">
    <w:name w:val="footnote reference"/>
    <w:rsid w:val="00287B8E"/>
    <w:rPr>
      <w:rFonts w:ascii="Gill Sans" w:hAnsi="Gill Sans"/>
      <w:sz w:val="22"/>
      <w:vertAlign w:val="superscript"/>
    </w:rPr>
  </w:style>
  <w:style w:type="character" w:styleId="Strong">
    <w:name w:val="Strong"/>
    <w:basedOn w:val="DefaultParagraphFont"/>
    <w:qFormat/>
    <w:rsid w:val="00B14618"/>
    <w:rPr>
      <w:rFonts w:ascii="Gill Sans MT" w:hAnsi="Gill Sans MT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1461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B14618"/>
    <w:rPr>
      <w:rFonts w:ascii="Gill Sans MT" w:eastAsia="Times New Roman" w:hAnsi="Gill Sans MT"/>
      <w:i/>
      <w:iCs/>
      <w:color w:val="000000"/>
      <w:sz w:val="26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6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618"/>
    <w:rPr>
      <w:rFonts w:ascii="Gill Sans MT" w:eastAsia="Times New Roman" w:hAnsi="Gill Sans MT"/>
      <w:b/>
      <w:bCs/>
      <w:i/>
      <w:iCs/>
      <w:color w:val="4F81BD"/>
      <w:sz w:val="26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B14618"/>
    <w:rPr>
      <w:rFonts w:ascii="Gill Sans MT" w:hAnsi="Gill Sans MT"/>
      <w:smallCaps/>
      <w:color w:val="C0504D"/>
      <w:u w:val="single"/>
    </w:rPr>
  </w:style>
  <w:style w:type="character" w:styleId="CommentReference">
    <w:name w:val="annotation reference"/>
    <w:basedOn w:val="DefaultParagraphFont"/>
    <w:rsid w:val="00B6001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6001A"/>
    <w:rPr>
      <w:rFonts w:ascii="Gill Sans MT" w:hAnsi="Gill Sans MT"/>
      <w:b/>
      <w:bCs/>
      <w:szCs w:val="20"/>
      <w:lang w:val="en-IE"/>
    </w:rPr>
  </w:style>
  <w:style w:type="character" w:customStyle="1" w:styleId="CommentSubjectChar">
    <w:name w:val="Comment Subject Char"/>
    <w:basedOn w:val="CommentTextChar"/>
    <w:link w:val="CommentSubject"/>
    <w:rsid w:val="00B6001A"/>
    <w:rPr>
      <w:rFonts w:ascii="Gill Sans MT" w:eastAsia="Times New Roman" w:hAnsi="Gill Sans MT"/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rsid w:val="00B600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6001A"/>
    <w:rPr>
      <w:rFonts w:ascii="Segoe UI" w:eastAsia="Times New Roman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01C0B"/>
    <w:rPr>
      <w:rFonts w:ascii="Gill Sans MT" w:eastAsia="Times New Roman" w:hAnsi="Gill Sans MT"/>
      <w:sz w:val="26"/>
      <w:szCs w:val="24"/>
      <w:lang w:eastAsia="en-US"/>
    </w:rPr>
  </w:style>
  <w:style w:type="paragraph" w:customStyle="1" w:styleId="pf0">
    <w:name w:val="pf0"/>
    <w:basedOn w:val="Normal"/>
    <w:rsid w:val="009D3521"/>
    <w:pPr>
      <w:spacing w:before="100" w:beforeAutospacing="1" w:after="100" w:afterAutospacing="1"/>
    </w:pPr>
    <w:rPr>
      <w:rFonts w:ascii="Times New Roman" w:hAnsi="Times New Roman"/>
      <w:sz w:val="24"/>
      <w:lang w:eastAsia="en-IE"/>
    </w:rPr>
  </w:style>
  <w:style w:type="character" w:customStyle="1" w:styleId="cf01">
    <w:name w:val="cf01"/>
    <w:basedOn w:val="DefaultParagraphFont"/>
    <w:rsid w:val="009D352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D3521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rsid w:val="009D3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services.gov.ie\NETLOGON\NDA\NDATemplates\NDA%20Style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7AB22-B2FB-4EF5-9666-A4EAEA81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NDA Style 2011</Template>
  <TotalTime>2</TotalTime>
  <Pages>6</Pages>
  <Words>1762</Words>
  <Characters>9241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Disability Authority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Damhnait M. O' Malley</dc:creator>
  <cp:keywords/>
  <cp:lastModifiedBy>Ciaran Finlay (NDA)</cp:lastModifiedBy>
  <cp:revision>2</cp:revision>
  <dcterms:created xsi:type="dcterms:W3CDTF">2024-08-23T09:48:00Z</dcterms:created>
  <dcterms:modified xsi:type="dcterms:W3CDTF">2024-08-23T09:48:00Z</dcterms:modified>
</cp:coreProperties>
</file>