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3F" w:rsidRDefault="00AB733F" w:rsidP="00AB733F">
      <w:pPr>
        <w:pStyle w:val="Title"/>
      </w:pPr>
      <w:r w:rsidRPr="001568F3">
        <w:t>N</w:t>
      </w:r>
      <w:r>
        <w:t xml:space="preserve">ational </w:t>
      </w:r>
      <w:r w:rsidRPr="001568F3">
        <w:t>D</w:t>
      </w:r>
      <w:r>
        <w:t xml:space="preserve">isability </w:t>
      </w:r>
      <w:r w:rsidRPr="001568F3">
        <w:t>A</w:t>
      </w:r>
      <w:r>
        <w:t>uthority Resource Allocation</w:t>
      </w:r>
      <w:r w:rsidRPr="001568F3">
        <w:t xml:space="preserve"> Feasibility Study</w:t>
      </w:r>
      <w:r w:rsidR="00B833C9">
        <w:t xml:space="preserve"> phase 2</w:t>
      </w:r>
    </w:p>
    <w:p w:rsidR="00AB733F" w:rsidRDefault="00AB733F" w:rsidP="00AB733F">
      <w:pPr>
        <w:pStyle w:val="Title"/>
      </w:pPr>
      <w:r w:rsidRPr="001568F3">
        <w:t>Final Report</w:t>
      </w:r>
    </w:p>
    <w:p w:rsidR="00AB733F" w:rsidRDefault="00B833C9" w:rsidP="00AB733F">
      <w:pPr>
        <w:pStyle w:val="Title"/>
      </w:pPr>
      <w:r>
        <w:t>December</w:t>
      </w:r>
      <w:r w:rsidR="00AB733F">
        <w:t xml:space="preserve"> 201</w:t>
      </w:r>
      <w:r>
        <w:t>4</w:t>
      </w:r>
    </w:p>
    <w:p w:rsidR="00DD3E34" w:rsidRPr="00117DF2" w:rsidRDefault="00AB733F" w:rsidP="00B833C9">
      <w:pPr>
        <w:pStyle w:val="Heading1"/>
      </w:pPr>
      <w:r>
        <w:br w:type="page"/>
      </w:r>
      <w:r w:rsidR="00DD3E34" w:rsidRPr="00117DF2">
        <w:lastRenderedPageBreak/>
        <w:t>Key findings</w:t>
      </w:r>
    </w:p>
    <w:p w:rsidR="00DD3E34" w:rsidRPr="00117DF2" w:rsidRDefault="00DD3E34" w:rsidP="00DD3E34">
      <w:pPr>
        <w:pStyle w:val="Heading2"/>
      </w:pPr>
      <w:r w:rsidRPr="00117DF2">
        <w:t>Strong correlation between all four tools</w:t>
      </w:r>
    </w:p>
    <w:p w:rsidR="00DD3E34" w:rsidRPr="00117DF2" w:rsidRDefault="00DD3E34" w:rsidP="00DD3E34">
      <w:pPr>
        <w:pStyle w:val="ListBullet"/>
      </w:pPr>
      <w:r w:rsidRPr="00117DF2">
        <w:t xml:space="preserve">There was a very strong overall correlation between the four assessment tools, FACE, </w:t>
      </w:r>
      <w:r w:rsidR="000F608B" w:rsidRPr="00117DF2">
        <w:t>interRAI</w:t>
      </w:r>
      <w:r w:rsidRPr="00117DF2">
        <w:t xml:space="preserve">, </w:t>
      </w:r>
      <w:r w:rsidR="000F608B" w:rsidRPr="00117DF2">
        <w:t xml:space="preserve">RAS 5 </w:t>
      </w:r>
      <w:r w:rsidRPr="00117DF2">
        <w:t xml:space="preserve">and </w:t>
      </w:r>
      <w:r w:rsidR="006E5FB9" w:rsidRPr="00117DF2">
        <w:rPr>
          <w:szCs w:val="26"/>
        </w:rPr>
        <w:t>Support Intensity Scale® (SIS)</w:t>
      </w:r>
      <w:r w:rsidRPr="00117DF2">
        <w:t xml:space="preserve"> for individual service users</w:t>
      </w:r>
    </w:p>
    <w:p w:rsidR="00DD3E34" w:rsidRPr="00117DF2" w:rsidRDefault="00DD3E34" w:rsidP="00DD3E34">
      <w:pPr>
        <w:pStyle w:val="ListBullet"/>
        <w:spacing w:after="240"/>
        <w:ind w:left="357" w:hanging="357"/>
      </w:pPr>
      <w:r w:rsidRPr="00117DF2">
        <w:t>All four tools correlate well with underlying need</w:t>
      </w:r>
    </w:p>
    <w:p w:rsidR="00DD3E34" w:rsidRPr="00117DF2" w:rsidRDefault="00DD3E34" w:rsidP="00DD3E34">
      <w:r w:rsidRPr="00117DF2">
        <w:t>The strength of the correlation between the scores suggests that any of the tools would give very similar assessment results. Therefore a standardised framework based on any of the four tools could allow resources to be targeted towards those with the greatest needs, and enable supports and services to be aligned with needs. While one of the questionnaires (</w:t>
      </w:r>
      <w:r w:rsidR="000F608B" w:rsidRPr="00117DF2">
        <w:t>RAS 5</w:t>
      </w:r>
      <w:r w:rsidRPr="00117DF2">
        <w:t xml:space="preserve">) was noticeably shorter and covered issues in less depth than others, it arrived at a similar ranking of needs to the more detailed ones. </w:t>
      </w:r>
    </w:p>
    <w:p w:rsidR="00DD3E34" w:rsidRPr="00117DF2" w:rsidRDefault="00DD3E34" w:rsidP="00DD3E34">
      <w:r w:rsidRPr="00117DF2">
        <w:t xml:space="preserve">Thus, the decision on which assessment tool to rollout nationally is likely to be driven by the ease and accuracy in deriving costs of services from the assessment of need, the usefulness in performing other tasks, the cost of adoption and operation, and the acceptability to users and interviewers of each tool. </w:t>
      </w:r>
    </w:p>
    <w:p w:rsidR="00DD3E34" w:rsidRPr="00117DF2" w:rsidRDefault="00DD3E34" w:rsidP="00DD3E34">
      <w:pPr>
        <w:pStyle w:val="Heading2"/>
      </w:pPr>
      <w:r w:rsidRPr="00117DF2">
        <w:t>What support needs and costs may not be captured</w:t>
      </w:r>
    </w:p>
    <w:p w:rsidR="00DD3E34" w:rsidRPr="00117DF2" w:rsidRDefault="00DD3E34" w:rsidP="00DD3E34">
      <w:pPr>
        <w:pStyle w:val="Heading3"/>
      </w:pPr>
      <w:r w:rsidRPr="00117DF2">
        <w:t>Quantum of therapy support</w:t>
      </w:r>
    </w:p>
    <w:p w:rsidR="00DD3E34" w:rsidRPr="00117DF2" w:rsidRDefault="00DD3E34" w:rsidP="00DD3E34">
      <w:r w:rsidRPr="00117DF2">
        <w:t>Each of the tools is capable of assessing the degree of need for care support, but none of the tools are designed to predict the quantum of therapy or other clinical services required. However, some of the tools can point to likely needs for therapy or clinical input. The scale of such inputs required would need separate clinical assessment.</w:t>
      </w:r>
    </w:p>
    <w:p w:rsidR="00DD3E34" w:rsidRPr="00117DF2" w:rsidRDefault="00DD3E34" w:rsidP="00DD3E34">
      <w:r w:rsidRPr="00117DF2">
        <w:t>That suggests that resource allocation for therapy supports would need to be addressed outside of the allocat</w:t>
      </w:r>
      <w:r w:rsidR="000F608B" w:rsidRPr="00117DF2">
        <w:t>ion</w:t>
      </w:r>
      <w:r w:rsidRPr="00117DF2">
        <w:t xml:space="preserve"> of resources.</w:t>
      </w:r>
    </w:p>
    <w:p w:rsidR="00DD3E34" w:rsidRPr="00117DF2" w:rsidRDefault="00DD3E34" w:rsidP="00DD3E34">
      <w:pPr>
        <w:pStyle w:val="Heading3"/>
      </w:pPr>
      <w:r w:rsidRPr="00117DF2">
        <w:t>Irregular intermittent support needs and complex circumstances</w:t>
      </w:r>
    </w:p>
    <w:p w:rsidR="00DD3E34" w:rsidRPr="00117DF2" w:rsidRDefault="00DD3E34" w:rsidP="00DD3E34">
      <w:r w:rsidRPr="00117DF2">
        <w:t>All tools work for regular support needs but are not geared towards identifying needs and costs where people have irregularly intermittent needs or conditions</w:t>
      </w:r>
    </w:p>
    <w:p w:rsidR="00DD3E34" w:rsidRPr="00117DF2" w:rsidRDefault="00DD3E34" w:rsidP="00DD3E34">
      <w:r w:rsidRPr="00117DF2">
        <w:t xml:space="preserve">No tool was effectively able to capture need in all circumstances. For instance, the tools were not intended to capture the range of support needs in complex situations such as where a service user is themselves providing care to a child with a disability. It would be important to have protocols to highlight those cases where assessments might need to extend beyond standard tools. </w:t>
      </w:r>
    </w:p>
    <w:p w:rsidR="00DD3E34" w:rsidRPr="00117DF2" w:rsidRDefault="00DD3E34" w:rsidP="00DD3E34">
      <w:r w:rsidRPr="00117DF2">
        <w:lastRenderedPageBreak/>
        <w:t>All tools gave people with complex disabilities similar scores. However, feedback was that people with complex or multiple disabilities felt that the</w:t>
      </w:r>
      <w:r w:rsidR="000F608B" w:rsidRPr="00117DF2">
        <w:t xml:space="preserve"> interRAI</w:t>
      </w:r>
      <w:r w:rsidRPr="00117DF2">
        <w:t xml:space="preserve"> tool did not fully capture their needs. This reflected the particular configuration of the</w:t>
      </w:r>
      <w:r w:rsidR="000F608B" w:rsidRPr="00117DF2">
        <w:t xml:space="preserve"> interRAI</w:t>
      </w:r>
      <w:r w:rsidRPr="00117DF2">
        <w:t xml:space="preserve"> tool that the NDA used, where filter questions were used to direct respondents to particular suites of questions, focusing on either physical or intellectual disability. This highlights the need for an adequately integrated tool which accommodates different types of disabilities rather than different tools for different disabilities.</w:t>
      </w:r>
    </w:p>
    <w:p w:rsidR="00DD3E34" w:rsidRPr="00117DF2" w:rsidRDefault="00DD3E34" w:rsidP="00DD3E34">
      <w:pPr>
        <w:pStyle w:val="Heading3"/>
      </w:pPr>
      <w:r w:rsidRPr="00117DF2">
        <w:t>Support available from family and friends</w:t>
      </w:r>
    </w:p>
    <w:p w:rsidR="00DD3E34" w:rsidRPr="00117DF2" w:rsidRDefault="00DD3E34" w:rsidP="00DD3E34">
      <w:r w:rsidRPr="00117DF2">
        <w:t>The support available to a person from family and friends is a key factor in assessing the kind and scale of support they need from the state, whether this should be day support or a residential service. Of the four assessment tools, SIS does not explicitly collect information on the supports available from the family or others.</w:t>
      </w:r>
      <w:r w:rsidR="000F608B" w:rsidRPr="00117DF2">
        <w:t xml:space="preserve"> </w:t>
      </w:r>
    </w:p>
    <w:p w:rsidR="00DD3E34" w:rsidRPr="00117DF2" w:rsidRDefault="00DD3E34" w:rsidP="00DD3E34">
      <w:pPr>
        <w:pStyle w:val="Heading2"/>
      </w:pPr>
      <w:r w:rsidRPr="00117DF2">
        <w:t>Feedback from participants in the trials</w:t>
      </w:r>
    </w:p>
    <w:p w:rsidR="00DD3E34" w:rsidRPr="00117DF2" w:rsidRDefault="00DD3E34" w:rsidP="00DD3E34">
      <w:r w:rsidRPr="00117DF2">
        <w:t>Service users generally felt that the acceptability of all four tools was good, with the exception, as noted above, that people with multiple forms of impairment did not feel that the configuration of</w:t>
      </w:r>
      <w:r w:rsidR="000F608B" w:rsidRPr="00117DF2">
        <w:t xml:space="preserve"> interRAI</w:t>
      </w:r>
      <w:r w:rsidRPr="00117DF2">
        <w:t xml:space="preserve"> used by NDA fully captured their needs.</w:t>
      </w:r>
      <w:r w:rsidR="000F608B" w:rsidRPr="00117DF2">
        <w:t xml:space="preserve"> </w:t>
      </w:r>
    </w:p>
    <w:p w:rsidR="00DD3E34" w:rsidRPr="00117DF2" w:rsidRDefault="00DD3E34" w:rsidP="00DD3E34">
      <w:r w:rsidRPr="00117DF2">
        <w:t>Service users, key workers and family members did not clearly identify a preference for one tool over any other tool.</w:t>
      </w:r>
      <w:r w:rsidR="000F608B" w:rsidRPr="00117DF2">
        <w:t xml:space="preserve"> </w:t>
      </w:r>
      <w:r w:rsidRPr="00117DF2">
        <w:t>Interviewers had a clear preference for the SIS assessment tool which they perceived to be more comprehensive, and reported their view that the</w:t>
      </w:r>
      <w:r w:rsidR="000F608B" w:rsidRPr="00117DF2">
        <w:t xml:space="preserve"> interRAI</w:t>
      </w:r>
      <w:r w:rsidRPr="00117DF2">
        <w:t xml:space="preserve"> tool did not give a holistic sense of the person. </w:t>
      </w:r>
    </w:p>
    <w:p w:rsidR="00DD3E34" w:rsidRPr="00117DF2" w:rsidRDefault="00DD3E34" w:rsidP="00DD3E34">
      <w:pPr>
        <w:pStyle w:val="Heading2"/>
      </w:pPr>
      <w:r w:rsidRPr="00117DF2">
        <w:t>Cost of implementing specific tools</w:t>
      </w:r>
    </w:p>
    <w:p w:rsidR="00DD3E34" w:rsidRPr="00117DF2" w:rsidRDefault="00DD3E34" w:rsidP="00DD3E34">
      <w:pPr>
        <w:spacing w:after="120"/>
      </w:pPr>
      <w:r w:rsidRPr="00117DF2">
        <w:t>While the National Disability Authority has not yet been able to cost the different tools in detail, there are some general indications:</w:t>
      </w:r>
    </w:p>
    <w:p w:rsidR="00DD3E34" w:rsidRPr="00117DF2" w:rsidRDefault="00DD3E34" w:rsidP="00DD3E34">
      <w:pPr>
        <w:pStyle w:val="ListBullet"/>
      </w:pPr>
      <w:r w:rsidRPr="00117DF2">
        <w:t xml:space="preserve">Administration time is shortest for </w:t>
      </w:r>
      <w:r w:rsidR="00432816" w:rsidRPr="00117DF2">
        <w:t>RAS 5</w:t>
      </w:r>
      <w:r w:rsidRPr="00117DF2">
        <w:t>, and roughly equiva</w:t>
      </w:r>
      <w:r w:rsidR="00432816" w:rsidRPr="00117DF2">
        <w:t>lent for the other three tools</w:t>
      </w:r>
    </w:p>
    <w:p w:rsidR="00DD3E34" w:rsidRPr="00117DF2" w:rsidRDefault="00DD3E34" w:rsidP="00DD3E34">
      <w:pPr>
        <w:pStyle w:val="ListBullet"/>
      </w:pPr>
      <w:r w:rsidRPr="00117DF2">
        <w:t>With more time taken to administer comes a more in-depth profile of the individual, which may be helpful for purposes other than resource allocation</w:t>
      </w:r>
    </w:p>
    <w:p w:rsidR="00DD3E34" w:rsidRPr="00117DF2" w:rsidRDefault="00117DF2" w:rsidP="00432816">
      <w:pPr>
        <w:pStyle w:val="ListBullet"/>
      </w:pPr>
      <w:r w:rsidRPr="00117DF2">
        <w:t>InterRAI</w:t>
      </w:r>
      <w:r w:rsidR="00DD3E34" w:rsidRPr="00117DF2">
        <w:t xml:space="preserve"> comes at no or nominal cost for licensing. FACE </w:t>
      </w:r>
      <w:r w:rsidR="00432816" w:rsidRPr="00117DF2">
        <w:t xml:space="preserve">is </w:t>
      </w:r>
      <w:r w:rsidR="00DD3E34" w:rsidRPr="00117DF2">
        <w:t xml:space="preserve">cheap to licence, and the FACE tool licence also includes supply of a web-based hosted centralised data collection and cost calculation service, covering the cost of computerised implementation. </w:t>
      </w:r>
      <w:r w:rsidR="00432816" w:rsidRPr="00117DF2">
        <w:t xml:space="preserve">RAS 5 is cheap to licence. </w:t>
      </w:r>
      <w:r w:rsidR="00DD3E34" w:rsidRPr="00117DF2">
        <w:t>SIS is more expensive to licence</w:t>
      </w:r>
    </w:p>
    <w:p w:rsidR="00DD3E34" w:rsidRPr="00117DF2" w:rsidRDefault="00DD3E34" w:rsidP="00DD3E34">
      <w:pPr>
        <w:pStyle w:val="ListBullet"/>
      </w:pPr>
      <w:r w:rsidRPr="00117DF2">
        <w:t>Data processing for</w:t>
      </w:r>
      <w:r w:rsidR="000F608B" w:rsidRPr="00117DF2">
        <w:t xml:space="preserve"> interRAI</w:t>
      </w:r>
      <w:r w:rsidRPr="00117DF2">
        <w:t xml:space="preserve"> is done through dedicated commercial software companies for which there are additional charges. SIS has an online data processing system SIS Online</w:t>
      </w:r>
      <w:r w:rsidR="008604B0" w:rsidRPr="00117DF2">
        <w:t>, for which there is a charge</w:t>
      </w:r>
    </w:p>
    <w:p w:rsidR="00DD3E34" w:rsidRPr="00117DF2" w:rsidRDefault="00DD3E34" w:rsidP="008604B0">
      <w:pPr>
        <w:pStyle w:val="ListBullet"/>
        <w:spacing w:after="240"/>
        <w:ind w:left="357" w:hanging="357"/>
      </w:pPr>
      <w:r w:rsidRPr="00117DF2">
        <w:t xml:space="preserve">Training for FACE </w:t>
      </w:r>
      <w:r w:rsidR="00432816" w:rsidRPr="00117DF2">
        <w:t xml:space="preserve">and RAS 5 </w:t>
      </w:r>
      <w:r w:rsidRPr="00117DF2">
        <w:t>is shorter and less expensive than training for</w:t>
      </w:r>
      <w:r w:rsidR="000F608B" w:rsidRPr="00117DF2">
        <w:t xml:space="preserve"> interRAI</w:t>
      </w:r>
      <w:r w:rsidRPr="00117DF2">
        <w:t xml:space="preserve"> or SIS. </w:t>
      </w:r>
    </w:p>
    <w:p w:rsidR="00DD3E34" w:rsidRPr="00117DF2" w:rsidRDefault="00DD3E34" w:rsidP="00DD3E34">
      <w:pPr>
        <w:pStyle w:val="Heading1"/>
        <w:rPr>
          <w:lang w:val="en-IE"/>
        </w:rPr>
      </w:pPr>
      <w:r w:rsidRPr="00117DF2">
        <w:rPr>
          <w:lang w:val="en-IE"/>
        </w:rPr>
        <w:t>Strengths, weakness, similarities of the 4 tools</w:t>
      </w:r>
    </w:p>
    <w:p w:rsidR="00DD3E34" w:rsidRPr="00117DF2" w:rsidRDefault="00DD3E34" w:rsidP="00BC0EA0">
      <w:r w:rsidRPr="00117DF2">
        <w:t xml:space="preserve">In summary, all four assessment tools are good predictors of need and there is a strong overall correlation between assessment tools scores for service users. This remains when correlating scores by age and gender with a small exception for disability type. Service users report high satisfaction levels and were generally happy with the length of interviews. Therefore, with appropriate amendments or additions, and with accurate algorithms to convert assessment scores into costs, in principle it would be possible to use any of the tools to generate a fair resource allocation mechanism that would map well onto individual need in most circumstances. A key difference between the systems is the ready availability of accurate algorithms to convert assessment results into care and support hours or budgets. </w:t>
      </w:r>
    </w:p>
    <w:p w:rsidR="00DD3E34" w:rsidRPr="00117DF2" w:rsidRDefault="00432816" w:rsidP="00DD3E34">
      <w:pPr>
        <w:rPr>
          <w:rFonts w:ascii="Gill Sans MT" w:hAnsi="Gill Sans MT"/>
          <w:sz w:val="22"/>
          <w:szCs w:val="22"/>
        </w:rPr>
      </w:pPr>
      <w:r w:rsidRPr="00117DF2">
        <w:br w:type="page"/>
      </w:r>
      <w:r w:rsidR="00DD3E34" w:rsidRPr="00117DF2">
        <w:t>The following table sets out how each of the four systems meets key features</w:t>
      </w:r>
    </w:p>
    <w:p w:rsidR="00DD3E34" w:rsidRPr="00117DF2" w:rsidRDefault="00DD3E34" w:rsidP="00DD3E34">
      <w:pPr>
        <w:pStyle w:val="TableTitle"/>
      </w:pPr>
      <w:r w:rsidRPr="00117DF2">
        <w:t>Comparison of the four assessment tools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1759"/>
        <w:gridCol w:w="1758"/>
        <w:gridCol w:w="1758"/>
        <w:gridCol w:w="1758"/>
        <w:gridCol w:w="1758"/>
      </w:tblGrid>
      <w:tr w:rsidR="00DD3E34" w:rsidRPr="00117DF2" w:rsidTr="00DD3E34">
        <w:tblPrEx>
          <w:tblCellMar>
            <w:top w:w="0" w:type="dxa"/>
            <w:bottom w:w="0" w:type="dxa"/>
          </w:tblCellMar>
        </w:tblPrEx>
        <w:trPr>
          <w:tblHeader/>
        </w:trPr>
        <w:tc>
          <w:tcPr>
            <w:tcW w:w="1000" w:type="pct"/>
            <w:tcBorders>
              <w:bottom w:val="single" w:sz="12" w:space="0" w:color="000000"/>
            </w:tcBorders>
            <w:shd w:val="clear" w:color="auto" w:fill="auto"/>
          </w:tcPr>
          <w:p w:rsidR="00DD3E34" w:rsidRPr="00117DF2" w:rsidRDefault="00DD3E34" w:rsidP="00DD3E34">
            <w:pPr>
              <w:pStyle w:val="TableHead"/>
            </w:pPr>
            <w:r w:rsidRPr="00117DF2">
              <w:t>Feature</w:t>
            </w:r>
          </w:p>
        </w:tc>
        <w:tc>
          <w:tcPr>
            <w:tcW w:w="1000" w:type="pct"/>
            <w:tcBorders>
              <w:bottom w:val="single" w:sz="12" w:space="0" w:color="000000"/>
            </w:tcBorders>
            <w:shd w:val="clear" w:color="auto" w:fill="auto"/>
          </w:tcPr>
          <w:p w:rsidR="00DD3E34" w:rsidRPr="00117DF2" w:rsidRDefault="00DD3E34" w:rsidP="00DD3E34">
            <w:pPr>
              <w:pStyle w:val="TableHead"/>
            </w:pPr>
            <w:r w:rsidRPr="00117DF2">
              <w:t>FACE</w:t>
            </w:r>
          </w:p>
        </w:tc>
        <w:tc>
          <w:tcPr>
            <w:tcW w:w="1000" w:type="pct"/>
            <w:tcBorders>
              <w:bottom w:val="single" w:sz="12" w:space="0" w:color="000000"/>
            </w:tcBorders>
            <w:shd w:val="clear" w:color="auto" w:fill="auto"/>
          </w:tcPr>
          <w:p w:rsidR="00DD3E34" w:rsidRPr="00117DF2" w:rsidRDefault="000F608B" w:rsidP="00DD3E34">
            <w:pPr>
              <w:pStyle w:val="TableHead"/>
              <w:keepNext/>
              <w:widowControl w:val="0"/>
            </w:pPr>
            <w:r w:rsidRPr="00117DF2">
              <w:t>interRAI</w:t>
            </w:r>
          </w:p>
        </w:tc>
        <w:tc>
          <w:tcPr>
            <w:tcW w:w="1000" w:type="pct"/>
            <w:tcBorders>
              <w:bottom w:val="single" w:sz="12" w:space="0" w:color="000000"/>
            </w:tcBorders>
            <w:shd w:val="clear" w:color="auto" w:fill="auto"/>
          </w:tcPr>
          <w:p w:rsidR="00DD3E34" w:rsidRPr="00117DF2" w:rsidRDefault="00D7421E" w:rsidP="00DD3E34">
            <w:pPr>
              <w:pStyle w:val="TableHead"/>
            </w:pPr>
            <w:r w:rsidRPr="00117DF2">
              <w:t>RAS 5</w:t>
            </w:r>
          </w:p>
        </w:tc>
        <w:tc>
          <w:tcPr>
            <w:tcW w:w="1000" w:type="pct"/>
            <w:tcBorders>
              <w:bottom w:val="single" w:sz="12" w:space="0" w:color="000000"/>
            </w:tcBorders>
            <w:shd w:val="clear" w:color="auto" w:fill="auto"/>
          </w:tcPr>
          <w:p w:rsidR="00DD3E34" w:rsidRPr="00117DF2" w:rsidRDefault="00DD3E34" w:rsidP="00DD3E34">
            <w:pPr>
              <w:pStyle w:val="TableHead"/>
            </w:pPr>
            <w:r w:rsidRPr="00117DF2">
              <w:t>SIS</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Correlates well with need</w:t>
            </w:r>
          </w:p>
        </w:tc>
        <w:tc>
          <w:tcPr>
            <w:tcW w:w="1000" w:type="pct"/>
            <w:shd w:val="clear" w:color="auto" w:fill="auto"/>
          </w:tcPr>
          <w:p w:rsidR="00DD3E34" w:rsidRPr="00117DF2" w:rsidRDefault="00DD3E34" w:rsidP="00DD3E34">
            <w:pPr>
              <w:spacing w:after="0"/>
            </w:pPr>
            <w:r w:rsidRPr="00117DF2">
              <w:rPr>
                <w:sz w:val="22"/>
                <w:szCs w:val="22"/>
              </w:rPr>
              <w:t>Yes</w:t>
            </w:r>
          </w:p>
        </w:tc>
        <w:tc>
          <w:tcPr>
            <w:tcW w:w="1000" w:type="pct"/>
            <w:shd w:val="clear" w:color="auto" w:fill="auto"/>
          </w:tcPr>
          <w:p w:rsidR="00DD3E34" w:rsidRPr="00117DF2" w:rsidRDefault="00DD3E34" w:rsidP="00DD3E34">
            <w:pPr>
              <w:spacing w:after="0"/>
            </w:pPr>
            <w:r w:rsidRPr="00117DF2">
              <w:rPr>
                <w:sz w:val="22"/>
                <w:szCs w:val="22"/>
              </w:rPr>
              <w:t>Yes</w:t>
            </w:r>
          </w:p>
        </w:tc>
        <w:tc>
          <w:tcPr>
            <w:tcW w:w="1000" w:type="pct"/>
            <w:shd w:val="clear" w:color="auto" w:fill="auto"/>
          </w:tcPr>
          <w:p w:rsidR="00DD3E34" w:rsidRPr="00117DF2" w:rsidRDefault="00DD3E34" w:rsidP="00DD3E34">
            <w:pPr>
              <w:spacing w:after="0"/>
            </w:pPr>
            <w:r w:rsidRPr="00117DF2">
              <w:rPr>
                <w:sz w:val="22"/>
                <w:szCs w:val="22"/>
              </w:rPr>
              <w:t>Yes</w:t>
            </w:r>
          </w:p>
        </w:tc>
        <w:tc>
          <w:tcPr>
            <w:tcW w:w="1000" w:type="pct"/>
            <w:shd w:val="clear" w:color="auto" w:fill="auto"/>
          </w:tcPr>
          <w:p w:rsidR="00DD3E34" w:rsidRPr="00117DF2" w:rsidRDefault="00DD3E34" w:rsidP="00DD3E34">
            <w:pPr>
              <w:spacing w:after="0"/>
            </w:pPr>
            <w:r w:rsidRPr="00117DF2">
              <w:rPr>
                <w:sz w:val="22"/>
                <w:szCs w:val="22"/>
              </w:rPr>
              <w:t>Yes</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No clear bias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People with physical disabilities tend to score slightly lower on SIS</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Collects info on family support available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No</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Addresses sustainability of family support</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No</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No</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Scores can be readily converted into costs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Yes. Package to convert data to cost figure comes with the licence, giving costs/care hours based on UK data. </w:t>
            </w:r>
          </w:p>
        </w:tc>
        <w:tc>
          <w:tcPr>
            <w:tcW w:w="1000" w:type="pct"/>
            <w:shd w:val="clear" w:color="auto" w:fill="auto"/>
          </w:tcPr>
          <w:p w:rsidR="00DD3E34" w:rsidRPr="00117DF2" w:rsidRDefault="00DD3E34" w:rsidP="00D7421E">
            <w:pPr>
              <w:pStyle w:val="TableCell"/>
              <w:jc w:val="left"/>
              <w:rPr>
                <w:sz w:val="22"/>
                <w:szCs w:val="22"/>
              </w:rPr>
            </w:pPr>
            <w:r w:rsidRPr="00117DF2">
              <w:rPr>
                <w:sz w:val="22"/>
                <w:szCs w:val="22"/>
              </w:rPr>
              <w:t xml:space="preserve">Yes. Based On </w:t>
            </w:r>
            <w:r w:rsidR="00D7421E" w:rsidRPr="00117DF2">
              <w:rPr>
                <w:sz w:val="22"/>
                <w:szCs w:val="22"/>
              </w:rPr>
              <w:t>international</w:t>
            </w:r>
            <w:r w:rsidRPr="00117DF2">
              <w:rPr>
                <w:sz w:val="22"/>
                <w:szCs w:val="22"/>
              </w:rPr>
              <w:t xml:space="preserve"> data – Irish data would take time.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Flaws in standard methods. Alternative methods to convert scores to costs would need to be devised</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Would require a statistical exercise to develop a formula to link current costs to scores on individual elements. </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Accuracy of cost figures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High</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High consistency across jurisdictions.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Problematic. UK case law has successfully challenged accuracy and consistency</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Additional factors need to be added into model to predict costs – family support, challenging behaviour</w:t>
            </w:r>
          </w:p>
        </w:tc>
      </w:tr>
      <w:tr w:rsidR="00DD3E34" w:rsidRPr="00117DF2" w:rsidTr="00DD3E34">
        <w:tblPrEx>
          <w:tblCellMar>
            <w:top w:w="0" w:type="dxa"/>
            <w:bottom w:w="0" w:type="dxa"/>
          </w:tblCellMar>
        </w:tblPrEx>
        <w:trPr>
          <w:cantSplit/>
        </w:trPr>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Can be used for case mix straight away</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 using support hours generated from UK data</w:t>
            </w:r>
          </w:p>
        </w:tc>
        <w:tc>
          <w:tcPr>
            <w:tcW w:w="1000" w:type="pct"/>
            <w:shd w:val="clear" w:color="auto" w:fill="auto"/>
          </w:tcPr>
          <w:p w:rsidR="00DD3E34" w:rsidRPr="00117DF2" w:rsidRDefault="00DD3E34" w:rsidP="00D7421E">
            <w:pPr>
              <w:pStyle w:val="TableCell"/>
              <w:jc w:val="left"/>
              <w:rPr>
                <w:sz w:val="22"/>
                <w:szCs w:val="22"/>
              </w:rPr>
            </w:pPr>
            <w:r w:rsidRPr="00117DF2">
              <w:rPr>
                <w:sz w:val="22"/>
                <w:szCs w:val="22"/>
              </w:rPr>
              <w:t xml:space="preserve">Yes, using support hours generated from </w:t>
            </w:r>
            <w:r w:rsidR="00D7421E" w:rsidRPr="00117DF2">
              <w:rPr>
                <w:sz w:val="22"/>
                <w:szCs w:val="22"/>
              </w:rPr>
              <w:t>international</w:t>
            </w:r>
            <w:r w:rsidRPr="00117DF2">
              <w:rPr>
                <w:sz w:val="22"/>
                <w:szCs w:val="22"/>
              </w:rPr>
              <w:t xml:space="preserve"> data</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Would need new algorithm developed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Would need new algorithm developed</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Acceptable to service users in NDA trial</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To all but one (out of 40)</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Some service users in NDA trial felt complexity of their needs not fully covered</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Generally yes, but some service users with physical disabilities felt some parts not relevant to them, others felt some relevant areas were missed</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Acceptable to interviewers, NDA trial</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Interviewers expressed view it did not adequately assess need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Not considered as comprehensive as other tools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Interviewers felt it was very comprehensive. Their preferred system </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Psychometric tests show reasonable consistency across interviewers, and over time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7421E" w:rsidP="00D7421E">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No extensive tests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 in intellectual disability</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In widespread use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Used in UK across wide range of disabilities. Standard tool for assessment of ID in about</w:t>
            </w:r>
            <w:r w:rsidR="000F608B" w:rsidRPr="00117DF2">
              <w:rPr>
                <w:sz w:val="22"/>
                <w:szCs w:val="22"/>
              </w:rPr>
              <w:t xml:space="preserve"> </w:t>
            </w:r>
            <w:r w:rsidRPr="00117DF2">
              <w:rPr>
                <w:sz w:val="22"/>
                <w:szCs w:val="22"/>
              </w:rPr>
              <w:t>half of English councils</w:t>
            </w:r>
          </w:p>
        </w:tc>
        <w:tc>
          <w:tcPr>
            <w:tcW w:w="1000" w:type="pct"/>
            <w:shd w:val="clear" w:color="auto" w:fill="auto"/>
          </w:tcPr>
          <w:p w:rsidR="00DD3E34" w:rsidRPr="00117DF2" w:rsidRDefault="00DD3E34" w:rsidP="00D7421E">
            <w:pPr>
              <w:pStyle w:val="TableCell"/>
              <w:jc w:val="left"/>
              <w:rPr>
                <w:sz w:val="22"/>
                <w:szCs w:val="22"/>
              </w:rPr>
            </w:pPr>
            <w:r w:rsidRPr="00117DF2">
              <w:rPr>
                <w:sz w:val="22"/>
                <w:szCs w:val="22"/>
              </w:rPr>
              <w:t>Eldercare version in widespread use. Disability version</w:t>
            </w:r>
            <w:r w:rsidR="00D7421E" w:rsidRPr="00117DF2">
              <w:rPr>
                <w:sz w:val="22"/>
                <w:szCs w:val="22"/>
              </w:rPr>
              <w:t>s</w:t>
            </w:r>
            <w:r w:rsidRPr="00117DF2">
              <w:rPr>
                <w:sz w:val="22"/>
                <w:szCs w:val="22"/>
              </w:rPr>
              <w:t xml:space="preserve"> under trial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Variations of this in widespread use in England across adult social care groups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In widespread use in US for ID. Some use in Netherlands for people with physical disabilities</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Easy to understand</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 but some ambiguity</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Quick to complete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Yes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Yes, with gateways (which proved problematic in NDA trial where someone had multiple disabilities)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 xml:space="preserve">Quickest of the 4 </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Assessment template can be readily modified</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Some flexibility</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Up to 5% of ‘’local’ questions can be added</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Yes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Limited capacity to edit the tool. New questions would be outside SIS scoring system</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System tried in Ireland</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Some use in mental health services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Selected as single assessment tool for eldercare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No</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Some disability organisations have invested in SIS training and are applying it in a number of areas</w:t>
            </w:r>
          </w:p>
        </w:tc>
      </w:tr>
      <w:tr w:rsidR="00DD3E34" w:rsidRPr="00117DF2" w:rsidTr="00DD3E34">
        <w:tblPrEx>
          <w:tblCellMar>
            <w:top w:w="0" w:type="dxa"/>
            <w:bottom w:w="0" w:type="dxa"/>
          </w:tblCellMar>
        </w:tblPrEx>
        <w:trPr>
          <w:cantSplit/>
        </w:trPr>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Rollout costs</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Modest, and includes data processing in licence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Licensing nominal. Cost of data processing unknown</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Modest</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Appears highest of all four (licensing, IT)</w:t>
            </w:r>
          </w:p>
        </w:tc>
      </w:tr>
      <w:tr w:rsidR="00DD3E34" w:rsidRPr="00117DF2" w:rsidTr="00DD3E34">
        <w:tblPrEx>
          <w:tblCellMar>
            <w:top w:w="0" w:type="dxa"/>
            <w:bottom w:w="0" w:type="dxa"/>
          </w:tblCellMar>
        </w:tblPrEx>
        <w:tc>
          <w:tcPr>
            <w:tcW w:w="1000" w:type="pct"/>
            <w:shd w:val="clear" w:color="auto" w:fill="auto"/>
          </w:tcPr>
          <w:p w:rsidR="00DD3E34" w:rsidRPr="00117DF2" w:rsidRDefault="00DD3E34" w:rsidP="00DD3E34">
            <w:pPr>
              <w:pStyle w:val="TableRowHead"/>
              <w:keepNext w:val="0"/>
              <w:rPr>
                <w:rFonts w:ascii="Gill Sans" w:hAnsi="Gill Sans"/>
                <w:sz w:val="22"/>
                <w:szCs w:val="22"/>
              </w:rPr>
            </w:pPr>
            <w:r w:rsidRPr="00117DF2">
              <w:rPr>
                <w:rFonts w:ascii="Gill Sans" w:hAnsi="Gill Sans"/>
                <w:sz w:val="22"/>
                <w:szCs w:val="22"/>
              </w:rPr>
              <w:t>Training time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Less intensive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More intensive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Less intensive</w:t>
            </w:r>
          </w:p>
        </w:tc>
        <w:tc>
          <w:tcPr>
            <w:tcW w:w="1000" w:type="pct"/>
            <w:shd w:val="clear" w:color="auto" w:fill="auto"/>
          </w:tcPr>
          <w:p w:rsidR="00DD3E34" w:rsidRPr="00117DF2" w:rsidRDefault="00DD3E34" w:rsidP="00DD3E34">
            <w:pPr>
              <w:pStyle w:val="TableCell"/>
              <w:jc w:val="left"/>
              <w:rPr>
                <w:sz w:val="22"/>
                <w:szCs w:val="22"/>
              </w:rPr>
            </w:pPr>
            <w:r w:rsidRPr="00117DF2">
              <w:rPr>
                <w:sz w:val="22"/>
                <w:szCs w:val="22"/>
              </w:rPr>
              <w:t>More intensive</w:t>
            </w:r>
          </w:p>
        </w:tc>
      </w:tr>
    </w:tbl>
    <w:p w:rsidR="009F6062" w:rsidRPr="00117DF2" w:rsidRDefault="009F6062" w:rsidP="009F6062">
      <w:pPr>
        <w:pStyle w:val="Heading2"/>
        <w:spacing w:before="360"/>
      </w:pPr>
      <w:r w:rsidRPr="00117DF2">
        <w:t>Other issues</w:t>
      </w:r>
    </w:p>
    <w:p w:rsidR="009F6062" w:rsidRPr="00117DF2" w:rsidRDefault="009F6062" w:rsidP="009F6062">
      <w:r w:rsidRPr="00117DF2">
        <w:t>Several other issues related to resource assessment tools and the assessment process arose during the course of the first field trial and the current one:</w:t>
      </w:r>
    </w:p>
    <w:p w:rsidR="00432816" w:rsidRPr="00117DF2" w:rsidRDefault="00432816" w:rsidP="00432816">
      <w:pPr>
        <w:pStyle w:val="Heading3"/>
      </w:pPr>
      <w:r w:rsidRPr="00117DF2">
        <w:t>What is appropriate or sustainable support from the family/community</w:t>
      </w:r>
    </w:p>
    <w:p w:rsidR="00432816" w:rsidRPr="00117DF2" w:rsidRDefault="00432816" w:rsidP="00432816">
      <w:r w:rsidRPr="00117DF2">
        <w:t xml:space="preserve">In a situation where there is no unpaid family or community support available or obtainable, the level of support needs that would fall to be funded by the state is reasonably clear cut. In situations where there is some family or community support available, there is a degree of judgment to be exercised about whether that support is sustainable, and the scale of residual needs that would fall to the state. Appropriate guidance as to policy and practice in this respect would be needed to complement the assessment tools, as this is an issue that assessment tools in themselves do not fully resolve. </w:t>
      </w:r>
    </w:p>
    <w:p w:rsidR="009F6062" w:rsidRPr="00117DF2" w:rsidRDefault="009F6062" w:rsidP="009F6062">
      <w:pPr>
        <w:pStyle w:val="Heading3"/>
      </w:pPr>
      <w:r w:rsidRPr="00117DF2">
        <w:t>Ambiguity about assessing present capacity or capacity with support</w:t>
      </w:r>
    </w:p>
    <w:p w:rsidR="009F6062" w:rsidRPr="00117DF2" w:rsidRDefault="009F6062" w:rsidP="009F6062">
      <w:r w:rsidRPr="00117DF2">
        <w:t>In replying to questions on the different forms, interviewers and interviewees were not clear as to whether specific questions related to what a person can currently do, or what they could do in future with support, with the result that some responses were ambiguous. Whatever tool is adopted, there would need to be clear guidelines and appropriate training to ensure that a consistent approach would be taken to how questions should be interpreted, to ensure that everyone is assessed on a similar basis.</w:t>
      </w:r>
    </w:p>
    <w:p w:rsidR="009F6062" w:rsidRPr="00117DF2" w:rsidRDefault="009F6062" w:rsidP="009F6062">
      <w:pPr>
        <w:pStyle w:val="Heading3"/>
      </w:pPr>
      <w:r w:rsidRPr="00117DF2">
        <w:t>Respondents giving conflicting answers on different tools</w:t>
      </w:r>
    </w:p>
    <w:p w:rsidR="009F6062" w:rsidRPr="00117DF2" w:rsidRDefault="009F6062" w:rsidP="009F6062">
      <w:r w:rsidRPr="00117DF2">
        <w:t>The trials showed that occasionally the factual answers given were different for the same individual in successive interviews using different tools. This highlights the need to have input from a second informant in situations where that is a potential issue.</w:t>
      </w:r>
      <w:r w:rsidRPr="00117DF2">
        <w:rPr>
          <w:rStyle w:val="FootnoteReference"/>
        </w:rPr>
        <w:footnoteReference w:id="1"/>
      </w:r>
    </w:p>
    <w:p w:rsidR="009F6062" w:rsidRPr="00117DF2" w:rsidRDefault="009F6062" w:rsidP="009F6062">
      <w:pPr>
        <w:pStyle w:val="Heading3"/>
      </w:pPr>
      <w:r w:rsidRPr="00117DF2">
        <w:t xml:space="preserve">Assessing people with intermittent needs </w:t>
      </w:r>
    </w:p>
    <w:p w:rsidR="009F6062" w:rsidRPr="00117DF2" w:rsidRDefault="009F6062" w:rsidP="009F6062">
      <w:r w:rsidRPr="00117DF2">
        <w:t xml:space="preserve">All of the resource allocation tools are framed primarily around current needs. The assessment of people with intermittent needs will pose a challenge, particularly where those needs are irregular or unpredictable. In a resource allocation model focusing on the case mix of service providers, it is easier to forecast aggregate annual demands arising from intermittent needs across a population. This becomes much more difficult where the focus of the resource allocation model becomes individualised needs or individualised budgets. </w:t>
      </w:r>
    </w:p>
    <w:p w:rsidR="009F6062" w:rsidRPr="00117DF2" w:rsidRDefault="009F6062" w:rsidP="009F6062">
      <w:pPr>
        <w:pStyle w:val="Heading3"/>
      </w:pPr>
      <w:r w:rsidRPr="00117DF2">
        <w:t>Frequency of review or reassessment</w:t>
      </w:r>
    </w:p>
    <w:p w:rsidR="009F6062" w:rsidRPr="00117DF2" w:rsidRDefault="009F6062" w:rsidP="009F6062">
      <w:r w:rsidRPr="00117DF2">
        <w:t xml:space="preserve">In designing an assessment process, the question of when and in what circumstances complete reassessments or partial reviews might be required should be considered. The design of the assessment process should provide mechanisms for people with disabilities, their families, support staff or professionals to trigger a request for reassessment or review. </w:t>
      </w:r>
    </w:p>
    <w:p w:rsidR="00BB538E" w:rsidRPr="00117DF2" w:rsidRDefault="009F6062" w:rsidP="009F6062">
      <w:pPr>
        <w:pStyle w:val="Heading1"/>
        <w:rPr>
          <w:lang w:val="en-IE"/>
        </w:rPr>
      </w:pPr>
      <w:r w:rsidRPr="00117DF2">
        <w:rPr>
          <w:lang w:val="en-IE"/>
        </w:rPr>
        <w:br w:type="page"/>
      </w:r>
      <w:r w:rsidR="00BB538E" w:rsidRPr="00117DF2">
        <w:rPr>
          <w:lang w:val="en-IE"/>
        </w:rPr>
        <w:t xml:space="preserve">Background </w:t>
      </w:r>
      <w:r w:rsidRPr="00117DF2">
        <w:rPr>
          <w:lang w:val="en-IE"/>
        </w:rPr>
        <w:t>to resource allocation project</w:t>
      </w:r>
    </w:p>
    <w:p w:rsidR="00033BB0" w:rsidRPr="00117DF2" w:rsidRDefault="00033BB0" w:rsidP="00BD6B07">
      <w:r w:rsidRPr="00117DF2">
        <w:t xml:space="preserve">The Irish Government is committed </w:t>
      </w:r>
      <w:r w:rsidR="00641E14" w:rsidRPr="00117DF2">
        <w:t xml:space="preserve">to introducing greater transparency in </w:t>
      </w:r>
      <w:r w:rsidR="00C14E9B" w:rsidRPr="00117DF2">
        <w:t xml:space="preserve">the disability </w:t>
      </w:r>
      <w:r w:rsidR="00641E14" w:rsidRPr="00117DF2">
        <w:t>budget</w:t>
      </w:r>
      <w:r w:rsidR="006C2EAC" w:rsidRPr="00117DF2">
        <w:t>. The Government is also committed to</w:t>
      </w:r>
      <w:r w:rsidR="00641E14" w:rsidRPr="00117DF2">
        <w:t xml:space="preserve"> moving </w:t>
      </w:r>
      <w:r w:rsidR="00405EBC" w:rsidRPr="00117DF2">
        <w:t xml:space="preserve">towards individualised budgets for </w:t>
      </w:r>
      <w:r w:rsidR="00641E14" w:rsidRPr="00117DF2">
        <w:t xml:space="preserve">some </w:t>
      </w:r>
      <w:r w:rsidR="00927DA9" w:rsidRPr="00117DF2">
        <w:t xml:space="preserve">proportion of </w:t>
      </w:r>
      <w:r w:rsidR="00641E14" w:rsidRPr="00117DF2">
        <w:t xml:space="preserve">public expenditure </w:t>
      </w:r>
      <w:r w:rsidR="006C2EAC" w:rsidRPr="00117DF2">
        <w:t>on disability services. Both commitments are to promote</w:t>
      </w:r>
      <w:r w:rsidR="00A072C5" w:rsidRPr="00117DF2">
        <w:t xml:space="preserve"> </w:t>
      </w:r>
      <w:r w:rsidR="006C2EAC" w:rsidRPr="00117DF2">
        <w:t xml:space="preserve">the goals of </w:t>
      </w:r>
      <w:r w:rsidR="00A072C5" w:rsidRPr="00117DF2">
        <w:t>better quality services and outcomes for people with disabilities</w:t>
      </w:r>
      <w:r w:rsidR="00641E14" w:rsidRPr="00117DF2">
        <w:t>.</w:t>
      </w:r>
      <w:r w:rsidR="00964559" w:rsidRPr="00117DF2">
        <w:rPr>
          <w:rStyle w:val="FootnoteReference"/>
        </w:rPr>
        <w:footnoteReference w:id="2"/>
      </w:r>
      <w:r w:rsidR="00641E14" w:rsidRPr="00117DF2">
        <w:t xml:space="preserve"> </w:t>
      </w:r>
      <w:r w:rsidR="001C5B6E" w:rsidRPr="00117DF2">
        <w:t>For these commitments to be fulfilled, a systematic, transparent and fair assessment of need is required.</w:t>
      </w:r>
    </w:p>
    <w:p w:rsidR="00A41DD2" w:rsidRPr="00117DF2" w:rsidRDefault="00A41DD2" w:rsidP="00A41DD2">
      <w:pPr>
        <w:rPr>
          <w:lang w:eastAsia="en-GB"/>
        </w:rPr>
      </w:pPr>
      <w:r w:rsidRPr="00117DF2">
        <w:rPr>
          <w:lang w:eastAsia="en-GB"/>
        </w:rPr>
        <w:t xml:space="preserve">One of the important building blocks of the reform programme for disability services is the development of new resource allocation to provide a basis upon which the transition from a </w:t>
      </w:r>
      <w:r w:rsidR="00FC621C" w:rsidRPr="00117DF2">
        <w:rPr>
          <w:lang w:eastAsia="en-GB"/>
        </w:rPr>
        <w:t>block funding</w:t>
      </w:r>
      <w:r w:rsidRPr="00117DF2">
        <w:rPr>
          <w:lang w:eastAsia="en-GB"/>
        </w:rPr>
        <w:t xml:space="preserve"> to more individual costing approaches can take place. </w:t>
      </w:r>
    </w:p>
    <w:p w:rsidR="00A41DD2" w:rsidRPr="00117DF2" w:rsidRDefault="00A41DD2" w:rsidP="00A41DD2">
      <w:pPr>
        <w:rPr>
          <w:lang w:eastAsia="en-GB"/>
        </w:rPr>
      </w:pPr>
      <w:r w:rsidRPr="00117DF2">
        <w:rPr>
          <w:lang w:eastAsia="en-GB"/>
        </w:rPr>
        <w:t xml:space="preserve">The National Disability Authority has been engaged in a programme of research to inform its advice to the Department of Health and the HSE on the optimum </w:t>
      </w:r>
      <w:r w:rsidR="00E2573E" w:rsidRPr="00117DF2">
        <w:rPr>
          <w:lang w:eastAsia="en-GB"/>
        </w:rPr>
        <w:t>tool</w:t>
      </w:r>
      <w:r w:rsidRPr="00117DF2">
        <w:rPr>
          <w:lang w:eastAsia="en-GB"/>
        </w:rPr>
        <w:t xml:space="preserve"> to guide individualised </w:t>
      </w:r>
      <w:r w:rsidR="001C5B6E" w:rsidRPr="00117DF2">
        <w:rPr>
          <w:lang w:eastAsia="en-GB"/>
        </w:rPr>
        <w:t xml:space="preserve">budgeting </w:t>
      </w:r>
      <w:hyperlink r:id="rId7" w:anchor="fn1#fn1" w:tooltip="Link to footnote 1" w:history="1">
        <w:r w:rsidRPr="00117DF2">
          <w:rPr>
            <w:color w:val="0000FF"/>
            <w:u w:val="single"/>
            <w:vertAlign w:val="superscript"/>
            <w:lang w:eastAsia="en-GB"/>
          </w:rPr>
          <w:t>[1]</w:t>
        </w:r>
      </w:hyperlink>
      <w:r w:rsidRPr="00117DF2">
        <w:rPr>
          <w:lang w:eastAsia="en-GB"/>
        </w:rPr>
        <w:t xml:space="preserve"> for people with disabilities. Following the Value for Money and Policy Review of Disability Services, the focus has also been extended to look at how to ensure </w:t>
      </w:r>
      <w:r w:rsidR="002727C4" w:rsidRPr="00117DF2">
        <w:rPr>
          <w:lang w:eastAsia="en-GB"/>
        </w:rPr>
        <w:t xml:space="preserve">that </w:t>
      </w:r>
      <w:r w:rsidRPr="00117DF2">
        <w:rPr>
          <w:lang w:eastAsia="en-GB"/>
        </w:rPr>
        <w:t>resource allocation between different service providers is better matched to need.</w:t>
      </w:r>
    </w:p>
    <w:p w:rsidR="00D74DCA" w:rsidRPr="00117DF2" w:rsidRDefault="00A41DD2" w:rsidP="00A41DD2">
      <w:r w:rsidRPr="00117DF2">
        <w:t xml:space="preserve">During 2011 and 2012 the National Disability Authority (NDA) conducted a Resource Allocation Feasibility Study (hereafter </w:t>
      </w:r>
      <w:r w:rsidR="00B74EBE" w:rsidRPr="00117DF2">
        <w:t>the first study</w:t>
      </w:r>
      <w:r w:rsidRPr="00117DF2">
        <w:t xml:space="preserve">). </w:t>
      </w:r>
      <w:r w:rsidR="00BB538E" w:rsidRPr="00117DF2">
        <w:t xml:space="preserve">The objective of this study was to examine the appropriateness </w:t>
      </w:r>
      <w:r w:rsidRPr="00117DF2">
        <w:t xml:space="preserve">of </w:t>
      </w:r>
      <w:r w:rsidR="00FC621C" w:rsidRPr="00117DF2">
        <w:rPr>
          <w:rFonts w:ascii="Gill Sans MT" w:hAnsi="Gill Sans MT"/>
          <w:szCs w:val="26"/>
        </w:rPr>
        <w:t xml:space="preserve">the </w:t>
      </w:r>
      <w:r w:rsidR="00FC621C" w:rsidRPr="00117DF2">
        <w:rPr>
          <w:szCs w:val="26"/>
        </w:rPr>
        <w:t xml:space="preserve">Support Intensity Scale® (SIS) </w:t>
      </w:r>
      <w:r w:rsidRPr="00117DF2">
        <w:t xml:space="preserve">and </w:t>
      </w:r>
      <w:r w:rsidR="00964559" w:rsidRPr="00117DF2">
        <w:t>InControl</w:t>
      </w:r>
      <w:r w:rsidR="000F608B" w:rsidRPr="00117DF2">
        <w:t xml:space="preserve"> </w:t>
      </w:r>
      <w:r w:rsidR="00BB538E" w:rsidRPr="00117DF2">
        <w:t xml:space="preserve">as resource allocation </w:t>
      </w:r>
      <w:r w:rsidR="00E2573E" w:rsidRPr="00117DF2">
        <w:t>tools</w:t>
      </w:r>
      <w:r w:rsidR="00BB538E" w:rsidRPr="00117DF2">
        <w:t xml:space="preserve"> for disability services</w:t>
      </w:r>
      <w:r w:rsidR="006C2EAC" w:rsidRPr="00117DF2">
        <w:t xml:space="preserve"> in Ireland. The research was an </w:t>
      </w:r>
      <w:r w:rsidR="00BB538E" w:rsidRPr="00117DF2">
        <w:t>evaluation of the</w:t>
      </w:r>
      <w:r w:rsidR="006C2EAC" w:rsidRPr="00117DF2">
        <w:t xml:space="preserve"> acceptability of the</w:t>
      </w:r>
      <w:r w:rsidR="00BB538E" w:rsidRPr="00117DF2">
        <w:t xml:space="preserve">se two established tools </w:t>
      </w:r>
      <w:r w:rsidR="006C2EAC" w:rsidRPr="00117DF2">
        <w:t>to an Irish context</w:t>
      </w:r>
      <w:r w:rsidR="00BB538E" w:rsidRPr="00117DF2">
        <w:t>.</w:t>
      </w:r>
      <w:r w:rsidR="00964559" w:rsidRPr="00117DF2">
        <w:rPr>
          <w:rStyle w:val="FootnoteReference"/>
        </w:rPr>
        <w:footnoteReference w:id="3"/>
      </w:r>
    </w:p>
    <w:p w:rsidR="00432246" w:rsidRPr="00117DF2" w:rsidRDefault="00BB538E" w:rsidP="00432246">
      <w:r w:rsidRPr="00117DF2">
        <w:t xml:space="preserve">Subsequent to </w:t>
      </w:r>
      <w:r w:rsidR="00A41DD2" w:rsidRPr="00117DF2">
        <w:t>the first study</w:t>
      </w:r>
      <w:r w:rsidR="002727C4" w:rsidRPr="00117DF2">
        <w:t>,</w:t>
      </w:r>
      <w:r w:rsidR="00A41DD2" w:rsidRPr="00117DF2">
        <w:t xml:space="preserve"> </w:t>
      </w:r>
      <w:r w:rsidRPr="00117DF2">
        <w:t xml:space="preserve">the </w:t>
      </w:r>
      <w:r w:rsidR="00544C13" w:rsidRPr="00117DF2">
        <w:t>NDA</w:t>
      </w:r>
      <w:r w:rsidRPr="00117DF2">
        <w:t xml:space="preserve"> received a formal request</w:t>
      </w:r>
      <w:r w:rsidR="00544C13" w:rsidRPr="00117DF2">
        <w:t xml:space="preserve"> from the Department of Health</w:t>
      </w:r>
      <w:r w:rsidRPr="00117DF2">
        <w:t xml:space="preserve"> to widen the original consideration of assessm</w:t>
      </w:r>
      <w:r w:rsidR="00544C13" w:rsidRPr="00117DF2">
        <w:t xml:space="preserve">ent </w:t>
      </w:r>
      <w:r w:rsidR="00E2573E" w:rsidRPr="00117DF2">
        <w:t>tool</w:t>
      </w:r>
      <w:r w:rsidR="00544C13" w:rsidRPr="00117DF2">
        <w:t xml:space="preserve">s to include </w:t>
      </w:r>
      <w:r w:rsidRPr="00117DF2">
        <w:t xml:space="preserve">other two assessment tools </w:t>
      </w:r>
      <w:r w:rsidR="006C2EAC" w:rsidRPr="00117DF2">
        <w:t>(</w:t>
      </w:r>
      <w:r w:rsidR="000F608B" w:rsidRPr="00117DF2">
        <w:t>interRAI</w:t>
      </w:r>
      <w:r w:rsidRPr="00117DF2">
        <w:t xml:space="preserve"> and </w:t>
      </w:r>
      <w:r w:rsidR="008478A0" w:rsidRPr="00117DF2">
        <w:t>FACE</w:t>
      </w:r>
      <w:r w:rsidR="006C2EAC" w:rsidRPr="00117DF2">
        <w:t>)</w:t>
      </w:r>
      <w:r w:rsidR="00544C13" w:rsidRPr="00117DF2">
        <w:t xml:space="preserve"> which had been used for assessment of need in Ireland</w:t>
      </w:r>
      <w:r w:rsidRPr="00117DF2">
        <w:t xml:space="preserve">. </w:t>
      </w:r>
      <w:r w:rsidR="00432246" w:rsidRPr="00117DF2">
        <w:t xml:space="preserve">As the ultimate purpose of the studies is to examine how a common needs assessment </w:t>
      </w:r>
      <w:r w:rsidR="00E2573E" w:rsidRPr="00117DF2">
        <w:t>tool</w:t>
      </w:r>
      <w:r w:rsidR="00432246" w:rsidRPr="00117DF2">
        <w:t xml:space="preserve"> could be used to guide allocation of resources, it was viewed as prudent to test the </w:t>
      </w:r>
      <w:r w:rsidR="008478A0" w:rsidRPr="00117DF2">
        <w:t>FACE</w:t>
      </w:r>
      <w:r w:rsidR="00432246" w:rsidRPr="00117DF2">
        <w:t xml:space="preserve"> and</w:t>
      </w:r>
      <w:r w:rsidR="000F608B" w:rsidRPr="00117DF2">
        <w:t xml:space="preserve"> interRAI</w:t>
      </w:r>
      <w:r w:rsidR="00432246" w:rsidRPr="00117DF2">
        <w:t xml:space="preserve"> assessment tools</w:t>
      </w:r>
      <w:r w:rsidR="00EB70E0" w:rsidRPr="00117DF2">
        <w:t xml:space="preserve"> before committing to the introduction of an</w:t>
      </w:r>
      <w:r w:rsidR="00E2573E" w:rsidRPr="00117DF2">
        <w:t>y one</w:t>
      </w:r>
      <w:r w:rsidR="00EB70E0" w:rsidRPr="00117DF2">
        <w:t xml:space="preserve"> assessment tool</w:t>
      </w:r>
      <w:r w:rsidR="00432246" w:rsidRPr="00117DF2">
        <w:t>.</w:t>
      </w:r>
    </w:p>
    <w:p w:rsidR="00FC621C" w:rsidRPr="00117DF2" w:rsidRDefault="00FC621C" w:rsidP="00432246">
      <w:r w:rsidRPr="00117DF2">
        <w:t>This second tranche of research tested FACE and</w:t>
      </w:r>
      <w:r w:rsidR="000F608B" w:rsidRPr="00117DF2">
        <w:t xml:space="preserve"> interRAI</w:t>
      </w:r>
      <w:r w:rsidRPr="00117DF2">
        <w:t xml:space="preserve"> </w:t>
      </w:r>
      <w:r w:rsidR="00847DAE" w:rsidRPr="00117DF2">
        <w:t xml:space="preserve">with </w:t>
      </w:r>
      <w:r w:rsidR="00660EBC" w:rsidRPr="00117DF2">
        <w:t>40 participants, 39</w:t>
      </w:r>
      <w:r w:rsidRPr="00117DF2">
        <w:t xml:space="preserve"> of whom had been involved in the first study.</w:t>
      </w:r>
    </w:p>
    <w:p w:rsidR="004D0BB9" w:rsidRPr="00117DF2" w:rsidRDefault="004D0BB9" w:rsidP="004D0BB9">
      <w:r w:rsidRPr="00117DF2">
        <w:t>Each tool had a different genesis in terms of the group it set out to cater for and what it was originally designed to do.</w:t>
      </w:r>
      <w:r w:rsidR="000F608B" w:rsidRPr="00117DF2">
        <w:t xml:space="preserve"> </w:t>
      </w:r>
      <w:r w:rsidR="00117DF2">
        <w:rPr>
          <w:lang w:val="ga-IE"/>
        </w:rPr>
        <w:t xml:space="preserve">RAS 5 </w:t>
      </w:r>
      <w:r w:rsidRPr="00117DF2">
        <w:t>was designed as a summary way to capture information to guide resource allocation. The other tools began as multi-faceted assessments of support needs, with application to resource allocation added on at a later stage. FACE and</w:t>
      </w:r>
      <w:r w:rsidR="000F608B" w:rsidRPr="00117DF2">
        <w:t xml:space="preserve"> interRAI</w:t>
      </w:r>
      <w:r w:rsidRPr="00117DF2">
        <w:t xml:space="preserve"> developed originally to aid care planning and person-centred planning, and SIS to capture support needs in key life domains.</w:t>
      </w:r>
    </w:p>
    <w:p w:rsidR="004D0BB9" w:rsidRPr="00117DF2" w:rsidRDefault="00E833D3" w:rsidP="004D0BB9">
      <w:r w:rsidRPr="00117DF2">
        <w:t>RAS 5</w:t>
      </w:r>
      <w:r w:rsidR="004D0BB9" w:rsidRPr="00117DF2">
        <w:t xml:space="preserve"> was designed to capture the need for adult social care support across a range of care groups including elderly people and people with disabilities, SIS was originally developed for adults with intellectual disabilities, and a subsequent child version was developed, however it has also been used for people with physical disabilities.</w:t>
      </w:r>
      <w:r w:rsidR="000F608B" w:rsidRPr="00117DF2">
        <w:t xml:space="preserve"> </w:t>
      </w:r>
      <w:r w:rsidR="00117DF2" w:rsidRPr="00117DF2">
        <w:t>InterRAI</w:t>
      </w:r>
      <w:r w:rsidR="004D0BB9" w:rsidRPr="00117DF2">
        <w:t xml:space="preserve"> was originally developed in the context of eldercare and nursing home care, and then a wider suite of</w:t>
      </w:r>
      <w:r w:rsidR="000F608B" w:rsidRPr="00117DF2">
        <w:t xml:space="preserve"> interRAI</w:t>
      </w:r>
      <w:r w:rsidR="004D0BB9" w:rsidRPr="00117DF2">
        <w:t xml:space="preserve"> tools was developed for other care groups. FACE was used initially with people with mental health conditions, and then developed and applied for a wider range of care groups.</w:t>
      </w:r>
    </w:p>
    <w:p w:rsidR="00EA6AA7" w:rsidRPr="00117DF2" w:rsidRDefault="008B4010" w:rsidP="00BB538E">
      <w:r w:rsidRPr="00117DF2">
        <w:t xml:space="preserve">This paper reports on the </w:t>
      </w:r>
      <w:r w:rsidR="00BB5D00" w:rsidRPr="00117DF2">
        <w:t xml:space="preserve">results of the </w:t>
      </w:r>
      <w:r w:rsidRPr="00117DF2">
        <w:t>second tranche of research</w:t>
      </w:r>
      <w:r w:rsidR="006E776A" w:rsidRPr="00117DF2">
        <w:t>,</w:t>
      </w:r>
      <w:r w:rsidR="00C65353" w:rsidRPr="00117DF2">
        <w:t xml:space="preserve"> </w:t>
      </w:r>
      <w:r w:rsidR="00FC621C" w:rsidRPr="00117DF2">
        <w:t xml:space="preserve">but </w:t>
      </w:r>
      <w:r w:rsidR="00C65353" w:rsidRPr="00117DF2">
        <w:t xml:space="preserve">does not deal with how </w:t>
      </w:r>
      <w:r w:rsidR="00E274C4" w:rsidRPr="00117DF2">
        <w:t>need is</w:t>
      </w:r>
      <w:r w:rsidR="00C65353" w:rsidRPr="00117DF2">
        <w:t xml:space="preserve"> translated into costs.</w:t>
      </w:r>
      <w:r w:rsidR="00BB5D00" w:rsidRPr="00117DF2">
        <w:t xml:space="preserve"> </w:t>
      </w:r>
      <w:r w:rsidR="00EA6AA7" w:rsidRPr="00117DF2">
        <w:t xml:space="preserve">It also compares results across all four assessment tools examined from the two phases of field trials. </w:t>
      </w:r>
    </w:p>
    <w:p w:rsidR="00927DA9" w:rsidRPr="00117DF2" w:rsidRDefault="00BB5D00" w:rsidP="00BB538E">
      <w:r w:rsidRPr="00117DF2">
        <w:t xml:space="preserve">A further paper </w:t>
      </w:r>
      <w:r w:rsidR="00927DA9" w:rsidRPr="00117DF2">
        <w:t xml:space="preserve">will provide a wider assessment of the four tools, looking at core questions of how well they match assessments and costs of service, and how consistent are they when administered by different interviewers, as well as how well they would serve other assessment, planning and management purposes. An extensive programme of needs assessment </w:t>
      </w:r>
      <w:r w:rsidR="002451D4" w:rsidRPr="00117DF2">
        <w:t xml:space="preserve">is likely to be resource intensive, and greater value could be achieved from such an exercise if the assessment can contribute towards other tasks, such as person-centred planning, aggregate service planning, statutory needs assessment, </w:t>
      </w:r>
      <w:r w:rsidR="008B2918" w:rsidRPr="00117DF2">
        <w:t xml:space="preserve">monitoring outcomes, or functioning as a core </w:t>
      </w:r>
      <w:r w:rsidR="001F112E" w:rsidRPr="00117DF2">
        <w:t xml:space="preserve">record of needs to guide assessment of eligibility for other services. </w:t>
      </w:r>
    </w:p>
    <w:p w:rsidR="001F112E" w:rsidRPr="00117DF2" w:rsidRDefault="001F112E" w:rsidP="00BB538E">
      <w:r w:rsidRPr="00117DF2">
        <w:t xml:space="preserve">This paper </w:t>
      </w:r>
      <w:r w:rsidR="00833D82" w:rsidRPr="00117DF2">
        <w:t xml:space="preserve">summarises </w:t>
      </w:r>
      <w:r w:rsidR="00F0384C" w:rsidRPr="00117DF2">
        <w:t xml:space="preserve">the learning to date about the wider characteristics of the </w:t>
      </w:r>
      <w:r w:rsidR="00833D82" w:rsidRPr="00117DF2">
        <w:t xml:space="preserve">different assessment tools and </w:t>
      </w:r>
      <w:r w:rsidR="00F0384C" w:rsidRPr="00117DF2">
        <w:t xml:space="preserve">associated </w:t>
      </w:r>
      <w:r w:rsidR="00833D82" w:rsidRPr="00117DF2">
        <w:t>resource allocation models</w:t>
      </w:r>
      <w:r w:rsidR="00F0384C" w:rsidRPr="00117DF2">
        <w:t xml:space="preserve">, while a fuller analysis and discussion of these issues will be undertaken in </w:t>
      </w:r>
      <w:r w:rsidR="00660EBC" w:rsidRPr="00117DF2">
        <w:t>the</w:t>
      </w:r>
      <w:r w:rsidR="00EA6AA7" w:rsidRPr="00117DF2">
        <w:t xml:space="preserve"> next </w:t>
      </w:r>
      <w:r w:rsidR="00F0384C" w:rsidRPr="00117DF2">
        <w:t>paper</w:t>
      </w:r>
      <w:r w:rsidR="00833D82" w:rsidRPr="00117DF2">
        <w:t xml:space="preserve">. </w:t>
      </w:r>
    </w:p>
    <w:p w:rsidR="00BB538E" w:rsidRPr="00117DF2" w:rsidRDefault="007C2043" w:rsidP="00BB538E">
      <w:pPr>
        <w:pStyle w:val="Heading1"/>
        <w:rPr>
          <w:lang w:val="en-IE"/>
        </w:rPr>
      </w:pPr>
      <w:r w:rsidRPr="00117DF2">
        <w:rPr>
          <w:lang w:val="en-IE"/>
        </w:rPr>
        <w:t xml:space="preserve">Background to </w:t>
      </w:r>
      <w:r w:rsidR="00BB538E" w:rsidRPr="00117DF2">
        <w:rPr>
          <w:lang w:val="en-IE"/>
        </w:rPr>
        <w:t xml:space="preserve">Phase 2 Feasibility Study </w:t>
      </w:r>
    </w:p>
    <w:p w:rsidR="00993D09" w:rsidRPr="00117DF2" w:rsidRDefault="00993D09" w:rsidP="00BB538E">
      <w:r w:rsidRPr="00117DF2">
        <w:t xml:space="preserve">After the completion of </w:t>
      </w:r>
      <w:r w:rsidR="00A41DD2" w:rsidRPr="00117DF2">
        <w:t xml:space="preserve">the </w:t>
      </w:r>
      <w:r w:rsidR="009F6062" w:rsidRPr="00117DF2">
        <w:t xml:space="preserve">evaluation of the </w:t>
      </w:r>
      <w:r w:rsidR="00A41DD2" w:rsidRPr="00117DF2">
        <w:t xml:space="preserve">first </w:t>
      </w:r>
      <w:r w:rsidR="009F6062" w:rsidRPr="00117DF2">
        <w:t>field trial</w:t>
      </w:r>
      <w:r w:rsidR="00F87630" w:rsidRPr="00117DF2">
        <w:t>,</w:t>
      </w:r>
      <w:r w:rsidR="00A41DD2" w:rsidRPr="00117DF2">
        <w:t xml:space="preserve"> </w:t>
      </w:r>
      <w:r w:rsidR="009F6062" w:rsidRPr="00117DF2">
        <w:t>which involved comparing</w:t>
      </w:r>
      <w:r w:rsidR="000F608B" w:rsidRPr="00117DF2">
        <w:t xml:space="preserve"> </w:t>
      </w:r>
      <w:r w:rsidR="00E833D3" w:rsidRPr="00117DF2">
        <w:t xml:space="preserve">RAS 5 </w:t>
      </w:r>
      <w:r w:rsidR="009F6062" w:rsidRPr="00117DF2">
        <w:t xml:space="preserve">and the Supports Intensity Scale, the National Disability Authority was requested by the Department of Health and the HSE to test two other </w:t>
      </w:r>
      <w:r w:rsidR="00702F8E" w:rsidRPr="00117DF2">
        <w:t>resource allocation s</w:t>
      </w:r>
      <w:r w:rsidR="00E833D3" w:rsidRPr="00117DF2">
        <w:t>ystems, Functional Analysis of C</w:t>
      </w:r>
      <w:r w:rsidR="00702F8E" w:rsidRPr="00117DF2">
        <w:t>are Environments (FACE) and</w:t>
      </w:r>
      <w:r w:rsidR="000F608B" w:rsidRPr="00117DF2">
        <w:t xml:space="preserve"> interRAI</w:t>
      </w:r>
      <w:r w:rsidR="00702F8E" w:rsidRPr="00117DF2">
        <w:t>.</w:t>
      </w:r>
      <w:r w:rsidR="009F6062" w:rsidRPr="00117DF2">
        <w:t xml:space="preserve"> </w:t>
      </w:r>
      <w:r w:rsidRPr="00117DF2">
        <w:t xml:space="preserve">Both tools had been used in Ireland to assess need and both seemed to </w:t>
      </w:r>
      <w:r w:rsidR="00702F8E" w:rsidRPr="00117DF2">
        <w:t xml:space="preserve">offer potential as the preferred resource allocation systems. </w:t>
      </w:r>
    </w:p>
    <w:p w:rsidR="00702F8E" w:rsidRPr="00117DF2" w:rsidRDefault="00117DF2" w:rsidP="00702F8E">
      <w:pPr>
        <w:pStyle w:val="Heading2"/>
      </w:pPr>
      <w:r w:rsidRPr="00117DF2">
        <w:t>InterRAI</w:t>
      </w:r>
    </w:p>
    <w:p w:rsidR="00702F8E" w:rsidRPr="00117DF2" w:rsidRDefault="00117DF2" w:rsidP="00B74EBE">
      <w:r w:rsidRPr="00117DF2">
        <w:t>InterRAI</w:t>
      </w:r>
      <w:r w:rsidR="00BB538E" w:rsidRPr="00117DF2">
        <w:t xml:space="preserve"> </w:t>
      </w:r>
      <w:r w:rsidR="00702F8E" w:rsidRPr="00117DF2">
        <w:t>had been developed by academics in the US as an assessment and resource allocation system, initially in the eldercare sector, and then a wider family of</w:t>
      </w:r>
      <w:r w:rsidR="000F608B" w:rsidRPr="00117DF2">
        <w:t xml:space="preserve"> interRAI</w:t>
      </w:r>
      <w:r w:rsidR="00702F8E" w:rsidRPr="00117DF2">
        <w:t xml:space="preserve"> tools was developed.</w:t>
      </w:r>
      <w:r w:rsidR="000F608B" w:rsidRPr="00117DF2">
        <w:t xml:space="preserve"> </w:t>
      </w:r>
      <w:r w:rsidRPr="00117DF2">
        <w:t>InterRAI</w:t>
      </w:r>
      <w:r w:rsidR="00702F8E" w:rsidRPr="00117DF2">
        <w:t xml:space="preserve"> </w:t>
      </w:r>
      <w:r w:rsidR="00BB538E" w:rsidRPr="00117DF2">
        <w:t>has been selected by the HSE to be the single assessment tool for older people</w:t>
      </w:r>
      <w:r w:rsidR="00622447" w:rsidRPr="00117DF2">
        <w:t xml:space="preserve">. </w:t>
      </w:r>
    </w:p>
    <w:p w:rsidR="00702F8E" w:rsidRPr="00117DF2" w:rsidRDefault="00702F8E" w:rsidP="00B74EBE">
      <w:r w:rsidRPr="00117DF2">
        <w:t>The potential for using the same family of tools for assessment and resource allocation for both eldercare and disability support services clearly warranted examination.</w:t>
      </w:r>
    </w:p>
    <w:p w:rsidR="00B74EBE" w:rsidRPr="00117DF2" w:rsidRDefault="00262A04" w:rsidP="00B74EBE">
      <w:r w:rsidRPr="00117DF2">
        <w:t>The N</w:t>
      </w:r>
      <w:r w:rsidR="00891A39" w:rsidRPr="00117DF2">
        <w:t xml:space="preserve">ational </w:t>
      </w:r>
      <w:r w:rsidRPr="00117DF2">
        <w:t>D</w:t>
      </w:r>
      <w:r w:rsidR="00891A39" w:rsidRPr="00117DF2">
        <w:t xml:space="preserve">isability </w:t>
      </w:r>
      <w:r w:rsidRPr="00117DF2">
        <w:t>A</w:t>
      </w:r>
      <w:r w:rsidR="00891A39" w:rsidRPr="00117DF2">
        <w:t>uthority</w:t>
      </w:r>
      <w:r w:rsidRPr="00117DF2">
        <w:t xml:space="preserve"> worked with the</w:t>
      </w:r>
      <w:r w:rsidR="000F608B" w:rsidRPr="00117DF2">
        <w:t xml:space="preserve"> interRAI</w:t>
      </w:r>
      <w:r w:rsidRPr="00117DF2">
        <w:t xml:space="preserve"> organisation to develop a tool for assessing the needs of people with a disability </w:t>
      </w:r>
      <w:r w:rsidR="00117DF2" w:rsidRPr="00117DF2">
        <w:t>(interRAI</w:t>
      </w:r>
      <w:r w:rsidRPr="00117DF2">
        <w:t xml:space="preserve"> had several tools for assessing different aspects or sub-</w:t>
      </w:r>
      <w:r w:rsidR="007E50C3" w:rsidRPr="00117DF2">
        <w:t>groups</w:t>
      </w:r>
      <w:r w:rsidR="003232CB" w:rsidRPr="00117DF2">
        <w:t xml:space="preserve"> but </w:t>
      </w:r>
      <w:r w:rsidR="00F34BBA" w:rsidRPr="00117DF2">
        <w:t xml:space="preserve">at the time </w:t>
      </w:r>
      <w:r w:rsidR="003232CB" w:rsidRPr="00117DF2">
        <w:t>none of their tools was a broad</w:t>
      </w:r>
      <w:r w:rsidR="00622447" w:rsidRPr="00117DF2">
        <w:t>-</w:t>
      </w:r>
      <w:r w:rsidR="003232CB" w:rsidRPr="00117DF2">
        <w:t>based disability tool</w:t>
      </w:r>
      <w:r w:rsidRPr="00117DF2">
        <w:t>).</w:t>
      </w:r>
      <w:r w:rsidR="000F608B" w:rsidRPr="00117DF2">
        <w:t xml:space="preserve"> </w:t>
      </w:r>
      <w:r w:rsidR="00081154" w:rsidRPr="00117DF2">
        <w:t>However,</w:t>
      </w:r>
      <w:r w:rsidRPr="00117DF2">
        <w:t xml:space="preserve"> as the resulting tool was very long the NDA suggested putting ‘gates’ in</w:t>
      </w:r>
      <w:r w:rsidR="00622447" w:rsidRPr="00117DF2">
        <w:t>to</w:t>
      </w:r>
      <w:r w:rsidRPr="00117DF2">
        <w:t xml:space="preserve"> the tool. Therefore</w:t>
      </w:r>
      <w:r w:rsidR="00F87630" w:rsidRPr="00117DF2">
        <w:t>,</w:t>
      </w:r>
      <w:r w:rsidRPr="00117DF2">
        <w:t xml:space="preserve"> after some initial questions</w:t>
      </w:r>
      <w:r w:rsidR="00F87630" w:rsidRPr="00117DF2">
        <w:t>,</w:t>
      </w:r>
      <w:r w:rsidRPr="00117DF2">
        <w:t xml:space="preserve"> people </w:t>
      </w:r>
      <w:r w:rsidR="00B74EBE" w:rsidRPr="00117DF2">
        <w:t>answered a</w:t>
      </w:r>
      <w:r w:rsidR="00FF21E2" w:rsidRPr="00117DF2">
        <w:t xml:space="preserve"> slightly varied version of the</w:t>
      </w:r>
      <w:r w:rsidRPr="00117DF2">
        <w:t xml:space="preserve"> tool depending if they had an </w:t>
      </w:r>
      <w:r w:rsidR="00B12FC9" w:rsidRPr="00117DF2">
        <w:t>intellectual</w:t>
      </w:r>
      <w:r w:rsidRPr="00117DF2">
        <w:t xml:space="preserve"> disability, mental </w:t>
      </w:r>
      <w:r w:rsidR="00B12FC9" w:rsidRPr="00117DF2">
        <w:t xml:space="preserve">health difficulty or a physical disability. These gates did serve to shorten the length of the </w:t>
      </w:r>
      <w:r w:rsidR="00B74EBE" w:rsidRPr="00117DF2">
        <w:t xml:space="preserve">interview but proved unpopular with people who had more than one disability as they felt the complexity of their </w:t>
      </w:r>
      <w:r w:rsidR="00622447" w:rsidRPr="00117DF2">
        <w:t>needs</w:t>
      </w:r>
      <w:r w:rsidR="00B74EBE" w:rsidRPr="00117DF2">
        <w:t xml:space="preserve"> were not captured</w:t>
      </w:r>
      <w:r w:rsidR="00622447" w:rsidRPr="00117DF2">
        <w:t xml:space="preserve"> (see discussion later).</w:t>
      </w:r>
    </w:p>
    <w:p w:rsidR="00702F8E" w:rsidRPr="00117DF2" w:rsidRDefault="00702F8E" w:rsidP="00702F8E">
      <w:pPr>
        <w:pStyle w:val="Heading2"/>
      </w:pPr>
      <w:r w:rsidRPr="00117DF2">
        <w:t>FACE</w:t>
      </w:r>
    </w:p>
    <w:p w:rsidR="00432246" w:rsidRPr="00117DF2" w:rsidRDefault="00B74EBE" w:rsidP="00B74EBE">
      <w:r w:rsidRPr="00117DF2">
        <w:t>FACE</w:t>
      </w:r>
      <w:r w:rsidR="0032218D" w:rsidRPr="00117DF2">
        <w:t xml:space="preserve"> was developed in the UK to support the ‘single assessment process’ for older people and was accredited by the Dep</w:t>
      </w:r>
      <w:r w:rsidR="00E833D3" w:rsidRPr="00117DF2">
        <w:t>ar</w:t>
      </w:r>
      <w:r w:rsidR="0032218D" w:rsidRPr="00117DF2">
        <w:t>t</w:t>
      </w:r>
      <w:r w:rsidR="00E833D3" w:rsidRPr="00117DF2">
        <w:t>ment</w:t>
      </w:r>
      <w:r w:rsidR="0032218D" w:rsidRPr="00117DF2">
        <w:t xml:space="preserve"> of Health in 2003. It is now </w:t>
      </w:r>
      <w:r w:rsidR="00891A39" w:rsidRPr="00117DF2">
        <w:t xml:space="preserve">widely </w:t>
      </w:r>
      <w:r w:rsidR="0032218D" w:rsidRPr="00117DF2">
        <w:t xml:space="preserve">used in </w:t>
      </w:r>
      <w:r w:rsidR="00891A39" w:rsidRPr="00117DF2">
        <w:t xml:space="preserve">England </w:t>
      </w:r>
      <w:r w:rsidR="00724AF9" w:rsidRPr="00117DF2">
        <w:t>as the standard</w:t>
      </w:r>
      <w:r w:rsidR="0032218D" w:rsidRPr="00117DF2">
        <w:t xml:space="preserve"> needs assessment for all disability care groups, including older people, intellectual disability, physical disability and mental health</w:t>
      </w:r>
      <w:r w:rsidR="004D75DA" w:rsidRPr="00117DF2">
        <w:t xml:space="preserve">, and used routinely for allocating personal budgets to people with intellectual disabilities in over 20 councils in England. </w:t>
      </w:r>
      <w:r w:rsidRPr="00117DF2">
        <w:t>FACE is already used by some HSE and other mental health service providers in Ireland</w:t>
      </w:r>
      <w:r w:rsidR="00814602" w:rsidRPr="00117DF2">
        <w:t>.</w:t>
      </w:r>
      <w:r w:rsidR="003D3F8F" w:rsidRPr="00117DF2">
        <w:rPr>
          <w:rStyle w:val="FootnoteReference"/>
        </w:rPr>
        <w:footnoteReference w:id="4"/>
      </w:r>
      <w:r w:rsidR="00814602" w:rsidRPr="00117DF2">
        <w:t xml:space="preserve"> </w:t>
      </w:r>
      <w:r w:rsidR="004D75DA" w:rsidRPr="00117DF2">
        <w:t xml:space="preserve">Evidence as to the accuracy of FACE for resource allocation is published in a paper </w:t>
      </w:r>
      <w:r w:rsidR="00266775" w:rsidRPr="00117DF2">
        <w:t>in</w:t>
      </w:r>
      <w:r w:rsidR="00D52D1B" w:rsidRPr="00117DF2">
        <w:t xml:space="preserve"> the journal</w:t>
      </w:r>
      <w:r w:rsidR="00814602" w:rsidRPr="00117DF2">
        <w:t xml:space="preserve"> </w:t>
      </w:r>
      <w:r w:rsidR="00266775" w:rsidRPr="00117DF2">
        <w:rPr>
          <w:b/>
        </w:rPr>
        <w:t>Research, Policy and Planning</w:t>
      </w:r>
      <w:r w:rsidR="00266775" w:rsidRPr="00117DF2">
        <w:t xml:space="preserve"> in 2013</w:t>
      </w:r>
      <w:r w:rsidR="00814602" w:rsidRPr="00117DF2">
        <w:t>.</w:t>
      </w:r>
      <w:r w:rsidR="00D52D1B" w:rsidRPr="00117DF2">
        <w:rPr>
          <w:rStyle w:val="FootnoteReference"/>
        </w:rPr>
        <w:footnoteReference w:id="5"/>
      </w:r>
    </w:p>
    <w:p w:rsidR="00D52D1B" w:rsidRPr="00117DF2" w:rsidRDefault="00D52D1B" w:rsidP="007C2043">
      <w:pPr>
        <w:pStyle w:val="Heading1"/>
        <w:rPr>
          <w:lang w:val="en-IE"/>
        </w:rPr>
      </w:pPr>
      <w:r w:rsidRPr="00117DF2">
        <w:rPr>
          <w:lang w:val="en-IE"/>
        </w:rPr>
        <w:t>Conduct of Field Trial 2</w:t>
      </w:r>
      <w:r w:rsidR="007C2043" w:rsidRPr="00117DF2">
        <w:rPr>
          <w:lang w:val="en-IE"/>
        </w:rPr>
        <w:t xml:space="preserve"> – FACE and</w:t>
      </w:r>
      <w:r w:rsidR="000F608B" w:rsidRPr="00117DF2">
        <w:rPr>
          <w:lang w:val="en-IE"/>
        </w:rPr>
        <w:t xml:space="preserve"> interRAI</w:t>
      </w:r>
    </w:p>
    <w:p w:rsidR="000F05EC" w:rsidRPr="00117DF2" w:rsidRDefault="00432246" w:rsidP="00BB538E">
      <w:r w:rsidRPr="00117DF2">
        <w:t>A</w:t>
      </w:r>
      <w:r w:rsidR="00BB538E" w:rsidRPr="00117DF2">
        <w:t>s an extension of the previous feasibility study,</w:t>
      </w:r>
      <w:r w:rsidRPr="00117DF2">
        <w:t xml:space="preserve"> </w:t>
      </w:r>
      <w:r w:rsidR="00081154" w:rsidRPr="00117DF2">
        <w:t>t</w:t>
      </w:r>
      <w:r w:rsidRPr="00117DF2">
        <w:t xml:space="preserve">he </w:t>
      </w:r>
      <w:r w:rsidR="001827AF" w:rsidRPr="00117DF2">
        <w:t xml:space="preserve">National Disability Authority </w:t>
      </w:r>
      <w:r w:rsidRPr="00117DF2">
        <w:t xml:space="preserve">tested </w:t>
      </w:r>
      <w:r w:rsidR="008478A0" w:rsidRPr="00117DF2">
        <w:t>FACE</w:t>
      </w:r>
      <w:r w:rsidRPr="00117DF2">
        <w:t xml:space="preserve"> and</w:t>
      </w:r>
      <w:r w:rsidR="000F608B" w:rsidRPr="00117DF2">
        <w:t xml:space="preserve"> interRAI</w:t>
      </w:r>
      <w:r w:rsidRPr="00117DF2">
        <w:t xml:space="preserve"> during</w:t>
      </w:r>
      <w:r w:rsidR="00BB538E" w:rsidRPr="00117DF2">
        <w:t xml:space="preserve"> 2013. The N</w:t>
      </w:r>
      <w:r w:rsidR="008139CE" w:rsidRPr="00117DF2">
        <w:t>DA</w:t>
      </w:r>
      <w:r w:rsidR="00BB538E" w:rsidRPr="00117DF2">
        <w:t xml:space="preserve"> invited </w:t>
      </w:r>
      <w:r w:rsidR="008139CE" w:rsidRPr="00117DF2">
        <w:t xml:space="preserve">a subset of </w:t>
      </w:r>
      <w:r w:rsidR="00BB538E" w:rsidRPr="00117DF2">
        <w:t>the participating organisations</w:t>
      </w:r>
      <w:r w:rsidR="005D7EF8" w:rsidRPr="00117DF2">
        <w:t xml:space="preserve"> and their service users </w:t>
      </w:r>
      <w:r w:rsidR="003232CB" w:rsidRPr="00117DF2">
        <w:t xml:space="preserve">from </w:t>
      </w:r>
      <w:r w:rsidR="00B74EBE" w:rsidRPr="00117DF2">
        <w:t>the first study</w:t>
      </w:r>
      <w:r w:rsidR="003232CB" w:rsidRPr="00117DF2">
        <w:t xml:space="preserve"> </w:t>
      </w:r>
      <w:r w:rsidR="008350CD" w:rsidRPr="00117DF2">
        <w:t xml:space="preserve">to take part in </w:t>
      </w:r>
      <w:r w:rsidR="00B74EBE" w:rsidRPr="00117DF2">
        <w:t>the new study</w:t>
      </w:r>
      <w:r w:rsidR="008350CD" w:rsidRPr="00117DF2">
        <w:t xml:space="preserve">. </w:t>
      </w:r>
      <w:r w:rsidR="00F34BBA" w:rsidRPr="00117DF2">
        <w:t xml:space="preserve">As the first study did not find that location was an important variable, </w:t>
      </w:r>
      <w:r w:rsidR="00D52D1B" w:rsidRPr="00117DF2">
        <w:t xml:space="preserve">mainly </w:t>
      </w:r>
      <w:r w:rsidR="00F34BBA" w:rsidRPr="00117DF2">
        <w:t>Dublin-based services were selected for ease of logistics</w:t>
      </w:r>
      <w:r w:rsidR="00D52D1B" w:rsidRPr="00117DF2">
        <w:t>. O</w:t>
      </w:r>
      <w:r w:rsidR="00F34BBA" w:rsidRPr="00117DF2">
        <w:t xml:space="preserve">ne </w:t>
      </w:r>
      <w:r w:rsidR="00A95987" w:rsidRPr="00117DF2">
        <w:t>Kerry</w:t>
      </w:r>
      <w:r w:rsidR="00F34BBA" w:rsidRPr="00117DF2">
        <w:t xml:space="preserve"> based organisation was included to ensure complete coverage of all disability groups.</w:t>
      </w:r>
      <w:r w:rsidR="00F34BBA" w:rsidRPr="00117DF2">
        <w:rPr>
          <w:rStyle w:val="FootnoteReference"/>
        </w:rPr>
        <w:footnoteReference w:id="6"/>
      </w:r>
      <w:r w:rsidR="00F34BBA" w:rsidRPr="00117DF2">
        <w:t xml:space="preserve"> </w:t>
      </w:r>
      <w:r w:rsidR="008350CD" w:rsidRPr="00117DF2">
        <w:t xml:space="preserve">These service providers represented 50 people who had participated in </w:t>
      </w:r>
      <w:r w:rsidR="00F87630" w:rsidRPr="00117DF2">
        <w:t xml:space="preserve">the </w:t>
      </w:r>
      <w:r w:rsidR="00B74EBE" w:rsidRPr="00117DF2">
        <w:t>first study</w:t>
      </w:r>
      <w:r w:rsidR="008350CD" w:rsidRPr="00117DF2">
        <w:t xml:space="preserve"> and who had </w:t>
      </w:r>
      <w:r w:rsidR="00BB538E" w:rsidRPr="00117DF2">
        <w:t xml:space="preserve">a spectrum of disability, support needs and living arrangements. </w:t>
      </w:r>
      <w:r w:rsidR="00F2548D" w:rsidRPr="00117DF2">
        <w:t>Of these service users</w:t>
      </w:r>
      <w:r w:rsidR="00F87630" w:rsidRPr="00117DF2">
        <w:t>,</w:t>
      </w:r>
      <w:r w:rsidR="00F2548D" w:rsidRPr="00117DF2">
        <w:t xml:space="preserve"> 39 </w:t>
      </w:r>
      <w:r w:rsidR="008350CD" w:rsidRPr="00117DF2">
        <w:t>agreed to</w:t>
      </w:r>
      <w:r w:rsidR="00B74EBE" w:rsidRPr="00117DF2">
        <w:t xml:space="preserve"> </w:t>
      </w:r>
      <w:r w:rsidR="00615988" w:rsidRPr="00117DF2">
        <w:t>participate</w:t>
      </w:r>
      <w:r w:rsidR="00B74EBE" w:rsidRPr="00117DF2">
        <w:t xml:space="preserve"> in the new study</w:t>
      </w:r>
      <w:r w:rsidR="00F2548D" w:rsidRPr="00117DF2">
        <w:t xml:space="preserve"> and one was a substitute </w:t>
      </w:r>
      <w:r w:rsidR="002A42AF" w:rsidRPr="00117DF2">
        <w:t xml:space="preserve">with </w:t>
      </w:r>
      <w:r w:rsidR="00F2548D" w:rsidRPr="00117DF2">
        <w:t xml:space="preserve">characteristics </w:t>
      </w:r>
      <w:r w:rsidR="002A42AF" w:rsidRPr="00117DF2">
        <w:t xml:space="preserve">similar to </w:t>
      </w:r>
      <w:r w:rsidR="00F2548D" w:rsidRPr="00117DF2">
        <w:t xml:space="preserve">one of the service users who </w:t>
      </w:r>
      <w:r w:rsidR="003D3F8F" w:rsidRPr="00117DF2">
        <w:t>declined</w:t>
      </w:r>
      <w:r w:rsidR="00B74EBE" w:rsidRPr="00117DF2">
        <w:t xml:space="preserve"> to </w:t>
      </w:r>
      <w:r w:rsidR="00F2548D" w:rsidRPr="00117DF2">
        <w:t>participate.</w:t>
      </w:r>
      <w:r w:rsidR="000F05EC" w:rsidRPr="00117DF2">
        <w:rPr>
          <w:rStyle w:val="FootnoteReference"/>
        </w:rPr>
        <w:footnoteReference w:id="7"/>
      </w:r>
    </w:p>
    <w:p w:rsidR="00233BC7" w:rsidRPr="00117DF2" w:rsidRDefault="00233BC7" w:rsidP="007C2043">
      <w:pPr>
        <w:pStyle w:val="Heading2"/>
      </w:pPr>
      <w:r w:rsidRPr="00117DF2">
        <w:t>Characteristics of service users in this study</w:t>
      </w:r>
    </w:p>
    <w:p w:rsidR="00227DFF" w:rsidRPr="00117DF2" w:rsidRDefault="00227DFF" w:rsidP="004D75DA">
      <w:pPr>
        <w:spacing w:after="120"/>
      </w:pPr>
      <w:r w:rsidRPr="00117DF2">
        <w:t>The service providers were chosen because the</w:t>
      </w:r>
      <w:r w:rsidR="003D3F8F" w:rsidRPr="00117DF2">
        <w:t>y</w:t>
      </w:r>
      <w:r w:rsidRPr="00117DF2">
        <w:t xml:space="preserve"> provided a balanced coverage of people with different disabilities and different service delivery modalities.</w:t>
      </w:r>
      <w:r w:rsidR="000F608B" w:rsidRPr="00117DF2">
        <w:t xml:space="preserve"> </w:t>
      </w:r>
      <w:r w:rsidRPr="00117DF2">
        <w:t>The 40 interviewees</w:t>
      </w:r>
      <w:r w:rsidR="004D75DA" w:rsidRPr="00117DF2">
        <w:t>’</w:t>
      </w:r>
      <w:r w:rsidRPr="00117DF2">
        <w:t xml:space="preserve"> main disabilit</w:t>
      </w:r>
      <w:r w:rsidR="004D75DA" w:rsidRPr="00117DF2">
        <w:t>ies</w:t>
      </w:r>
      <w:r w:rsidRPr="00117DF2">
        <w:t xml:space="preserve"> </w:t>
      </w:r>
      <w:r w:rsidR="004D75DA" w:rsidRPr="00117DF2">
        <w:t xml:space="preserve">are </w:t>
      </w:r>
      <w:r w:rsidRPr="00117DF2">
        <w:t>characterised as follows:</w:t>
      </w:r>
    </w:p>
    <w:p w:rsidR="00227DFF" w:rsidRPr="00117DF2" w:rsidRDefault="003D3F8F" w:rsidP="00227DFF">
      <w:pPr>
        <w:pStyle w:val="ListBullet"/>
      </w:pPr>
      <w:r w:rsidRPr="00117DF2">
        <w:t>9</w:t>
      </w:r>
      <w:r w:rsidR="00D66BDB" w:rsidRPr="00117DF2">
        <w:t xml:space="preserve"> with </w:t>
      </w:r>
      <w:r w:rsidR="00233BC7" w:rsidRPr="00117DF2">
        <w:t>m</w:t>
      </w:r>
      <w:r w:rsidR="00D66BDB" w:rsidRPr="00117DF2">
        <w:t>ild</w:t>
      </w:r>
      <w:r w:rsidR="00233BC7" w:rsidRPr="00117DF2">
        <w:t xml:space="preserve"> or m</w:t>
      </w:r>
      <w:r w:rsidR="00D66BDB" w:rsidRPr="00117DF2">
        <w:t>oderate intellectual disability</w:t>
      </w:r>
    </w:p>
    <w:p w:rsidR="00227DFF" w:rsidRPr="00117DF2" w:rsidRDefault="003D3F8F" w:rsidP="00227DFF">
      <w:pPr>
        <w:pStyle w:val="ListBullet"/>
      </w:pPr>
      <w:r w:rsidRPr="00117DF2">
        <w:t>8</w:t>
      </w:r>
      <w:r w:rsidR="00227DFF" w:rsidRPr="00117DF2">
        <w:t xml:space="preserve"> with </w:t>
      </w:r>
      <w:r w:rsidR="00233BC7" w:rsidRPr="00117DF2">
        <w:t>s</w:t>
      </w:r>
      <w:r w:rsidR="00227DFF" w:rsidRPr="00117DF2">
        <w:t>evere</w:t>
      </w:r>
      <w:r w:rsidR="00233BC7" w:rsidRPr="00117DF2">
        <w:t xml:space="preserve"> or p</w:t>
      </w:r>
      <w:r w:rsidR="00227DFF" w:rsidRPr="00117DF2">
        <w:t xml:space="preserve">rofound </w:t>
      </w:r>
      <w:r w:rsidR="00D66BDB" w:rsidRPr="00117DF2">
        <w:t>intellectual disability</w:t>
      </w:r>
    </w:p>
    <w:p w:rsidR="00227DFF" w:rsidRPr="00117DF2" w:rsidRDefault="003D3F8F" w:rsidP="00227DFF">
      <w:pPr>
        <w:pStyle w:val="ListBullet"/>
      </w:pPr>
      <w:r w:rsidRPr="00117DF2">
        <w:t>6</w:t>
      </w:r>
      <w:r w:rsidR="00227DFF" w:rsidRPr="00117DF2">
        <w:t xml:space="preserve"> with </w:t>
      </w:r>
      <w:r w:rsidR="00233BC7" w:rsidRPr="00117DF2">
        <w:t>n</w:t>
      </w:r>
      <w:r w:rsidR="00227DFF" w:rsidRPr="00117DF2">
        <w:t xml:space="preserve">eurological </w:t>
      </w:r>
      <w:r w:rsidR="002D0C6A" w:rsidRPr="00117DF2">
        <w:t xml:space="preserve">disabilities </w:t>
      </w:r>
    </w:p>
    <w:p w:rsidR="00227DFF" w:rsidRPr="00117DF2" w:rsidRDefault="00227DFF" w:rsidP="00227DFF">
      <w:pPr>
        <w:pStyle w:val="ListBullet"/>
      </w:pPr>
      <w:r w:rsidRPr="00117DF2">
        <w:t>13 with physical disabilities</w:t>
      </w:r>
    </w:p>
    <w:p w:rsidR="00227DFF" w:rsidRPr="00117DF2" w:rsidRDefault="003D3F8F" w:rsidP="004D75DA">
      <w:pPr>
        <w:pStyle w:val="ListBullet"/>
        <w:spacing w:after="240"/>
        <w:ind w:left="357" w:hanging="357"/>
      </w:pPr>
      <w:r w:rsidRPr="00117DF2">
        <w:t>4</w:t>
      </w:r>
      <w:r w:rsidR="00227DFF" w:rsidRPr="00117DF2">
        <w:t xml:space="preserve"> with sensory </w:t>
      </w:r>
      <w:r w:rsidR="002D0C6A" w:rsidRPr="00117DF2">
        <w:t>disabilities</w:t>
      </w:r>
    </w:p>
    <w:p w:rsidR="00227DFF" w:rsidRPr="00117DF2" w:rsidRDefault="00227DFF" w:rsidP="00D52D1B">
      <w:r w:rsidRPr="00117DF2">
        <w:t xml:space="preserve">In addition </w:t>
      </w:r>
      <w:r w:rsidR="00A8298B" w:rsidRPr="00117DF2">
        <w:t>17</w:t>
      </w:r>
      <w:r w:rsidRPr="00117DF2">
        <w:t xml:space="preserve"> of the 40 above could be characterised as ‘complex cases’. </w:t>
      </w:r>
      <w:r w:rsidR="002D0C6A" w:rsidRPr="00117DF2">
        <w:t>For the purpose of this study</w:t>
      </w:r>
      <w:r w:rsidR="002A42AF" w:rsidRPr="00117DF2">
        <w:t>,</w:t>
      </w:r>
      <w:r w:rsidR="002D0C6A" w:rsidRPr="00117DF2">
        <w:t xml:space="preserve"> t</w:t>
      </w:r>
      <w:r w:rsidRPr="00117DF2">
        <w:t xml:space="preserve">he definition of a complex case is someone with a dual diagnosis or with </w:t>
      </w:r>
      <w:r w:rsidR="00A8298B" w:rsidRPr="00117DF2">
        <w:t xml:space="preserve">significant </w:t>
      </w:r>
      <w:r w:rsidRPr="00117DF2">
        <w:t>co-morbidities that therefore result in the person needing much more support or multiple complex interventions.</w:t>
      </w:r>
      <w:r w:rsidR="00A8298B" w:rsidRPr="00117DF2">
        <w:t xml:space="preserve"> In addition </w:t>
      </w:r>
      <w:r w:rsidR="002D0C6A" w:rsidRPr="00117DF2">
        <w:t>nine</w:t>
      </w:r>
      <w:r w:rsidR="00D52D1B" w:rsidRPr="00117DF2">
        <w:t xml:space="preserve"> of tho</w:t>
      </w:r>
      <w:r w:rsidR="00A8298B" w:rsidRPr="00117DF2">
        <w:t xml:space="preserve">se </w:t>
      </w:r>
      <w:r w:rsidR="00D52D1B" w:rsidRPr="00117DF2">
        <w:t xml:space="preserve">in the study potentially </w:t>
      </w:r>
      <w:r w:rsidR="00A8298B" w:rsidRPr="00117DF2">
        <w:t xml:space="preserve">could </w:t>
      </w:r>
      <w:r w:rsidR="00D52D1B" w:rsidRPr="00117DF2">
        <w:t xml:space="preserve">have been listed </w:t>
      </w:r>
      <w:r w:rsidR="00A8298B" w:rsidRPr="00117DF2">
        <w:t xml:space="preserve">under a different disability category (for instance a wheelchair user with a significant visual impairment could be classified as </w:t>
      </w:r>
      <w:r w:rsidR="00382AA2" w:rsidRPr="00117DF2">
        <w:t>either having a physical</w:t>
      </w:r>
      <w:r w:rsidR="00A8298B" w:rsidRPr="00117DF2">
        <w:t xml:space="preserve"> </w:t>
      </w:r>
      <w:r w:rsidR="00382AA2" w:rsidRPr="00117DF2">
        <w:t>disability</w:t>
      </w:r>
      <w:r w:rsidR="00A8298B" w:rsidRPr="00117DF2">
        <w:t xml:space="preserve"> or</w:t>
      </w:r>
      <w:r w:rsidR="00382AA2" w:rsidRPr="00117DF2">
        <w:t xml:space="preserve"> having a sensory disability). The</w:t>
      </w:r>
      <w:r w:rsidR="00D52D1B" w:rsidRPr="00117DF2">
        <w:t>se</w:t>
      </w:r>
      <w:r w:rsidR="00382AA2" w:rsidRPr="00117DF2">
        <w:t xml:space="preserve"> nine people are </w:t>
      </w:r>
      <w:r w:rsidR="006B0CB6" w:rsidRPr="00117DF2">
        <w:t xml:space="preserve">defined </w:t>
      </w:r>
      <w:r w:rsidR="002D0C6A" w:rsidRPr="00117DF2">
        <w:t xml:space="preserve">in this study </w:t>
      </w:r>
      <w:r w:rsidR="00382AA2" w:rsidRPr="00117DF2">
        <w:t xml:space="preserve">by their </w:t>
      </w:r>
      <w:r w:rsidR="006B0CB6" w:rsidRPr="00117DF2">
        <w:t>service provider</w:t>
      </w:r>
      <w:r w:rsidR="007625BE" w:rsidRPr="00117DF2">
        <w:t>’s categorisation</w:t>
      </w:r>
      <w:r w:rsidR="00382AA2" w:rsidRPr="00117DF2">
        <w:t xml:space="preserve">. However, the effect of defining them by their second </w:t>
      </w:r>
      <w:r w:rsidR="00D52D1B" w:rsidRPr="00117DF2">
        <w:t xml:space="preserve">form of impairment </w:t>
      </w:r>
      <w:r w:rsidR="002D0C6A" w:rsidRPr="00117DF2">
        <w:t xml:space="preserve">was tested and found not </w:t>
      </w:r>
      <w:r w:rsidR="005D7EF8" w:rsidRPr="00117DF2">
        <w:t xml:space="preserve">to </w:t>
      </w:r>
      <w:r w:rsidR="00382AA2" w:rsidRPr="00117DF2">
        <w:t xml:space="preserve">change </w:t>
      </w:r>
      <w:r w:rsidR="00D52D1B" w:rsidRPr="00117DF2">
        <w:t xml:space="preserve">the </w:t>
      </w:r>
      <w:r w:rsidR="002D0C6A" w:rsidRPr="00117DF2">
        <w:t>results.</w:t>
      </w:r>
    </w:p>
    <w:p w:rsidR="00D52D1B" w:rsidRPr="00117DF2" w:rsidRDefault="00D52D1B" w:rsidP="007C2043">
      <w:pPr>
        <w:pStyle w:val="Heading2"/>
      </w:pPr>
      <w:r w:rsidRPr="00117DF2">
        <w:t>Service settings</w:t>
      </w:r>
    </w:p>
    <w:p w:rsidR="00D66BDB" w:rsidRPr="00117DF2" w:rsidRDefault="00227DFF" w:rsidP="00233BC7">
      <w:pPr>
        <w:spacing w:after="120"/>
      </w:pPr>
      <w:r w:rsidRPr="00117DF2">
        <w:t xml:space="preserve">The type of service provision accessed by service users in the study can be categorised as follows: </w:t>
      </w:r>
    </w:p>
    <w:p w:rsidR="00D66BDB" w:rsidRPr="00117DF2" w:rsidRDefault="002A42AF" w:rsidP="00D66BDB">
      <w:pPr>
        <w:pStyle w:val="ListBullet"/>
      </w:pPr>
      <w:r w:rsidRPr="00117DF2">
        <w:t>C</w:t>
      </w:r>
      <w:r w:rsidR="00227DFF" w:rsidRPr="00117DF2">
        <w:t>ongregated care settings – residential service with a home accommodating ten people or more</w:t>
      </w:r>
    </w:p>
    <w:p w:rsidR="00D66BDB" w:rsidRPr="00117DF2" w:rsidRDefault="00227DFF" w:rsidP="00D66BDB">
      <w:pPr>
        <w:pStyle w:val="ListBullet"/>
      </w:pPr>
      <w:r w:rsidRPr="00117DF2">
        <w:t xml:space="preserve">Group home – residential service with homes accommodating four to six people. </w:t>
      </w:r>
    </w:p>
    <w:p w:rsidR="00D66BDB" w:rsidRPr="00117DF2" w:rsidRDefault="00227DFF" w:rsidP="00233BC7">
      <w:pPr>
        <w:pStyle w:val="ListBullet"/>
        <w:spacing w:after="240"/>
        <w:ind w:left="357" w:hanging="357"/>
      </w:pPr>
      <w:r w:rsidRPr="00117DF2">
        <w:t>Day services – these can either be agency based or non-agency based.</w:t>
      </w:r>
      <w:r w:rsidRPr="00117DF2">
        <w:rPr>
          <w:rStyle w:val="FootnoteReference"/>
        </w:rPr>
        <w:footnoteReference w:id="8"/>
      </w:r>
      <w:r w:rsidRPr="00117DF2">
        <w:t xml:space="preserve"> </w:t>
      </w:r>
    </w:p>
    <w:p w:rsidR="00227DFF" w:rsidRPr="00117DF2" w:rsidRDefault="00227DFF" w:rsidP="00233BC7">
      <w:pPr>
        <w:spacing w:after="120"/>
      </w:pPr>
      <w:r w:rsidRPr="00117DF2">
        <w:t>The 40 participants have the following types of service provision:</w:t>
      </w:r>
    </w:p>
    <w:p w:rsidR="00227DFF" w:rsidRPr="00117DF2" w:rsidRDefault="00583F13" w:rsidP="00227DFF">
      <w:pPr>
        <w:pStyle w:val="ListBullet"/>
      </w:pPr>
      <w:r w:rsidRPr="00117DF2">
        <w:t>7</w:t>
      </w:r>
      <w:r w:rsidR="00892BEB" w:rsidRPr="00117DF2">
        <w:t xml:space="preserve"> use </w:t>
      </w:r>
      <w:r w:rsidR="00227DFF" w:rsidRPr="00117DF2">
        <w:t>day</w:t>
      </w:r>
      <w:r w:rsidR="00892BEB" w:rsidRPr="00117DF2">
        <w:t xml:space="preserve"> services on site</w:t>
      </w:r>
    </w:p>
    <w:p w:rsidR="00227DFF" w:rsidRPr="00117DF2" w:rsidRDefault="00583F13" w:rsidP="00227DFF">
      <w:pPr>
        <w:pStyle w:val="ListBullet"/>
      </w:pPr>
      <w:r w:rsidRPr="00117DF2">
        <w:t>7</w:t>
      </w:r>
      <w:r w:rsidR="00892BEB" w:rsidRPr="00117DF2">
        <w:t xml:space="preserve"> live in c</w:t>
      </w:r>
      <w:r w:rsidR="00227DFF" w:rsidRPr="00117DF2">
        <w:t>ongr</w:t>
      </w:r>
      <w:r w:rsidR="00892BEB" w:rsidRPr="00117DF2">
        <w:t>egated settings</w:t>
      </w:r>
    </w:p>
    <w:p w:rsidR="00227DFF" w:rsidRPr="00117DF2" w:rsidRDefault="00583F13" w:rsidP="00227DFF">
      <w:pPr>
        <w:pStyle w:val="ListBullet"/>
      </w:pPr>
      <w:r w:rsidRPr="00117DF2">
        <w:t>8</w:t>
      </w:r>
      <w:r w:rsidR="00892BEB" w:rsidRPr="00117DF2">
        <w:t xml:space="preserve"> live in a group home</w:t>
      </w:r>
    </w:p>
    <w:p w:rsidR="00227DFF" w:rsidRPr="00117DF2" w:rsidRDefault="00892BEB" w:rsidP="00233BC7">
      <w:pPr>
        <w:pStyle w:val="ListBullet"/>
        <w:spacing w:after="240"/>
        <w:ind w:left="357" w:hanging="357"/>
      </w:pPr>
      <w:r w:rsidRPr="00117DF2">
        <w:t xml:space="preserve">18 use </w:t>
      </w:r>
      <w:r w:rsidR="005D7EF8" w:rsidRPr="00117DF2">
        <w:t xml:space="preserve">agency-based </w:t>
      </w:r>
      <w:r w:rsidR="00227DFF" w:rsidRPr="00117DF2">
        <w:t>day</w:t>
      </w:r>
      <w:r w:rsidRPr="00117DF2">
        <w:t xml:space="preserve"> services</w:t>
      </w:r>
    </w:p>
    <w:p w:rsidR="0061112B" w:rsidRPr="00117DF2" w:rsidRDefault="0061112B" w:rsidP="007C2043">
      <w:pPr>
        <w:pStyle w:val="Heading2"/>
      </w:pPr>
      <w:r w:rsidRPr="00117DF2">
        <w:t>Other characteristics of service users in study</w:t>
      </w:r>
    </w:p>
    <w:p w:rsidR="00227DFF" w:rsidRPr="00117DF2" w:rsidRDefault="00227DFF" w:rsidP="00227DFF">
      <w:pPr>
        <w:pStyle w:val="ListBullet"/>
      </w:pPr>
      <w:r w:rsidRPr="00117DF2">
        <w:t>23 women and 17 men</w:t>
      </w:r>
    </w:p>
    <w:p w:rsidR="00227DFF" w:rsidRPr="00117DF2" w:rsidRDefault="00227DFF" w:rsidP="00227DFF">
      <w:pPr>
        <w:pStyle w:val="ListBullet"/>
      </w:pPr>
      <w:r w:rsidRPr="00117DF2">
        <w:t>23 people aged 18 to 40 and 17 aged 41-65.</w:t>
      </w:r>
    </w:p>
    <w:p w:rsidR="00227DFF" w:rsidRPr="00117DF2" w:rsidRDefault="00583F13" w:rsidP="00227DFF">
      <w:pPr>
        <w:pStyle w:val="ListBullet"/>
      </w:pPr>
      <w:r w:rsidRPr="00117DF2">
        <w:t>5</w:t>
      </w:r>
      <w:r w:rsidR="00227DFF" w:rsidRPr="00117DF2">
        <w:t xml:space="preserve"> people with mental health difficulties</w:t>
      </w:r>
    </w:p>
    <w:p w:rsidR="00227DFF" w:rsidRPr="00117DF2" w:rsidRDefault="00933DB5" w:rsidP="00227DFF">
      <w:pPr>
        <w:pStyle w:val="ListBullet"/>
      </w:pPr>
      <w:r w:rsidRPr="00117DF2">
        <w:t>2</w:t>
      </w:r>
      <w:r w:rsidR="00227DFF" w:rsidRPr="00117DF2">
        <w:t xml:space="preserve"> peo</w:t>
      </w:r>
      <w:r w:rsidR="002D0C6A" w:rsidRPr="00117DF2">
        <w:t>ple with challenging behaviour</w:t>
      </w:r>
    </w:p>
    <w:p w:rsidR="002D0C6A" w:rsidRPr="00117DF2" w:rsidRDefault="00583F13" w:rsidP="0061112B">
      <w:pPr>
        <w:pStyle w:val="ListBullet"/>
        <w:spacing w:after="240"/>
        <w:ind w:left="357" w:hanging="357"/>
      </w:pPr>
      <w:r w:rsidRPr="00117DF2">
        <w:t>4</w:t>
      </w:r>
      <w:r w:rsidR="002D0C6A" w:rsidRPr="00117DF2">
        <w:t xml:space="preserve"> of the </w:t>
      </w:r>
      <w:r w:rsidR="002E27A2" w:rsidRPr="00117DF2">
        <w:t>service users</w:t>
      </w:r>
      <w:r w:rsidR="002D0C6A" w:rsidRPr="00117DF2">
        <w:t xml:space="preserve"> had dependent children and </w:t>
      </w:r>
      <w:r w:rsidRPr="00117DF2">
        <w:t>2</w:t>
      </w:r>
      <w:r w:rsidR="002D0C6A" w:rsidRPr="00117DF2">
        <w:t xml:space="preserve"> of these were single parents</w:t>
      </w:r>
    </w:p>
    <w:p w:rsidR="0061112B" w:rsidRPr="00117DF2" w:rsidRDefault="0061112B" w:rsidP="007C2043">
      <w:pPr>
        <w:pStyle w:val="Heading2"/>
      </w:pPr>
      <w:r w:rsidRPr="00117DF2">
        <w:t>Assessment instruments</w:t>
      </w:r>
    </w:p>
    <w:p w:rsidR="00C13B74" w:rsidRPr="00117DF2" w:rsidRDefault="00227DFF" w:rsidP="0061112B">
      <w:pPr>
        <w:spacing w:after="120"/>
      </w:pPr>
      <w:r w:rsidRPr="00117DF2">
        <w:t>The NDA worked with both the FACE and</w:t>
      </w:r>
      <w:r w:rsidR="000F608B" w:rsidRPr="00117DF2">
        <w:t xml:space="preserve"> interRAI</w:t>
      </w:r>
      <w:r w:rsidRPr="00117DF2">
        <w:t xml:space="preserve"> </w:t>
      </w:r>
      <w:r w:rsidR="00D52D1B" w:rsidRPr="00117DF2">
        <w:t xml:space="preserve">organisations </w:t>
      </w:r>
      <w:r w:rsidRPr="00117DF2">
        <w:t>to produce tools that were relevant to the Irish context.</w:t>
      </w:r>
      <w:r w:rsidR="000F608B" w:rsidRPr="00117DF2">
        <w:t xml:space="preserve"> </w:t>
      </w:r>
      <w:r w:rsidRPr="00117DF2">
        <w:t>In addition</w:t>
      </w:r>
      <w:r w:rsidR="002D0C6A" w:rsidRPr="00117DF2">
        <w:t>, as mentioned above</w:t>
      </w:r>
      <w:r w:rsidR="001C5B6E" w:rsidRPr="00117DF2">
        <w:t>, the</w:t>
      </w:r>
      <w:r w:rsidRPr="00117DF2">
        <w:t xml:space="preserve"> NDA worked with the</w:t>
      </w:r>
      <w:r w:rsidR="000F608B" w:rsidRPr="00117DF2">
        <w:t xml:space="preserve"> interRAI</w:t>
      </w:r>
      <w:r w:rsidRPr="00117DF2">
        <w:t xml:space="preserve"> team to produce a ‘disability’ tool and</w:t>
      </w:r>
      <w:r w:rsidR="002A42AF" w:rsidRPr="00117DF2">
        <w:t>,</w:t>
      </w:r>
      <w:r w:rsidRPr="00117DF2">
        <w:t xml:space="preserve"> further</w:t>
      </w:r>
      <w:r w:rsidR="002A42AF" w:rsidRPr="00117DF2">
        <w:t>,</w:t>
      </w:r>
      <w:r w:rsidRPr="00117DF2">
        <w:t xml:space="preserve"> to produce gateways within this tool so that people were only asked relevant questions.</w:t>
      </w:r>
      <w:r w:rsidR="00C13B74" w:rsidRPr="00117DF2">
        <w:t xml:space="preserve"> These gateways meant that everyone interviewed was asked general questions and then</w:t>
      </w:r>
      <w:r w:rsidR="002A42AF" w:rsidRPr="00117DF2">
        <w:t>,</w:t>
      </w:r>
      <w:r w:rsidR="00C13B74" w:rsidRPr="00117DF2">
        <w:t xml:space="preserve"> depending on the answer to these questions</w:t>
      </w:r>
      <w:r w:rsidR="002A42AF" w:rsidRPr="00117DF2">
        <w:t>,</w:t>
      </w:r>
      <w:r w:rsidR="00C13B74" w:rsidRPr="00117DF2">
        <w:t xml:space="preserve"> they answered the questions on one of three</w:t>
      </w:r>
      <w:r w:rsidR="000F608B" w:rsidRPr="00117DF2">
        <w:t xml:space="preserve"> interRAI</w:t>
      </w:r>
      <w:r w:rsidR="00D66BDB" w:rsidRPr="00117DF2">
        <w:t xml:space="preserve"> questionnaires</w:t>
      </w:r>
      <w:r w:rsidR="00C13B74" w:rsidRPr="00117DF2">
        <w:t>:</w:t>
      </w:r>
    </w:p>
    <w:p w:rsidR="00C13B74" w:rsidRPr="00117DF2" w:rsidRDefault="00C13B74" w:rsidP="00C13B74">
      <w:pPr>
        <w:pStyle w:val="ListBullet"/>
      </w:pPr>
      <w:r w:rsidRPr="00117DF2">
        <w:t>Mental health</w:t>
      </w:r>
    </w:p>
    <w:p w:rsidR="00C13B74" w:rsidRPr="00117DF2" w:rsidRDefault="00C13B74" w:rsidP="00C13B74">
      <w:pPr>
        <w:pStyle w:val="ListBullet"/>
      </w:pPr>
      <w:r w:rsidRPr="00117DF2">
        <w:t>Physical disability</w:t>
      </w:r>
    </w:p>
    <w:p w:rsidR="00C13B74" w:rsidRPr="00117DF2" w:rsidRDefault="00C13B74" w:rsidP="0061112B">
      <w:pPr>
        <w:pStyle w:val="ListBullet"/>
        <w:spacing w:after="240"/>
        <w:ind w:left="357" w:hanging="357"/>
      </w:pPr>
      <w:r w:rsidRPr="00117DF2">
        <w:t>Intellectual disability</w:t>
      </w:r>
    </w:p>
    <w:p w:rsidR="0061112B" w:rsidRPr="00117DF2" w:rsidRDefault="0061112B" w:rsidP="007C2043">
      <w:pPr>
        <w:pStyle w:val="Heading2"/>
      </w:pPr>
      <w:r w:rsidRPr="00117DF2">
        <w:t xml:space="preserve">Study process </w:t>
      </w:r>
    </w:p>
    <w:p w:rsidR="00D52D1B" w:rsidRPr="00117DF2" w:rsidRDefault="00D52D1B" w:rsidP="00D66BDB">
      <w:r w:rsidRPr="00117DF2">
        <w:t xml:space="preserve">As in the first field trial, participants were interviewed by someone from outside their own service. Each participating service provider offered </w:t>
      </w:r>
      <w:r w:rsidR="00DC1074" w:rsidRPr="00117DF2">
        <w:t xml:space="preserve">experienced staff to act as interviewers for people in another service. </w:t>
      </w:r>
    </w:p>
    <w:p w:rsidR="00DC1074" w:rsidRPr="00117DF2" w:rsidRDefault="00D66BDB" w:rsidP="00D66BDB">
      <w:r w:rsidRPr="00117DF2">
        <w:t>The FACE and</w:t>
      </w:r>
      <w:r w:rsidR="000F608B" w:rsidRPr="00117DF2">
        <w:t xml:space="preserve"> interRAI</w:t>
      </w:r>
      <w:r w:rsidRPr="00117DF2">
        <w:t xml:space="preserve"> interviews were conducted </w:t>
      </w:r>
      <w:r w:rsidR="00DC1074" w:rsidRPr="00117DF2">
        <w:t xml:space="preserve">by a team of eight interviewers, </w:t>
      </w:r>
      <w:r w:rsidRPr="00117DF2">
        <w:t>all of whom had extensive experience of working in the provision of supports to people with disabilities</w:t>
      </w:r>
      <w:r w:rsidR="00DC1074" w:rsidRPr="00117DF2">
        <w:t>. F</w:t>
      </w:r>
      <w:r w:rsidRPr="00117DF2">
        <w:t>ive of these interviewers were involved in th</w:t>
      </w:r>
      <w:r w:rsidR="00DC1074" w:rsidRPr="00117DF2">
        <w:t>e first study and therefore had</w:t>
      </w:r>
      <w:r w:rsidRPr="00117DF2">
        <w:t xml:space="preserve"> experience of all four tools. </w:t>
      </w:r>
    </w:p>
    <w:p w:rsidR="00D66BDB" w:rsidRPr="00117DF2" w:rsidRDefault="00DC1074" w:rsidP="00D66BDB">
      <w:r w:rsidRPr="00117DF2">
        <w:t>A</w:t>
      </w:r>
      <w:r w:rsidR="00D66BDB" w:rsidRPr="00117DF2">
        <w:t xml:space="preserve"> team of ten project liaison officers</w:t>
      </w:r>
      <w:r w:rsidRPr="00117DF2">
        <w:t xml:space="preserve"> in the participating services </w:t>
      </w:r>
      <w:r w:rsidR="00D66BDB" w:rsidRPr="00117DF2">
        <w:t>recruit</w:t>
      </w:r>
      <w:r w:rsidRPr="00117DF2">
        <w:t>ed</w:t>
      </w:r>
      <w:r w:rsidR="00D66BDB" w:rsidRPr="00117DF2">
        <w:t xml:space="preserve"> service users who had participated in the first study to parti</w:t>
      </w:r>
      <w:r w:rsidRPr="00117DF2">
        <w:t>cipate in the second study, obtained</w:t>
      </w:r>
      <w:r w:rsidR="00D66BDB" w:rsidRPr="00117DF2">
        <w:t xml:space="preserve"> their consent and co-ordinate</w:t>
      </w:r>
      <w:r w:rsidRPr="00117DF2">
        <w:t>d</w:t>
      </w:r>
      <w:r w:rsidR="00D66BDB" w:rsidRPr="00117DF2">
        <w:t xml:space="preserve"> the timetabling of interviews. The project liaison officer was also a key contact point for service users and their families, dealing with any queries or concerns regarding participation in the study.</w:t>
      </w:r>
    </w:p>
    <w:p w:rsidR="00D66BDB" w:rsidRPr="00117DF2" w:rsidRDefault="00D66BDB" w:rsidP="00D66BDB">
      <w:r w:rsidRPr="00117DF2">
        <w:t xml:space="preserve">Ethical protocols were similar to the first study and ethical oversight was provided by </w:t>
      </w:r>
      <w:r w:rsidR="00DC1074" w:rsidRPr="00117DF2">
        <w:t>Dr Ron Iphofen AcSS (an i</w:t>
      </w:r>
      <w:r w:rsidR="007C1F2D" w:rsidRPr="00117DF2">
        <w:t>n</w:t>
      </w:r>
      <w:r w:rsidR="00DC1074" w:rsidRPr="00117DF2">
        <w:t>dependent c</w:t>
      </w:r>
      <w:r w:rsidR="007C1F2D" w:rsidRPr="00117DF2">
        <w:t xml:space="preserve">onsultant, </w:t>
      </w:r>
      <w:r w:rsidR="00DC1074" w:rsidRPr="00117DF2">
        <w:t xml:space="preserve">and </w:t>
      </w:r>
      <w:r w:rsidR="007C1F2D" w:rsidRPr="00117DF2">
        <w:t>adviser to the Ethics Sector of DG Research and Innovation, European Commission).</w:t>
      </w:r>
      <w:r w:rsidR="00C74131" w:rsidRPr="00117DF2">
        <w:t xml:space="preserve"> All comments from the adviser were attended to promptly, lessons learned from the first phase were applied and no serious issues emerged during the conduct of the study.</w:t>
      </w:r>
    </w:p>
    <w:p w:rsidR="00227DFF" w:rsidRPr="00117DF2" w:rsidRDefault="00227DFF" w:rsidP="00227DFF">
      <w:r w:rsidRPr="00117DF2">
        <w:t>Training in the two supports needs assessment tools was provided to interviewers</w:t>
      </w:r>
      <w:r w:rsidR="00D66BDB" w:rsidRPr="00117DF2">
        <w:t xml:space="preserve"> by the</w:t>
      </w:r>
      <w:r w:rsidR="000F608B" w:rsidRPr="00117DF2">
        <w:t xml:space="preserve"> interRAI</w:t>
      </w:r>
      <w:r w:rsidR="00D66BDB" w:rsidRPr="00117DF2">
        <w:t xml:space="preserve"> and FACE organisation</w:t>
      </w:r>
      <w:r w:rsidRPr="00117DF2">
        <w:t>. The actual interviews, with two exceptions, were delivered by individuals that had no prior knowledge of the service user and their support needs (in two instances due to unavoidable timetabling issues</w:t>
      </w:r>
      <w:r w:rsidR="00DC1074" w:rsidRPr="00117DF2">
        <w:t>,</w:t>
      </w:r>
      <w:r w:rsidRPr="00117DF2">
        <w:t xml:space="preserve"> the interviewer had interviewed the service users during</w:t>
      </w:r>
      <w:r w:rsidR="00B74EBE" w:rsidRPr="00117DF2">
        <w:t xml:space="preserve"> </w:t>
      </w:r>
      <w:r w:rsidR="002D0C6A" w:rsidRPr="00117DF2">
        <w:t xml:space="preserve">the </w:t>
      </w:r>
      <w:r w:rsidR="00B74EBE" w:rsidRPr="00117DF2">
        <w:t>first study</w:t>
      </w:r>
      <w:r w:rsidR="00081154" w:rsidRPr="00117DF2">
        <w:t xml:space="preserve"> a year previously</w:t>
      </w:r>
      <w:r w:rsidRPr="00117DF2">
        <w:t>). The interviews were timetabled to take place in the course of a single day and the</w:t>
      </w:r>
      <w:r w:rsidR="000F608B" w:rsidRPr="00117DF2">
        <w:t xml:space="preserve"> interRAI</w:t>
      </w:r>
      <w:r w:rsidRPr="00117DF2">
        <w:t xml:space="preserve"> </w:t>
      </w:r>
      <w:r w:rsidR="00D66BDB" w:rsidRPr="00117DF2">
        <w:t xml:space="preserve">tool </w:t>
      </w:r>
      <w:r w:rsidRPr="00117DF2">
        <w:t>was undertaken first followed by FACE</w:t>
      </w:r>
      <w:r w:rsidR="00D66BDB" w:rsidRPr="00117DF2">
        <w:t xml:space="preserve"> tool</w:t>
      </w:r>
      <w:r w:rsidRPr="00117DF2">
        <w:t>.</w:t>
      </w:r>
      <w:r w:rsidRPr="00117DF2">
        <w:rPr>
          <w:rStyle w:val="FootnoteReference"/>
          <w:szCs w:val="26"/>
        </w:rPr>
        <w:footnoteReference w:id="9"/>
      </w:r>
      <w:r w:rsidR="002D0C6A" w:rsidRPr="00117DF2">
        <w:t xml:space="preserve"> </w:t>
      </w:r>
      <w:r w:rsidRPr="00117DF2">
        <w:t>Service users had the option of being accompanied by a family member or key worker. Service users with cogn</w:t>
      </w:r>
      <w:r w:rsidR="00DC1074" w:rsidRPr="00117DF2">
        <w:t>itive impairments or</w:t>
      </w:r>
      <w:r w:rsidRPr="00117DF2">
        <w:t xml:space="preserve"> intellectual disabilities were routinely joined by a key worker.</w:t>
      </w:r>
    </w:p>
    <w:p w:rsidR="00227DFF" w:rsidRPr="00117DF2" w:rsidRDefault="002E27A2" w:rsidP="00227DFF">
      <w:r w:rsidRPr="00117DF2">
        <w:t>Service users</w:t>
      </w:r>
      <w:r w:rsidR="00227DFF" w:rsidRPr="00117DF2">
        <w:t xml:space="preserve"> were interviewed at the service provider’s premises. </w:t>
      </w:r>
    </w:p>
    <w:p w:rsidR="0061112B" w:rsidRPr="00117DF2" w:rsidRDefault="0061112B" w:rsidP="007C2043">
      <w:pPr>
        <w:pStyle w:val="Heading2"/>
      </w:pPr>
      <w:r w:rsidRPr="00117DF2">
        <w:t>Data for analysis</w:t>
      </w:r>
    </w:p>
    <w:p w:rsidR="003F6C50" w:rsidRPr="00117DF2" w:rsidRDefault="003F6C50" w:rsidP="00BF7DC0">
      <w:pPr>
        <w:spacing w:after="120"/>
      </w:pPr>
      <w:r w:rsidRPr="00117DF2">
        <w:t xml:space="preserve">Similar to the process involved in </w:t>
      </w:r>
      <w:r w:rsidR="00B74EBE" w:rsidRPr="00117DF2">
        <w:t>first study</w:t>
      </w:r>
      <w:r w:rsidR="00583F13" w:rsidRPr="00117DF2">
        <w:t>,</w:t>
      </w:r>
      <w:r w:rsidR="00B74EBE" w:rsidRPr="00117DF2">
        <w:t xml:space="preserve"> data </w:t>
      </w:r>
      <w:r w:rsidR="00FF21E2" w:rsidRPr="00117DF2">
        <w:t>was</w:t>
      </w:r>
      <w:r w:rsidRPr="00117DF2">
        <w:t xml:space="preserve"> collated and analysed from </w:t>
      </w:r>
      <w:r w:rsidR="001C2628" w:rsidRPr="00117DF2">
        <w:t xml:space="preserve">different </w:t>
      </w:r>
      <w:r w:rsidRPr="00117DF2">
        <w:t>key sources:</w:t>
      </w:r>
    </w:p>
    <w:p w:rsidR="001C2628" w:rsidRPr="00117DF2" w:rsidRDefault="003F6C50" w:rsidP="00C3660B">
      <w:pPr>
        <w:pStyle w:val="ListBullet"/>
        <w:numPr>
          <w:ilvl w:val="0"/>
          <w:numId w:val="1"/>
        </w:numPr>
        <w:rPr>
          <w:szCs w:val="26"/>
        </w:rPr>
      </w:pPr>
      <w:r w:rsidRPr="00117DF2">
        <w:t>Monitoring sheet – this was developed by the National Disability Authority and was designed to capture anonymised data on the chara</w:t>
      </w:r>
      <w:r w:rsidR="00C3660B" w:rsidRPr="00117DF2">
        <w:t>cteristics of the service users</w:t>
      </w:r>
      <w:r w:rsidRPr="00117DF2">
        <w:rPr>
          <w:szCs w:val="26"/>
        </w:rPr>
        <w:t xml:space="preserve">, as well as coding </w:t>
      </w:r>
      <w:r w:rsidR="00DC1074" w:rsidRPr="00117DF2">
        <w:rPr>
          <w:szCs w:val="26"/>
        </w:rPr>
        <w:t xml:space="preserve">to record </w:t>
      </w:r>
      <w:r w:rsidRPr="00117DF2">
        <w:rPr>
          <w:szCs w:val="26"/>
        </w:rPr>
        <w:t xml:space="preserve">the interviewer conducting each assessment, the date of the assessment, and who was present. </w:t>
      </w:r>
    </w:p>
    <w:p w:rsidR="003F6C50" w:rsidRPr="00117DF2" w:rsidRDefault="003F6C50" w:rsidP="00C3660B">
      <w:pPr>
        <w:pStyle w:val="ListBullet"/>
        <w:numPr>
          <w:ilvl w:val="0"/>
          <w:numId w:val="1"/>
        </w:numPr>
      </w:pPr>
      <w:r w:rsidRPr="00117DF2">
        <w:t>Quick response sheets –</w:t>
      </w:r>
      <w:r w:rsidR="00FF21E2" w:rsidRPr="00117DF2">
        <w:t xml:space="preserve"> feedback was</w:t>
      </w:r>
      <w:r w:rsidRPr="00117DF2">
        <w:t xml:space="preserve"> captured from all participants (interviewers, service users, key workers and family members) immediately after each interview was completed. </w:t>
      </w:r>
      <w:r w:rsidR="007E6C6D" w:rsidRPr="00117DF2">
        <w:t xml:space="preserve">This captured data on </w:t>
      </w:r>
      <w:r w:rsidRPr="00117DF2">
        <w:t xml:space="preserve">satisfaction with the interview process </w:t>
      </w:r>
      <w:r w:rsidR="00C3660B" w:rsidRPr="00117DF2">
        <w:t xml:space="preserve">and the </w:t>
      </w:r>
      <w:r w:rsidRPr="00117DF2">
        <w:t xml:space="preserve">assessment tools. </w:t>
      </w:r>
    </w:p>
    <w:p w:rsidR="003F6C50" w:rsidRPr="00117DF2" w:rsidRDefault="008478A0" w:rsidP="00B40634">
      <w:pPr>
        <w:pStyle w:val="ListBullet"/>
      </w:pPr>
      <w:r w:rsidRPr="00117DF2">
        <w:t>FACE</w:t>
      </w:r>
      <w:r w:rsidR="00F34BBA" w:rsidRPr="00117DF2">
        <w:t>/</w:t>
      </w:r>
      <w:r w:rsidR="000F608B" w:rsidRPr="00117DF2">
        <w:t xml:space="preserve"> interRAI</w:t>
      </w:r>
      <w:r w:rsidR="003F6C50" w:rsidRPr="00117DF2">
        <w:t xml:space="preserve"> assessment results - </w:t>
      </w:r>
      <w:r w:rsidR="007E6C6D" w:rsidRPr="00117DF2">
        <w:t>The</w:t>
      </w:r>
      <w:r w:rsidR="003F6C50" w:rsidRPr="00117DF2">
        <w:t xml:space="preserve"> completed </w:t>
      </w:r>
      <w:r w:rsidR="007E6C6D" w:rsidRPr="00117DF2">
        <w:t xml:space="preserve">anonymised </w:t>
      </w:r>
      <w:r w:rsidRPr="00117DF2">
        <w:t>FACE</w:t>
      </w:r>
      <w:r w:rsidR="003F6C50" w:rsidRPr="00117DF2">
        <w:t xml:space="preserve"> interviews </w:t>
      </w:r>
      <w:r w:rsidR="001C2628" w:rsidRPr="00117DF2">
        <w:t xml:space="preserve">were scanned to the </w:t>
      </w:r>
      <w:r w:rsidRPr="00117DF2">
        <w:t>FACE</w:t>
      </w:r>
      <w:r w:rsidR="007E6C6D" w:rsidRPr="00117DF2">
        <w:t xml:space="preserve"> organisation. </w:t>
      </w:r>
      <w:r w:rsidRPr="00117DF2">
        <w:t>FACE</w:t>
      </w:r>
      <w:r w:rsidR="001C2628" w:rsidRPr="00117DF2">
        <w:t xml:space="preserve"> returned an </w:t>
      </w:r>
      <w:r w:rsidR="0011277B" w:rsidRPr="00117DF2">
        <w:t>indicative budget</w:t>
      </w:r>
      <w:r w:rsidR="001C2628" w:rsidRPr="00117DF2">
        <w:t xml:space="preserve"> for each person.</w:t>
      </w:r>
      <w:r w:rsidR="000F608B" w:rsidRPr="00117DF2">
        <w:t xml:space="preserve"> </w:t>
      </w:r>
      <w:r w:rsidR="001C2628" w:rsidRPr="00117DF2">
        <w:t>In addition information from each person</w:t>
      </w:r>
      <w:r w:rsidR="00BC083D" w:rsidRPr="00117DF2">
        <w:t>’s</w:t>
      </w:r>
      <w:r w:rsidR="001C2628" w:rsidRPr="00117DF2">
        <w:t xml:space="preserve"> </w:t>
      </w:r>
      <w:r w:rsidRPr="00117DF2">
        <w:t>FACE</w:t>
      </w:r>
      <w:r w:rsidR="001C2628" w:rsidRPr="00117DF2">
        <w:t xml:space="preserve"> </w:t>
      </w:r>
      <w:r w:rsidR="00BC083D" w:rsidRPr="00117DF2">
        <w:t xml:space="preserve">assessment </w:t>
      </w:r>
      <w:r w:rsidR="001C2628" w:rsidRPr="00117DF2">
        <w:t>was collected in order to be able test scores against the other tools scores.</w:t>
      </w:r>
      <w:r w:rsidR="003F6C50" w:rsidRPr="00117DF2">
        <w:t xml:space="preserve"> </w:t>
      </w:r>
      <w:r w:rsidR="00F34BBA" w:rsidRPr="00117DF2">
        <w:t>During the</w:t>
      </w:r>
      <w:r w:rsidR="000F608B" w:rsidRPr="00117DF2">
        <w:t xml:space="preserve"> interRAI</w:t>
      </w:r>
      <w:r w:rsidR="001C2628" w:rsidRPr="00117DF2">
        <w:t xml:space="preserve"> </w:t>
      </w:r>
      <w:r w:rsidR="003F6C50" w:rsidRPr="00117DF2">
        <w:t xml:space="preserve">interview </w:t>
      </w:r>
      <w:r w:rsidR="001C2628" w:rsidRPr="00117DF2">
        <w:t xml:space="preserve">information was collected on the number of hours </w:t>
      </w:r>
      <w:r w:rsidR="002D0C6A" w:rsidRPr="00117DF2">
        <w:t xml:space="preserve">of </w:t>
      </w:r>
      <w:r w:rsidR="001C2628" w:rsidRPr="00117DF2">
        <w:t xml:space="preserve">care (formal and informal) the </w:t>
      </w:r>
      <w:r w:rsidR="00D66BDB" w:rsidRPr="00117DF2">
        <w:t xml:space="preserve">service </w:t>
      </w:r>
      <w:r w:rsidR="001C2628" w:rsidRPr="00117DF2">
        <w:t xml:space="preserve">user received in the last week, </w:t>
      </w:r>
      <w:r w:rsidR="003F6C50" w:rsidRPr="00117DF2">
        <w:t>results were recorded in paper form by interviewers who then sent this on to the N</w:t>
      </w:r>
      <w:r w:rsidR="0011277B" w:rsidRPr="00117DF2">
        <w:t>DA.</w:t>
      </w:r>
      <w:r w:rsidR="007C2043" w:rsidRPr="00117DF2">
        <w:t xml:space="preserve"> </w:t>
      </w:r>
      <w:r w:rsidR="00B40634" w:rsidRPr="00117DF2">
        <w:t>The output from</w:t>
      </w:r>
      <w:r w:rsidR="000F608B" w:rsidRPr="00117DF2">
        <w:t xml:space="preserve"> interRAI</w:t>
      </w:r>
      <w:r w:rsidR="00B40634" w:rsidRPr="00117DF2">
        <w:t xml:space="preserve"> is based on weighted answers to questions which have been normalised on a US population</w:t>
      </w:r>
      <w:r w:rsidR="007C2043" w:rsidRPr="00117DF2">
        <w:t xml:space="preserve"> </w:t>
      </w:r>
    </w:p>
    <w:p w:rsidR="003F6C50" w:rsidRPr="00117DF2" w:rsidRDefault="003F6C50" w:rsidP="00C3660B">
      <w:pPr>
        <w:pStyle w:val="ListBullet"/>
        <w:numPr>
          <w:ilvl w:val="0"/>
          <w:numId w:val="1"/>
        </w:numPr>
        <w:spacing w:after="240"/>
        <w:rPr>
          <w:rFonts w:ascii="Gill Sans MT" w:hAnsi="Gill Sans MT"/>
          <w:szCs w:val="26"/>
        </w:rPr>
      </w:pPr>
      <w:r w:rsidRPr="00117DF2">
        <w:t xml:space="preserve">Focus group – </w:t>
      </w:r>
      <w:r w:rsidR="0072056C" w:rsidRPr="00117DF2">
        <w:t xml:space="preserve">a focus group was held with the </w:t>
      </w:r>
      <w:r w:rsidRPr="00117DF2">
        <w:t xml:space="preserve">interviewers involved in </w:t>
      </w:r>
      <w:r w:rsidR="00B74EBE" w:rsidRPr="00117DF2">
        <w:t>present</w:t>
      </w:r>
      <w:r w:rsidR="0072056C" w:rsidRPr="00117DF2">
        <w:t xml:space="preserve"> </w:t>
      </w:r>
      <w:r w:rsidRPr="00117DF2">
        <w:t xml:space="preserve">study, giving them an opportunity to reflect upon and share their experiences of the </w:t>
      </w:r>
      <w:r w:rsidR="008478A0" w:rsidRPr="00117DF2">
        <w:t>FACE</w:t>
      </w:r>
      <w:r w:rsidR="001C2628" w:rsidRPr="00117DF2">
        <w:t>,</w:t>
      </w:r>
      <w:r w:rsidR="000F608B" w:rsidRPr="00117DF2">
        <w:t xml:space="preserve"> interRAI</w:t>
      </w:r>
      <w:r w:rsidR="001C2628" w:rsidRPr="00117DF2">
        <w:t xml:space="preserve">, </w:t>
      </w:r>
      <w:r w:rsidRPr="00117DF2">
        <w:t>SIS and</w:t>
      </w:r>
      <w:r w:rsidR="000F608B" w:rsidRPr="00117DF2">
        <w:t xml:space="preserve"> </w:t>
      </w:r>
      <w:r w:rsidR="00D66BDB" w:rsidRPr="00117DF2">
        <w:t>tools</w:t>
      </w:r>
      <w:r w:rsidRPr="00117DF2">
        <w:t>.</w:t>
      </w:r>
      <w:r w:rsidR="0072056C" w:rsidRPr="00117DF2">
        <w:t xml:space="preserve"> In addition</w:t>
      </w:r>
      <w:r w:rsidR="002A42AF" w:rsidRPr="00117DF2">
        <w:t>,</w:t>
      </w:r>
      <w:r w:rsidR="0072056C" w:rsidRPr="00117DF2">
        <w:t xml:space="preserve"> two interviewers who could not make the focus group submitted written submissions.</w:t>
      </w:r>
      <w:r w:rsidR="000F608B" w:rsidRPr="00117DF2">
        <w:t xml:space="preserve"> </w:t>
      </w:r>
      <w:r w:rsidR="0072056C" w:rsidRPr="00117DF2">
        <w:t>The focus group information and written submissions w</w:t>
      </w:r>
      <w:r w:rsidR="005D7EF8" w:rsidRPr="00117DF2">
        <w:t>ere</w:t>
      </w:r>
      <w:r w:rsidR="0072056C" w:rsidRPr="00117DF2">
        <w:t xml:space="preserve"> written up and circulated to all interviewe</w:t>
      </w:r>
      <w:r w:rsidR="0072056C" w:rsidRPr="00117DF2">
        <w:rPr>
          <w:rFonts w:ascii="Gill Sans MT" w:hAnsi="Gill Sans MT"/>
          <w:szCs w:val="26"/>
        </w:rPr>
        <w:t>rs</w:t>
      </w:r>
      <w:r w:rsidR="00D66BDB" w:rsidRPr="00117DF2">
        <w:rPr>
          <w:rFonts w:ascii="Gill Sans MT" w:hAnsi="Gill Sans MT"/>
          <w:szCs w:val="26"/>
        </w:rPr>
        <w:t xml:space="preserve"> for approval</w:t>
      </w:r>
      <w:r w:rsidR="0072056C" w:rsidRPr="00117DF2">
        <w:rPr>
          <w:rFonts w:ascii="Gill Sans MT" w:hAnsi="Gill Sans MT"/>
          <w:szCs w:val="26"/>
        </w:rPr>
        <w:t>.</w:t>
      </w:r>
    </w:p>
    <w:p w:rsidR="00227DFF" w:rsidRPr="00117DF2" w:rsidRDefault="00227DFF" w:rsidP="00227DFF">
      <w:r w:rsidRPr="00117DF2">
        <w:t xml:space="preserve">The National Disability Authority conducted the evaluation of </w:t>
      </w:r>
      <w:r w:rsidR="00D66BDB" w:rsidRPr="00117DF2">
        <w:t xml:space="preserve">the </w:t>
      </w:r>
      <w:r w:rsidR="00B74EBE" w:rsidRPr="00117DF2">
        <w:t>study</w:t>
      </w:r>
      <w:r w:rsidRPr="00117DF2">
        <w:t xml:space="preserve"> in-house, using the methodology from </w:t>
      </w:r>
      <w:r w:rsidR="00B74EBE" w:rsidRPr="00117DF2">
        <w:t>the first study</w:t>
      </w:r>
      <w:r w:rsidR="00A82F74" w:rsidRPr="00117DF2">
        <w:t xml:space="preserve"> with extra statistical tests on the data for individuals who had been interviewed on all four tools.</w:t>
      </w:r>
    </w:p>
    <w:p w:rsidR="00681AA1" w:rsidRPr="00117DF2" w:rsidRDefault="00BC083D" w:rsidP="00681AA1">
      <w:pPr>
        <w:pStyle w:val="Heading1"/>
        <w:rPr>
          <w:lang w:val="en-IE"/>
        </w:rPr>
      </w:pPr>
      <w:r w:rsidRPr="00117DF2">
        <w:rPr>
          <w:lang w:val="en-IE"/>
        </w:rPr>
        <w:t>Results</w:t>
      </w:r>
    </w:p>
    <w:p w:rsidR="00024820" w:rsidRPr="00117DF2" w:rsidRDefault="00024820" w:rsidP="00BF7DC0">
      <w:pPr>
        <w:spacing w:after="120"/>
      </w:pPr>
      <w:r w:rsidRPr="00117DF2">
        <w:t xml:space="preserve">The results of the </w:t>
      </w:r>
      <w:r w:rsidR="00B74EBE" w:rsidRPr="00117DF2">
        <w:t>present</w:t>
      </w:r>
      <w:r w:rsidRPr="00117DF2">
        <w:t xml:space="preserve"> research are combined with the results </w:t>
      </w:r>
      <w:r w:rsidR="00C13B74" w:rsidRPr="00117DF2">
        <w:t xml:space="preserve">from </w:t>
      </w:r>
      <w:r w:rsidR="00C84A92" w:rsidRPr="00117DF2">
        <w:t xml:space="preserve">the </w:t>
      </w:r>
      <w:r w:rsidR="00B74EBE" w:rsidRPr="00117DF2">
        <w:t>first study</w:t>
      </w:r>
      <w:r w:rsidR="007C2043" w:rsidRPr="00117DF2">
        <w:t xml:space="preserve"> for the forty individuals involved in trials of all four instruments. T</w:t>
      </w:r>
      <w:r w:rsidR="00C13B74" w:rsidRPr="00117DF2">
        <w:t>his means</w:t>
      </w:r>
      <w:r w:rsidR="00B40634" w:rsidRPr="00117DF2">
        <w:t xml:space="preserve"> that the results reported for RAS 5 </w:t>
      </w:r>
      <w:r w:rsidR="00C13B74" w:rsidRPr="00117DF2">
        <w:t xml:space="preserve">and SIS vary from those in the </w:t>
      </w:r>
      <w:r w:rsidR="00D66BDB" w:rsidRPr="00117DF2">
        <w:t>first study’s</w:t>
      </w:r>
      <w:r w:rsidR="00B74EBE" w:rsidRPr="00117DF2">
        <w:t xml:space="preserve"> final</w:t>
      </w:r>
      <w:r w:rsidR="00C13B74" w:rsidRPr="00117DF2">
        <w:t xml:space="preserve"> report </w:t>
      </w:r>
      <w:r w:rsidR="007C2043" w:rsidRPr="00117DF2">
        <w:t xml:space="preserve">which covers all 112 participants rather than the </w:t>
      </w:r>
      <w:r w:rsidR="00C13B74" w:rsidRPr="00117DF2">
        <w:t xml:space="preserve">40 individuals who participated in </w:t>
      </w:r>
      <w:r w:rsidR="00C630BB" w:rsidRPr="00117DF2">
        <w:t xml:space="preserve">the </w:t>
      </w:r>
      <w:r w:rsidR="00C3660B" w:rsidRPr="00117DF2">
        <w:t>both studies</w:t>
      </w:r>
      <w:r w:rsidRPr="00117DF2">
        <w:t>.</w:t>
      </w:r>
      <w:r w:rsidR="000F608B" w:rsidRPr="00117DF2">
        <w:t xml:space="preserve"> </w:t>
      </w:r>
      <w:r w:rsidRPr="00117DF2">
        <w:t xml:space="preserve">Results </w:t>
      </w:r>
      <w:r w:rsidR="007C2043" w:rsidRPr="00117DF2">
        <w:t xml:space="preserve">are given </w:t>
      </w:r>
      <w:r w:rsidR="00C3660B" w:rsidRPr="00117DF2">
        <w:t xml:space="preserve">under </w:t>
      </w:r>
      <w:r w:rsidR="00AA1532" w:rsidRPr="00117DF2">
        <w:t>the following sub-headings</w:t>
      </w:r>
      <w:r w:rsidRPr="00117DF2">
        <w:t>:</w:t>
      </w:r>
    </w:p>
    <w:p w:rsidR="00AA1532" w:rsidRPr="00117DF2" w:rsidRDefault="00AA1532" w:rsidP="00AA1532">
      <w:pPr>
        <w:pStyle w:val="ListBullet"/>
      </w:pPr>
      <w:r w:rsidRPr="00117DF2">
        <w:t>Interview length</w:t>
      </w:r>
    </w:p>
    <w:p w:rsidR="00024820" w:rsidRPr="00117DF2" w:rsidRDefault="00024820" w:rsidP="00024820">
      <w:pPr>
        <w:pStyle w:val="ListBullet"/>
      </w:pPr>
      <w:r w:rsidRPr="00117DF2">
        <w:t>Acceptability (feedback from quick response sheets)</w:t>
      </w:r>
    </w:p>
    <w:p w:rsidR="00024820" w:rsidRPr="00117DF2" w:rsidRDefault="00024820" w:rsidP="00024820">
      <w:pPr>
        <w:pStyle w:val="ListBullet"/>
      </w:pPr>
      <w:r w:rsidRPr="00117DF2">
        <w:t>Correlation with need</w:t>
      </w:r>
    </w:p>
    <w:p w:rsidR="00024820" w:rsidRPr="00117DF2" w:rsidRDefault="00024820" w:rsidP="00BF7DC0">
      <w:pPr>
        <w:pStyle w:val="ListBullet"/>
        <w:spacing w:after="240"/>
        <w:ind w:left="357" w:hanging="357"/>
      </w:pPr>
      <w:r w:rsidRPr="00117DF2">
        <w:t>Cost implications</w:t>
      </w:r>
    </w:p>
    <w:p w:rsidR="00024820" w:rsidRPr="00117DF2" w:rsidRDefault="00024820" w:rsidP="007C2043">
      <w:pPr>
        <w:pStyle w:val="Heading2"/>
      </w:pPr>
      <w:r w:rsidRPr="00117DF2">
        <w:t>Interview length</w:t>
      </w:r>
    </w:p>
    <w:p w:rsidR="00024820" w:rsidRPr="00117DF2" w:rsidRDefault="00024820" w:rsidP="00024820">
      <w:r w:rsidRPr="00117DF2">
        <w:t xml:space="preserve">Table </w:t>
      </w:r>
      <w:r w:rsidR="00D66BDB" w:rsidRPr="00117DF2">
        <w:t>2</w:t>
      </w:r>
      <w:r w:rsidRPr="00117DF2">
        <w:t xml:space="preserve"> reports on the average time interviews took on each tool.</w:t>
      </w:r>
      <w:r w:rsidR="000F608B" w:rsidRPr="00117DF2">
        <w:t xml:space="preserve"> </w:t>
      </w:r>
      <w:r w:rsidR="00C74131" w:rsidRPr="00117DF2">
        <w:t xml:space="preserve">RAS 5 </w:t>
      </w:r>
      <w:r w:rsidRPr="00117DF2">
        <w:t>was the sh</w:t>
      </w:r>
      <w:r w:rsidR="00A82F74" w:rsidRPr="00117DF2">
        <w:t>ortest average interview at 32.6</w:t>
      </w:r>
      <w:r w:rsidRPr="00117DF2">
        <w:t xml:space="preserve"> minutes, FACE, SIS and</w:t>
      </w:r>
      <w:r w:rsidR="000F608B" w:rsidRPr="00117DF2">
        <w:t xml:space="preserve"> interRAI</w:t>
      </w:r>
      <w:r w:rsidRPr="00117DF2">
        <w:t xml:space="preserve"> took similar amounts of time at 57 minutes, 59.8 minutes and 60.7 minutes respectively. </w:t>
      </w:r>
      <w:r w:rsidR="007C2043" w:rsidRPr="00117DF2">
        <w:t>For each tool, t</w:t>
      </w:r>
      <w:r w:rsidR="00A82F74" w:rsidRPr="00117DF2">
        <w:t>here was wide dispersion</w:t>
      </w:r>
      <w:r w:rsidR="007C2043" w:rsidRPr="00117DF2">
        <w:t xml:space="preserve"> in the length of time it took for different individuals</w:t>
      </w:r>
      <w:r w:rsidR="00A82F74" w:rsidRPr="00117DF2">
        <w:t>.</w:t>
      </w:r>
      <w:r w:rsidR="000F608B" w:rsidRPr="00117DF2">
        <w:t xml:space="preserve"> </w:t>
      </w:r>
      <w:r w:rsidRPr="00117DF2">
        <w:t>Note that the time for</w:t>
      </w:r>
      <w:r w:rsidR="000F608B" w:rsidRPr="00117DF2">
        <w:t xml:space="preserve"> </w:t>
      </w:r>
      <w:r w:rsidR="00C74131" w:rsidRPr="00117DF2">
        <w:t xml:space="preserve">RAS 5 </w:t>
      </w:r>
      <w:r w:rsidRPr="00117DF2">
        <w:t xml:space="preserve">and FACE is based on the time taken for the 40 </w:t>
      </w:r>
      <w:r w:rsidR="002E27A2" w:rsidRPr="00117DF2">
        <w:t>service users</w:t>
      </w:r>
      <w:r w:rsidRPr="00117DF2">
        <w:t xml:space="preserve"> included in </w:t>
      </w:r>
      <w:r w:rsidR="00B74EBE" w:rsidRPr="00117DF2">
        <w:t>present study</w:t>
      </w:r>
      <w:r w:rsidRPr="00117DF2">
        <w:t xml:space="preserve"> and therefore the average time taken is different than that reported in </w:t>
      </w:r>
      <w:r w:rsidR="00B74EBE" w:rsidRPr="00117DF2">
        <w:t>the first study</w:t>
      </w:r>
      <w:r w:rsidRPr="00117DF2">
        <w:t>.</w:t>
      </w:r>
    </w:p>
    <w:p w:rsidR="00024820" w:rsidRPr="00117DF2" w:rsidRDefault="001516EB" w:rsidP="0061112B">
      <w:pPr>
        <w:pStyle w:val="TableTitle"/>
      </w:pPr>
      <w:r w:rsidRPr="00117DF2">
        <w:t xml:space="preserve">Table </w:t>
      </w:r>
      <w:r w:rsidR="00D66BDB" w:rsidRPr="00117DF2">
        <w:t>2</w:t>
      </w:r>
      <w:r w:rsidRPr="00117DF2">
        <w:t xml:space="preserve">: </w:t>
      </w:r>
      <w:r w:rsidR="00432816" w:rsidRPr="00117DF2">
        <w:t>Average l</w:t>
      </w:r>
      <w:r w:rsidR="00024820" w:rsidRPr="00117DF2">
        <w:t xml:space="preserve">ength of interviews </w:t>
      </w:r>
      <w:r w:rsidR="00432816" w:rsidRPr="00117DF2">
        <w:t>in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677"/>
        <w:gridCol w:w="1676"/>
        <w:gridCol w:w="1678"/>
        <w:gridCol w:w="2097"/>
      </w:tblGrid>
      <w:tr w:rsidR="00024820" w:rsidRPr="00117DF2" w:rsidTr="003C26F9">
        <w:tc>
          <w:tcPr>
            <w:tcW w:w="1693" w:type="dxa"/>
          </w:tcPr>
          <w:p w:rsidR="00024820" w:rsidRPr="00117DF2" w:rsidRDefault="00024820" w:rsidP="0061112B">
            <w:pPr>
              <w:keepNext/>
              <w:spacing w:after="0"/>
            </w:pPr>
          </w:p>
        </w:tc>
        <w:tc>
          <w:tcPr>
            <w:tcW w:w="1686" w:type="dxa"/>
          </w:tcPr>
          <w:p w:rsidR="00024820" w:rsidRPr="00117DF2" w:rsidRDefault="00024820" w:rsidP="00C74131">
            <w:pPr>
              <w:keepNext/>
              <w:spacing w:after="0"/>
              <w:jc w:val="right"/>
              <w:rPr>
                <w:b/>
              </w:rPr>
            </w:pPr>
            <w:r w:rsidRPr="00117DF2">
              <w:rPr>
                <w:b/>
              </w:rPr>
              <w:t>RAS</w:t>
            </w:r>
            <w:r w:rsidR="00C74131" w:rsidRPr="00117DF2">
              <w:rPr>
                <w:b/>
              </w:rPr>
              <w:t xml:space="preserve"> 5</w:t>
            </w:r>
          </w:p>
        </w:tc>
        <w:tc>
          <w:tcPr>
            <w:tcW w:w="1686" w:type="dxa"/>
          </w:tcPr>
          <w:p w:rsidR="00024820" w:rsidRPr="00117DF2" w:rsidRDefault="00024820" w:rsidP="0061112B">
            <w:pPr>
              <w:keepNext/>
              <w:spacing w:after="0"/>
              <w:jc w:val="right"/>
              <w:rPr>
                <w:b/>
              </w:rPr>
            </w:pPr>
            <w:r w:rsidRPr="00117DF2">
              <w:rPr>
                <w:b/>
              </w:rPr>
              <w:t xml:space="preserve">SIS </w:t>
            </w:r>
          </w:p>
        </w:tc>
        <w:tc>
          <w:tcPr>
            <w:tcW w:w="1686" w:type="dxa"/>
          </w:tcPr>
          <w:p w:rsidR="00024820" w:rsidRPr="00117DF2" w:rsidRDefault="00024820" w:rsidP="0061112B">
            <w:pPr>
              <w:keepNext/>
              <w:spacing w:after="0"/>
              <w:jc w:val="right"/>
              <w:rPr>
                <w:b/>
              </w:rPr>
            </w:pPr>
            <w:r w:rsidRPr="00117DF2">
              <w:rPr>
                <w:b/>
              </w:rPr>
              <w:t xml:space="preserve">FACE </w:t>
            </w:r>
          </w:p>
        </w:tc>
        <w:tc>
          <w:tcPr>
            <w:tcW w:w="2105" w:type="dxa"/>
          </w:tcPr>
          <w:p w:rsidR="00024820" w:rsidRPr="00117DF2" w:rsidRDefault="000F608B" w:rsidP="0061112B">
            <w:pPr>
              <w:keepNext/>
              <w:spacing w:after="0"/>
              <w:jc w:val="right"/>
              <w:rPr>
                <w:b/>
              </w:rPr>
            </w:pPr>
            <w:r w:rsidRPr="00117DF2">
              <w:rPr>
                <w:b/>
              </w:rPr>
              <w:t xml:space="preserve"> interRAI</w:t>
            </w:r>
            <w:r w:rsidR="00024820" w:rsidRPr="00117DF2">
              <w:rPr>
                <w:b/>
              </w:rPr>
              <w:t xml:space="preserve"> </w:t>
            </w:r>
          </w:p>
        </w:tc>
      </w:tr>
      <w:tr w:rsidR="00024820" w:rsidRPr="00117DF2" w:rsidTr="003C26F9">
        <w:tc>
          <w:tcPr>
            <w:tcW w:w="1693" w:type="dxa"/>
          </w:tcPr>
          <w:p w:rsidR="00024820" w:rsidRPr="00117DF2" w:rsidRDefault="00024820" w:rsidP="0061112B">
            <w:pPr>
              <w:keepNext/>
              <w:spacing w:after="0"/>
            </w:pPr>
            <w:r w:rsidRPr="00117DF2">
              <w:t>Mean</w:t>
            </w:r>
          </w:p>
        </w:tc>
        <w:tc>
          <w:tcPr>
            <w:tcW w:w="1686" w:type="dxa"/>
          </w:tcPr>
          <w:p w:rsidR="00024820" w:rsidRPr="00117DF2" w:rsidRDefault="00A82F74" w:rsidP="0061112B">
            <w:pPr>
              <w:keepNext/>
              <w:spacing w:after="0"/>
              <w:jc w:val="right"/>
            </w:pPr>
            <w:r w:rsidRPr="00117DF2">
              <w:t>32.6</w:t>
            </w:r>
          </w:p>
        </w:tc>
        <w:tc>
          <w:tcPr>
            <w:tcW w:w="1686" w:type="dxa"/>
          </w:tcPr>
          <w:p w:rsidR="00024820" w:rsidRPr="00117DF2" w:rsidRDefault="00A82F74" w:rsidP="0061112B">
            <w:pPr>
              <w:keepNext/>
              <w:spacing w:after="0"/>
              <w:jc w:val="right"/>
            </w:pPr>
            <w:r w:rsidRPr="00117DF2">
              <w:t>59.8</w:t>
            </w:r>
          </w:p>
        </w:tc>
        <w:tc>
          <w:tcPr>
            <w:tcW w:w="1686" w:type="dxa"/>
          </w:tcPr>
          <w:p w:rsidR="00024820" w:rsidRPr="00117DF2" w:rsidRDefault="00A82F74" w:rsidP="0061112B">
            <w:pPr>
              <w:keepNext/>
              <w:spacing w:after="0"/>
              <w:jc w:val="right"/>
            </w:pPr>
            <w:r w:rsidRPr="00117DF2">
              <w:t>57.0</w:t>
            </w:r>
          </w:p>
        </w:tc>
        <w:tc>
          <w:tcPr>
            <w:tcW w:w="2105" w:type="dxa"/>
          </w:tcPr>
          <w:p w:rsidR="00024820" w:rsidRPr="00117DF2" w:rsidRDefault="00A82F74" w:rsidP="0061112B">
            <w:pPr>
              <w:keepNext/>
              <w:spacing w:after="0"/>
              <w:jc w:val="right"/>
            </w:pPr>
            <w:r w:rsidRPr="00117DF2">
              <w:t>60.7</w:t>
            </w:r>
          </w:p>
        </w:tc>
      </w:tr>
    </w:tbl>
    <w:p w:rsidR="00024820" w:rsidRPr="00117DF2" w:rsidRDefault="00D279C2" w:rsidP="00D279C2">
      <w:pPr>
        <w:pStyle w:val="TableNote"/>
      </w:pPr>
      <w:r w:rsidRPr="00117DF2">
        <w:t>Source: NDA</w:t>
      </w:r>
    </w:p>
    <w:p w:rsidR="00767046" w:rsidRPr="00117DF2" w:rsidRDefault="00767046" w:rsidP="00767046">
      <w:pPr>
        <w:rPr>
          <w:lang w:eastAsia="en-GB"/>
        </w:rPr>
      </w:pPr>
      <w:r w:rsidRPr="00117DF2">
        <w:rPr>
          <w:lang w:eastAsia="en-GB"/>
        </w:rPr>
        <w:t>In addition to the length of time the interview took, interviewers also spent time after the interview coding the tools – interviewers commented that the</w:t>
      </w:r>
      <w:r w:rsidR="000F608B" w:rsidRPr="00117DF2">
        <w:rPr>
          <w:lang w:eastAsia="en-GB"/>
        </w:rPr>
        <w:t xml:space="preserve"> interRAI</w:t>
      </w:r>
      <w:r w:rsidRPr="00117DF2">
        <w:rPr>
          <w:lang w:eastAsia="en-GB"/>
        </w:rPr>
        <w:t xml:space="preserve"> and FACE tools took a long time to code. Typically the interviewers reported that they spent as long filling in the coding as they did in the interview.</w:t>
      </w:r>
      <w:r w:rsidR="005C69E4" w:rsidRPr="00117DF2">
        <w:rPr>
          <w:lang w:eastAsia="en-GB"/>
        </w:rPr>
        <w:t xml:space="preserve"> As this was a small scale study, where individual interviewers conducted a small number of interviews each, this finding could be different with practised interviewers doing these assessments regularly. The use of laptops </w:t>
      </w:r>
      <w:r w:rsidR="00916D84" w:rsidRPr="00117DF2">
        <w:rPr>
          <w:lang w:eastAsia="en-GB"/>
        </w:rPr>
        <w:t xml:space="preserve">loaded with the questionnaire </w:t>
      </w:r>
      <w:r w:rsidR="005C69E4" w:rsidRPr="00117DF2">
        <w:rPr>
          <w:lang w:eastAsia="en-GB"/>
        </w:rPr>
        <w:t>to record information at interview</w:t>
      </w:r>
      <w:r w:rsidR="00916D84" w:rsidRPr="00117DF2">
        <w:rPr>
          <w:lang w:eastAsia="en-GB"/>
        </w:rPr>
        <w:t xml:space="preserve"> could also save time –</w:t>
      </w:r>
      <w:r w:rsidR="000F608B" w:rsidRPr="00117DF2">
        <w:rPr>
          <w:lang w:eastAsia="en-GB"/>
        </w:rPr>
        <w:t xml:space="preserve"> interRAI</w:t>
      </w:r>
      <w:r w:rsidR="00916D84" w:rsidRPr="00117DF2">
        <w:rPr>
          <w:lang w:eastAsia="en-GB"/>
        </w:rPr>
        <w:t xml:space="preserve"> report that experienced assessors with laptops typically take about an hour for </w:t>
      </w:r>
      <w:r w:rsidR="007C2043" w:rsidRPr="00117DF2">
        <w:rPr>
          <w:lang w:eastAsia="en-GB"/>
        </w:rPr>
        <w:t xml:space="preserve">both </w:t>
      </w:r>
      <w:r w:rsidR="00916D84" w:rsidRPr="00117DF2">
        <w:rPr>
          <w:lang w:eastAsia="en-GB"/>
        </w:rPr>
        <w:t>assessment and data entry</w:t>
      </w:r>
      <w:r w:rsidR="005C69E4" w:rsidRPr="00117DF2">
        <w:rPr>
          <w:lang w:eastAsia="en-GB"/>
        </w:rPr>
        <w:t xml:space="preserve">. </w:t>
      </w:r>
    </w:p>
    <w:p w:rsidR="00024820" w:rsidRPr="00117DF2" w:rsidRDefault="00024820" w:rsidP="00024820">
      <w:pPr>
        <w:pStyle w:val="TableTitle"/>
      </w:pPr>
      <w:r w:rsidRPr="00117DF2">
        <w:t xml:space="preserve">Graph </w:t>
      </w:r>
      <w:r w:rsidR="00BC7480" w:rsidRPr="00117DF2">
        <w:t>1</w:t>
      </w:r>
      <w:r w:rsidRPr="00117DF2">
        <w:t>: length of FACE and</w:t>
      </w:r>
      <w:r w:rsidR="000F608B" w:rsidRPr="00117DF2">
        <w:t xml:space="preserve"> interRAI</w:t>
      </w:r>
      <w:r w:rsidRPr="00117DF2">
        <w:t xml:space="preserve"> interviews</w:t>
      </w:r>
    </w:p>
    <w:p w:rsidR="00F32812" w:rsidRPr="00117DF2" w:rsidRDefault="00D6107B" w:rsidP="00F32812">
      <w:pPr>
        <w:autoSpaceDE w:val="0"/>
        <w:autoSpaceDN w:val="0"/>
        <w:adjustRightInd w:val="0"/>
        <w:spacing w:after="0"/>
        <w:rPr>
          <w:rFonts w:ascii="Times New Roman" w:hAnsi="Times New Roman"/>
          <w:sz w:val="24"/>
          <w:lang w:eastAsia="en-GB"/>
        </w:rPr>
      </w:pPr>
      <w:r w:rsidRPr="00117DF2">
        <w:rPr>
          <w:rFonts w:ascii="Times New Roman" w:hAnsi="Times New Roman"/>
          <w:noProof/>
          <w:sz w:val="24"/>
          <w:lang w:eastAsia="en-IE"/>
        </w:rPr>
        <w:drawing>
          <wp:inline distT="0" distB="0" distL="0" distR="0">
            <wp:extent cx="5038725" cy="4048125"/>
            <wp:effectExtent l="0" t="0" r="9525" b="9525"/>
            <wp:docPr id="1" name="Picture 1" descr="Length of FACE and interRAI interviews" title="Graph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4048125"/>
                    </a:xfrm>
                    <a:prstGeom prst="rect">
                      <a:avLst/>
                    </a:prstGeom>
                    <a:noFill/>
                    <a:ln>
                      <a:noFill/>
                    </a:ln>
                  </pic:spPr>
                </pic:pic>
              </a:graphicData>
            </a:graphic>
          </wp:inline>
        </w:drawing>
      </w:r>
    </w:p>
    <w:p w:rsidR="00D279C2" w:rsidRPr="00117DF2" w:rsidRDefault="00D279C2" w:rsidP="00D279C2">
      <w:pPr>
        <w:pStyle w:val="TableNote"/>
      </w:pPr>
      <w:r w:rsidRPr="00117DF2">
        <w:t>Source: NDA</w:t>
      </w:r>
    </w:p>
    <w:p w:rsidR="00767046" w:rsidRPr="00117DF2" w:rsidRDefault="00767046" w:rsidP="00767046">
      <w:r w:rsidRPr="00117DF2">
        <w:t xml:space="preserve">Analyses of the results show that there is no correlation between the </w:t>
      </w:r>
      <w:r w:rsidR="00E46E5E" w:rsidRPr="00117DF2">
        <w:t>lengths</w:t>
      </w:r>
      <w:r w:rsidRPr="00117DF2">
        <w:t xml:space="preserve"> of time each tool took for the same individual.</w:t>
      </w:r>
      <w:r w:rsidR="000F608B" w:rsidRPr="00117DF2">
        <w:t xml:space="preserve"> </w:t>
      </w:r>
      <w:r w:rsidR="00AB6ADF" w:rsidRPr="00117DF2">
        <w:t>G</w:t>
      </w:r>
      <w:r w:rsidRPr="00117DF2">
        <w:t>raph 1 shows the length of the FACE interviews against the length of the</w:t>
      </w:r>
      <w:r w:rsidR="000F608B" w:rsidRPr="00117DF2">
        <w:t xml:space="preserve"> interRAI</w:t>
      </w:r>
      <w:r w:rsidRPr="00117DF2">
        <w:t xml:space="preserve"> interviews. No clear pattern emerges which suggests that it is not interviewee characteristics, nor tool (beside the much shorter time for </w:t>
      </w:r>
      <w:r w:rsidR="00C74131" w:rsidRPr="00117DF2">
        <w:t>RAS 5</w:t>
      </w:r>
      <w:r w:rsidRPr="00117DF2">
        <w:t>) which is driving the length of the interviews.</w:t>
      </w:r>
    </w:p>
    <w:p w:rsidR="00FE5693" w:rsidRPr="00117DF2" w:rsidRDefault="00FE5693" w:rsidP="00FE5693">
      <w:r w:rsidRPr="00117DF2">
        <w:t>Finally it is not clear that the length of t</w:t>
      </w:r>
      <w:r w:rsidR="00670E99" w:rsidRPr="00117DF2">
        <w:t>ime an interview takes is a crucial</w:t>
      </w:r>
      <w:r w:rsidRPr="00117DF2">
        <w:t xml:space="preserve"> metric to use when choosing between the tools. If these interviews are to determine a person</w:t>
      </w:r>
      <w:r w:rsidR="00916D84" w:rsidRPr="00117DF2">
        <w:t>’</w:t>
      </w:r>
      <w:r w:rsidRPr="00117DF2">
        <w:t>s supports and care plan it is important that the service user does not feel rushed and has time to explain their total support needs.</w:t>
      </w:r>
    </w:p>
    <w:p w:rsidR="003F7167" w:rsidRPr="00117DF2" w:rsidRDefault="003F7167" w:rsidP="003F7167">
      <w:pPr>
        <w:pStyle w:val="Heading3"/>
      </w:pPr>
      <w:r w:rsidRPr="00117DF2">
        <w:t>Acceptability of the four support needs assessment tools</w:t>
      </w:r>
    </w:p>
    <w:p w:rsidR="00BC3785" w:rsidRPr="00117DF2" w:rsidRDefault="00D66BDB" w:rsidP="003F7167">
      <w:r w:rsidRPr="00117DF2">
        <w:t xml:space="preserve">The following table </w:t>
      </w:r>
      <w:r w:rsidR="00F32812" w:rsidRPr="00117DF2">
        <w:t xml:space="preserve">(table 3) </w:t>
      </w:r>
      <w:r w:rsidRPr="00117DF2">
        <w:t>summaris</w:t>
      </w:r>
      <w:r w:rsidR="00C84A92" w:rsidRPr="00117DF2">
        <w:t>es</w:t>
      </w:r>
      <w:r w:rsidRPr="00117DF2">
        <w:t xml:space="preserve"> some of the responses to the questions on the </w:t>
      </w:r>
      <w:r w:rsidR="00BC3785" w:rsidRPr="00117DF2">
        <w:t xml:space="preserve">interviewer and service user </w:t>
      </w:r>
      <w:r w:rsidRPr="00117DF2">
        <w:t xml:space="preserve">quick response sheets. </w:t>
      </w:r>
    </w:p>
    <w:p w:rsidR="0023739B" w:rsidRPr="00117DF2" w:rsidRDefault="00BC3785" w:rsidP="003F7167">
      <w:r w:rsidRPr="00117DF2">
        <w:t>The acceptability of all assess</w:t>
      </w:r>
      <w:r w:rsidR="00670E99" w:rsidRPr="00117DF2">
        <w:t xml:space="preserve">ment tools was generally good. </w:t>
      </w:r>
      <w:r w:rsidRPr="00117DF2">
        <w:t>Service users were generally happy with the length of interviews and they did not identify one tool as being better than any other tool in allowing them to describe their needs.</w:t>
      </w:r>
    </w:p>
    <w:p w:rsidR="0023739B" w:rsidRPr="00117DF2" w:rsidRDefault="00D66BDB" w:rsidP="00B44C5D">
      <w:pPr>
        <w:pStyle w:val="TableTitle"/>
      </w:pPr>
      <w:r w:rsidRPr="00117DF2">
        <w:t>Table 3: responses to selected</w:t>
      </w:r>
      <w:r w:rsidR="00BC7480" w:rsidRPr="00117DF2">
        <w:t xml:space="preserve"> quick response sheet questions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5455"/>
        <w:gridCol w:w="826"/>
        <w:gridCol w:w="796"/>
        <w:gridCol w:w="585"/>
        <w:gridCol w:w="1129"/>
      </w:tblGrid>
      <w:tr w:rsidR="007259C0" w:rsidRPr="00117DF2" w:rsidTr="007259C0">
        <w:tblPrEx>
          <w:tblCellMar>
            <w:top w:w="0" w:type="dxa"/>
            <w:bottom w:w="0" w:type="dxa"/>
          </w:tblCellMar>
        </w:tblPrEx>
        <w:trPr>
          <w:tblHeader/>
        </w:trPr>
        <w:tc>
          <w:tcPr>
            <w:tcW w:w="0" w:type="auto"/>
            <w:tcBorders>
              <w:bottom w:val="single" w:sz="12" w:space="0" w:color="000000"/>
            </w:tcBorders>
            <w:shd w:val="clear" w:color="auto" w:fill="auto"/>
          </w:tcPr>
          <w:p w:rsidR="007259C0" w:rsidRPr="00117DF2" w:rsidRDefault="007259C0" w:rsidP="007259C0">
            <w:pPr>
              <w:pStyle w:val="TableHead"/>
              <w:jc w:val="right"/>
            </w:pPr>
          </w:p>
        </w:tc>
        <w:tc>
          <w:tcPr>
            <w:tcW w:w="0" w:type="auto"/>
            <w:tcBorders>
              <w:bottom w:val="single" w:sz="12" w:space="0" w:color="000000"/>
            </w:tcBorders>
            <w:shd w:val="clear" w:color="auto" w:fill="auto"/>
          </w:tcPr>
          <w:p w:rsidR="007259C0" w:rsidRPr="00117DF2" w:rsidRDefault="007259C0" w:rsidP="003A4ABD">
            <w:pPr>
              <w:spacing w:after="0"/>
              <w:jc w:val="right"/>
            </w:pPr>
            <w:r w:rsidRPr="00117DF2">
              <w:t>FACE</w:t>
            </w:r>
          </w:p>
        </w:tc>
        <w:tc>
          <w:tcPr>
            <w:tcW w:w="0" w:type="auto"/>
            <w:tcBorders>
              <w:bottom w:val="single" w:sz="12" w:space="0" w:color="000000"/>
            </w:tcBorders>
            <w:shd w:val="clear" w:color="auto" w:fill="auto"/>
          </w:tcPr>
          <w:p w:rsidR="007259C0" w:rsidRPr="00117DF2" w:rsidRDefault="00670E99" w:rsidP="003A4ABD">
            <w:pPr>
              <w:spacing w:after="0"/>
              <w:jc w:val="right"/>
            </w:pPr>
            <w:r w:rsidRPr="00117DF2">
              <w:t>RAS</w:t>
            </w:r>
            <w:r w:rsidR="0015788A" w:rsidRPr="00117DF2">
              <w:t>5</w:t>
            </w:r>
          </w:p>
        </w:tc>
        <w:tc>
          <w:tcPr>
            <w:tcW w:w="0" w:type="auto"/>
            <w:tcBorders>
              <w:bottom w:val="single" w:sz="12" w:space="0" w:color="000000"/>
            </w:tcBorders>
            <w:shd w:val="clear" w:color="auto" w:fill="auto"/>
          </w:tcPr>
          <w:p w:rsidR="007259C0" w:rsidRPr="00117DF2" w:rsidRDefault="007259C0" w:rsidP="003A4ABD">
            <w:pPr>
              <w:spacing w:after="0"/>
              <w:jc w:val="right"/>
            </w:pPr>
            <w:r w:rsidRPr="00117DF2">
              <w:t>SIS</w:t>
            </w:r>
          </w:p>
        </w:tc>
        <w:tc>
          <w:tcPr>
            <w:tcW w:w="0" w:type="auto"/>
            <w:tcBorders>
              <w:bottom w:val="single" w:sz="12" w:space="0" w:color="000000"/>
            </w:tcBorders>
            <w:shd w:val="clear" w:color="auto" w:fill="auto"/>
          </w:tcPr>
          <w:p w:rsidR="007259C0" w:rsidRPr="00117DF2" w:rsidRDefault="000F608B" w:rsidP="003A4ABD">
            <w:pPr>
              <w:spacing w:after="0"/>
              <w:jc w:val="right"/>
            </w:pPr>
            <w:r w:rsidRPr="00117DF2">
              <w:t xml:space="preserve"> interRAI</w:t>
            </w:r>
          </w:p>
        </w:tc>
      </w:tr>
      <w:tr w:rsidR="00A2494D" w:rsidRPr="00117DF2" w:rsidTr="00AD1511">
        <w:tblPrEx>
          <w:tblCellMar>
            <w:top w:w="0" w:type="dxa"/>
            <w:bottom w:w="0" w:type="dxa"/>
          </w:tblCellMar>
        </w:tblPrEx>
        <w:tc>
          <w:tcPr>
            <w:tcW w:w="0" w:type="auto"/>
            <w:gridSpan w:val="5"/>
            <w:tcBorders>
              <w:top w:val="single" w:sz="12" w:space="0" w:color="000000"/>
            </w:tcBorders>
            <w:shd w:val="clear" w:color="auto" w:fill="auto"/>
          </w:tcPr>
          <w:p w:rsidR="00A2494D" w:rsidRPr="00117DF2" w:rsidRDefault="00A2494D" w:rsidP="00A2494D">
            <w:pPr>
              <w:spacing w:after="0"/>
            </w:pPr>
            <w:r w:rsidRPr="00117DF2">
              <w:rPr>
                <w:b/>
              </w:rPr>
              <w:t>Acceptability</w:t>
            </w:r>
          </w:p>
        </w:tc>
      </w:tr>
      <w:tr w:rsidR="007259C0" w:rsidRPr="00117DF2" w:rsidTr="007259C0">
        <w:tblPrEx>
          <w:tblCellMar>
            <w:top w:w="0" w:type="dxa"/>
            <w:bottom w:w="0" w:type="dxa"/>
          </w:tblCellMar>
        </w:tblPrEx>
        <w:tc>
          <w:tcPr>
            <w:tcW w:w="0" w:type="auto"/>
            <w:tcBorders>
              <w:top w:val="single" w:sz="12" w:space="0" w:color="000000"/>
            </w:tcBorders>
            <w:shd w:val="clear" w:color="auto" w:fill="auto"/>
          </w:tcPr>
          <w:p w:rsidR="007259C0" w:rsidRPr="00117DF2" w:rsidRDefault="007259C0" w:rsidP="003A4ABD">
            <w:pPr>
              <w:spacing w:after="0"/>
            </w:pPr>
            <w:r w:rsidRPr="00117DF2">
              <w:t>Interviewer felt that service users was dissatisfied with the interview and the process involved</w:t>
            </w:r>
          </w:p>
        </w:tc>
        <w:tc>
          <w:tcPr>
            <w:tcW w:w="0" w:type="auto"/>
            <w:tcBorders>
              <w:top w:val="single" w:sz="12" w:space="0" w:color="000000"/>
            </w:tcBorders>
            <w:shd w:val="clear" w:color="auto" w:fill="auto"/>
          </w:tcPr>
          <w:p w:rsidR="007259C0" w:rsidRPr="00117DF2" w:rsidRDefault="007259C0" w:rsidP="003A4ABD">
            <w:pPr>
              <w:spacing w:after="0"/>
              <w:jc w:val="right"/>
              <w:rPr>
                <w:sz w:val="22"/>
                <w:szCs w:val="22"/>
              </w:rPr>
            </w:pPr>
            <w:r w:rsidRPr="00117DF2">
              <w:rPr>
                <w:sz w:val="22"/>
                <w:szCs w:val="22"/>
              </w:rPr>
              <w:t>-</w:t>
            </w:r>
          </w:p>
        </w:tc>
        <w:tc>
          <w:tcPr>
            <w:tcW w:w="0" w:type="auto"/>
            <w:tcBorders>
              <w:top w:val="single" w:sz="12" w:space="0" w:color="000000"/>
            </w:tcBorders>
            <w:shd w:val="clear" w:color="auto" w:fill="auto"/>
          </w:tcPr>
          <w:p w:rsidR="007259C0" w:rsidRPr="00117DF2" w:rsidRDefault="007259C0" w:rsidP="003A4ABD">
            <w:pPr>
              <w:spacing w:after="0"/>
              <w:jc w:val="right"/>
              <w:rPr>
                <w:sz w:val="22"/>
                <w:szCs w:val="22"/>
              </w:rPr>
            </w:pPr>
            <w:r w:rsidRPr="00117DF2">
              <w:rPr>
                <w:sz w:val="22"/>
                <w:szCs w:val="22"/>
              </w:rPr>
              <w:t>-</w:t>
            </w:r>
          </w:p>
        </w:tc>
        <w:tc>
          <w:tcPr>
            <w:tcW w:w="0" w:type="auto"/>
            <w:tcBorders>
              <w:top w:val="single" w:sz="12" w:space="0" w:color="000000"/>
            </w:tcBorders>
            <w:shd w:val="clear" w:color="auto" w:fill="auto"/>
          </w:tcPr>
          <w:p w:rsidR="007259C0" w:rsidRPr="00117DF2" w:rsidRDefault="00670E99" w:rsidP="003A4ABD">
            <w:pPr>
              <w:spacing w:after="0"/>
              <w:jc w:val="right"/>
              <w:rPr>
                <w:sz w:val="22"/>
                <w:szCs w:val="22"/>
              </w:rPr>
            </w:pPr>
            <w:r w:rsidRPr="00117DF2">
              <w:rPr>
                <w:sz w:val="22"/>
                <w:szCs w:val="22"/>
              </w:rPr>
              <w:t>3</w:t>
            </w:r>
            <w:r w:rsidR="007259C0" w:rsidRPr="00117DF2">
              <w:rPr>
                <w:sz w:val="22"/>
                <w:szCs w:val="22"/>
              </w:rPr>
              <w:t>%</w:t>
            </w:r>
          </w:p>
        </w:tc>
        <w:tc>
          <w:tcPr>
            <w:tcW w:w="0" w:type="auto"/>
            <w:tcBorders>
              <w:top w:val="single" w:sz="12" w:space="0" w:color="000000"/>
            </w:tcBorders>
            <w:shd w:val="clear" w:color="auto" w:fill="auto"/>
          </w:tcPr>
          <w:p w:rsidR="007259C0" w:rsidRPr="00117DF2" w:rsidRDefault="007259C0" w:rsidP="003A4ABD">
            <w:pPr>
              <w:spacing w:after="0"/>
              <w:jc w:val="right"/>
              <w:rPr>
                <w:sz w:val="22"/>
                <w:szCs w:val="22"/>
              </w:rPr>
            </w:pPr>
            <w:r w:rsidRPr="00117DF2">
              <w:rPr>
                <w:sz w:val="22"/>
                <w:szCs w:val="22"/>
              </w:rPr>
              <w:t>-</w:t>
            </w:r>
          </w:p>
        </w:tc>
      </w:tr>
      <w:tr w:rsidR="00916D84" w:rsidRPr="00117DF2" w:rsidTr="007259C0">
        <w:tblPrEx>
          <w:tblCellMar>
            <w:top w:w="0" w:type="dxa"/>
            <w:bottom w:w="0" w:type="dxa"/>
          </w:tblCellMar>
        </w:tblPrEx>
        <w:tc>
          <w:tcPr>
            <w:tcW w:w="0" w:type="auto"/>
            <w:tcBorders>
              <w:top w:val="single" w:sz="12" w:space="0" w:color="000000"/>
            </w:tcBorders>
            <w:shd w:val="clear" w:color="auto" w:fill="auto"/>
          </w:tcPr>
          <w:p w:rsidR="00916D84" w:rsidRPr="00117DF2" w:rsidRDefault="00916D84" w:rsidP="003A4ABD">
            <w:pPr>
              <w:spacing w:after="0"/>
            </w:pPr>
            <w:r w:rsidRPr="00117DF2">
              <w:t>Service users disliked certain questions</w:t>
            </w:r>
          </w:p>
        </w:tc>
        <w:tc>
          <w:tcPr>
            <w:tcW w:w="0" w:type="auto"/>
            <w:tcBorders>
              <w:top w:val="single" w:sz="12" w:space="0" w:color="000000"/>
            </w:tcBorders>
            <w:shd w:val="clear" w:color="auto" w:fill="auto"/>
          </w:tcPr>
          <w:p w:rsidR="00916D84" w:rsidRPr="00117DF2" w:rsidRDefault="00670E99" w:rsidP="003A4ABD">
            <w:pPr>
              <w:spacing w:after="0"/>
              <w:jc w:val="right"/>
              <w:rPr>
                <w:sz w:val="22"/>
                <w:szCs w:val="22"/>
              </w:rPr>
            </w:pPr>
            <w:r w:rsidRPr="00117DF2">
              <w:rPr>
                <w:sz w:val="22"/>
                <w:szCs w:val="22"/>
              </w:rPr>
              <w:t>3</w:t>
            </w:r>
            <w:r w:rsidR="00916D84" w:rsidRPr="00117DF2">
              <w:rPr>
                <w:sz w:val="22"/>
                <w:szCs w:val="22"/>
              </w:rPr>
              <w:t>%</w:t>
            </w:r>
          </w:p>
        </w:tc>
        <w:tc>
          <w:tcPr>
            <w:tcW w:w="0" w:type="auto"/>
            <w:tcBorders>
              <w:top w:val="single" w:sz="12" w:space="0" w:color="000000"/>
            </w:tcBorders>
            <w:shd w:val="clear" w:color="auto" w:fill="auto"/>
          </w:tcPr>
          <w:p w:rsidR="00916D84" w:rsidRPr="00117DF2" w:rsidRDefault="00670E99" w:rsidP="003A4ABD">
            <w:pPr>
              <w:spacing w:after="0"/>
              <w:jc w:val="right"/>
              <w:rPr>
                <w:sz w:val="22"/>
                <w:szCs w:val="22"/>
              </w:rPr>
            </w:pPr>
            <w:r w:rsidRPr="00117DF2">
              <w:rPr>
                <w:sz w:val="22"/>
                <w:szCs w:val="22"/>
              </w:rPr>
              <w:t>3</w:t>
            </w:r>
            <w:r w:rsidR="00916D84" w:rsidRPr="00117DF2">
              <w:rPr>
                <w:sz w:val="22"/>
                <w:szCs w:val="22"/>
              </w:rPr>
              <w:t>%</w:t>
            </w:r>
          </w:p>
        </w:tc>
        <w:tc>
          <w:tcPr>
            <w:tcW w:w="0" w:type="auto"/>
            <w:tcBorders>
              <w:top w:val="single" w:sz="12" w:space="0" w:color="000000"/>
            </w:tcBorders>
            <w:shd w:val="clear" w:color="auto" w:fill="auto"/>
          </w:tcPr>
          <w:p w:rsidR="00916D84" w:rsidRPr="00117DF2" w:rsidRDefault="00916D84" w:rsidP="003A4ABD">
            <w:pPr>
              <w:spacing w:after="0"/>
              <w:jc w:val="right"/>
              <w:rPr>
                <w:sz w:val="22"/>
                <w:szCs w:val="22"/>
              </w:rPr>
            </w:pPr>
            <w:r w:rsidRPr="00117DF2">
              <w:rPr>
                <w:sz w:val="22"/>
                <w:szCs w:val="22"/>
              </w:rPr>
              <w:t>5%</w:t>
            </w:r>
          </w:p>
        </w:tc>
        <w:tc>
          <w:tcPr>
            <w:tcW w:w="0" w:type="auto"/>
            <w:tcBorders>
              <w:top w:val="single" w:sz="12" w:space="0" w:color="000000"/>
            </w:tcBorders>
            <w:shd w:val="clear" w:color="auto" w:fill="auto"/>
          </w:tcPr>
          <w:p w:rsidR="00916D84" w:rsidRPr="00117DF2" w:rsidRDefault="00916D84" w:rsidP="003A4ABD">
            <w:pPr>
              <w:spacing w:after="0"/>
              <w:jc w:val="right"/>
              <w:rPr>
                <w:sz w:val="22"/>
                <w:szCs w:val="22"/>
              </w:rPr>
            </w:pPr>
            <w:r w:rsidRPr="00117DF2">
              <w:rPr>
                <w:sz w:val="22"/>
                <w:szCs w:val="22"/>
              </w:rPr>
              <w:t>5%</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t>Interviewers thought that the interview was too long for the service user</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0</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3</w:t>
            </w:r>
            <w:r w:rsidR="00A2494D" w:rsidRPr="00117DF2">
              <w:rPr>
                <w:sz w:val="22"/>
                <w:szCs w:val="22"/>
              </w:rPr>
              <w:t>%</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10%</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0</w:t>
            </w:r>
          </w:p>
        </w:tc>
      </w:tr>
      <w:tr w:rsidR="00A2494D" w:rsidRPr="00117DF2" w:rsidTr="00AD1511">
        <w:tblPrEx>
          <w:tblCellMar>
            <w:top w:w="0" w:type="dxa"/>
            <w:bottom w:w="0" w:type="dxa"/>
          </w:tblCellMar>
        </w:tblPrEx>
        <w:tc>
          <w:tcPr>
            <w:tcW w:w="0" w:type="auto"/>
            <w:gridSpan w:val="5"/>
            <w:shd w:val="clear" w:color="auto" w:fill="auto"/>
          </w:tcPr>
          <w:p w:rsidR="00A2494D" w:rsidRPr="00117DF2" w:rsidRDefault="00A2494D" w:rsidP="00670E99">
            <w:pPr>
              <w:spacing w:after="0"/>
              <w:rPr>
                <w:b/>
              </w:rPr>
            </w:pPr>
            <w:r w:rsidRPr="00117DF2">
              <w:rPr>
                <w:b/>
              </w:rPr>
              <w:t>Relevance</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t xml:space="preserve">Interviewers thought very much relevant </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63</w:t>
            </w:r>
            <w:r w:rsidR="00A2494D" w:rsidRPr="00117DF2">
              <w:rPr>
                <w:sz w:val="22"/>
                <w:szCs w:val="22"/>
              </w:rPr>
              <w:t>%</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48</w:t>
            </w:r>
            <w:r w:rsidR="00A2494D" w:rsidRPr="00117DF2">
              <w:rPr>
                <w:sz w:val="22"/>
                <w:szCs w:val="22"/>
              </w:rPr>
              <w:t>%</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48</w:t>
            </w:r>
            <w:r w:rsidR="00A2494D" w:rsidRPr="00117DF2">
              <w:rPr>
                <w:sz w:val="22"/>
                <w:szCs w:val="22"/>
              </w:rPr>
              <w:t>%</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45%</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rPr>
                <w:b/>
              </w:rPr>
              <w:t>Interviewers</w:t>
            </w:r>
            <w:r w:rsidRPr="00117DF2">
              <w:t>: Do you feel that any of the questions were irrelevant [for the service user]?</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8</w:t>
            </w:r>
            <w:r w:rsidR="00A2494D" w:rsidRPr="00117DF2">
              <w:rPr>
                <w:sz w:val="22"/>
                <w:szCs w:val="22"/>
              </w:rPr>
              <w:t>%</w:t>
            </w:r>
          </w:p>
        </w:tc>
        <w:tc>
          <w:tcPr>
            <w:tcW w:w="0" w:type="auto"/>
            <w:shd w:val="clear" w:color="auto" w:fill="auto"/>
          </w:tcPr>
          <w:p w:rsidR="00A2494D" w:rsidRPr="00117DF2" w:rsidRDefault="00A2494D" w:rsidP="007259C0">
            <w:pPr>
              <w:spacing w:after="0"/>
              <w:jc w:val="right"/>
              <w:rPr>
                <w:sz w:val="22"/>
                <w:szCs w:val="22"/>
              </w:rPr>
            </w:pPr>
            <w:r w:rsidRPr="00117DF2">
              <w:rPr>
                <w:sz w:val="22"/>
                <w:szCs w:val="22"/>
              </w:rPr>
              <w:t>15%</w:t>
            </w:r>
          </w:p>
        </w:tc>
        <w:tc>
          <w:tcPr>
            <w:tcW w:w="0" w:type="auto"/>
            <w:shd w:val="clear" w:color="auto" w:fill="auto"/>
          </w:tcPr>
          <w:p w:rsidR="00A2494D" w:rsidRPr="00117DF2" w:rsidRDefault="00670E99" w:rsidP="00F32812">
            <w:pPr>
              <w:spacing w:after="0"/>
              <w:jc w:val="right"/>
              <w:rPr>
                <w:sz w:val="22"/>
                <w:szCs w:val="22"/>
              </w:rPr>
            </w:pPr>
            <w:r w:rsidRPr="00117DF2">
              <w:rPr>
                <w:sz w:val="22"/>
                <w:szCs w:val="22"/>
              </w:rPr>
              <w:t>33</w:t>
            </w:r>
            <w:r w:rsidR="00A2494D" w:rsidRPr="00117DF2">
              <w:rPr>
                <w:sz w:val="22"/>
                <w:szCs w:val="22"/>
              </w:rPr>
              <w:t>%</w:t>
            </w:r>
          </w:p>
        </w:tc>
        <w:tc>
          <w:tcPr>
            <w:tcW w:w="0" w:type="auto"/>
            <w:shd w:val="clear" w:color="auto" w:fill="auto"/>
          </w:tcPr>
          <w:p w:rsidR="00A2494D" w:rsidRPr="00117DF2" w:rsidRDefault="00A2494D" w:rsidP="00670E99">
            <w:pPr>
              <w:spacing w:after="0"/>
              <w:jc w:val="right"/>
              <w:rPr>
                <w:sz w:val="22"/>
                <w:szCs w:val="22"/>
              </w:rPr>
            </w:pPr>
            <w:r w:rsidRPr="00117DF2">
              <w:rPr>
                <w:sz w:val="22"/>
                <w:szCs w:val="22"/>
              </w:rPr>
              <w:t>2</w:t>
            </w:r>
            <w:r w:rsidR="00670E99" w:rsidRPr="00117DF2">
              <w:rPr>
                <w:sz w:val="22"/>
                <w:szCs w:val="22"/>
              </w:rPr>
              <w:t>8</w:t>
            </w:r>
            <w:r w:rsidRPr="00117DF2">
              <w:rPr>
                <w:sz w:val="22"/>
                <w:szCs w:val="22"/>
              </w:rPr>
              <w:t>%</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t>Service users thought missed points</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15%</w:t>
            </w:r>
          </w:p>
        </w:tc>
        <w:tc>
          <w:tcPr>
            <w:tcW w:w="0" w:type="auto"/>
            <w:shd w:val="clear" w:color="auto" w:fill="auto"/>
          </w:tcPr>
          <w:p w:rsidR="00A2494D" w:rsidRPr="00117DF2" w:rsidRDefault="00A2494D" w:rsidP="007259C0">
            <w:pPr>
              <w:spacing w:after="0"/>
              <w:jc w:val="right"/>
              <w:rPr>
                <w:sz w:val="22"/>
                <w:szCs w:val="22"/>
              </w:rPr>
            </w:pPr>
            <w:r w:rsidRPr="00117DF2">
              <w:rPr>
                <w:sz w:val="22"/>
                <w:szCs w:val="22"/>
              </w:rPr>
              <w:t>26%</w:t>
            </w:r>
          </w:p>
        </w:tc>
        <w:tc>
          <w:tcPr>
            <w:tcW w:w="0" w:type="auto"/>
            <w:shd w:val="clear" w:color="auto" w:fill="auto"/>
          </w:tcPr>
          <w:p w:rsidR="00A2494D" w:rsidRPr="00117DF2" w:rsidRDefault="00A2494D" w:rsidP="00F32812">
            <w:pPr>
              <w:spacing w:after="0"/>
              <w:jc w:val="right"/>
              <w:rPr>
                <w:sz w:val="22"/>
                <w:szCs w:val="22"/>
              </w:rPr>
            </w:pPr>
            <w:r w:rsidRPr="00117DF2">
              <w:rPr>
                <w:sz w:val="22"/>
                <w:szCs w:val="22"/>
              </w:rPr>
              <w:t>10%</w:t>
            </w:r>
          </w:p>
        </w:tc>
        <w:tc>
          <w:tcPr>
            <w:tcW w:w="0" w:type="auto"/>
            <w:shd w:val="clear" w:color="auto" w:fill="auto"/>
          </w:tcPr>
          <w:p w:rsidR="00A2494D" w:rsidRPr="00117DF2" w:rsidRDefault="00A2494D" w:rsidP="00F32812">
            <w:pPr>
              <w:spacing w:after="0"/>
              <w:jc w:val="right"/>
              <w:rPr>
                <w:sz w:val="22"/>
                <w:szCs w:val="22"/>
              </w:rPr>
            </w:pPr>
            <w:r w:rsidRPr="00117DF2">
              <w:rPr>
                <w:sz w:val="22"/>
                <w:szCs w:val="22"/>
              </w:rPr>
              <w:t>8%</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t>Do you feel that the questions explored issues that are relevant to the service user's needs in their day to day life? Very much so</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63</w:t>
            </w:r>
            <w:r w:rsidR="00A2494D" w:rsidRPr="00117DF2">
              <w:rPr>
                <w:sz w:val="22"/>
                <w:szCs w:val="22"/>
              </w:rPr>
              <w:t>%</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48</w:t>
            </w:r>
            <w:r w:rsidR="00A2494D" w:rsidRPr="00117DF2">
              <w:rPr>
                <w:sz w:val="22"/>
                <w:szCs w:val="22"/>
              </w:rPr>
              <w:t>%</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48</w:t>
            </w:r>
            <w:r w:rsidR="00A2494D" w:rsidRPr="00117DF2">
              <w:rPr>
                <w:sz w:val="22"/>
                <w:szCs w:val="22"/>
              </w:rPr>
              <w:t>%</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45%</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rPr>
                <w:b/>
              </w:rPr>
              <w:t>Service users:</w:t>
            </w:r>
            <w:r w:rsidRPr="00117DF2">
              <w:t xml:space="preserve"> Did the questions help you to say what support you need in your day to day life? % reporting very much so or in part</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70%</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65%</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60%</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60%</w:t>
            </w:r>
          </w:p>
        </w:tc>
      </w:tr>
      <w:tr w:rsidR="00A2494D" w:rsidRPr="00117DF2" w:rsidTr="007259C0">
        <w:tblPrEx>
          <w:tblCellMar>
            <w:top w:w="0" w:type="dxa"/>
            <w:bottom w:w="0" w:type="dxa"/>
          </w:tblCellMar>
        </w:tblPrEx>
        <w:tc>
          <w:tcPr>
            <w:tcW w:w="0" w:type="auto"/>
            <w:shd w:val="clear" w:color="auto" w:fill="auto"/>
          </w:tcPr>
          <w:p w:rsidR="00A2494D" w:rsidRPr="00117DF2" w:rsidRDefault="00A2494D" w:rsidP="003A4ABD">
            <w:pPr>
              <w:spacing w:after="0"/>
            </w:pPr>
            <w:r w:rsidRPr="00117DF2">
              <w:rPr>
                <w:b/>
              </w:rPr>
              <w:t>Interviewers:</w:t>
            </w:r>
            <w:r w:rsidRPr="00117DF2">
              <w:t xml:space="preserve"> Did the service user make any points about their support needs and outcomes they hoped for, that could not be/ were not captured through the interview?</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18</w:t>
            </w:r>
            <w:r w:rsidR="00A2494D" w:rsidRPr="00117DF2">
              <w:rPr>
                <w:sz w:val="22"/>
                <w:szCs w:val="22"/>
              </w:rPr>
              <w:t>%</w:t>
            </w:r>
          </w:p>
        </w:tc>
        <w:tc>
          <w:tcPr>
            <w:tcW w:w="0" w:type="auto"/>
            <w:shd w:val="clear" w:color="auto" w:fill="auto"/>
          </w:tcPr>
          <w:p w:rsidR="00A2494D" w:rsidRPr="00117DF2" w:rsidRDefault="00A2494D" w:rsidP="00670E99">
            <w:pPr>
              <w:spacing w:after="0"/>
              <w:jc w:val="right"/>
              <w:rPr>
                <w:sz w:val="22"/>
                <w:szCs w:val="22"/>
              </w:rPr>
            </w:pPr>
            <w:r w:rsidRPr="00117DF2">
              <w:rPr>
                <w:sz w:val="22"/>
                <w:szCs w:val="22"/>
              </w:rPr>
              <w:t>1</w:t>
            </w:r>
            <w:r w:rsidR="00670E99" w:rsidRPr="00117DF2">
              <w:rPr>
                <w:sz w:val="22"/>
                <w:szCs w:val="22"/>
              </w:rPr>
              <w:t>8</w:t>
            </w:r>
            <w:r w:rsidRPr="00117DF2">
              <w:rPr>
                <w:sz w:val="22"/>
                <w:szCs w:val="22"/>
              </w:rPr>
              <w:t>%</w:t>
            </w:r>
          </w:p>
        </w:tc>
        <w:tc>
          <w:tcPr>
            <w:tcW w:w="0" w:type="auto"/>
            <w:shd w:val="clear" w:color="auto" w:fill="auto"/>
          </w:tcPr>
          <w:p w:rsidR="00A2494D" w:rsidRPr="00117DF2" w:rsidRDefault="00670E99" w:rsidP="003A4ABD">
            <w:pPr>
              <w:spacing w:after="0"/>
              <w:jc w:val="right"/>
              <w:rPr>
                <w:sz w:val="22"/>
                <w:szCs w:val="22"/>
              </w:rPr>
            </w:pPr>
            <w:r w:rsidRPr="00117DF2">
              <w:rPr>
                <w:sz w:val="22"/>
                <w:szCs w:val="22"/>
              </w:rPr>
              <w:t>8</w:t>
            </w:r>
            <w:r w:rsidR="00A2494D" w:rsidRPr="00117DF2">
              <w:rPr>
                <w:sz w:val="22"/>
                <w:szCs w:val="22"/>
              </w:rPr>
              <w:t>%</w:t>
            </w:r>
          </w:p>
        </w:tc>
        <w:tc>
          <w:tcPr>
            <w:tcW w:w="0" w:type="auto"/>
            <w:shd w:val="clear" w:color="auto" w:fill="auto"/>
          </w:tcPr>
          <w:p w:rsidR="00A2494D" w:rsidRPr="00117DF2" w:rsidRDefault="00A2494D" w:rsidP="003A4ABD">
            <w:pPr>
              <w:spacing w:after="0"/>
              <w:jc w:val="right"/>
              <w:rPr>
                <w:sz w:val="22"/>
                <w:szCs w:val="22"/>
              </w:rPr>
            </w:pPr>
            <w:r w:rsidRPr="00117DF2">
              <w:rPr>
                <w:sz w:val="22"/>
                <w:szCs w:val="22"/>
              </w:rPr>
              <w:t>20%</w:t>
            </w:r>
          </w:p>
        </w:tc>
      </w:tr>
    </w:tbl>
    <w:p w:rsidR="0023739B" w:rsidRPr="00117DF2" w:rsidRDefault="00B44C5D" w:rsidP="00B44C5D">
      <w:pPr>
        <w:pStyle w:val="TableNote"/>
      </w:pPr>
      <w:r w:rsidRPr="00117DF2">
        <w:t>Source: Quick response sheets</w:t>
      </w:r>
    </w:p>
    <w:p w:rsidR="00F770C8" w:rsidRPr="00117DF2" w:rsidRDefault="00F770C8" w:rsidP="00F770C8">
      <w:pPr>
        <w:pStyle w:val="TableNote"/>
        <w:jc w:val="left"/>
        <w:rPr>
          <w:sz w:val="26"/>
          <w:szCs w:val="24"/>
        </w:rPr>
      </w:pPr>
      <w:r w:rsidRPr="00117DF2">
        <w:rPr>
          <w:sz w:val="26"/>
          <w:szCs w:val="24"/>
        </w:rPr>
        <w:t xml:space="preserve">On </w:t>
      </w:r>
      <w:r w:rsidR="00A2494D" w:rsidRPr="00117DF2">
        <w:rPr>
          <w:sz w:val="26"/>
          <w:szCs w:val="24"/>
        </w:rPr>
        <w:t xml:space="preserve">the </w:t>
      </w:r>
      <w:r w:rsidRPr="00117DF2">
        <w:rPr>
          <w:sz w:val="26"/>
          <w:szCs w:val="24"/>
        </w:rPr>
        <w:t>measures of relevance</w:t>
      </w:r>
      <w:r w:rsidR="00A2494D" w:rsidRPr="00117DF2">
        <w:rPr>
          <w:sz w:val="26"/>
          <w:szCs w:val="24"/>
        </w:rPr>
        <w:t>,</w:t>
      </w:r>
      <w:r w:rsidRPr="00117DF2">
        <w:rPr>
          <w:sz w:val="26"/>
          <w:szCs w:val="24"/>
        </w:rPr>
        <w:t xml:space="preserve"> the FACE tool scored more highly than the other 3 tools</w:t>
      </w:r>
      <w:r w:rsidR="00F2151E" w:rsidRPr="00117DF2">
        <w:rPr>
          <w:sz w:val="26"/>
          <w:szCs w:val="24"/>
        </w:rPr>
        <w:t>.</w:t>
      </w:r>
    </w:p>
    <w:p w:rsidR="00FF1B5F" w:rsidRPr="00117DF2" w:rsidRDefault="009E4388" w:rsidP="003F7167">
      <w:r w:rsidRPr="00117DF2">
        <w:t>While ser</w:t>
      </w:r>
      <w:r w:rsidR="00A2494D" w:rsidRPr="00117DF2">
        <w:t xml:space="preserve">vice users did not single it out, </w:t>
      </w:r>
      <w:r w:rsidR="00BC3785" w:rsidRPr="00117DF2">
        <w:t>i</w:t>
      </w:r>
      <w:r w:rsidR="003F7167" w:rsidRPr="00117DF2">
        <w:t xml:space="preserve">nterviewers </w:t>
      </w:r>
      <w:r w:rsidR="00BC3785" w:rsidRPr="00117DF2">
        <w:t xml:space="preserve">identified SIS as the tool that </w:t>
      </w:r>
      <w:r w:rsidR="005D7EF8" w:rsidRPr="00117DF2">
        <w:t xml:space="preserve">best </w:t>
      </w:r>
      <w:r w:rsidR="00BC3785" w:rsidRPr="00117DF2">
        <w:t>captured service users</w:t>
      </w:r>
      <w:r w:rsidR="002827B5" w:rsidRPr="00117DF2">
        <w:t>’</w:t>
      </w:r>
      <w:r w:rsidR="00BC3785" w:rsidRPr="00117DF2">
        <w:t xml:space="preserve"> support needs.</w:t>
      </w:r>
      <w:r w:rsidR="000F608B" w:rsidRPr="00117DF2">
        <w:t xml:space="preserve"> </w:t>
      </w:r>
      <w:r w:rsidR="00767046" w:rsidRPr="00117DF2">
        <w:t xml:space="preserve">Interviewers support for SIS was underlined in the focus group – where they highlighted it as the tool which gave them the best sense of the person. </w:t>
      </w:r>
      <w:r w:rsidR="00FF1B5F" w:rsidRPr="00117DF2">
        <w:t>At the same time the</w:t>
      </w:r>
      <w:r w:rsidR="005D7EF8" w:rsidRPr="00117DF2">
        <w:t>y</w:t>
      </w:r>
      <w:r w:rsidR="00FF1B5F" w:rsidRPr="00117DF2">
        <w:t xml:space="preserve"> felt that that </w:t>
      </w:r>
      <w:r w:rsidR="00767046" w:rsidRPr="00117DF2">
        <w:t xml:space="preserve">in </w:t>
      </w:r>
      <w:r w:rsidR="002827B5" w:rsidRPr="00117DF2">
        <w:t>a third</w:t>
      </w:r>
      <w:r w:rsidR="005D7EF8" w:rsidRPr="00117DF2">
        <w:t xml:space="preserve"> of cases </w:t>
      </w:r>
      <w:r w:rsidR="00FF1B5F" w:rsidRPr="00117DF2">
        <w:t>some of the SIS questions were irrelevant to</w:t>
      </w:r>
      <w:r w:rsidR="005D7EF8" w:rsidRPr="00117DF2">
        <w:t xml:space="preserve"> the</w:t>
      </w:r>
      <w:r w:rsidR="00FF1B5F" w:rsidRPr="00117DF2">
        <w:t xml:space="preserve"> service users.</w:t>
      </w:r>
      <w:r w:rsidR="000F608B" w:rsidRPr="00117DF2">
        <w:t xml:space="preserve"> </w:t>
      </w:r>
    </w:p>
    <w:p w:rsidR="0015670A" w:rsidRPr="00117DF2" w:rsidRDefault="003F7167" w:rsidP="009E4388">
      <w:pPr>
        <w:spacing w:after="120"/>
      </w:pPr>
      <w:r w:rsidRPr="00117DF2">
        <w:t>T</w:t>
      </w:r>
      <w:r w:rsidR="0015670A" w:rsidRPr="00117DF2">
        <w:t>here were t</w:t>
      </w:r>
      <w:r w:rsidRPr="00117DF2">
        <w:t xml:space="preserve">wo areas in which service users did differentiate more clearly between the tools (and which </w:t>
      </w:r>
      <w:r w:rsidR="00A82F74" w:rsidRPr="00117DF2">
        <w:t>were</w:t>
      </w:r>
      <w:r w:rsidR="0015670A" w:rsidRPr="00117DF2">
        <w:t xml:space="preserve"> statistically significant):</w:t>
      </w:r>
    </w:p>
    <w:p w:rsidR="0015670A" w:rsidRPr="00117DF2" w:rsidRDefault="003F7167" w:rsidP="0015670A">
      <w:pPr>
        <w:pStyle w:val="ListBullet"/>
      </w:pPr>
      <w:r w:rsidRPr="00117DF2">
        <w:t>service users with a physical disability were more likely to say that there were parts of the SIS questionnaire which did not apply to them, compared to service users with mild to moderate intellectual disabilities. This may well be a reflection of the fact that the SIS needs assessment tool was specifically developed for service users with intellectual and related disabiliti</w:t>
      </w:r>
      <w:r w:rsidR="0015670A" w:rsidRPr="00117DF2">
        <w:t>es</w:t>
      </w:r>
    </w:p>
    <w:p w:rsidR="003F7167" w:rsidRPr="00117DF2" w:rsidRDefault="003F7167" w:rsidP="009E4388">
      <w:pPr>
        <w:pStyle w:val="ListBullet"/>
        <w:spacing w:after="240"/>
        <w:ind w:left="357" w:hanging="357"/>
      </w:pPr>
      <w:r w:rsidRPr="00117DF2">
        <w:t>service users with multiple disabilities were likely to highlight that</w:t>
      </w:r>
      <w:r w:rsidR="000F608B" w:rsidRPr="00117DF2">
        <w:t xml:space="preserve"> interRAI</w:t>
      </w:r>
      <w:r w:rsidRPr="00117DF2">
        <w:t xml:space="preserve"> did not capture all of their</w:t>
      </w:r>
      <w:r w:rsidR="0015670A" w:rsidRPr="00117DF2">
        <w:t xml:space="preserve"> needs</w:t>
      </w:r>
    </w:p>
    <w:p w:rsidR="00024820" w:rsidRPr="00117DF2" w:rsidRDefault="003F7167" w:rsidP="00024820">
      <w:r w:rsidRPr="00117DF2">
        <w:t xml:space="preserve">The implication from the findings was that any of the assessment tools could be rolled out nationally and would be acceptable to service users. As yet, no tool has been used to undertake resource allocation in Ireland, and the overall acceptability of </w:t>
      </w:r>
      <w:r w:rsidR="002E30F6" w:rsidRPr="00117DF2">
        <w:t>any</w:t>
      </w:r>
      <w:r w:rsidRPr="00117DF2">
        <w:t xml:space="preserve"> tool may be affected in the longer term by the extent to which service users feel the tool results in them being allocated a budget which they regard as acceptable in meeting their support needs.</w:t>
      </w:r>
      <w:r w:rsidR="000F608B" w:rsidRPr="00117DF2">
        <w:t xml:space="preserve"> </w:t>
      </w:r>
    </w:p>
    <w:p w:rsidR="00024820" w:rsidRPr="00117DF2" w:rsidRDefault="0011277B" w:rsidP="00024820">
      <w:pPr>
        <w:pStyle w:val="Heading4"/>
      </w:pPr>
      <w:r w:rsidRPr="00117DF2">
        <w:t>Complex</w:t>
      </w:r>
      <w:r w:rsidR="00024820" w:rsidRPr="00117DF2">
        <w:t xml:space="preserve"> disability </w:t>
      </w:r>
    </w:p>
    <w:p w:rsidR="003F7167" w:rsidRPr="00117DF2" w:rsidRDefault="00BE1A58" w:rsidP="003F7167">
      <w:r w:rsidRPr="00117DF2">
        <w:t>There was a feeling among service users with more complex disabilities that some of the complexity of their condition was missed. However an analysis of those with complex disabilities or those w</w:t>
      </w:r>
      <w:r w:rsidR="00432816" w:rsidRPr="00117DF2">
        <w:t xml:space="preserve">ith more than one form of impairment </w:t>
      </w:r>
      <w:r w:rsidRPr="00117DF2">
        <w:t xml:space="preserve">shows that they </w:t>
      </w:r>
      <w:r w:rsidR="0015670A" w:rsidRPr="00117DF2">
        <w:t xml:space="preserve">scored similarly </w:t>
      </w:r>
      <w:r w:rsidRPr="00117DF2">
        <w:t>under all tools (appendix 1).</w:t>
      </w:r>
      <w:r w:rsidR="000F608B" w:rsidRPr="00117DF2">
        <w:t xml:space="preserve"> </w:t>
      </w:r>
      <w:r w:rsidR="00C630BB" w:rsidRPr="00117DF2">
        <w:t xml:space="preserve">However, people with </w:t>
      </w:r>
      <w:r w:rsidR="0011277B" w:rsidRPr="00117DF2">
        <w:t xml:space="preserve">complex </w:t>
      </w:r>
      <w:r w:rsidR="00C630BB" w:rsidRPr="00117DF2">
        <w:t xml:space="preserve">disability were less likely to report that </w:t>
      </w:r>
      <w:r w:rsidR="00B44C5D" w:rsidRPr="00117DF2">
        <w:t>they felt that the</w:t>
      </w:r>
      <w:r w:rsidR="000F608B" w:rsidRPr="00117DF2">
        <w:t xml:space="preserve"> interRAI</w:t>
      </w:r>
      <w:r w:rsidR="00C630BB" w:rsidRPr="00117DF2">
        <w:t xml:space="preserve"> was relevant</w:t>
      </w:r>
      <w:r w:rsidR="0015670A" w:rsidRPr="00117DF2">
        <w:t xml:space="preserve"> to them</w:t>
      </w:r>
      <w:r w:rsidR="00C630BB" w:rsidRPr="00117DF2">
        <w:t>.</w:t>
      </w:r>
    </w:p>
    <w:p w:rsidR="00BB538E" w:rsidRPr="00117DF2" w:rsidRDefault="00024820" w:rsidP="00024820">
      <w:pPr>
        <w:pStyle w:val="Heading2"/>
      </w:pPr>
      <w:r w:rsidRPr="00117DF2">
        <w:t>Comparison of need</w:t>
      </w:r>
    </w:p>
    <w:p w:rsidR="000D01FB" w:rsidRPr="00117DF2" w:rsidRDefault="00E46E5E" w:rsidP="00AA2C25">
      <w:r w:rsidRPr="00117DF2">
        <w:t>Analysis of four tools shows</w:t>
      </w:r>
      <w:r w:rsidR="00AA2C25" w:rsidRPr="00117DF2">
        <w:t xml:space="preserve"> that they</w:t>
      </w:r>
      <w:r w:rsidR="0068179A" w:rsidRPr="00117DF2">
        <w:t xml:space="preserve"> are correlated with each other</w:t>
      </w:r>
      <w:r w:rsidR="00606939" w:rsidRPr="00117DF2">
        <w:t xml:space="preserve"> (table </w:t>
      </w:r>
      <w:r w:rsidR="00B44C5D" w:rsidRPr="00117DF2">
        <w:t>4</w:t>
      </w:r>
      <w:r w:rsidR="00606939" w:rsidRPr="00117DF2">
        <w:t>)</w:t>
      </w:r>
      <w:r w:rsidR="0068179A" w:rsidRPr="00117DF2">
        <w:t>.</w:t>
      </w:r>
      <w:r w:rsidR="000F608B" w:rsidRPr="00117DF2">
        <w:t xml:space="preserve"> </w:t>
      </w:r>
      <w:r w:rsidR="0068179A" w:rsidRPr="00117DF2">
        <w:t xml:space="preserve">All </w:t>
      </w:r>
      <w:r w:rsidR="001B621A" w:rsidRPr="00117DF2">
        <w:t>Pearson</w:t>
      </w:r>
      <w:r w:rsidR="0068179A" w:rsidRPr="00117DF2">
        <w:t xml:space="preserve"> correlations are significant at the 0.01 level</w:t>
      </w:r>
      <w:r w:rsidR="001B621A" w:rsidRPr="00117DF2">
        <w:t xml:space="preserve"> and are high.</w:t>
      </w:r>
      <w:r w:rsidR="001B621A" w:rsidRPr="00117DF2">
        <w:rPr>
          <w:rStyle w:val="FootnoteReference"/>
        </w:rPr>
        <w:footnoteReference w:id="10"/>
      </w:r>
    </w:p>
    <w:p w:rsidR="0068179A" w:rsidRPr="00117DF2" w:rsidRDefault="0068179A" w:rsidP="002E30F6">
      <w:pPr>
        <w:pStyle w:val="TableTitle"/>
      </w:pPr>
      <w:r w:rsidRPr="00117DF2">
        <w:t xml:space="preserve">Table </w:t>
      </w:r>
      <w:r w:rsidR="00B44C5D" w:rsidRPr="00117DF2">
        <w:t>4</w:t>
      </w:r>
      <w:r w:rsidR="00996730" w:rsidRPr="00117DF2">
        <w:t xml:space="preserve"> </w:t>
      </w:r>
      <w:r w:rsidR="00606939" w:rsidRPr="00117DF2">
        <w:t>Pearson correlation of the four tools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1759"/>
        <w:gridCol w:w="1758"/>
        <w:gridCol w:w="1758"/>
        <w:gridCol w:w="1758"/>
        <w:gridCol w:w="1758"/>
      </w:tblGrid>
      <w:tr w:rsidR="0068179A" w:rsidRPr="00117DF2" w:rsidTr="00AB6ADF">
        <w:tblPrEx>
          <w:tblCellMar>
            <w:top w:w="0" w:type="dxa"/>
            <w:bottom w:w="0" w:type="dxa"/>
          </w:tblCellMar>
        </w:tblPrEx>
        <w:trPr>
          <w:tblHeader/>
        </w:trPr>
        <w:tc>
          <w:tcPr>
            <w:tcW w:w="1000" w:type="pct"/>
            <w:tcBorders>
              <w:bottom w:val="single" w:sz="12" w:space="0" w:color="000000"/>
            </w:tcBorders>
            <w:shd w:val="clear" w:color="auto" w:fill="auto"/>
          </w:tcPr>
          <w:p w:rsidR="0068179A" w:rsidRPr="00117DF2" w:rsidRDefault="0068179A" w:rsidP="002E30F6">
            <w:pPr>
              <w:keepNext/>
              <w:spacing w:after="0"/>
            </w:pPr>
          </w:p>
        </w:tc>
        <w:tc>
          <w:tcPr>
            <w:tcW w:w="1000" w:type="pct"/>
            <w:tcBorders>
              <w:bottom w:val="single" w:sz="12" w:space="0" w:color="000000"/>
            </w:tcBorders>
            <w:shd w:val="clear" w:color="auto" w:fill="auto"/>
          </w:tcPr>
          <w:p w:rsidR="0068179A" w:rsidRPr="00117DF2" w:rsidRDefault="008478A0" w:rsidP="002E30F6">
            <w:pPr>
              <w:keepNext/>
              <w:spacing w:after="0"/>
              <w:jc w:val="right"/>
              <w:rPr>
                <w:b/>
              </w:rPr>
            </w:pPr>
            <w:r w:rsidRPr="00117DF2">
              <w:rPr>
                <w:b/>
              </w:rPr>
              <w:t>FACE</w:t>
            </w:r>
            <w:r w:rsidR="0068179A" w:rsidRPr="00117DF2">
              <w:rPr>
                <w:b/>
              </w:rPr>
              <w:t xml:space="preserve"> score</w:t>
            </w:r>
          </w:p>
        </w:tc>
        <w:tc>
          <w:tcPr>
            <w:tcW w:w="1000" w:type="pct"/>
            <w:tcBorders>
              <w:bottom w:val="single" w:sz="12" w:space="0" w:color="000000"/>
            </w:tcBorders>
            <w:shd w:val="clear" w:color="auto" w:fill="auto"/>
          </w:tcPr>
          <w:p w:rsidR="0068179A" w:rsidRPr="00117DF2" w:rsidRDefault="000F608B" w:rsidP="004C67EE">
            <w:pPr>
              <w:keepNext/>
              <w:spacing w:after="0"/>
              <w:jc w:val="right"/>
              <w:rPr>
                <w:b/>
              </w:rPr>
            </w:pPr>
            <w:r w:rsidRPr="00117DF2">
              <w:rPr>
                <w:b/>
              </w:rPr>
              <w:t xml:space="preserve"> interRAI</w:t>
            </w:r>
            <w:r w:rsidR="0068179A" w:rsidRPr="00117DF2">
              <w:rPr>
                <w:b/>
              </w:rPr>
              <w:t xml:space="preserve"> </w:t>
            </w:r>
          </w:p>
        </w:tc>
        <w:tc>
          <w:tcPr>
            <w:tcW w:w="1000" w:type="pct"/>
            <w:tcBorders>
              <w:bottom w:val="single" w:sz="12" w:space="0" w:color="000000"/>
            </w:tcBorders>
            <w:shd w:val="clear" w:color="auto" w:fill="auto"/>
          </w:tcPr>
          <w:p w:rsidR="0068179A" w:rsidRPr="00117DF2" w:rsidRDefault="0068179A" w:rsidP="004C67EE">
            <w:pPr>
              <w:keepNext/>
              <w:spacing w:after="0"/>
              <w:jc w:val="right"/>
              <w:rPr>
                <w:b/>
              </w:rPr>
            </w:pPr>
            <w:r w:rsidRPr="00117DF2">
              <w:rPr>
                <w:b/>
              </w:rPr>
              <w:t>RAS</w:t>
            </w:r>
            <w:r w:rsidR="007049E7" w:rsidRPr="00117DF2">
              <w:rPr>
                <w:b/>
              </w:rPr>
              <w:t xml:space="preserve"> 5</w:t>
            </w:r>
            <w:r w:rsidRPr="00117DF2">
              <w:rPr>
                <w:b/>
              </w:rPr>
              <w:t xml:space="preserve"> </w:t>
            </w:r>
          </w:p>
        </w:tc>
        <w:tc>
          <w:tcPr>
            <w:tcW w:w="1000" w:type="pct"/>
            <w:tcBorders>
              <w:bottom w:val="single" w:sz="12" w:space="0" w:color="000000"/>
            </w:tcBorders>
            <w:shd w:val="clear" w:color="auto" w:fill="auto"/>
          </w:tcPr>
          <w:p w:rsidR="0068179A" w:rsidRPr="00117DF2" w:rsidRDefault="0068179A" w:rsidP="00F85947">
            <w:pPr>
              <w:keepNext/>
              <w:spacing w:after="0"/>
              <w:jc w:val="right"/>
              <w:rPr>
                <w:b/>
              </w:rPr>
            </w:pPr>
            <w:r w:rsidRPr="00117DF2">
              <w:rPr>
                <w:b/>
              </w:rPr>
              <w:t xml:space="preserve">SIS </w:t>
            </w:r>
          </w:p>
        </w:tc>
      </w:tr>
      <w:tr w:rsidR="0068179A" w:rsidRPr="00117DF2" w:rsidTr="00AB6ADF">
        <w:tblPrEx>
          <w:tblCellMar>
            <w:top w:w="0" w:type="dxa"/>
            <w:bottom w:w="0" w:type="dxa"/>
          </w:tblCellMar>
        </w:tblPrEx>
        <w:tc>
          <w:tcPr>
            <w:tcW w:w="1000" w:type="pct"/>
            <w:tcBorders>
              <w:top w:val="single" w:sz="12" w:space="0" w:color="000000"/>
            </w:tcBorders>
            <w:shd w:val="clear" w:color="auto" w:fill="auto"/>
          </w:tcPr>
          <w:p w:rsidR="0068179A" w:rsidRPr="00117DF2" w:rsidRDefault="008478A0" w:rsidP="002E30F6">
            <w:pPr>
              <w:keepNext/>
              <w:spacing w:after="0"/>
            </w:pPr>
            <w:r w:rsidRPr="00117DF2">
              <w:t>FACE</w:t>
            </w:r>
            <w:r w:rsidR="0068179A" w:rsidRPr="00117DF2">
              <w:t xml:space="preserve"> score</w:t>
            </w:r>
          </w:p>
        </w:tc>
        <w:tc>
          <w:tcPr>
            <w:tcW w:w="1000" w:type="pct"/>
            <w:tcBorders>
              <w:top w:val="single" w:sz="12" w:space="0" w:color="000000"/>
            </w:tcBorders>
            <w:shd w:val="clear" w:color="auto" w:fill="auto"/>
          </w:tcPr>
          <w:p w:rsidR="0068179A" w:rsidRPr="00117DF2" w:rsidRDefault="0068179A" w:rsidP="002E30F6">
            <w:pPr>
              <w:keepNext/>
              <w:spacing w:after="0"/>
              <w:jc w:val="right"/>
            </w:pPr>
            <w:r w:rsidRPr="00117DF2">
              <w:t>1</w:t>
            </w:r>
          </w:p>
        </w:tc>
        <w:tc>
          <w:tcPr>
            <w:tcW w:w="1000" w:type="pct"/>
            <w:tcBorders>
              <w:top w:val="single" w:sz="12" w:space="0" w:color="000000"/>
            </w:tcBorders>
            <w:shd w:val="clear" w:color="auto" w:fill="auto"/>
          </w:tcPr>
          <w:p w:rsidR="0068179A" w:rsidRPr="00117DF2" w:rsidRDefault="0068179A" w:rsidP="002E30F6">
            <w:pPr>
              <w:keepNext/>
              <w:spacing w:after="0"/>
              <w:jc w:val="right"/>
            </w:pPr>
          </w:p>
        </w:tc>
        <w:tc>
          <w:tcPr>
            <w:tcW w:w="1000" w:type="pct"/>
            <w:tcBorders>
              <w:top w:val="single" w:sz="12" w:space="0" w:color="000000"/>
            </w:tcBorders>
            <w:shd w:val="clear" w:color="auto" w:fill="auto"/>
          </w:tcPr>
          <w:p w:rsidR="0068179A" w:rsidRPr="00117DF2" w:rsidRDefault="0068179A" w:rsidP="002E30F6">
            <w:pPr>
              <w:keepNext/>
              <w:spacing w:after="0"/>
              <w:jc w:val="right"/>
            </w:pPr>
          </w:p>
        </w:tc>
        <w:tc>
          <w:tcPr>
            <w:tcW w:w="1000" w:type="pct"/>
            <w:tcBorders>
              <w:top w:val="single" w:sz="12" w:space="0" w:color="000000"/>
            </w:tcBorders>
            <w:shd w:val="clear" w:color="auto" w:fill="auto"/>
          </w:tcPr>
          <w:p w:rsidR="0068179A" w:rsidRPr="00117DF2" w:rsidRDefault="0068179A" w:rsidP="002E30F6">
            <w:pPr>
              <w:keepNext/>
              <w:spacing w:after="0"/>
              <w:jc w:val="right"/>
            </w:pPr>
          </w:p>
        </w:tc>
      </w:tr>
      <w:tr w:rsidR="0068179A" w:rsidRPr="00117DF2" w:rsidTr="00AB6ADF">
        <w:tblPrEx>
          <w:tblCellMar>
            <w:top w:w="0" w:type="dxa"/>
            <w:bottom w:w="0" w:type="dxa"/>
          </w:tblCellMar>
        </w:tblPrEx>
        <w:tc>
          <w:tcPr>
            <w:tcW w:w="1000" w:type="pct"/>
            <w:shd w:val="clear" w:color="auto" w:fill="auto"/>
          </w:tcPr>
          <w:p w:rsidR="0068179A" w:rsidRPr="00117DF2" w:rsidRDefault="000F608B" w:rsidP="00F85947">
            <w:pPr>
              <w:keepNext/>
              <w:spacing w:after="0"/>
            </w:pPr>
            <w:r w:rsidRPr="00117DF2">
              <w:t xml:space="preserve"> interRAI</w:t>
            </w:r>
            <w:r w:rsidR="0068179A" w:rsidRPr="00117DF2">
              <w:t xml:space="preserve"> </w:t>
            </w:r>
          </w:p>
        </w:tc>
        <w:tc>
          <w:tcPr>
            <w:tcW w:w="1000" w:type="pct"/>
            <w:shd w:val="clear" w:color="auto" w:fill="auto"/>
          </w:tcPr>
          <w:p w:rsidR="0068179A" w:rsidRPr="00117DF2" w:rsidRDefault="0068179A" w:rsidP="004C67EE">
            <w:pPr>
              <w:keepNext/>
              <w:spacing w:after="0"/>
              <w:jc w:val="right"/>
            </w:pPr>
            <w:r w:rsidRPr="00117DF2">
              <w:t>.7</w:t>
            </w:r>
            <w:r w:rsidR="004C67EE" w:rsidRPr="00117DF2">
              <w:t>65</w:t>
            </w:r>
            <w:r w:rsidRPr="00117DF2">
              <w:t>**</w:t>
            </w:r>
          </w:p>
        </w:tc>
        <w:tc>
          <w:tcPr>
            <w:tcW w:w="1000" w:type="pct"/>
            <w:shd w:val="clear" w:color="auto" w:fill="auto"/>
          </w:tcPr>
          <w:p w:rsidR="0068179A" w:rsidRPr="00117DF2" w:rsidRDefault="0068179A" w:rsidP="002E30F6">
            <w:pPr>
              <w:keepNext/>
              <w:spacing w:after="0"/>
              <w:jc w:val="right"/>
            </w:pPr>
            <w:r w:rsidRPr="00117DF2">
              <w:t>1</w:t>
            </w:r>
          </w:p>
        </w:tc>
        <w:tc>
          <w:tcPr>
            <w:tcW w:w="1000" w:type="pct"/>
            <w:shd w:val="clear" w:color="auto" w:fill="auto"/>
          </w:tcPr>
          <w:p w:rsidR="0068179A" w:rsidRPr="00117DF2" w:rsidRDefault="0068179A" w:rsidP="002E30F6">
            <w:pPr>
              <w:keepNext/>
              <w:spacing w:after="0"/>
              <w:jc w:val="right"/>
            </w:pPr>
          </w:p>
        </w:tc>
        <w:tc>
          <w:tcPr>
            <w:tcW w:w="1000" w:type="pct"/>
            <w:shd w:val="clear" w:color="auto" w:fill="auto"/>
          </w:tcPr>
          <w:p w:rsidR="0068179A" w:rsidRPr="00117DF2" w:rsidRDefault="0068179A" w:rsidP="002E30F6">
            <w:pPr>
              <w:keepNext/>
              <w:spacing w:after="0"/>
              <w:jc w:val="right"/>
            </w:pPr>
          </w:p>
        </w:tc>
      </w:tr>
      <w:tr w:rsidR="0068179A" w:rsidRPr="00117DF2" w:rsidTr="00AB6ADF">
        <w:tblPrEx>
          <w:tblCellMar>
            <w:top w:w="0" w:type="dxa"/>
            <w:bottom w:w="0" w:type="dxa"/>
          </w:tblCellMar>
        </w:tblPrEx>
        <w:tc>
          <w:tcPr>
            <w:tcW w:w="1000" w:type="pct"/>
            <w:shd w:val="clear" w:color="auto" w:fill="auto"/>
          </w:tcPr>
          <w:p w:rsidR="0068179A" w:rsidRPr="00117DF2" w:rsidRDefault="0068179A" w:rsidP="00F85947">
            <w:pPr>
              <w:spacing w:after="0"/>
            </w:pPr>
            <w:r w:rsidRPr="00117DF2">
              <w:t xml:space="preserve">RAS </w:t>
            </w:r>
            <w:r w:rsidR="007049E7" w:rsidRPr="00117DF2">
              <w:t>5</w:t>
            </w:r>
          </w:p>
        </w:tc>
        <w:tc>
          <w:tcPr>
            <w:tcW w:w="1000" w:type="pct"/>
            <w:shd w:val="clear" w:color="auto" w:fill="auto"/>
          </w:tcPr>
          <w:p w:rsidR="0068179A" w:rsidRPr="00117DF2" w:rsidRDefault="0068179A" w:rsidP="002E30F6">
            <w:pPr>
              <w:spacing w:after="0"/>
              <w:jc w:val="right"/>
            </w:pPr>
            <w:r w:rsidRPr="00117DF2">
              <w:t>.787**</w:t>
            </w:r>
          </w:p>
        </w:tc>
        <w:tc>
          <w:tcPr>
            <w:tcW w:w="1000" w:type="pct"/>
            <w:shd w:val="clear" w:color="auto" w:fill="auto"/>
          </w:tcPr>
          <w:p w:rsidR="0068179A" w:rsidRPr="00117DF2" w:rsidRDefault="0068179A" w:rsidP="004C67EE">
            <w:pPr>
              <w:spacing w:after="0"/>
              <w:jc w:val="right"/>
            </w:pPr>
            <w:r w:rsidRPr="00117DF2">
              <w:t>.</w:t>
            </w:r>
            <w:r w:rsidR="004C67EE" w:rsidRPr="00117DF2">
              <w:t>632</w:t>
            </w:r>
            <w:r w:rsidRPr="00117DF2">
              <w:t>**</w:t>
            </w:r>
          </w:p>
        </w:tc>
        <w:tc>
          <w:tcPr>
            <w:tcW w:w="1000" w:type="pct"/>
            <w:shd w:val="clear" w:color="auto" w:fill="auto"/>
          </w:tcPr>
          <w:p w:rsidR="0068179A" w:rsidRPr="00117DF2" w:rsidRDefault="0068179A" w:rsidP="002E30F6">
            <w:pPr>
              <w:spacing w:after="0"/>
              <w:jc w:val="right"/>
            </w:pPr>
            <w:r w:rsidRPr="00117DF2">
              <w:t>1</w:t>
            </w:r>
          </w:p>
        </w:tc>
        <w:tc>
          <w:tcPr>
            <w:tcW w:w="1000" w:type="pct"/>
            <w:shd w:val="clear" w:color="auto" w:fill="auto"/>
          </w:tcPr>
          <w:p w:rsidR="0068179A" w:rsidRPr="00117DF2" w:rsidRDefault="0068179A" w:rsidP="002E30F6">
            <w:pPr>
              <w:spacing w:after="0"/>
              <w:jc w:val="right"/>
            </w:pPr>
          </w:p>
        </w:tc>
      </w:tr>
      <w:tr w:rsidR="0068179A" w:rsidRPr="00117DF2" w:rsidTr="00AB6ADF">
        <w:tblPrEx>
          <w:tblCellMar>
            <w:top w:w="0" w:type="dxa"/>
            <w:bottom w:w="0" w:type="dxa"/>
          </w:tblCellMar>
        </w:tblPrEx>
        <w:tc>
          <w:tcPr>
            <w:tcW w:w="1000" w:type="pct"/>
            <w:shd w:val="clear" w:color="auto" w:fill="auto"/>
          </w:tcPr>
          <w:p w:rsidR="0068179A" w:rsidRPr="00117DF2" w:rsidRDefault="0068179A" w:rsidP="00F85947">
            <w:pPr>
              <w:spacing w:after="0"/>
            </w:pPr>
            <w:r w:rsidRPr="00117DF2">
              <w:t xml:space="preserve">SIS </w:t>
            </w:r>
          </w:p>
        </w:tc>
        <w:tc>
          <w:tcPr>
            <w:tcW w:w="1000" w:type="pct"/>
            <w:shd w:val="clear" w:color="auto" w:fill="auto"/>
          </w:tcPr>
          <w:p w:rsidR="0068179A" w:rsidRPr="00117DF2" w:rsidRDefault="0068179A" w:rsidP="002E30F6">
            <w:pPr>
              <w:spacing w:after="0"/>
              <w:jc w:val="right"/>
            </w:pPr>
            <w:r w:rsidRPr="00117DF2">
              <w:t>.718**</w:t>
            </w:r>
          </w:p>
        </w:tc>
        <w:tc>
          <w:tcPr>
            <w:tcW w:w="1000" w:type="pct"/>
            <w:shd w:val="clear" w:color="auto" w:fill="auto"/>
          </w:tcPr>
          <w:p w:rsidR="0068179A" w:rsidRPr="00117DF2" w:rsidRDefault="0068179A" w:rsidP="004C67EE">
            <w:pPr>
              <w:spacing w:after="0"/>
              <w:jc w:val="right"/>
            </w:pPr>
            <w:r w:rsidRPr="00117DF2">
              <w:t>.</w:t>
            </w:r>
            <w:r w:rsidR="004C67EE" w:rsidRPr="00117DF2">
              <w:t>574</w:t>
            </w:r>
            <w:r w:rsidRPr="00117DF2">
              <w:t>**</w:t>
            </w:r>
          </w:p>
        </w:tc>
        <w:tc>
          <w:tcPr>
            <w:tcW w:w="1000" w:type="pct"/>
            <w:shd w:val="clear" w:color="auto" w:fill="auto"/>
          </w:tcPr>
          <w:p w:rsidR="0068179A" w:rsidRPr="00117DF2" w:rsidRDefault="0068179A" w:rsidP="002E30F6">
            <w:pPr>
              <w:spacing w:after="0"/>
              <w:jc w:val="right"/>
            </w:pPr>
            <w:r w:rsidRPr="00117DF2">
              <w:t>.727**</w:t>
            </w:r>
          </w:p>
        </w:tc>
        <w:tc>
          <w:tcPr>
            <w:tcW w:w="1000" w:type="pct"/>
            <w:shd w:val="clear" w:color="auto" w:fill="auto"/>
          </w:tcPr>
          <w:p w:rsidR="0068179A" w:rsidRPr="00117DF2" w:rsidRDefault="0068179A" w:rsidP="002E30F6">
            <w:pPr>
              <w:spacing w:after="0"/>
              <w:jc w:val="right"/>
            </w:pPr>
            <w:r w:rsidRPr="00117DF2">
              <w:t>1</w:t>
            </w:r>
          </w:p>
        </w:tc>
      </w:tr>
    </w:tbl>
    <w:p w:rsidR="00670E99" w:rsidRPr="00117DF2" w:rsidRDefault="0068179A" w:rsidP="00F85947">
      <w:pPr>
        <w:pStyle w:val="TableNote"/>
      </w:pPr>
      <w:r w:rsidRPr="00117DF2">
        <w:t>Source:</w:t>
      </w:r>
      <w:r w:rsidR="00AB6ADF" w:rsidRPr="00117DF2">
        <w:t xml:space="preserve"> </w:t>
      </w:r>
      <w:r w:rsidR="001B621A" w:rsidRPr="00117DF2">
        <w:t xml:space="preserve">NDA </w:t>
      </w:r>
      <w:r w:rsidRPr="00117DF2">
        <w:t>** Correlation is significan</w:t>
      </w:r>
      <w:r w:rsidR="001B621A" w:rsidRPr="00117DF2">
        <w:t>t at the 0.01 level (2-tailed).</w:t>
      </w:r>
      <w:r w:rsidR="000F608B" w:rsidRPr="00117DF2">
        <w:t xml:space="preserve"> </w:t>
      </w:r>
    </w:p>
    <w:p w:rsidR="00F85947" w:rsidRPr="00117DF2" w:rsidRDefault="002E30F6" w:rsidP="00F85947">
      <w:pPr>
        <w:pStyle w:val="TableNote"/>
        <w:rPr>
          <w:sz w:val="22"/>
          <w:szCs w:val="22"/>
        </w:rPr>
      </w:pPr>
      <w:r w:rsidRPr="00117DF2">
        <w:rPr>
          <w:sz w:val="22"/>
          <w:szCs w:val="22"/>
        </w:rPr>
        <w:t>Note: The</w:t>
      </w:r>
      <w:r w:rsidR="000F608B" w:rsidRPr="00117DF2">
        <w:rPr>
          <w:sz w:val="22"/>
          <w:szCs w:val="22"/>
        </w:rPr>
        <w:t xml:space="preserve"> interRAI</w:t>
      </w:r>
      <w:r w:rsidR="00670E99" w:rsidRPr="00117DF2">
        <w:rPr>
          <w:sz w:val="22"/>
          <w:szCs w:val="22"/>
        </w:rPr>
        <w:t xml:space="preserve"> measure</w:t>
      </w:r>
      <w:r w:rsidRPr="00117DF2">
        <w:rPr>
          <w:sz w:val="22"/>
          <w:szCs w:val="22"/>
        </w:rPr>
        <w:t xml:space="preserve"> in this table </w:t>
      </w:r>
      <w:r w:rsidR="00670E99" w:rsidRPr="00117DF2">
        <w:rPr>
          <w:sz w:val="22"/>
          <w:szCs w:val="22"/>
        </w:rPr>
        <w:t xml:space="preserve">is derived from outcomes </w:t>
      </w:r>
      <w:r w:rsidR="004C67EE" w:rsidRPr="00117DF2">
        <w:rPr>
          <w:sz w:val="22"/>
          <w:szCs w:val="22"/>
        </w:rPr>
        <w:t xml:space="preserve">of a fully trialled </w:t>
      </w:r>
      <w:r w:rsidRPr="00117DF2">
        <w:rPr>
          <w:sz w:val="22"/>
          <w:szCs w:val="22"/>
        </w:rPr>
        <w:t xml:space="preserve">care assessment </w:t>
      </w:r>
      <w:r w:rsidR="004C67EE" w:rsidRPr="00117DF2">
        <w:rPr>
          <w:sz w:val="22"/>
          <w:szCs w:val="22"/>
        </w:rPr>
        <w:t>in another jurisdiction</w:t>
      </w:r>
      <w:r w:rsidR="00455BD8" w:rsidRPr="00117DF2">
        <w:rPr>
          <w:sz w:val="22"/>
          <w:szCs w:val="22"/>
        </w:rPr>
        <w:t>.</w:t>
      </w:r>
      <w:r w:rsidR="004C67EE" w:rsidRPr="00117DF2">
        <w:rPr>
          <w:sz w:val="22"/>
          <w:szCs w:val="22"/>
        </w:rPr>
        <w:t xml:space="preserve"> These numbers may then alter when a </w:t>
      </w:r>
      <w:r w:rsidRPr="00117DF2">
        <w:rPr>
          <w:sz w:val="22"/>
          <w:szCs w:val="22"/>
        </w:rPr>
        <w:t xml:space="preserve">fully-developed </w:t>
      </w:r>
      <w:r w:rsidR="00E46E5E" w:rsidRPr="00117DF2">
        <w:rPr>
          <w:sz w:val="22"/>
          <w:szCs w:val="22"/>
        </w:rPr>
        <w:t>case mix</w:t>
      </w:r>
      <w:r w:rsidRPr="00117DF2">
        <w:rPr>
          <w:sz w:val="22"/>
          <w:szCs w:val="22"/>
        </w:rPr>
        <w:t xml:space="preserve"> system </w:t>
      </w:r>
      <w:r w:rsidR="004C67EE" w:rsidRPr="00117DF2">
        <w:rPr>
          <w:sz w:val="22"/>
          <w:szCs w:val="22"/>
        </w:rPr>
        <w:t>is developed for Ireland</w:t>
      </w:r>
      <w:r w:rsidRPr="00117DF2">
        <w:rPr>
          <w:sz w:val="22"/>
          <w:szCs w:val="22"/>
        </w:rPr>
        <w:t xml:space="preserve">. </w:t>
      </w:r>
      <w:r w:rsidR="00F85947" w:rsidRPr="00117DF2">
        <w:rPr>
          <w:sz w:val="22"/>
          <w:szCs w:val="22"/>
        </w:rPr>
        <w:t xml:space="preserve">Note that raw scores </w:t>
      </w:r>
      <w:r w:rsidR="00670E99" w:rsidRPr="00117DF2">
        <w:rPr>
          <w:sz w:val="22"/>
          <w:szCs w:val="22"/>
        </w:rPr>
        <w:t xml:space="preserve">were </w:t>
      </w:r>
      <w:r w:rsidR="00F85947" w:rsidRPr="00117DF2">
        <w:rPr>
          <w:sz w:val="22"/>
          <w:szCs w:val="22"/>
        </w:rPr>
        <w:t>used for FACE, where</w:t>
      </w:r>
      <w:r w:rsidR="00670E99" w:rsidRPr="00117DF2">
        <w:rPr>
          <w:sz w:val="22"/>
          <w:szCs w:val="22"/>
        </w:rPr>
        <w:t>as</w:t>
      </w:r>
      <w:r w:rsidR="00F85947" w:rsidRPr="00117DF2">
        <w:rPr>
          <w:sz w:val="22"/>
          <w:szCs w:val="22"/>
        </w:rPr>
        <w:t xml:space="preserve"> FACE usually is used to generate weighted scores</w:t>
      </w:r>
    </w:p>
    <w:p w:rsidR="0068179A" w:rsidRPr="00117DF2" w:rsidRDefault="001948E5" w:rsidP="0068179A">
      <w:r w:rsidRPr="00117DF2">
        <w:t>A</w:t>
      </w:r>
      <w:r w:rsidR="00AD0CE4" w:rsidRPr="00117DF2">
        <w:t>s analysis showed that all four tools were measuring the same thing</w:t>
      </w:r>
      <w:r w:rsidR="00C84A92" w:rsidRPr="00117DF2">
        <w:t>,</w:t>
      </w:r>
      <w:r w:rsidR="00AD0CE4" w:rsidRPr="00117DF2">
        <w:t xml:space="preserve"> a </w:t>
      </w:r>
      <w:r w:rsidRPr="00117DF2">
        <w:t>variable was created from the four tools called ‘average need’.</w:t>
      </w:r>
      <w:r w:rsidRPr="00117DF2">
        <w:rPr>
          <w:rStyle w:val="FootnoteReference"/>
        </w:rPr>
        <w:footnoteReference w:id="11"/>
      </w:r>
      <w:r w:rsidR="003108CF" w:rsidRPr="00117DF2">
        <w:t xml:space="preserve"> Analysis of this variable shows that it is correlated well with the four tools (table </w:t>
      </w:r>
      <w:r w:rsidR="00B44C5D" w:rsidRPr="00117DF2">
        <w:t>5</w:t>
      </w:r>
      <w:r w:rsidR="003108CF" w:rsidRPr="00117DF2">
        <w:t>)</w:t>
      </w:r>
      <w:r w:rsidR="00606939" w:rsidRPr="00117DF2">
        <w:t xml:space="preserve">. All are statistically significant at the 0.01 level and </w:t>
      </w:r>
      <w:r w:rsidR="001535C2" w:rsidRPr="00117DF2">
        <w:t xml:space="preserve">with </w:t>
      </w:r>
      <w:r w:rsidR="00606939" w:rsidRPr="00117DF2">
        <w:t>high</w:t>
      </w:r>
      <w:r w:rsidR="001535C2" w:rsidRPr="00117DF2">
        <w:t xml:space="preserve"> coefficients</w:t>
      </w:r>
      <w:r w:rsidR="00606939" w:rsidRPr="00117DF2">
        <w:t>.</w:t>
      </w:r>
    </w:p>
    <w:p w:rsidR="003108CF" w:rsidRPr="00117DF2" w:rsidRDefault="00606939" w:rsidP="003108CF">
      <w:pPr>
        <w:pStyle w:val="TableTitle"/>
      </w:pPr>
      <w:r w:rsidRPr="00117DF2">
        <w:t xml:space="preserve">Table </w:t>
      </w:r>
      <w:r w:rsidR="00B44C5D" w:rsidRPr="00117DF2">
        <w:t>5</w:t>
      </w:r>
      <w:r w:rsidRPr="00117DF2">
        <w:t xml:space="preserve">: </w:t>
      </w:r>
      <w:r w:rsidR="003108CF" w:rsidRPr="00117DF2">
        <w:t xml:space="preserve">Average need </w:t>
      </w:r>
      <w:r w:rsidRPr="00117DF2">
        <w:t>correlation with the four tools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428"/>
        <w:gridCol w:w="4428"/>
      </w:tblGrid>
      <w:tr w:rsidR="003108CF" w:rsidRPr="00117DF2" w:rsidTr="003108CF">
        <w:tblPrEx>
          <w:tblCellMar>
            <w:top w:w="0" w:type="dxa"/>
            <w:bottom w:w="0" w:type="dxa"/>
          </w:tblCellMar>
        </w:tblPrEx>
        <w:trPr>
          <w:tblHeader/>
        </w:trPr>
        <w:tc>
          <w:tcPr>
            <w:tcW w:w="4428" w:type="dxa"/>
            <w:tcBorders>
              <w:bottom w:val="single" w:sz="12" w:space="0" w:color="000000"/>
            </w:tcBorders>
            <w:shd w:val="clear" w:color="auto" w:fill="auto"/>
          </w:tcPr>
          <w:p w:rsidR="003108CF" w:rsidRPr="00117DF2" w:rsidRDefault="003108CF" w:rsidP="003108CF">
            <w:pPr>
              <w:pStyle w:val="TableHead"/>
              <w:jc w:val="right"/>
            </w:pPr>
          </w:p>
        </w:tc>
        <w:tc>
          <w:tcPr>
            <w:tcW w:w="4428" w:type="dxa"/>
            <w:tcBorders>
              <w:bottom w:val="single" w:sz="12" w:space="0" w:color="000000"/>
            </w:tcBorders>
            <w:shd w:val="clear" w:color="auto" w:fill="auto"/>
          </w:tcPr>
          <w:p w:rsidR="003108CF" w:rsidRPr="00117DF2" w:rsidRDefault="003108CF" w:rsidP="003108CF">
            <w:pPr>
              <w:pStyle w:val="TableHead"/>
              <w:jc w:val="right"/>
            </w:pPr>
            <w:r w:rsidRPr="00117DF2">
              <w:t>Average need</w:t>
            </w:r>
          </w:p>
        </w:tc>
      </w:tr>
      <w:tr w:rsidR="003108CF" w:rsidRPr="00117DF2" w:rsidTr="003108CF">
        <w:tblPrEx>
          <w:tblCellMar>
            <w:top w:w="0" w:type="dxa"/>
            <w:bottom w:w="0" w:type="dxa"/>
          </w:tblCellMar>
        </w:tblPrEx>
        <w:tc>
          <w:tcPr>
            <w:tcW w:w="4428" w:type="dxa"/>
            <w:shd w:val="clear" w:color="auto" w:fill="auto"/>
          </w:tcPr>
          <w:p w:rsidR="003108CF" w:rsidRPr="00117DF2" w:rsidRDefault="008478A0" w:rsidP="007A2568">
            <w:r w:rsidRPr="00117DF2">
              <w:t>FACE</w:t>
            </w:r>
            <w:r w:rsidR="003108CF" w:rsidRPr="00117DF2">
              <w:t xml:space="preserve"> </w:t>
            </w:r>
          </w:p>
        </w:tc>
        <w:tc>
          <w:tcPr>
            <w:tcW w:w="4428" w:type="dxa"/>
            <w:shd w:val="clear" w:color="auto" w:fill="auto"/>
          </w:tcPr>
          <w:p w:rsidR="003108CF" w:rsidRPr="00117DF2" w:rsidRDefault="003108CF" w:rsidP="00F85947">
            <w:pPr>
              <w:jc w:val="right"/>
            </w:pPr>
            <w:r w:rsidRPr="00117DF2">
              <w:t>.</w:t>
            </w:r>
            <w:r w:rsidR="004C67EE" w:rsidRPr="00117DF2">
              <w:t>9</w:t>
            </w:r>
            <w:r w:rsidR="00F85947" w:rsidRPr="00117DF2">
              <w:t>2</w:t>
            </w:r>
            <w:r w:rsidRPr="00117DF2">
              <w:t>**</w:t>
            </w:r>
          </w:p>
        </w:tc>
      </w:tr>
      <w:tr w:rsidR="003108CF" w:rsidRPr="00117DF2" w:rsidTr="003108CF">
        <w:tblPrEx>
          <w:tblCellMar>
            <w:top w:w="0" w:type="dxa"/>
            <w:bottom w:w="0" w:type="dxa"/>
          </w:tblCellMar>
        </w:tblPrEx>
        <w:tc>
          <w:tcPr>
            <w:tcW w:w="4428" w:type="dxa"/>
            <w:shd w:val="clear" w:color="auto" w:fill="auto"/>
          </w:tcPr>
          <w:p w:rsidR="003108CF" w:rsidRPr="00117DF2" w:rsidRDefault="000F608B" w:rsidP="004C67EE">
            <w:r w:rsidRPr="00117DF2">
              <w:t xml:space="preserve"> interRAI</w:t>
            </w:r>
            <w:r w:rsidR="003108CF" w:rsidRPr="00117DF2">
              <w:t xml:space="preserve"> </w:t>
            </w:r>
          </w:p>
        </w:tc>
        <w:tc>
          <w:tcPr>
            <w:tcW w:w="4428" w:type="dxa"/>
            <w:shd w:val="clear" w:color="auto" w:fill="auto"/>
          </w:tcPr>
          <w:p w:rsidR="003108CF" w:rsidRPr="00117DF2" w:rsidRDefault="00F85947" w:rsidP="004C67EE">
            <w:pPr>
              <w:jc w:val="right"/>
            </w:pPr>
            <w:r w:rsidRPr="00117DF2">
              <w:t>.83</w:t>
            </w:r>
            <w:r w:rsidR="003108CF" w:rsidRPr="00117DF2">
              <w:t>**</w:t>
            </w:r>
          </w:p>
        </w:tc>
      </w:tr>
      <w:tr w:rsidR="003108CF" w:rsidRPr="00117DF2" w:rsidTr="003108CF">
        <w:tblPrEx>
          <w:tblCellMar>
            <w:top w:w="0" w:type="dxa"/>
            <w:bottom w:w="0" w:type="dxa"/>
          </w:tblCellMar>
        </w:tblPrEx>
        <w:tc>
          <w:tcPr>
            <w:tcW w:w="4428" w:type="dxa"/>
            <w:shd w:val="clear" w:color="auto" w:fill="auto"/>
          </w:tcPr>
          <w:p w:rsidR="003108CF" w:rsidRPr="00117DF2" w:rsidRDefault="003108CF" w:rsidP="007A2568">
            <w:r w:rsidRPr="00117DF2">
              <w:t xml:space="preserve">RAS </w:t>
            </w:r>
            <w:r w:rsidR="0015788A" w:rsidRPr="00117DF2">
              <w:t>5</w:t>
            </w:r>
          </w:p>
        </w:tc>
        <w:tc>
          <w:tcPr>
            <w:tcW w:w="4428" w:type="dxa"/>
            <w:shd w:val="clear" w:color="auto" w:fill="auto"/>
          </w:tcPr>
          <w:p w:rsidR="003108CF" w:rsidRPr="00117DF2" w:rsidRDefault="003108CF" w:rsidP="004C67EE">
            <w:pPr>
              <w:jc w:val="right"/>
            </w:pPr>
            <w:r w:rsidRPr="00117DF2">
              <w:t>.</w:t>
            </w:r>
            <w:r w:rsidR="00F85947" w:rsidRPr="00117DF2">
              <w:t>90</w:t>
            </w:r>
            <w:r w:rsidRPr="00117DF2">
              <w:t>**</w:t>
            </w:r>
          </w:p>
        </w:tc>
      </w:tr>
      <w:tr w:rsidR="003108CF" w:rsidRPr="00117DF2" w:rsidTr="003108CF">
        <w:tblPrEx>
          <w:tblCellMar>
            <w:top w:w="0" w:type="dxa"/>
            <w:bottom w:w="0" w:type="dxa"/>
          </w:tblCellMar>
        </w:tblPrEx>
        <w:tc>
          <w:tcPr>
            <w:tcW w:w="4428" w:type="dxa"/>
            <w:shd w:val="clear" w:color="auto" w:fill="auto"/>
          </w:tcPr>
          <w:p w:rsidR="003108CF" w:rsidRPr="00117DF2" w:rsidRDefault="003108CF" w:rsidP="007A2568">
            <w:r w:rsidRPr="00117DF2">
              <w:t xml:space="preserve">SIS </w:t>
            </w:r>
          </w:p>
        </w:tc>
        <w:tc>
          <w:tcPr>
            <w:tcW w:w="4428" w:type="dxa"/>
            <w:shd w:val="clear" w:color="auto" w:fill="auto"/>
          </w:tcPr>
          <w:p w:rsidR="003108CF" w:rsidRPr="00117DF2" w:rsidRDefault="00F85947" w:rsidP="00B6121F">
            <w:pPr>
              <w:jc w:val="right"/>
            </w:pPr>
            <w:r w:rsidRPr="00117DF2">
              <w:t>.86</w:t>
            </w:r>
            <w:r w:rsidR="003108CF" w:rsidRPr="00117DF2">
              <w:t>**</w:t>
            </w:r>
          </w:p>
        </w:tc>
      </w:tr>
    </w:tbl>
    <w:p w:rsidR="003108CF" w:rsidRPr="00117DF2" w:rsidRDefault="003108CF" w:rsidP="003108CF">
      <w:pPr>
        <w:pStyle w:val="TableNote"/>
      </w:pPr>
      <w:r w:rsidRPr="00117DF2">
        <w:t xml:space="preserve">Source: </w:t>
      </w:r>
      <w:r w:rsidR="00606939" w:rsidRPr="00117DF2">
        <w:t>NDA</w:t>
      </w:r>
    </w:p>
    <w:p w:rsidR="00E23C94" w:rsidRPr="00117DF2" w:rsidRDefault="0042672A" w:rsidP="0042672A">
      <w:r w:rsidRPr="00117DF2">
        <w:t xml:space="preserve">Just because the four </w:t>
      </w:r>
      <w:r w:rsidR="00431E37" w:rsidRPr="00117DF2">
        <w:t>measures</w:t>
      </w:r>
      <w:r w:rsidRPr="00117DF2">
        <w:t xml:space="preserve"> are </w:t>
      </w:r>
      <w:r w:rsidR="00431E37" w:rsidRPr="00117DF2">
        <w:t>well</w:t>
      </w:r>
      <w:r w:rsidRPr="00117DF2">
        <w:t xml:space="preserve"> correlated </w:t>
      </w:r>
      <w:r w:rsidR="001535C2" w:rsidRPr="00117DF2">
        <w:t xml:space="preserve">at the global level </w:t>
      </w:r>
      <w:r w:rsidR="00AB6ADF" w:rsidRPr="00117DF2">
        <w:t xml:space="preserve">it </w:t>
      </w:r>
      <w:r w:rsidRPr="00117DF2">
        <w:t xml:space="preserve">does not </w:t>
      </w:r>
      <w:r w:rsidR="00AB6ADF" w:rsidRPr="00117DF2">
        <w:t xml:space="preserve">follow that </w:t>
      </w:r>
      <w:r w:rsidRPr="00117DF2">
        <w:t xml:space="preserve">they </w:t>
      </w:r>
      <w:r w:rsidR="001535C2" w:rsidRPr="00117DF2">
        <w:t xml:space="preserve">are well </w:t>
      </w:r>
      <w:r w:rsidR="00C27B1E" w:rsidRPr="00117DF2">
        <w:t>correlated</w:t>
      </w:r>
      <w:r w:rsidR="001535C2" w:rsidRPr="00117DF2">
        <w:t xml:space="preserve"> at </w:t>
      </w:r>
      <w:r w:rsidR="00455BD8" w:rsidRPr="00117DF2">
        <w:t>subcategory</w:t>
      </w:r>
      <w:r w:rsidR="001961B9" w:rsidRPr="00117DF2">
        <w:t xml:space="preserve"> </w:t>
      </w:r>
      <w:r w:rsidR="00AB6ADF" w:rsidRPr="00117DF2">
        <w:t>level</w:t>
      </w:r>
      <w:r w:rsidR="00431E37" w:rsidRPr="00117DF2">
        <w:t xml:space="preserve">. The next eight graphs look at how different subgroups are treated by each tool in turn. </w:t>
      </w:r>
      <w:r w:rsidR="005F0FBB" w:rsidRPr="00117DF2">
        <w:t>In each case</w:t>
      </w:r>
      <w:r w:rsidR="00D62908" w:rsidRPr="00117DF2">
        <w:t>,</w:t>
      </w:r>
      <w:r w:rsidR="005F0FBB" w:rsidRPr="00117DF2">
        <w:t xml:space="preserve"> the diagonal line separates those who have more points under the tool compared to the average of all tools</w:t>
      </w:r>
      <w:r w:rsidR="00C65374" w:rsidRPr="00117DF2">
        <w:t>,</w:t>
      </w:r>
      <w:r w:rsidR="005F0FBB" w:rsidRPr="00117DF2">
        <w:t xml:space="preserve"> </w:t>
      </w:r>
      <w:r w:rsidR="001535C2" w:rsidRPr="00117DF2">
        <w:t>from</w:t>
      </w:r>
      <w:r w:rsidR="005F0FBB" w:rsidRPr="00117DF2">
        <w:t xml:space="preserve"> those who </w:t>
      </w:r>
      <w:r w:rsidR="00B44C5D" w:rsidRPr="00117DF2">
        <w:t xml:space="preserve">have </w:t>
      </w:r>
      <w:r w:rsidR="00FF1B5F" w:rsidRPr="00117DF2">
        <w:t>lower</w:t>
      </w:r>
      <w:r w:rsidR="00B44C5D" w:rsidRPr="00117DF2">
        <w:t xml:space="preserve"> </w:t>
      </w:r>
      <w:r w:rsidR="00AB6ADF" w:rsidRPr="00117DF2">
        <w:t>points</w:t>
      </w:r>
      <w:r w:rsidR="005F0FBB" w:rsidRPr="00117DF2">
        <w:t xml:space="preserve"> on this tool.</w:t>
      </w:r>
      <w:r w:rsidR="000F608B" w:rsidRPr="00117DF2">
        <w:t xml:space="preserve"> </w:t>
      </w:r>
    </w:p>
    <w:p w:rsidR="0042672A" w:rsidRPr="00117DF2" w:rsidRDefault="00FE7835" w:rsidP="0042672A">
      <w:r w:rsidRPr="00117DF2">
        <w:t xml:space="preserve">Disability type and service provision were chosen as these demonstrate </w:t>
      </w:r>
      <w:r w:rsidR="00A41DD2" w:rsidRPr="00117DF2">
        <w:t xml:space="preserve">statistically </w:t>
      </w:r>
      <w:r w:rsidRPr="00117DF2">
        <w:t>significant differences betwe</w:t>
      </w:r>
      <w:r w:rsidR="001516EB" w:rsidRPr="00117DF2">
        <w:t>en tools at the subgroup</w:t>
      </w:r>
      <w:r w:rsidR="00C047C2" w:rsidRPr="00117DF2">
        <w:t xml:space="preserve"> level. </w:t>
      </w:r>
      <w:r w:rsidR="001516EB" w:rsidRPr="00117DF2">
        <w:t>O</w:t>
      </w:r>
      <w:r w:rsidRPr="00117DF2">
        <w:t>ther breakdowns which were not statistically significant are shown in appendix 1</w:t>
      </w:r>
      <w:r w:rsidR="00B44C5D" w:rsidRPr="00117DF2">
        <w:t>.</w:t>
      </w:r>
      <w:r w:rsidR="001516EB" w:rsidRPr="00117DF2">
        <w:t xml:space="preserve"> </w:t>
      </w:r>
      <w:r w:rsidR="00D62908" w:rsidRPr="00117DF2">
        <w:t>However, due to the very small sample size,</w:t>
      </w:r>
      <w:r w:rsidR="00D62908" w:rsidRPr="00117DF2" w:rsidDel="00D62908">
        <w:t xml:space="preserve"> </w:t>
      </w:r>
      <w:r w:rsidR="001516EB" w:rsidRPr="00117DF2">
        <w:t>care must be exercised in deciding that these other breakdowns are not of interest</w:t>
      </w:r>
      <w:r w:rsidR="0015670A" w:rsidRPr="00117DF2">
        <w:t xml:space="preserve"> as a larger sample size may indicate significance</w:t>
      </w:r>
      <w:r w:rsidR="001516EB" w:rsidRPr="00117DF2">
        <w:t>.</w:t>
      </w:r>
    </w:p>
    <w:p w:rsidR="008761ED" w:rsidRPr="00117DF2" w:rsidRDefault="008761ED" w:rsidP="008761ED">
      <w:pPr>
        <w:pStyle w:val="Heading1"/>
        <w:rPr>
          <w:lang w:val="en-IE"/>
        </w:rPr>
      </w:pPr>
      <w:r w:rsidRPr="00117DF2">
        <w:rPr>
          <w:lang w:val="en-IE"/>
        </w:rPr>
        <w:t>Disability type</w:t>
      </w:r>
    </w:p>
    <w:p w:rsidR="001535C2" w:rsidRPr="00117DF2" w:rsidRDefault="00BC7480" w:rsidP="001535C2">
      <w:pPr>
        <w:pStyle w:val="TableTitle"/>
      </w:pPr>
      <w:r w:rsidRPr="00117DF2">
        <w:t>Graph 2</w:t>
      </w:r>
      <w:r w:rsidR="001535C2" w:rsidRPr="00117DF2">
        <w:t xml:space="preserve">: Comparison of </w:t>
      </w:r>
      <w:r w:rsidR="008478A0" w:rsidRPr="00117DF2">
        <w:t>FACE</w:t>
      </w:r>
      <w:r w:rsidR="001535C2" w:rsidRPr="00117DF2">
        <w:t xml:space="preserve"> with the average of all assessment tools by disability type</w:t>
      </w:r>
    </w:p>
    <w:p w:rsidR="001B7CCB" w:rsidRPr="00117DF2" w:rsidRDefault="00D6107B" w:rsidP="001B7CCB">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2" name="Picture 2" descr="Comparison of FACE with the average of all assessment tools of disability type"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15788A">
      <w:pPr>
        <w:pStyle w:val="TableNote"/>
      </w:pPr>
      <w:r w:rsidRPr="00117DF2">
        <w:t>Source: NDA</w:t>
      </w:r>
    </w:p>
    <w:p w:rsidR="0042672A" w:rsidRPr="00117DF2" w:rsidRDefault="008478A0" w:rsidP="00B0375F">
      <w:pPr>
        <w:rPr>
          <w:lang w:eastAsia="en-GB"/>
        </w:rPr>
      </w:pPr>
      <w:r w:rsidRPr="00117DF2">
        <w:rPr>
          <w:lang w:eastAsia="en-GB"/>
        </w:rPr>
        <w:t>FACE</w:t>
      </w:r>
      <w:r w:rsidR="005F0FBB" w:rsidRPr="00117DF2">
        <w:rPr>
          <w:lang w:eastAsia="en-GB"/>
        </w:rPr>
        <w:t xml:space="preserve"> gives slightly </w:t>
      </w:r>
      <w:r w:rsidR="00FF1B5F" w:rsidRPr="00117DF2">
        <w:rPr>
          <w:lang w:eastAsia="en-GB"/>
        </w:rPr>
        <w:t>higher</w:t>
      </w:r>
      <w:r w:rsidR="005F0FBB" w:rsidRPr="00117DF2">
        <w:rPr>
          <w:lang w:eastAsia="en-GB"/>
        </w:rPr>
        <w:t xml:space="preserve"> </w:t>
      </w:r>
      <w:r w:rsidR="00B44C5D" w:rsidRPr="00117DF2">
        <w:rPr>
          <w:lang w:eastAsia="en-GB"/>
        </w:rPr>
        <w:t>scores</w:t>
      </w:r>
      <w:r w:rsidR="005F0FBB" w:rsidRPr="00117DF2">
        <w:rPr>
          <w:lang w:eastAsia="en-GB"/>
        </w:rPr>
        <w:t xml:space="preserve"> to those who have a physical disability </w:t>
      </w:r>
      <w:r w:rsidR="00C01317" w:rsidRPr="00117DF2">
        <w:rPr>
          <w:lang w:eastAsia="en-GB"/>
        </w:rPr>
        <w:t xml:space="preserve">relative to other tools </w:t>
      </w:r>
      <w:r w:rsidR="00B44C5D" w:rsidRPr="00117DF2">
        <w:rPr>
          <w:lang w:eastAsia="en-GB"/>
        </w:rPr>
        <w:t xml:space="preserve">(graph </w:t>
      </w:r>
      <w:r w:rsidR="00BC7480" w:rsidRPr="00117DF2">
        <w:rPr>
          <w:lang w:eastAsia="en-GB"/>
        </w:rPr>
        <w:t>2</w:t>
      </w:r>
      <w:r w:rsidR="00B44C5D" w:rsidRPr="00117DF2">
        <w:rPr>
          <w:lang w:eastAsia="en-GB"/>
        </w:rPr>
        <w:t>)</w:t>
      </w:r>
      <w:r w:rsidR="00D62908" w:rsidRPr="00117DF2">
        <w:rPr>
          <w:lang w:eastAsia="en-GB"/>
        </w:rPr>
        <w:t>. W</w:t>
      </w:r>
      <w:r w:rsidR="005F0FBB" w:rsidRPr="00117DF2">
        <w:rPr>
          <w:lang w:eastAsia="en-GB"/>
        </w:rPr>
        <w:t xml:space="preserve">ith one exception all those with physical disabilities are on the right hand side </w:t>
      </w:r>
      <w:r w:rsidR="00455BD8" w:rsidRPr="00117DF2">
        <w:rPr>
          <w:lang w:eastAsia="en-GB"/>
        </w:rPr>
        <w:t xml:space="preserve">or very close to </w:t>
      </w:r>
      <w:r w:rsidR="005F0FBB" w:rsidRPr="00117DF2">
        <w:rPr>
          <w:lang w:eastAsia="en-GB"/>
        </w:rPr>
        <w:t xml:space="preserve">the </w:t>
      </w:r>
      <w:r w:rsidR="00C77096" w:rsidRPr="00117DF2">
        <w:rPr>
          <w:lang w:eastAsia="en-GB"/>
        </w:rPr>
        <w:t>diagonal</w:t>
      </w:r>
      <w:r w:rsidR="005F0FBB" w:rsidRPr="00117DF2">
        <w:rPr>
          <w:lang w:eastAsia="en-GB"/>
        </w:rPr>
        <w:t xml:space="preserve"> line indicating that they would </w:t>
      </w:r>
      <w:r w:rsidR="00B44C5D" w:rsidRPr="00117DF2">
        <w:rPr>
          <w:lang w:eastAsia="en-GB"/>
        </w:rPr>
        <w:t>have</w:t>
      </w:r>
      <w:r w:rsidR="005F0FBB" w:rsidRPr="00117DF2">
        <w:rPr>
          <w:lang w:eastAsia="en-GB"/>
        </w:rPr>
        <w:t xml:space="preserve"> slightly </w:t>
      </w:r>
      <w:r w:rsidR="00B44C5D" w:rsidRPr="00117DF2">
        <w:rPr>
          <w:lang w:eastAsia="en-GB"/>
        </w:rPr>
        <w:t xml:space="preserve">more points </w:t>
      </w:r>
      <w:r w:rsidR="005F0FBB" w:rsidRPr="00117DF2">
        <w:rPr>
          <w:lang w:eastAsia="en-GB"/>
        </w:rPr>
        <w:t xml:space="preserve">on the </w:t>
      </w:r>
      <w:r w:rsidRPr="00117DF2">
        <w:rPr>
          <w:lang w:eastAsia="en-GB"/>
        </w:rPr>
        <w:t>FACE</w:t>
      </w:r>
      <w:r w:rsidR="005F0FBB" w:rsidRPr="00117DF2">
        <w:rPr>
          <w:lang w:eastAsia="en-GB"/>
        </w:rPr>
        <w:t xml:space="preserve"> tool than on the other tools.</w:t>
      </w:r>
      <w:r w:rsidR="00C77096" w:rsidRPr="00117DF2">
        <w:rPr>
          <w:lang w:eastAsia="en-GB"/>
        </w:rPr>
        <w:t xml:space="preserve"> Those with a severe and profound disability at the very top of the distribution </w:t>
      </w:r>
      <w:r w:rsidR="00B44C5D" w:rsidRPr="00117DF2">
        <w:rPr>
          <w:lang w:eastAsia="en-GB"/>
        </w:rPr>
        <w:t xml:space="preserve">have the same points </w:t>
      </w:r>
      <w:r w:rsidR="00D673BD" w:rsidRPr="00117DF2">
        <w:rPr>
          <w:lang w:eastAsia="en-GB"/>
        </w:rPr>
        <w:t xml:space="preserve">on </w:t>
      </w:r>
      <w:r w:rsidR="00B44C5D" w:rsidRPr="00117DF2">
        <w:rPr>
          <w:lang w:eastAsia="en-GB"/>
        </w:rPr>
        <w:t xml:space="preserve">the </w:t>
      </w:r>
      <w:r w:rsidRPr="00117DF2">
        <w:rPr>
          <w:lang w:eastAsia="en-GB"/>
        </w:rPr>
        <w:t>FACE</w:t>
      </w:r>
      <w:r w:rsidR="00C77096" w:rsidRPr="00117DF2">
        <w:rPr>
          <w:lang w:eastAsia="en-GB"/>
        </w:rPr>
        <w:t xml:space="preserve"> </w:t>
      </w:r>
      <w:r w:rsidR="00B44C5D" w:rsidRPr="00117DF2">
        <w:rPr>
          <w:lang w:eastAsia="en-GB"/>
        </w:rPr>
        <w:t xml:space="preserve">tool </w:t>
      </w:r>
      <w:r w:rsidR="00D673BD" w:rsidRPr="00117DF2">
        <w:rPr>
          <w:lang w:eastAsia="en-GB"/>
        </w:rPr>
        <w:t>as the other tools</w:t>
      </w:r>
      <w:r w:rsidR="00C77096" w:rsidRPr="00117DF2">
        <w:rPr>
          <w:lang w:eastAsia="en-GB"/>
        </w:rPr>
        <w:t xml:space="preserve"> but </w:t>
      </w:r>
      <w:r w:rsidR="00C01317" w:rsidRPr="00117DF2">
        <w:rPr>
          <w:lang w:eastAsia="en-GB"/>
        </w:rPr>
        <w:t>relatively lower</w:t>
      </w:r>
      <w:r w:rsidR="00B44C5D" w:rsidRPr="00117DF2">
        <w:rPr>
          <w:lang w:eastAsia="en-GB"/>
        </w:rPr>
        <w:t xml:space="preserve"> scores</w:t>
      </w:r>
      <w:r w:rsidR="00C77096" w:rsidRPr="00117DF2">
        <w:rPr>
          <w:lang w:eastAsia="en-GB"/>
        </w:rPr>
        <w:t xml:space="preserve"> if they are not close to the top of the distribution. </w:t>
      </w:r>
      <w:r w:rsidR="00455BD8" w:rsidRPr="00117DF2">
        <w:rPr>
          <w:lang w:eastAsia="en-GB"/>
        </w:rPr>
        <w:t xml:space="preserve">People with sensory </w:t>
      </w:r>
      <w:r w:rsidR="00E46E5E" w:rsidRPr="00117DF2">
        <w:rPr>
          <w:lang w:eastAsia="en-GB"/>
        </w:rPr>
        <w:t>disabilities</w:t>
      </w:r>
      <w:r w:rsidR="00455BD8" w:rsidRPr="00117DF2">
        <w:rPr>
          <w:lang w:eastAsia="en-GB"/>
        </w:rPr>
        <w:t xml:space="preserve"> w</w:t>
      </w:r>
      <w:r w:rsidR="0015788A" w:rsidRPr="00117DF2">
        <w:rPr>
          <w:lang w:eastAsia="en-GB"/>
        </w:rPr>
        <w:t xml:space="preserve">ould lose a little under FACE. </w:t>
      </w:r>
      <w:r w:rsidR="00C77096" w:rsidRPr="00117DF2">
        <w:rPr>
          <w:lang w:eastAsia="en-GB"/>
        </w:rPr>
        <w:t>Apart from these pattern</w:t>
      </w:r>
      <w:r w:rsidR="00C27B1E" w:rsidRPr="00117DF2">
        <w:rPr>
          <w:lang w:eastAsia="en-GB"/>
        </w:rPr>
        <w:t>s</w:t>
      </w:r>
      <w:r w:rsidR="00C77096" w:rsidRPr="00117DF2">
        <w:rPr>
          <w:lang w:eastAsia="en-GB"/>
        </w:rPr>
        <w:t xml:space="preserve"> there are no other clear patterns as there are people with mild/moderate </w:t>
      </w:r>
      <w:r w:rsidR="00455BD8" w:rsidRPr="00117DF2">
        <w:rPr>
          <w:lang w:eastAsia="en-GB"/>
        </w:rPr>
        <w:t xml:space="preserve">and </w:t>
      </w:r>
      <w:r w:rsidR="00C77096" w:rsidRPr="00117DF2">
        <w:rPr>
          <w:lang w:eastAsia="en-GB"/>
        </w:rPr>
        <w:t xml:space="preserve">neurological disabilities on both sides of the diagonal line. </w:t>
      </w:r>
    </w:p>
    <w:p w:rsidR="001535C2" w:rsidRPr="00117DF2" w:rsidRDefault="001535C2" w:rsidP="001535C2">
      <w:pPr>
        <w:pStyle w:val="TableTitle"/>
      </w:pPr>
      <w:r w:rsidRPr="00117DF2">
        <w:t xml:space="preserve">Graph </w:t>
      </w:r>
      <w:r w:rsidR="00BC7480" w:rsidRPr="00117DF2">
        <w:t>3</w:t>
      </w:r>
      <w:r w:rsidRPr="00117DF2">
        <w:t>: Comparison of</w:t>
      </w:r>
      <w:r w:rsidR="000F608B" w:rsidRPr="00117DF2">
        <w:t xml:space="preserve"> interRAI</w:t>
      </w:r>
      <w:r w:rsidRPr="00117DF2">
        <w:t xml:space="preserve"> with the average of all assessment tools by disability type</w:t>
      </w:r>
    </w:p>
    <w:p w:rsidR="001C46A7" w:rsidRPr="00117DF2" w:rsidRDefault="00D6107B" w:rsidP="001C46A7">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3" name="Picture 3" descr="Comparison of interRAI with the average of all assessment tools by disability type" title="Grap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116289">
      <w:pPr>
        <w:pStyle w:val="TableNote"/>
        <w:rPr>
          <w:rFonts w:ascii="Times New Roman" w:hAnsi="Times New Roman"/>
          <w:sz w:val="24"/>
          <w:lang w:eastAsia="en-GB"/>
        </w:rPr>
      </w:pPr>
      <w:r w:rsidRPr="00117DF2">
        <w:t>Source: NDA</w:t>
      </w:r>
    </w:p>
    <w:p w:rsidR="00460532" w:rsidRPr="00117DF2" w:rsidRDefault="001961B9" w:rsidP="00DD1F78">
      <w:pPr>
        <w:rPr>
          <w:lang w:eastAsia="en-GB"/>
        </w:rPr>
      </w:pPr>
      <w:r w:rsidRPr="00117DF2">
        <w:rPr>
          <w:lang w:eastAsia="en-GB"/>
        </w:rPr>
        <w:t>Overall people with mild or moderate intellectual disabilities score similarly under</w:t>
      </w:r>
      <w:r w:rsidR="000F608B" w:rsidRPr="00117DF2">
        <w:rPr>
          <w:lang w:eastAsia="en-GB"/>
        </w:rPr>
        <w:t xml:space="preserve"> interRAI</w:t>
      </w:r>
      <w:r w:rsidRPr="00117DF2">
        <w:rPr>
          <w:lang w:eastAsia="en-GB"/>
        </w:rPr>
        <w:t xml:space="preserve"> compared to the other </w:t>
      </w:r>
      <w:r w:rsidR="00E46E5E" w:rsidRPr="00117DF2">
        <w:rPr>
          <w:lang w:eastAsia="en-GB"/>
        </w:rPr>
        <w:t>tools;</w:t>
      </w:r>
      <w:r w:rsidRPr="00117DF2">
        <w:rPr>
          <w:lang w:eastAsia="en-GB"/>
        </w:rPr>
        <w:t xml:space="preserve"> however people with few support needs generally score less on</w:t>
      </w:r>
      <w:r w:rsidR="000F608B" w:rsidRPr="00117DF2">
        <w:rPr>
          <w:lang w:eastAsia="en-GB"/>
        </w:rPr>
        <w:t xml:space="preserve"> interRAI</w:t>
      </w:r>
      <w:r w:rsidRPr="00117DF2">
        <w:rPr>
          <w:lang w:eastAsia="en-GB"/>
        </w:rPr>
        <w:t xml:space="preserve"> (graph 3). </w:t>
      </w:r>
      <w:r w:rsidR="00214E75" w:rsidRPr="00117DF2">
        <w:rPr>
          <w:lang w:eastAsia="en-GB"/>
        </w:rPr>
        <w:t>People with a</w:t>
      </w:r>
      <w:r w:rsidRPr="00117DF2">
        <w:rPr>
          <w:lang w:eastAsia="en-GB"/>
        </w:rPr>
        <w:t xml:space="preserve"> severe or profound intellectual disability,</w:t>
      </w:r>
      <w:r w:rsidR="00214E75" w:rsidRPr="00117DF2">
        <w:rPr>
          <w:lang w:eastAsia="en-GB"/>
        </w:rPr>
        <w:t xml:space="preserve"> sensory </w:t>
      </w:r>
      <w:r w:rsidRPr="00117DF2">
        <w:rPr>
          <w:lang w:eastAsia="en-GB"/>
        </w:rPr>
        <w:t xml:space="preserve">disability </w:t>
      </w:r>
      <w:r w:rsidR="00214E75" w:rsidRPr="00117DF2">
        <w:rPr>
          <w:lang w:eastAsia="en-GB"/>
        </w:rPr>
        <w:t xml:space="preserve">or neurological disability generally score </w:t>
      </w:r>
      <w:r w:rsidRPr="00117DF2">
        <w:rPr>
          <w:lang w:eastAsia="en-GB"/>
        </w:rPr>
        <w:t xml:space="preserve">similarly </w:t>
      </w:r>
      <w:r w:rsidR="00214E75" w:rsidRPr="00117DF2">
        <w:rPr>
          <w:lang w:eastAsia="en-GB"/>
        </w:rPr>
        <w:t>on the</w:t>
      </w:r>
      <w:r w:rsidR="000F608B" w:rsidRPr="00117DF2">
        <w:rPr>
          <w:lang w:eastAsia="en-GB"/>
        </w:rPr>
        <w:t xml:space="preserve"> interRAI</w:t>
      </w:r>
      <w:r w:rsidR="00DD1F78" w:rsidRPr="00117DF2">
        <w:rPr>
          <w:lang w:eastAsia="en-GB"/>
        </w:rPr>
        <w:t xml:space="preserve"> </w:t>
      </w:r>
      <w:r w:rsidR="00E46E5E" w:rsidRPr="00117DF2">
        <w:rPr>
          <w:lang w:eastAsia="en-GB"/>
        </w:rPr>
        <w:t>tool than</w:t>
      </w:r>
      <w:r w:rsidR="00214E75" w:rsidRPr="00117DF2">
        <w:rPr>
          <w:lang w:eastAsia="en-GB"/>
        </w:rPr>
        <w:t xml:space="preserve"> they do on the average of the tools. </w:t>
      </w:r>
    </w:p>
    <w:p w:rsidR="001535C2" w:rsidRPr="00117DF2" w:rsidRDefault="001535C2" w:rsidP="001535C2">
      <w:pPr>
        <w:pStyle w:val="TableTitle"/>
      </w:pPr>
      <w:r w:rsidRPr="00117DF2">
        <w:t xml:space="preserve">Graph </w:t>
      </w:r>
      <w:r w:rsidR="00BC7480" w:rsidRPr="00117DF2">
        <w:t>4</w:t>
      </w:r>
      <w:r w:rsidRPr="00117DF2">
        <w:t xml:space="preserve">: Comparison of </w:t>
      </w:r>
      <w:r w:rsidR="0015788A" w:rsidRPr="00117DF2">
        <w:t>RAS 5</w:t>
      </w:r>
      <w:r w:rsidRPr="00117DF2">
        <w:t xml:space="preserve"> with the average of all assessment tools by disability type</w:t>
      </w:r>
    </w:p>
    <w:p w:rsidR="00D46641" w:rsidRPr="00117DF2" w:rsidRDefault="00D6107B" w:rsidP="00D46641">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4" name="Picture 4" title="Grap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D279C2">
      <w:pPr>
        <w:pStyle w:val="TableNote"/>
      </w:pPr>
      <w:r w:rsidRPr="00117DF2">
        <w:t>Source: NDA</w:t>
      </w:r>
    </w:p>
    <w:p w:rsidR="009123CF" w:rsidRPr="00117DF2" w:rsidRDefault="0015788A" w:rsidP="009123CF">
      <w:pPr>
        <w:rPr>
          <w:lang w:eastAsia="en-GB"/>
        </w:rPr>
      </w:pPr>
      <w:r w:rsidRPr="00117DF2">
        <w:rPr>
          <w:lang w:eastAsia="en-GB"/>
        </w:rPr>
        <w:t>RAS 5 (grap</w:t>
      </w:r>
      <w:r w:rsidR="00B44C5D" w:rsidRPr="00117DF2">
        <w:rPr>
          <w:lang w:eastAsia="en-GB"/>
        </w:rPr>
        <w:t xml:space="preserve">h </w:t>
      </w:r>
      <w:r w:rsidR="00BC7480" w:rsidRPr="00117DF2">
        <w:rPr>
          <w:lang w:eastAsia="en-GB"/>
        </w:rPr>
        <w:t>4</w:t>
      </w:r>
      <w:r w:rsidRPr="00117DF2">
        <w:rPr>
          <w:lang w:eastAsia="en-GB"/>
        </w:rPr>
        <w:t>)</w:t>
      </w:r>
      <w:r w:rsidR="009123CF" w:rsidRPr="00117DF2">
        <w:rPr>
          <w:lang w:eastAsia="en-GB"/>
        </w:rPr>
        <w:t xml:space="preserve"> </w:t>
      </w:r>
      <w:r w:rsidR="004416C5" w:rsidRPr="00117DF2">
        <w:rPr>
          <w:lang w:eastAsia="en-GB"/>
        </w:rPr>
        <w:t xml:space="preserve">does not demonstrate any systematic pattern compared to the average of the four tools. There are people with </w:t>
      </w:r>
      <w:r w:rsidR="00C27B1E" w:rsidRPr="00117DF2">
        <w:rPr>
          <w:lang w:eastAsia="en-GB"/>
        </w:rPr>
        <w:t xml:space="preserve">each type of </w:t>
      </w:r>
      <w:r w:rsidR="004416C5" w:rsidRPr="00117DF2">
        <w:rPr>
          <w:lang w:eastAsia="en-GB"/>
        </w:rPr>
        <w:t>disabilities on both sides of the line.</w:t>
      </w:r>
      <w:r w:rsidR="00B44C5D" w:rsidRPr="00117DF2">
        <w:rPr>
          <w:lang w:eastAsia="en-GB"/>
        </w:rPr>
        <w:t xml:space="preserve"> This indicates that</w:t>
      </w:r>
      <w:r w:rsidR="000F608B" w:rsidRPr="00117DF2">
        <w:rPr>
          <w:lang w:eastAsia="en-GB"/>
        </w:rPr>
        <w:t xml:space="preserve"> </w:t>
      </w:r>
      <w:r w:rsidR="00B44C5D" w:rsidRPr="00117DF2">
        <w:rPr>
          <w:lang w:eastAsia="en-GB"/>
        </w:rPr>
        <w:t>scores all groups similarly to the average score of all tools.</w:t>
      </w:r>
    </w:p>
    <w:p w:rsidR="001535C2" w:rsidRPr="00117DF2" w:rsidRDefault="001535C2" w:rsidP="001535C2">
      <w:pPr>
        <w:pStyle w:val="TableTitle"/>
      </w:pPr>
      <w:r w:rsidRPr="00117DF2">
        <w:t xml:space="preserve">Graph </w:t>
      </w:r>
      <w:r w:rsidR="00BC7480" w:rsidRPr="00117DF2">
        <w:t>5</w:t>
      </w:r>
      <w:r w:rsidRPr="00117DF2">
        <w:t>: Comparison of SIS with the average of all assessment tools by disability type</w:t>
      </w:r>
    </w:p>
    <w:p w:rsidR="00B51910" w:rsidRPr="00117DF2" w:rsidRDefault="00D6107B" w:rsidP="00B51910">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5" name="Picture 5" descr="Comparison of SIS with the average of all assessment tools by disability type" title="Grap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D279C2">
      <w:pPr>
        <w:pStyle w:val="TableNote"/>
      </w:pPr>
      <w:r w:rsidRPr="00117DF2">
        <w:t>Source: NDA</w:t>
      </w:r>
    </w:p>
    <w:p w:rsidR="00465009" w:rsidRPr="00117DF2" w:rsidRDefault="00DA3E6F" w:rsidP="00DA3E6F">
      <w:pPr>
        <w:rPr>
          <w:lang w:eastAsia="en-GB"/>
        </w:rPr>
      </w:pPr>
      <w:r w:rsidRPr="00117DF2">
        <w:rPr>
          <w:lang w:eastAsia="en-GB"/>
        </w:rPr>
        <w:t xml:space="preserve">SIS compared to the other tools </w:t>
      </w:r>
      <w:r w:rsidR="00B6121F" w:rsidRPr="00117DF2">
        <w:rPr>
          <w:lang w:eastAsia="en-GB"/>
        </w:rPr>
        <w:t xml:space="preserve">provides lower relative </w:t>
      </w:r>
      <w:r w:rsidRPr="00117DF2">
        <w:rPr>
          <w:lang w:eastAsia="en-GB"/>
        </w:rPr>
        <w:t xml:space="preserve">scores </w:t>
      </w:r>
      <w:r w:rsidR="00B6121F" w:rsidRPr="00117DF2">
        <w:rPr>
          <w:lang w:eastAsia="en-GB"/>
        </w:rPr>
        <w:t xml:space="preserve">for </w:t>
      </w:r>
      <w:r w:rsidRPr="00117DF2">
        <w:rPr>
          <w:lang w:eastAsia="en-GB"/>
        </w:rPr>
        <w:t xml:space="preserve">people with physical </w:t>
      </w:r>
      <w:r w:rsidR="001C5B6E" w:rsidRPr="00117DF2">
        <w:rPr>
          <w:lang w:eastAsia="en-GB"/>
        </w:rPr>
        <w:t>disabilities and</w:t>
      </w:r>
      <w:r w:rsidR="00E23C94" w:rsidRPr="00117DF2">
        <w:rPr>
          <w:lang w:eastAsia="en-GB"/>
        </w:rPr>
        <w:t xml:space="preserve"> </w:t>
      </w:r>
      <w:r w:rsidR="00007FDB" w:rsidRPr="00117DF2">
        <w:rPr>
          <w:lang w:eastAsia="en-GB"/>
        </w:rPr>
        <w:t>over scores people with neurological disabilities</w:t>
      </w:r>
      <w:r w:rsidR="00465009" w:rsidRPr="00117DF2">
        <w:rPr>
          <w:lang w:eastAsia="en-GB"/>
        </w:rPr>
        <w:t xml:space="preserve"> and intellectual disabilities</w:t>
      </w:r>
      <w:r w:rsidR="00007FDB" w:rsidRPr="00117DF2">
        <w:rPr>
          <w:lang w:eastAsia="en-GB"/>
        </w:rPr>
        <w:t xml:space="preserve">. </w:t>
      </w:r>
    </w:p>
    <w:p w:rsidR="00C27B1E" w:rsidRPr="00117DF2" w:rsidRDefault="00C27B1E" w:rsidP="00DA3E6F">
      <w:pPr>
        <w:rPr>
          <w:lang w:eastAsia="en-GB"/>
        </w:rPr>
      </w:pPr>
      <w:r w:rsidRPr="00117DF2">
        <w:rPr>
          <w:lang w:eastAsia="en-GB"/>
        </w:rPr>
        <w:t>The next table (</w:t>
      </w:r>
      <w:r w:rsidR="00BF3FB8" w:rsidRPr="00117DF2">
        <w:rPr>
          <w:lang w:eastAsia="en-GB"/>
        </w:rPr>
        <w:t>table 6)</w:t>
      </w:r>
      <w:r w:rsidRPr="00117DF2">
        <w:rPr>
          <w:lang w:eastAsia="en-GB"/>
        </w:rPr>
        <w:t xml:space="preserve"> compares the average score on each tool broken down by disability type. This allows a comparison </w:t>
      </w:r>
      <w:r w:rsidR="008761ED" w:rsidRPr="00117DF2">
        <w:rPr>
          <w:lang w:eastAsia="en-GB"/>
        </w:rPr>
        <w:t>of how the different disability groups compare under each tool.</w:t>
      </w:r>
    </w:p>
    <w:p w:rsidR="00C65374" w:rsidRPr="00117DF2" w:rsidRDefault="00C65374" w:rsidP="00C65374">
      <w:pPr>
        <w:pStyle w:val="TableTitle"/>
      </w:pPr>
      <w:r w:rsidRPr="00117DF2">
        <w:t xml:space="preserve">Table </w:t>
      </w:r>
      <w:r w:rsidR="00BF3FB8" w:rsidRPr="00117DF2">
        <w:t>6</w:t>
      </w:r>
      <w:r w:rsidRPr="00117DF2">
        <w:t>: Comparison of means of all assessment tools by disability type</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376"/>
        <w:gridCol w:w="978"/>
        <w:gridCol w:w="978"/>
        <w:gridCol w:w="883"/>
        <w:gridCol w:w="717"/>
        <w:gridCol w:w="1131"/>
        <w:gridCol w:w="1748"/>
      </w:tblGrid>
      <w:tr w:rsidR="00674597" w:rsidRPr="00117DF2" w:rsidTr="00674597">
        <w:tblPrEx>
          <w:tblCellMar>
            <w:top w:w="0" w:type="dxa"/>
            <w:bottom w:w="0" w:type="dxa"/>
          </w:tblCellMar>
        </w:tblPrEx>
        <w:trPr>
          <w:cantSplit/>
        </w:trPr>
        <w:tc>
          <w:tcPr>
            <w:tcW w:w="1348" w:type="pct"/>
            <w:shd w:val="clear" w:color="auto" w:fill="FFFFFF"/>
            <w:vAlign w:val="center"/>
          </w:tcPr>
          <w:p w:rsidR="00674597" w:rsidRPr="00117DF2" w:rsidRDefault="00674597" w:rsidP="008761ED">
            <w:pPr>
              <w:pStyle w:val="TableRowHead"/>
              <w:rPr>
                <w:lang w:eastAsia="en-GB"/>
              </w:rPr>
            </w:pPr>
          </w:p>
        </w:tc>
        <w:tc>
          <w:tcPr>
            <w:tcW w:w="555" w:type="pct"/>
            <w:shd w:val="clear" w:color="auto" w:fill="FFFFFF"/>
          </w:tcPr>
          <w:p w:rsidR="00674597" w:rsidRPr="00117DF2" w:rsidRDefault="00674597" w:rsidP="00674597">
            <w:pPr>
              <w:pStyle w:val="TableHead"/>
              <w:jc w:val="right"/>
              <w:rPr>
                <w:lang w:eastAsia="en-GB"/>
              </w:rPr>
            </w:pPr>
            <w:r w:rsidRPr="00117DF2">
              <w:rPr>
                <w:lang w:eastAsia="en-GB"/>
              </w:rPr>
              <w:t>Nos.</w:t>
            </w:r>
          </w:p>
        </w:tc>
        <w:tc>
          <w:tcPr>
            <w:tcW w:w="555" w:type="pct"/>
            <w:shd w:val="clear" w:color="auto" w:fill="FFFFFF"/>
          </w:tcPr>
          <w:p w:rsidR="00674597" w:rsidRPr="00117DF2" w:rsidRDefault="00674597" w:rsidP="00674597">
            <w:pPr>
              <w:pStyle w:val="TableHead"/>
              <w:jc w:val="right"/>
              <w:rPr>
                <w:lang w:eastAsia="en-GB"/>
              </w:rPr>
            </w:pPr>
            <w:r w:rsidRPr="00117DF2">
              <w:rPr>
                <w:lang w:eastAsia="en-GB"/>
              </w:rPr>
              <w:t xml:space="preserve">FACE </w:t>
            </w:r>
          </w:p>
        </w:tc>
        <w:tc>
          <w:tcPr>
            <w:tcW w:w="501" w:type="pct"/>
            <w:shd w:val="clear" w:color="auto" w:fill="FFFFFF"/>
          </w:tcPr>
          <w:p w:rsidR="00674597" w:rsidRPr="00117DF2" w:rsidRDefault="00674597" w:rsidP="00674597">
            <w:pPr>
              <w:pStyle w:val="TableHead"/>
              <w:jc w:val="right"/>
              <w:rPr>
                <w:lang w:eastAsia="en-GB"/>
              </w:rPr>
            </w:pPr>
            <w:r w:rsidRPr="00117DF2">
              <w:rPr>
                <w:lang w:eastAsia="en-GB"/>
              </w:rPr>
              <w:t>RAS</w:t>
            </w:r>
          </w:p>
        </w:tc>
        <w:tc>
          <w:tcPr>
            <w:tcW w:w="407" w:type="pct"/>
            <w:shd w:val="clear" w:color="auto" w:fill="FFFFFF"/>
          </w:tcPr>
          <w:p w:rsidR="00674597" w:rsidRPr="00117DF2" w:rsidRDefault="00674597" w:rsidP="00674597">
            <w:pPr>
              <w:pStyle w:val="TableHead"/>
              <w:jc w:val="right"/>
              <w:rPr>
                <w:lang w:eastAsia="en-GB"/>
              </w:rPr>
            </w:pPr>
            <w:r w:rsidRPr="00117DF2">
              <w:rPr>
                <w:lang w:eastAsia="en-GB"/>
              </w:rPr>
              <w:t>SIS</w:t>
            </w:r>
          </w:p>
        </w:tc>
        <w:tc>
          <w:tcPr>
            <w:tcW w:w="642" w:type="pct"/>
            <w:shd w:val="clear" w:color="auto" w:fill="FFFFFF"/>
          </w:tcPr>
          <w:p w:rsidR="00674597" w:rsidRPr="00117DF2" w:rsidRDefault="000F608B" w:rsidP="00674597">
            <w:pPr>
              <w:pStyle w:val="TableHead"/>
              <w:jc w:val="right"/>
              <w:rPr>
                <w:lang w:eastAsia="en-GB"/>
              </w:rPr>
            </w:pPr>
            <w:r w:rsidRPr="00117DF2">
              <w:rPr>
                <w:lang w:eastAsia="en-GB"/>
              </w:rPr>
              <w:t xml:space="preserve"> interRAI</w:t>
            </w:r>
          </w:p>
        </w:tc>
        <w:tc>
          <w:tcPr>
            <w:tcW w:w="992" w:type="pct"/>
            <w:shd w:val="clear" w:color="auto" w:fill="FFFFFF"/>
          </w:tcPr>
          <w:p w:rsidR="00674597" w:rsidRPr="00117DF2" w:rsidRDefault="00674597" w:rsidP="00674597">
            <w:pPr>
              <w:pStyle w:val="TableHead"/>
              <w:jc w:val="right"/>
              <w:rPr>
                <w:lang w:eastAsia="en-GB"/>
              </w:rPr>
            </w:pPr>
            <w:r w:rsidRPr="00117DF2">
              <w:rPr>
                <w:lang w:eastAsia="en-GB"/>
              </w:rPr>
              <w:t xml:space="preserve">Average of </w:t>
            </w:r>
          </w:p>
          <w:p w:rsidR="00674597" w:rsidRPr="00117DF2" w:rsidRDefault="00674597" w:rsidP="00674597">
            <w:pPr>
              <w:pStyle w:val="TableHead"/>
              <w:jc w:val="right"/>
              <w:rPr>
                <w:lang w:eastAsia="en-GB"/>
              </w:rPr>
            </w:pPr>
            <w:r w:rsidRPr="00117DF2">
              <w:rPr>
                <w:lang w:eastAsia="en-GB"/>
              </w:rPr>
              <w:t>four tools</w:t>
            </w:r>
          </w:p>
        </w:tc>
      </w:tr>
      <w:tr w:rsidR="00795C75" w:rsidRPr="00117DF2" w:rsidTr="00C67AAE">
        <w:tblPrEx>
          <w:tblCellMar>
            <w:top w:w="0" w:type="dxa"/>
            <w:bottom w:w="0" w:type="dxa"/>
          </w:tblCellMar>
        </w:tblPrEx>
        <w:trPr>
          <w:cantSplit/>
        </w:trPr>
        <w:tc>
          <w:tcPr>
            <w:tcW w:w="1348" w:type="pct"/>
            <w:shd w:val="clear" w:color="auto" w:fill="FFFFFF"/>
            <w:vAlign w:val="center"/>
          </w:tcPr>
          <w:p w:rsidR="00795C75" w:rsidRPr="00117DF2" w:rsidRDefault="00795C75" w:rsidP="00823B96">
            <w:pPr>
              <w:pStyle w:val="TableRowHead"/>
              <w:rPr>
                <w:rFonts w:ascii="Gill Sans" w:hAnsi="Gill Sans"/>
                <w:sz w:val="22"/>
                <w:lang w:eastAsia="en-GB"/>
              </w:rPr>
            </w:pPr>
            <w:r w:rsidRPr="00117DF2">
              <w:rPr>
                <w:rFonts w:ascii="Gill Sans" w:hAnsi="Gill Sans"/>
                <w:sz w:val="22"/>
                <w:lang w:eastAsia="en-GB"/>
              </w:rPr>
              <w:t>Mild/ Moderate ID</w:t>
            </w:r>
          </w:p>
        </w:tc>
        <w:tc>
          <w:tcPr>
            <w:tcW w:w="555" w:type="pct"/>
            <w:shd w:val="clear" w:color="auto" w:fill="FFFFFF"/>
            <w:tcMar>
              <w:top w:w="28" w:type="dxa"/>
              <w:left w:w="28" w:type="dxa"/>
              <w:bottom w:w="28" w:type="dxa"/>
              <w:right w:w="28" w:type="dxa"/>
            </w:tcMar>
          </w:tcPr>
          <w:p w:rsidR="00795C75" w:rsidRPr="00117DF2" w:rsidRDefault="00795C75" w:rsidP="00823B96">
            <w:pPr>
              <w:pStyle w:val="TableCell"/>
              <w:rPr>
                <w:sz w:val="22"/>
                <w:szCs w:val="22"/>
              </w:rPr>
            </w:pPr>
            <w:r w:rsidRPr="00117DF2">
              <w:rPr>
                <w:sz w:val="22"/>
                <w:szCs w:val="22"/>
              </w:rPr>
              <w:t>9</w:t>
            </w:r>
          </w:p>
        </w:tc>
        <w:tc>
          <w:tcPr>
            <w:tcW w:w="555"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38.7</w:t>
            </w:r>
          </w:p>
        </w:tc>
        <w:tc>
          <w:tcPr>
            <w:tcW w:w="501"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41.1</w:t>
            </w:r>
          </w:p>
        </w:tc>
        <w:tc>
          <w:tcPr>
            <w:tcW w:w="407" w:type="pct"/>
            <w:shd w:val="clear" w:color="auto" w:fill="FFFFFF"/>
            <w:tcMar>
              <w:top w:w="28" w:type="dxa"/>
              <w:left w:w="28" w:type="dxa"/>
              <w:bottom w:w="28" w:type="dxa"/>
              <w:right w:w="28" w:type="dxa"/>
            </w:tcMar>
          </w:tcPr>
          <w:p w:rsidR="00795C75" w:rsidRPr="00117DF2" w:rsidRDefault="000473CD" w:rsidP="00795C75">
            <w:pPr>
              <w:pStyle w:val="TableCell"/>
              <w:rPr>
                <w:sz w:val="22"/>
                <w:szCs w:val="22"/>
              </w:rPr>
            </w:pPr>
            <w:r w:rsidRPr="00117DF2">
              <w:rPr>
                <w:sz w:val="22"/>
                <w:szCs w:val="22"/>
              </w:rPr>
              <w:t>48.6</w:t>
            </w:r>
          </w:p>
        </w:tc>
        <w:tc>
          <w:tcPr>
            <w:tcW w:w="642" w:type="pct"/>
            <w:shd w:val="clear" w:color="auto" w:fill="FFFFFF"/>
            <w:tcMar>
              <w:top w:w="28" w:type="dxa"/>
              <w:left w:w="28" w:type="dxa"/>
              <w:bottom w:w="28" w:type="dxa"/>
              <w:right w:w="28" w:type="dxa"/>
            </w:tcMar>
          </w:tcPr>
          <w:p w:rsidR="00B51910" w:rsidRPr="00117DF2" w:rsidRDefault="00B51910" w:rsidP="00B51910">
            <w:pPr>
              <w:pStyle w:val="TableCell"/>
              <w:rPr>
                <w:sz w:val="22"/>
                <w:szCs w:val="22"/>
              </w:rPr>
            </w:pPr>
            <w:r w:rsidRPr="00117DF2">
              <w:rPr>
                <w:sz w:val="22"/>
                <w:szCs w:val="22"/>
              </w:rPr>
              <w:t>45.0</w:t>
            </w:r>
          </w:p>
        </w:tc>
        <w:tc>
          <w:tcPr>
            <w:tcW w:w="99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43.3</w:t>
            </w:r>
          </w:p>
        </w:tc>
      </w:tr>
      <w:tr w:rsidR="00795C75" w:rsidRPr="00117DF2" w:rsidTr="00C67AAE">
        <w:tblPrEx>
          <w:tblCellMar>
            <w:top w:w="0" w:type="dxa"/>
            <w:bottom w:w="0" w:type="dxa"/>
          </w:tblCellMar>
        </w:tblPrEx>
        <w:trPr>
          <w:cantSplit/>
        </w:trPr>
        <w:tc>
          <w:tcPr>
            <w:tcW w:w="1348" w:type="pct"/>
            <w:shd w:val="clear" w:color="auto" w:fill="FFFFFF"/>
            <w:vAlign w:val="center"/>
          </w:tcPr>
          <w:p w:rsidR="00795C75" w:rsidRPr="00117DF2" w:rsidRDefault="00795C75" w:rsidP="00823B96">
            <w:pPr>
              <w:pStyle w:val="TableRowHead"/>
              <w:rPr>
                <w:rFonts w:ascii="Gill Sans" w:hAnsi="Gill Sans"/>
                <w:sz w:val="22"/>
                <w:lang w:eastAsia="en-GB"/>
              </w:rPr>
            </w:pPr>
            <w:r w:rsidRPr="00117DF2">
              <w:rPr>
                <w:rFonts w:ascii="Gill Sans" w:hAnsi="Gill Sans"/>
                <w:sz w:val="22"/>
                <w:lang w:eastAsia="en-GB"/>
              </w:rPr>
              <w:t>Severe/ Profound ID</w:t>
            </w:r>
          </w:p>
        </w:tc>
        <w:tc>
          <w:tcPr>
            <w:tcW w:w="555" w:type="pct"/>
            <w:shd w:val="clear" w:color="auto" w:fill="FFFFFF"/>
            <w:tcMar>
              <w:top w:w="28" w:type="dxa"/>
              <w:left w:w="28" w:type="dxa"/>
              <w:bottom w:w="28" w:type="dxa"/>
              <w:right w:w="28" w:type="dxa"/>
            </w:tcMar>
          </w:tcPr>
          <w:p w:rsidR="00795C75" w:rsidRPr="00117DF2" w:rsidRDefault="00795C75" w:rsidP="00823B96">
            <w:pPr>
              <w:pStyle w:val="TableCell"/>
              <w:rPr>
                <w:sz w:val="22"/>
                <w:szCs w:val="22"/>
              </w:rPr>
            </w:pPr>
            <w:r w:rsidRPr="00117DF2">
              <w:rPr>
                <w:sz w:val="22"/>
                <w:szCs w:val="22"/>
              </w:rPr>
              <w:t>8</w:t>
            </w:r>
          </w:p>
        </w:tc>
        <w:tc>
          <w:tcPr>
            <w:tcW w:w="555"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78.1</w:t>
            </w:r>
          </w:p>
        </w:tc>
        <w:tc>
          <w:tcPr>
            <w:tcW w:w="501"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84.1</w:t>
            </w:r>
          </w:p>
        </w:tc>
        <w:tc>
          <w:tcPr>
            <w:tcW w:w="407" w:type="pct"/>
            <w:shd w:val="clear" w:color="auto" w:fill="FFFFFF"/>
            <w:tcMar>
              <w:top w:w="28" w:type="dxa"/>
              <w:left w:w="28" w:type="dxa"/>
              <w:bottom w:w="28" w:type="dxa"/>
              <w:right w:w="28" w:type="dxa"/>
            </w:tcMar>
          </w:tcPr>
          <w:p w:rsidR="00795C75" w:rsidRPr="00117DF2" w:rsidRDefault="000473CD" w:rsidP="000473CD">
            <w:pPr>
              <w:pStyle w:val="TableCell"/>
              <w:rPr>
                <w:sz w:val="22"/>
                <w:szCs w:val="22"/>
              </w:rPr>
            </w:pPr>
            <w:r w:rsidRPr="00117DF2">
              <w:rPr>
                <w:sz w:val="22"/>
                <w:szCs w:val="22"/>
              </w:rPr>
              <w:t>8</w:t>
            </w:r>
            <w:r w:rsidR="00795C75" w:rsidRPr="00117DF2">
              <w:rPr>
                <w:sz w:val="22"/>
                <w:szCs w:val="22"/>
              </w:rPr>
              <w:t>6.</w:t>
            </w:r>
            <w:r w:rsidRPr="00117DF2">
              <w:rPr>
                <w:sz w:val="22"/>
                <w:szCs w:val="22"/>
              </w:rPr>
              <w:t>5</w:t>
            </w:r>
          </w:p>
        </w:tc>
        <w:tc>
          <w:tcPr>
            <w:tcW w:w="64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80.5</w:t>
            </w:r>
          </w:p>
        </w:tc>
        <w:tc>
          <w:tcPr>
            <w:tcW w:w="99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82.3</w:t>
            </w:r>
          </w:p>
        </w:tc>
      </w:tr>
      <w:tr w:rsidR="00795C75" w:rsidRPr="00117DF2" w:rsidTr="00C67AAE">
        <w:tblPrEx>
          <w:tblCellMar>
            <w:top w:w="0" w:type="dxa"/>
            <w:bottom w:w="0" w:type="dxa"/>
          </w:tblCellMar>
        </w:tblPrEx>
        <w:trPr>
          <w:cantSplit/>
        </w:trPr>
        <w:tc>
          <w:tcPr>
            <w:tcW w:w="1348" w:type="pct"/>
            <w:shd w:val="clear" w:color="auto" w:fill="FFFFFF"/>
            <w:vAlign w:val="center"/>
          </w:tcPr>
          <w:p w:rsidR="00795C75" w:rsidRPr="00117DF2" w:rsidRDefault="00795C75" w:rsidP="00823B96">
            <w:pPr>
              <w:pStyle w:val="TableRowHead"/>
              <w:rPr>
                <w:rFonts w:ascii="Gill Sans" w:hAnsi="Gill Sans"/>
                <w:sz w:val="22"/>
                <w:lang w:eastAsia="en-GB"/>
              </w:rPr>
            </w:pPr>
            <w:r w:rsidRPr="00117DF2">
              <w:rPr>
                <w:rFonts w:ascii="Gill Sans" w:hAnsi="Gill Sans"/>
                <w:sz w:val="22"/>
                <w:lang w:eastAsia="en-GB"/>
              </w:rPr>
              <w:t>Neurological</w:t>
            </w:r>
          </w:p>
        </w:tc>
        <w:tc>
          <w:tcPr>
            <w:tcW w:w="555" w:type="pct"/>
            <w:shd w:val="clear" w:color="auto" w:fill="FFFFFF"/>
            <w:tcMar>
              <w:top w:w="28" w:type="dxa"/>
              <w:left w:w="28" w:type="dxa"/>
              <w:bottom w:w="28" w:type="dxa"/>
              <w:right w:w="28" w:type="dxa"/>
            </w:tcMar>
          </w:tcPr>
          <w:p w:rsidR="00795C75" w:rsidRPr="00117DF2" w:rsidRDefault="00795C75" w:rsidP="00823B96">
            <w:pPr>
              <w:pStyle w:val="TableCell"/>
              <w:rPr>
                <w:sz w:val="22"/>
                <w:szCs w:val="22"/>
              </w:rPr>
            </w:pPr>
            <w:r w:rsidRPr="00117DF2">
              <w:rPr>
                <w:sz w:val="22"/>
                <w:szCs w:val="22"/>
              </w:rPr>
              <w:t>6</w:t>
            </w:r>
          </w:p>
        </w:tc>
        <w:tc>
          <w:tcPr>
            <w:tcW w:w="555"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35.2</w:t>
            </w:r>
          </w:p>
        </w:tc>
        <w:tc>
          <w:tcPr>
            <w:tcW w:w="501"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26.8</w:t>
            </w:r>
          </w:p>
        </w:tc>
        <w:tc>
          <w:tcPr>
            <w:tcW w:w="407" w:type="pct"/>
            <w:shd w:val="clear" w:color="auto" w:fill="FFFFFF"/>
            <w:tcMar>
              <w:top w:w="28" w:type="dxa"/>
              <w:left w:w="28" w:type="dxa"/>
              <w:bottom w:w="28" w:type="dxa"/>
              <w:right w:w="28" w:type="dxa"/>
            </w:tcMar>
          </w:tcPr>
          <w:p w:rsidR="00795C75" w:rsidRPr="00117DF2" w:rsidRDefault="000473CD" w:rsidP="00795C75">
            <w:pPr>
              <w:pStyle w:val="TableCell"/>
              <w:rPr>
                <w:sz w:val="22"/>
                <w:szCs w:val="22"/>
              </w:rPr>
            </w:pPr>
            <w:r w:rsidRPr="00117DF2">
              <w:rPr>
                <w:sz w:val="22"/>
                <w:szCs w:val="22"/>
              </w:rPr>
              <w:t>44.3</w:t>
            </w:r>
          </w:p>
        </w:tc>
        <w:tc>
          <w:tcPr>
            <w:tcW w:w="64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26.5</w:t>
            </w:r>
          </w:p>
        </w:tc>
        <w:tc>
          <w:tcPr>
            <w:tcW w:w="99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33.2</w:t>
            </w:r>
          </w:p>
        </w:tc>
      </w:tr>
      <w:tr w:rsidR="00795C75" w:rsidRPr="00117DF2" w:rsidTr="00C67AAE">
        <w:tblPrEx>
          <w:tblCellMar>
            <w:top w:w="0" w:type="dxa"/>
            <w:bottom w:w="0" w:type="dxa"/>
          </w:tblCellMar>
        </w:tblPrEx>
        <w:trPr>
          <w:cantSplit/>
        </w:trPr>
        <w:tc>
          <w:tcPr>
            <w:tcW w:w="1348" w:type="pct"/>
            <w:shd w:val="clear" w:color="auto" w:fill="FFFFFF"/>
            <w:vAlign w:val="center"/>
          </w:tcPr>
          <w:p w:rsidR="00795C75" w:rsidRPr="00117DF2" w:rsidRDefault="00795C75" w:rsidP="00823B96">
            <w:pPr>
              <w:pStyle w:val="TableRowHead"/>
              <w:rPr>
                <w:rFonts w:ascii="Gill Sans" w:hAnsi="Gill Sans"/>
                <w:sz w:val="22"/>
                <w:lang w:eastAsia="en-GB"/>
              </w:rPr>
            </w:pPr>
            <w:r w:rsidRPr="00117DF2">
              <w:rPr>
                <w:rFonts w:ascii="Gill Sans" w:hAnsi="Gill Sans"/>
                <w:sz w:val="22"/>
                <w:lang w:eastAsia="en-GB"/>
              </w:rPr>
              <w:t xml:space="preserve">Physical </w:t>
            </w:r>
          </w:p>
        </w:tc>
        <w:tc>
          <w:tcPr>
            <w:tcW w:w="555" w:type="pct"/>
            <w:shd w:val="clear" w:color="auto" w:fill="FFFFFF"/>
            <w:tcMar>
              <w:top w:w="28" w:type="dxa"/>
              <w:left w:w="28" w:type="dxa"/>
              <w:bottom w:w="28" w:type="dxa"/>
              <w:right w:w="28" w:type="dxa"/>
            </w:tcMar>
          </w:tcPr>
          <w:p w:rsidR="00795C75" w:rsidRPr="00117DF2" w:rsidRDefault="00795C75" w:rsidP="00823B96">
            <w:pPr>
              <w:pStyle w:val="TableCell"/>
              <w:rPr>
                <w:sz w:val="22"/>
                <w:szCs w:val="22"/>
              </w:rPr>
            </w:pPr>
            <w:r w:rsidRPr="00117DF2">
              <w:rPr>
                <w:sz w:val="22"/>
                <w:szCs w:val="22"/>
              </w:rPr>
              <w:t>13</w:t>
            </w:r>
          </w:p>
        </w:tc>
        <w:tc>
          <w:tcPr>
            <w:tcW w:w="555"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58.2</w:t>
            </w:r>
          </w:p>
        </w:tc>
        <w:tc>
          <w:tcPr>
            <w:tcW w:w="501"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53.6</w:t>
            </w:r>
          </w:p>
        </w:tc>
        <w:tc>
          <w:tcPr>
            <w:tcW w:w="407" w:type="pct"/>
            <w:shd w:val="clear" w:color="auto" w:fill="FFFFFF"/>
            <w:tcMar>
              <w:top w:w="28" w:type="dxa"/>
              <w:left w:w="28" w:type="dxa"/>
              <w:bottom w:w="28" w:type="dxa"/>
              <w:right w:w="28" w:type="dxa"/>
            </w:tcMar>
          </w:tcPr>
          <w:p w:rsidR="00795C75" w:rsidRPr="00117DF2" w:rsidRDefault="000473CD" w:rsidP="00795C75">
            <w:pPr>
              <w:pStyle w:val="TableCell"/>
              <w:rPr>
                <w:sz w:val="22"/>
                <w:szCs w:val="22"/>
              </w:rPr>
            </w:pPr>
            <w:r w:rsidRPr="00117DF2">
              <w:rPr>
                <w:sz w:val="22"/>
                <w:szCs w:val="22"/>
              </w:rPr>
              <w:t>38.4</w:t>
            </w:r>
          </w:p>
        </w:tc>
        <w:tc>
          <w:tcPr>
            <w:tcW w:w="64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34.4</w:t>
            </w:r>
          </w:p>
        </w:tc>
        <w:tc>
          <w:tcPr>
            <w:tcW w:w="99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51.1</w:t>
            </w:r>
          </w:p>
        </w:tc>
      </w:tr>
      <w:tr w:rsidR="00795C75" w:rsidRPr="00117DF2" w:rsidTr="00C67AAE">
        <w:tblPrEx>
          <w:tblCellMar>
            <w:top w:w="0" w:type="dxa"/>
            <w:bottom w:w="0" w:type="dxa"/>
          </w:tblCellMar>
        </w:tblPrEx>
        <w:trPr>
          <w:cantSplit/>
        </w:trPr>
        <w:tc>
          <w:tcPr>
            <w:tcW w:w="1348" w:type="pct"/>
            <w:shd w:val="clear" w:color="auto" w:fill="FFFFFF"/>
            <w:vAlign w:val="center"/>
          </w:tcPr>
          <w:p w:rsidR="00795C75" w:rsidRPr="00117DF2" w:rsidRDefault="00795C75" w:rsidP="00823B96">
            <w:pPr>
              <w:pStyle w:val="TableRowHead"/>
              <w:rPr>
                <w:rFonts w:ascii="Gill Sans" w:hAnsi="Gill Sans"/>
                <w:sz w:val="22"/>
                <w:lang w:eastAsia="en-GB"/>
              </w:rPr>
            </w:pPr>
            <w:r w:rsidRPr="00117DF2">
              <w:rPr>
                <w:rFonts w:ascii="Gill Sans" w:hAnsi="Gill Sans"/>
                <w:sz w:val="22"/>
                <w:lang w:eastAsia="en-GB"/>
              </w:rPr>
              <w:t>Sensory</w:t>
            </w:r>
            <w:r w:rsidR="000F608B" w:rsidRPr="00117DF2">
              <w:rPr>
                <w:rFonts w:ascii="Gill Sans" w:hAnsi="Gill Sans"/>
                <w:sz w:val="22"/>
                <w:lang w:eastAsia="en-GB"/>
              </w:rPr>
              <w:t xml:space="preserve"> </w:t>
            </w:r>
          </w:p>
        </w:tc>
        <w:tc>
          <w:tcPr>
            <w:tcW w:w="555" w:type="pct"/>
            <w:shd w:val="clear" w:color="auto" w:fill="FFFFFF"/>
            <w:tcMar>
              <w:top w:w="28" w:type="dxa"/>
              <w:left w:w="28" w:type="dxa"/>
              <w:bottom w:w="28" w:type="dxa"/>
              <w:right w:w="28" w:type="dxa"/>
            </w:tcMar>
          </w:tcPr>
          <w:p w:rsidR="00795C75" w:rsidRPr="00117DF2" w:rsidRDefault="00795C75" w:rsidP="00823B96">
            <w:pPr>
              <w:pStyle w:val="TableCell"/>
              <w:rPr>
                <w:sz w:val="22"/>
                <w:szCs w:val="22"/>
              </w:rPr>
            </w:pPr>
            <w:r w:rsidRPr="00117DF2">
              <w:rPr>
                <w:sz w:val="22"/>
                <w:szCs w:val="22"/>
              </w:rPr>
              <w:t>4</w:t>
            </w:r>
          </w:p>
        </w:tc>
        <w:tc>
          <w:tcPr>
            <w:tcW w:w="555"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15.3</w:t>
            </w:r>
          </w:p>
        </w:tc>
        <w:tc>
          <w:tcPr>
            <w:tcW w:w="501"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24.3</w:t>
            </w:r>
          </w:p>
        </w:tc>
        <w:tc>
          <w:tcPr>
            <w:tcW w:w="407" w:type="pct"/>
            <w:shd w:val="clear" w:color="auto" w:fill="FFFFFF"/>
            <w:tcMar>
              <w:top w:w="28" w:type="dxa"/>
              <w:left w:w="28" w:type="dxa"/>
              <w:bottom w:w="28" w:type="dxa"/>
              <w:right w:w="28" w:type="dxa"/>
            </w:tcMar>
          </w:tcPr>
          <w:p w:rsidR="00795C75" w:rsidRPr="00117DF2" w:rsidRDefault="000473CD" w:rsidP="00795C75">
            <w:pPr>
              <w:pStyle w:val="TableCell"/>
              <w:rPr>
                <w:sz w:val="22"/>
                <w:szCs w:val="22"/>
              </w:rPr>
            </w:pPr>
            <w:r w:rsidRPr="00117DF2">
              <w:rPr>
                <w:sz w:val="22"/>
                <w:szCs w:val="22"/>
              </w:rPr>
              <w:t>26.8</w:t>
            </w:r>
          </w:p>
        </w:tc>
        <w:tc>
          <w:tcPr>
            <w:tcW w:w="64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22.5</w:t>
            </w:r>
          </w:p>
        </w:tc>
        <w:tc>
          <w:tcPr>
            <w:tcW w:w="99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22.2</w:t>
            </w:r>
          </w:p>
        </w:tc>
      </w:tr>
      <w:tr w:rsidR="00795C75" w:rsidRPr="00117DF2" w:rsidTr="00C67AAE">
        <w:tblPrEx>
          <w:tblCellMar>
            <w:top w:w="0" w:type="dxa"/>
            <w:bottom w:w="0" w:type="dxa"/>
          </w:tblCellMar>
        </w:tblPrEx>
        <w:trPr>
          <w:cantSplit/>
        </w:trPr>
        <w:tc>
          <w:tcPr>
            <w:tcW w:w="1348" w:type="pct"/>
            <w:shd w:val="clear" w:color="auto" w:fill="FFFFFF"/>
            <w:vAlign w:val="center"/>
          </w:tcPr>
          <w:p w:rsidR="00795C75" w:rsidRPr="00117DF2" w:rsidRDefault="00795C75" w:rsidP="00823B96">
            <w:pPr>
              <w:pStyle w:val="TableRowHead"/>
              <w:rPr>
                <w:rFonts w:ascii="Gill Sans" w:hAnsi="Gill Sans"/>
                <w:sz w:val="22"/>
                <w:lang w:eastAsia="en-GB"/>
              </w:rPr>
            </w:pPr>
            <w:r w:rsidRPr="00117DF2">
              <w:rPr>
                <w:rFonts w:ascii="Gill Sans" w:hAnsi="Gill Sans"/>
                <w:sz w:val="22"/>
                <w:lang w:eastAsia="en-GB"/>
              </w:rPr>
              <w:t xml:space="preserve">Total </w:t>
            </w:r>
          </w:p>
        </w:tc>
        <w:tc>
          <w:tcPr>
            <w:tcW w:w="555" w:type="pct"/>
            <w:shd w:val="clear" w:color="auto" w:fill="FFFFFF"/>
            <w:tcMar>
              <w:top w:w="28" w:type="dxa"/>
              <w:left w:w="28" w:type="dxa"/>
              <w:bottom w:w="28" w:type="dxa"/>
              <w:right w:w="28" w:type="dxa"/>
            </w:tcMar>
          </w:tcPr>
          <w:p w:rsidR="00795C75" w:rsidRPr="00117DF2" w:rsidRDefault="00795C75" w:rsidP="00823B96">
            <w:pPr>
              <w:pStyle w:val="TableCell"/>
              <w:rPr>
                <w:sz w:val="22"/>
                <w:szCs w:val="22"/>
              </w:rPr>
            </w:pPr>
            <w:r w:rsidRPr="00117DF2">
              <w:rPr>
                <w:sz w:val="22"/>
                <w:szCs w:val="22"/>
              </w:rPr>
              <w:t>40</w:t>
            </w:r>
          </w:p>
        </w:tc>
        <w:tc>
          <w:tcPr>
            <w:tcW w:w="555"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50.0</w:t>
            </w:r>
          </w:p>
        </w:tc>
        <w:tc>
          <w:tcPr>
            <w:tcW w:w="501" w:type="pct"/>
            <w:shd w:val="clear" w:color="auto" w:fill="FFFFFF"/>
            <w:tcMar>
              <w:top w:w="28" w:type="dxa"/>
              <w:left w:w="28" w:type="dxa"/>
              <w:bottom w:w="28" w:type="dxa"/>
              <w:right w:w="28" w:type="dxa"/>
            </w:tcMar>
            <w:vAlign w:val="bottom"/>
          </w:tcPr>
          <w:p w:rsidR="00795C75" w:rsidRPr="00117DF2" w:rsidRDefault="00795C75" w:rsidP="00823B96">
            <w:pPr>
              <w:pStyle w:val="TableCell"/>
              <w:rPr>
                <w:sz w:val="22"/>
                <w:szCs w:val="22"/>
              </w:rPr>
            </w:pPr>
            <w:r w:rsidRPr="00117DF2">
              <w:rPr>
                <w:sz w:val="22"/>
                <w:szCs w:val="22"/>
              </w:rPr>
              <w:t>50.0</w:t>
            </w:r>
          </w:p>
        </w:tc>
        <w:tc>
          <w:tcPr>
            <w:tcW w:w="407" w:type="pct"/>
            <w:shd w:val="clear" w:color="auto" w:fill="FFFFFF"/>
            <w:tcMar>
              <w:top w:w="28" w:type="dxa"/>
              <w:left w:w="28" w:type="dxa"/>
              <w:bottom w:w="28" w:type="dxa"/>
              <w:right w:w="28" w:type="dxa"/>
            </w:tcMar>
          </w:tcPr>
          <w:p w:rsidR="00795C75" w:rsidRPr="00117DF2" w:rsidRDefault="00795C75" w:rsidP="00795C75">
            <w:pPr>
              <w:pStyle w:val="TableCell"/>
              <w:rPr>
                <w:sz w:val="22"/>
                <w:szCs w:val="22"/>
              </w:rPr>
            </w:pPr>
            <w:r w:rsidRPr="00117DF2">
              <w:rPr>
                <w:sz w:val="22"/>
                <w:szCs w:val="22"/>
              </w:rPr>
              <w:t>50.0</w:t>
            </w:r>
          </w:p>
        </w:tc>
        <w:tc>
          <w:tcPr>
            <w:tcW w:w="64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50.1</w:t>
            </w:r>
          </w:p>
        </w:tc>
        <w:tc>
          <w:tcPr>
            <w:tcW w:w="992" w:type="pct"/>
            <w:shd w:val="clear" w:color="auto" w:fill="FFFFFF"/>
            <w:tcMar>
              <w:top w:w="28" w:type="dxa"/>
              <w:left w:w="28" w:type="dxa"/>
              <w:bottom w:w="28" w:type="dxa"/>
              <w:right w:w="28" w:type="dxa"/>
            </w:tcMar>
          </w:tcPr>
          <w:p w:rsidR="00795C75" w:rsidRPr="00117DF2" w:rsidRDefault="00B51910" w:rsidP="00795C75">
            <w:pPr>
              <w:pStyle w:val="TableCell"/>
              <w:rPr>
                <w:sz w:val="22"/>
                <w:szCs w:val="22"/>
              </w:rPr>
            </w:pPr>
            <w:r w:rsidRPr="00117DF2">
              <w:rPr>
                <w:sz w:val="22"/>
                <w:szCs w:val="22"/>
              </w:rPr>
              <w:t>50.0</w:t>
            </w:r>
          </w:p>
        </w:tc>
      </w:tr>
    </w:tbl>
    <w:p w:rsidR="00D279C2" w:rsidRPr="00117DF2" w:rsidRDefault="00D279C2" w:rsidP="00D279C2">
      <w:pPr>
        <w:pStyle w:val="TableNote"/>
      </w:pPr>
      <w:r w:rsidRPr="00117DF2">
        <w:t>Source: NDA</w:t>
      </w:r>
    </w:p>
    <w:p w:rsidR="000D45CC" w:rsidRPr="00117DF2" w:rsidRDefault="00C65374" w:rsidP="00DA3E6F">
      <w:pPr>
        <w:rPr>
          <w:lang w:eastAsia="en-GB"/>
        </w:rPr>
      </w:pPr>
      <w:r w:rsidRPr="00117DF2">
        <w:rPr>
          <w:lang w:eastAsia="en-GB"/>
        </w:rPr>
        <w:t>Some of the cell sizes are very small however it does seem that SIS,</w:t>
      </w:r>
      <w:r w:rsidR="00B12B52" w:rsidRPr="00117DF2">
        <w:rPr>
          <w:lang w:eastAsia="en-GB"/>
        </w:rPr>
        <w:t xml:space="preserve"> in comparison to other tools, s</w:t>
      </w:r>
      <w:r w:rsidRPr="00117DF2">
        <w:rPr>
          <w:lang w:eastAsia="en-GB"/>
        </w:rPr>
        <w:t>cores people with a physical disability</w:t>
      </w:r>
      <w:r w:rsidR="00B12B52" w:rsidRPr="00117DF2">
        <w:rPr>
          <w:lang w:eastAsia="en-GB"/>
        </w:rPr>
        <w:t xml:space="preserve"> relatively lower</w:t>
      </w:r>
      <w:r w:rsidR="00823B96" w:rsidRPr="00117DF2">
        <w:rPr>
          <w:lang w:eastAsia="en-GB"/>
        </w:rPr>
        <w:t>.</w:t>
      </w:r>
      <w:r w:rsidR="009354A5" w:rsidRPr="00117DF2">
        <w:rPr>
          <w:rStyle w:val="FootnoteReference"/>
          <w:lang w:eastAsia="en-GB"/>
        </w:rPr>
        <w:footnoteReference w:id="12"/>
      </w:r>
      <w:r w:rsidR="000F05EC" w:rsidRPr="00117DF2">
        <w:rPr>
          <w:lang w:eastAsia="en-GB"/>
        </w:rPr>
        <w:t xml:space="preserve"> An examination of the individual cases listed in appendix 2 highlights some of the reasons why individuals with physical disabilities, but without an intellectual disability</w:t>
      </w:r>
      <w:r w:rsidR="00BF3FB8" w:rsidRPr="00117DF2">
        <w:rPr>
          <w:lang w:eastAsia="en-GB"/>
        </w:rPr>
        <w:t>,</w:t>
      </w:r>
      <w:r w:rsidR="000F05EC" w:rsidRPr="00117DF2">
        <w:rPr>
          <w:lang w:eastAsia="en-GB"/>
        </w:rPr>
        <w:t xml:space="preserve"> score higher on the other tools than on SIS.</w:t>
      </w:r>
    </w:p>
    <w:p w:rsidR="006C06EC" w:rsidRPr="00117DF2" w:rsidRDefault="009354A5" w:rsidP="006C06EC">
      <w:pPr>
        <w:pStyle w:val="Heading1"/>
        <w:rPr>
          <w:lang w:val="en-IE" w:eastAsia="en-GB"/>
        </w:rPr>
      </w:pPr>
      <w:r w:rsidRPr="00117DF2">
        <w:rPr>
          <w:lang w:val="en-IE" w:eastAsia="en-GB"/>
        </w:rPr>
        <w:t>Service type</w:t>
      </w:r>
    </w:p>
    <w:p w:rsidR="00B12B52" w:rsidRPr="00117DF2" w:rsidRDefault="00B12B52" w:rsidP="00B12B52">
      <w:pPr>
        <w:rPr>
          <w:lang w:eastAsia="en-GB"/>
        </w:rPr>
      </w:pPr>
      <w:r w:rsidRPr="00117DF2">
        <w:rPr>
          <w:lang w:eastAsia="en-GB"/>
        </w:rPr>
        <w:t>Now we turn to looking at how each tool does, on the basis of where people live and the type of service they receive.</w:t>
      </w:r>
    </w:p>
    <w:p w:rsidR="006C06EC" w:rsidRPr="00117DF2" w:rsidRDefault="00FE7835" w:rsidP="006C06EC">
      <w:pPr>
        <w:tabs>
          <w:tab w:val="num" w:pos="0"/>
          <w:tab w:val="num" w:pos="720"/>
        </w:tabs>
        <w:rPr>
          <w:lang w:eastAsia="en-GB"/>
        </w:rPr>
      </w:pPr>
      <w:r w:rsidRPr="00117DF2">
        <w:rPr>
          <w:lang w:eastAsia="en-GB"/>
        </w:rPr>
        <w:t>The second category where there are statistically significant differences between subgroup is in service provision.</w:t>
      </w:r>
      <w:r w:rsidRPr="00117DF2">
        <w:rPr>
          <w:rStyle w:val="FootnoteReference"/>
          <w:lang w:eastAsia="en-GB"/>
        </w:rPr>
        <w:footnoteReference w:id="13"/>
      </w:r>
      <w:r w:rsidRPr="00117DF2">
        <w:rPr>
          <w:lang w:eastAsia="en-GB"/>
        </w:rPr>
        <w:t xml:space="preserve"> </w:t>
      </w:r>
      <w:r w:rsidR="006C06EC" w:rsidRPr="00117DF2">
        <w:rPr>
          <w:lang w:eastAsia="en-GB"/>
        </w:rPr>
        <w:t xml:space="preserve">The service provision accessed by service users </w:t>
      </w:r>
      <w:r w:rsidR="00B12B52" w:rsidRPr="00117DF2">
        <w:rPr>
          <w:lang w:eastAsia="en-GB"/>
        </w:rPr>
        <w:t xml:space="preserve">was </w:t>
      </w:r>
      <w:r w:rsidR="006C06EC" w:rsidRPr="00117DF2">
        <w:rPr>
          <w:lang w:eastAsia="en-GB"/>
        </w:rPr>
        <w:t xml:space="preserve">categorised as follows: </w:t>
      </w:r>
      <w:r w:rsidR="009354A5" w:rsidRPr="00117DF2">
        <w:rPr>
          <w:lang w:eastAsia="en-GB"/>
        </w:rPr>
        <w:t>c</w:t>
      </w:r>
      <w:r w:rsidR="00B12B52" w:rsidRPr="00117DF2">
        <w:rPr>
          <w:lang w:eastAsia="en-GB"/>
        </w:rPr>
        <w:t>ongregated setting</w:t>
      </w:r>
      <w:r w:rsidR="006C06EC" w:rsidRPr="00117DF2">
        <w:rPr>
          <w:lang w:eastAsia="en-GB"/>
        </w:rPr>
        <w:t xml:space="preserve">, </w:t>
      </w:r>
      <w:r w:rsidR="009354A5" w:rsidRPr="00117DF2">
        <w:rPr>
          <w:lang w:eastAsia="en-GB"/>
        </w:rPr>
        <w:t>g</w:t>
      </w:r>
      <w:r w:rsidR="006C06EC" w:rsidRPr="00117DF2">
        <w:rPr>
          <w:lang w:eastAsia="en-GB"/>
        </w:rPr>
        <w:t xml:space="preserve">roup home, day services that </w:t>
      </w:r>
      <w:r w:rsidR="00B12B52" w:rsidRPr="00117DF2">
        <w:rPr>
          <w:lang w:eastAsia="en-GB"/>
        </w:rPr>
        <w:t>were centre-based (site)</w:t>
      </w:r>
      <w:r w:rsidR="006C06EC" w:rsidRPr="00117DF2">
        <w:rPr>
          <w:lang w:eastAsia="en-GB"/>
        </w:rPr>
        <w:t xml:space="preserve"> or day services that </w:t>
      </w:r>
      <w:r w:rsidR="00B12B52" w:rsidRPr="00117DF2">
        <w:rPr>
          <w:lang w:eastAsia="en-GB"/>
        </w:rPr>
        <w:t>we</w:t>
      </w:r>
      <w:r w:rsidR="006C06EC" w:rsidRPr="00117DF2">
        <w:rPr>
          <w:lang w:eastAsia="en-GB"/>
        </w:rPr>
        <w:t>re no</w:t>
      </w:r>
      <w:r w:rsidR="00B12B52" w:rsidRPr="00117DF2">
        <w:rPr>
          <w:lang w:eastAsia="en-GB"/>
        </w:rPr>
        <w:t>t centre-based (non-site)</w:t>
      </w:r>
      <w:r w:rsidR="006C06EC" w:rsidRPr="00117DF2">
        <w:rPr>
          <w:lang w:eastAsia="en-GB"/>
        </w:rPr>
        <w:t xml:space="preserve">. </w:t>
      </w:r>
      <w:r w:rsidR="009354A5" w:rsidRPr="00117DF2">
        <w:rPr>
          <w:lang w:eastAsia="en-GB"/>
        </w:rPr>
        <w:t xml:space="preserve">Each tool is examined in turn to see how each tool </w:t>
      </w:r>
      <w:r w:rsidR="00BF3FB8" w:rsidRPr="00117DF2">
        <w:rPr>
          <w:lang w:eastAsia="en-GB"/>
        </w:rPr>
        <w:t>scores</w:t>
      </w:r>
      <w:r w:rsidR="009354A5" w:rsidRPr="00117DF2">
        <w:rPr>
          <w:lang w:eastAsia="en-GB"/>
        </w:rPr>
        <w:t xml:space="preserve"> people in different types of service provision.</w:t>
      </w:r>
    </w:p>
    <w:p w:rsidR="009354A5" w:rsidRPr="00117DF2" w:rsidRDefault="009354A5" w:rsidP="009354A5">
      <w:pPr>
        <w:pStyle w:val="TableTitle"/>
      </w:pPr>
      <w:r w:rsidRPr="00117DF2">
        <w:t xml:space="preserve">Graph </w:t>
      </w:r>
      <w:r w:rsidR="00BC7480" w:rsidRPr="00117DF2">
        <w:t>6</w:t>
      </w:r>
      <w:r w:rsidRPr="00117DF2">
        <w:t xml:space="preserve">: Comparison of </w:t>
      </w:r>
      <w:r w:rsidR="008478A0" w:rsidRPr="00117DF2">
        <w:t>FACE</w:t>
      </w:r>
      <w:r w:rsidRPr="00117DF2">
        <w:t xml:space="preserve"> with the average of all assessment tools by service type</w:t>
      </w:r>
    </w:p>
    <w:p w:rsidR="00120319" w:rsidRPr="00117DF2" w:rsidRDefault="00D6107B" w:rsidP="00120319">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6" name="Picture 6" descr="Comparison of FACE with the average of all assessment tools by service type" title="Grap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D279C2">
      <w:pPr>
        <w:pStyle w:val="TableNote"/>
      </w:pPr>
      <w:r w:rsidRPr="00117DF2">
        <w:t>Source: NDA</w:t>
      </w:r>
    </w:p>
    <w:p w:rsidR="00B47584" w:rsidRPr="00117DF2" w:rsidRDefault="00E46E5E" w:rsidP="00B47584">
      <w:pPr>
        <w:rPr>
          <w:lang w:eastAsia="en-GB"/>
        </w:rPr>
      </w:pPr>
      <w:r w:rsidRPr="00117DF2">
        <w:rPr>
          <w:lang w:eastAsia="en-GB"/>
        </w:rPr>
        <w:t>FACE, compared to the average of all tools, gives higher scores to the users of site-</w:t>
      </w:r>
      <w:r w:rsidR="00B12B52" w:rsidRPr="00117DF2">
        <w:rPr>
          <w:lang w:eastAsia="en-GB"/>
        </w:rPr>
        <w:t xml:space="preserve">based </w:t>
      </w:r>
      <w:r w:rsidRPr="00117DF2">
        <w:rPr>
          <w:lang w:eastAsia="en-GB"/>
        </w:rPr>
        <w:t xml:space="preserve">day services and </w:t>
      </w:r>
      <w:r w:rsidR="00B12B52" w:rsidRPr="00117DF2">
        <w:rPr>
          <w:lang w:eastAsia="en-GB"/>
        </w:rPr>
        <w:t xml:space="preserve">gives relatively </w:t>
      </w:r>
      <w:r w:rsidRPr="00117DF2">
        <w:rPr>
          <w:lang w:eastAsia="en-GB"/>
        </w:rPr>
        <w:t>lower</w:t>
      </w:r>
      <w:r w:rsidR="000473CD" w:rsidRPr="00117DF2">
        <w:rPr>
          <w:lang w:eastAsia="en-GB"/>
        </w:rPr>
        <w:t xml:space="preserve"> scores to group homes</w:t>
      </w:r>
      <w:r w:rsidR="00B12B52" w:rsidRPr="00117DF2">
        <w:rPr>
          <w:lang w:eastAsia="en-GB"/>
        </w:rPr>
        <w:t xml:space="preserve">. However, </w:t>
      </w:r>
      <w:r w:rsidR="00823B96" w:rsidRPr="00117DF2">
        <w:rPr>
          <w:lang w:eastAsia="en-GB"/>
        </w:rPr>
        <w:t xml:space="preserve">there is a </w:t>
      </w:r>
      <w:r w:rsidR="00512896" w:rsidRPr="00117DF2">
        <w:rPr>
          <w:lang w:eastAsia="en-GB"/>
        </w:rPr>
        <w:t xml:space="preserve">more mixed pattern for people who </w:t>
      </w:r>
      <w:r w:rsidR="00C022C9" w:rsidRPr="00117DF2">
        <w:rPr>
          <w:lang w:eastAsia="en-GB"/>
        </w:rPr>
        <w:t xml:space="preserve">receive </w:t>
      </w:r>
      <w:r w:rsidR="000473CD" w:rsidRPr="00117DF2">
        <w:rPr>
          <w:lang w:eastAsia="en-GB"/>
        </w:rPr>
        <w:t>non-site day</w:t>
      </w:r>
      <w:r w:rsidR="00C022C9" w:rsidRPr="00117DF2">
        <w:rPr>
          <w:lang w:eastAsia="en-GB"/>
        </w:rPr>
        <w:t xml:space="preserve"> support, or who live in</w:t>
      </w:r>
      <w:r w:rsidR="00512896" w:rsidRPr="00117DF2">
        <w:rPr>
          <w:lang w:eastAsia="en-GB"/>
        </w:rPr>
        <w:t xml:space="preserve"> congregated settings</w:t>
      </w:r>
      <w:r w:rsidR="00C022C9" w:rsidRPr="00117DF2">
        <w:rPr>
          <w:lang w:eastAsia="en-GB"/>
        </w:rPr>
        <w:t>,</w:t>
      </w:r>
      <w:r w:rsidR="00823B96" w:rsidRPr="00117DF2">
        <w:rPr>
          <w:lang w:eastAsia="en-GB"/>
        </w:rPr>
        <w:t xml:space="preserve"> </w:t>
      </w:r>
      <w:r w:rsidR="000473CD" w:rsidRPr="00117DF2">
        <w:rPr>
          <w:lang w:eastAsia="en-GB"/>
        </w:rPr>
        <w:t>as</w:t>
      </w:r>
      <w:r w:rsidR="00823B96" w:rsidRPr="00117DF2">
        <w:rPr>
          <w:lang w:eastAsia="en-GB"/>
        </w:rPr>
        <w:t xml:space="preserve"> </w:t>
      </w:r>
      <w:r w:rsidR="00C022C9" w:rsidRPr="00117DF2">
        <w:rPr>
          <w:lang w:eastAsia="en-GB"/>
        </w:rPr>
        <w:t xml:space="preserve">here there </w:t>
      </w:r>
      <w:r w:rsidR="000473CD" w:rsidRPr="00117DF2">
        <w:rPr>
          <w:lang w:eastAsia="en-GB"/>
        </w:rPr>
        <w:t xml:space="preserve">are </w:t>
      </w:r>
      <w:r w:rsidR="00C022C9" w:rsidRPr="00117DF2">
        <w:rPr>
          <w:lang w:eastAsia="en-GB"/>
        </w:rPr>
        <w:t>people on either</w:t>
      </w:r>
      <w:r w:rsidR="00823B96" w:rsidRPr="00117DF2">
        <w:rPr>
          <w:lang w:eastAsia="en-GB"/>
        </w:rPr>
        <w:t xml:space="preserve"> side of the line</w:t>
      </w:r>
      <w:r w:rsidR="00512896" w:rsidRPr="00117DF2">
        <w:rPr>
          <w:lang w:eastAsia="en-GB"/>
        </w:rPr>
        <w:t xml:space="preserve">. </w:t>
      </w:r>
      <w:r w:rsidR="00D34C65" w:rsidRPr="00117DF2">
        <w:rPr>
          <w:lang w:eastAsia="en-GB"/>
        </w:rPr>
        <w:t>This i</w:t>
      </w:r>
      <w:r w:rsidR="00BF3FB8" w:rsidRPr="00117DF2">
        <w:rPr>
          <w:lang w:eastAsia="en-GB"/>
        </w:rPr>
        <w:t>ndicat</w:t>
      </w:r>
      <w:r w:rsidR="00D34C65" w:rsidRPr="00117DF2">
        <w:rPr>
          <w:lang w:eastAsia="en-GB"/>
        </w:rPr>
        <w:t>es</w:t>
      </w:r>
      <w:r w:rsidR="00BF3FB8" w:rsidRPr="00117DF2">
        <w:rPr>
          <w:lang w:eastAsia="en-GB"/>
        </w:rPr>
        <w:t xml:space="preserve"> that</w:t>
      </w:r>
      <w:r w:rsidR="00D34C65" w:rsidRPr="00117DF2">
        <w:rPr>
          <w:lang w:eastAsia="en-GB"/>
        </w:rPr>
        <w:t>,</w:t>
      </w:r>
      <w:r w:rsidR="00BF3FB8" w:rsidRPr="00117DF2">
        <w:rPr>
          <w:lang w:eastAsia="en-GB"/>
        </w:rPr>
        <w:t xml:space="preserve"> compared to the average FACE scores</w:t>
      </w:r>
      <w:r w:rsidR="00D34C65" w:rsidRPr="00117DF2">
        <w:rPr>
          <w:lang w:eastAsia="en-GB"/>
        </w:rPr>
        <w:t>,</w:t>
      </w:r>
      <w:r w:rsidR="00BF3FB8" w:rsidRPr="00117DF2">
        <w:rPr>
          <w:lang w:eastAsia="en-GB"/>
        </w:rPr>
        <w:t xml:space="preserve"> some </w:t>
      </w:r>
      <w:r w:rsidR="00D34C65" w:rsidRPr="00117DF2">
        <w:rPr>
          <w:lang w:eastAsia="en-GB"/>
        </w:rPr>
        <w:t xml:space="preserve">score </w:t>
      </w:r>
      <w:r w:rsidR="00BF3FB8" w:rsidRPr="00117DF2">
        <w:rPr>
          <w:lang w:eastAsia="en-GB"/>
        </w:rPr>
        <w:t>slightly higher and some slightly lower than the average.</w:t>
      </w:r>
    </w:p>
    <w:p w:rsidR="009354A5" w:rsidRPr="00117DF2" w:rsidRDefault="00B47584" w:rsidP="00B47584">
      <w:pPr>
        <w:pStyle w:val="TableHead"/>
      </w:pPr>
      <w:r w:rsidRPr="00117DF2">
        <w:rPr>
          <w:lang w:eastAsia="en-GB"/>
        </w:rPr>
        <w:br w:type="page"/>
      </w:r>
      <w:r w:rsidR="009354A5" w:rsidRPr="00117DF2">
        <w:t xml:space="preserve">Graph </w:t>
      </w:r>
      <w:r w:rsidR="00BC7480" w:rsidRPr="00117DF2">
        <w:t>7</w:t>
      </w:r>
      <w:r w:rsidR="009354A5" w:rsidRPr="00117DF2">
        <w:t>:</w:t>
      </w:r>
      <w:r w:rsidR="000F608B" w:rsidRPr="00117DF2">
        <w:t xml:space="preserve"> </w:t>
      </w:r>
      <w:r w:rsidR="009354A5" w:rsidRPr="00117DF2">
        <w:t>Comparison of</w:t>
      </w:r>
      <w:r w:rsidR="000F608B" w:rsidRPr="00117DF2">
        <w:t xml:space="preserve"> interRAI</w:t>
      </w:r>
      <w:r w:rsidR="009354A5" w:rsidRPr="00117DF2">
        <w:t xml:space="preserve"> with the average of all assessment tools by </w:t>
      </w:r>
      <w:r w:rsidR="0062208F" w:rsidRPr="00117DF2">
        <w:t>service</w:t>
      </w:r>
      <w:r w:rsidR="009354A5" w:rsidRPr="00117DF2">
        <w:t xml:space="preserve"> type</w:t>
      </w:r>
    </w:p>
    <w:p w:rsidR="00120319" w:rsidRPr="00117DF2" w:rsidRDefault="00D6107B" w:rsidP="00120319">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7" name="Picture 7" descr="Comparison of interRAI with the average of all assessment tools by service type" title="Grap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D279C2">
      <w:pPr>
        <w:pStyle w:val="TableNote"/>
      </w:pPr>
      <w:r w:rsidRPr="00117DF2">
        <w:t>Source: NDA</w:t>
      </w:r>
    </w:p>
    <w:p w:rsidR="001E7589" w:rsidRPr="00117DF2" w:rsidRDefault="00117DF2" w:rsidP="001E7589">
      <w:pPr>
        <w:rPr>
          <w:lang w:eastAsia="en-GB"/>
        </w:rPr>
      </w:pPr>
      <w:r w:rsidRPr="00117DF2">
        <w:rPr>
          <w:lang w:eastAsia="en-GB"/>
        </w:rPr>
        <w:t>InterRAI</w:t>
      </w:r>
      <w:r w:rsidR="00512896" w:rsidRPr="00117DF2">
        <w:rPr>
          <w:lang w:eastAsia="en-GB"/>
        </w:rPr>
        <w:t xml:space="preserve"> gives </w:t>
      </w:r>
      <w:r w:rsidR="00C022C9" w:rsidRPr="00117DF2">
        <w:rPr>
          <w:lang w:eastAsia="en-GB"/>
        </w:rPr>
        <w:t>lower</w:t>
      </w:r>
      <w:r w:rsidR="00BF3FB8" w:rsidRPr="00117DF2">
        <w:rPr>
          <w:lang w:eastAsia="en-GB"/>
        </w:rPr>
        <w:t xml:space="preserve"> scores</w:t>
      </w:r>
      <w:r w:rsidR="00512896" w:rsidRPr="00117DF2">
        <w:rPr>
          <w:lang w:eastAsia="en-GB"/>
        </w:rPr>
        <w:t xml:space="preserve"> on average</w:t>
      </w:r>
      <w:r w:rsidR="00C022C9" w:rsidRPr="00117DF2">
        <w:rPr>
          <w:lang w:eastAsia="en-GB"/>
        </w:rPr>
        <w:t xml:space="preserve"> </w:t>
      </w:r>
      <w:r w:rsidR="00512896" w:rsidRPr="00117DF2">
        <w:rPr>
          <w:lang w:eastAsia="en-GB"/>
        </w:rPr>
        <w:t xml:space="preserve">to </w:t>
      </w:r>
      <w:r w:rsidR="00C022C9" w:rsidRPr="00117DF2">
        <w:rPr>
          <w:lang w:eastAsia="en-GB"/>
        </w:rPr>
        <w:t xml:space="preserve">on-site </w:t>
      </w:r>
      <w:r w:rsidR="00512896" w:rsidRPr="00117DF2">
        <w:rPr>
          <w:lang w:eastAsia="en-GB"/>
        </w:rPr>
        <w:t xml:space="preserve">day </w:t>
      </w:r>
      <w:r w:rsidR="00C022C9" w:rsidRPr="00117DF2">
        <w:rPr>
          <w:lang w:eastAsia="en-GB"/>
        </w:rPr>
        <w:t xml:space="preserve">service </w:t>
      </w:r>
      <w:r w:rsidR="00512896" w:rsidRPr="00117DF2">
        <w:rPr>
          <w:lang w:eastAsia="en-GB"/>
        </w:rPr>
        <w:t>users than the other tools</w:t>
      </w:r>
      <w:r w:rsidR="00C022C9" w:rsidRPr="00117DF2">
        <w:rPr>
          <w:lang w:eastAsia="en-GB"/>
        </w:rPr>
        <w:t xml:space="preserve"> and higher scores</w:t>
      </w:r>
      <w:r w:rsidR="008709AF" w:rsidRPr="00117DF2">
        <w:rPr>
          <w:lang w:eastAsia="en-GB"/>
        </w:rPr>
        <w:t xml:space="preserve">, on average, to </w:t>
      </w:r>
      <w:r w:rsidR="00C022C9" w:rsidRPr="00117DF2">
        <w:rPr>
          <w:lang w:eastAsia="en-GB"/>
        </w:rPr>
        <w:t xml:space="preserve">those supported by </w:t>
      </w:r>
      <w:r w:rsidR="008709AF" w:rsidRPr="00117DF2">
        <w:rPr>
          <w:lang w:eastAsia="en-GB"/>
        </w:rPr>
        <w:t>non-site</w:t>
      </w:r>
      <w:r w:rsidR="00C022C9" w:rsidRPr="00117DF2">
        <w:rPr>
          <w:lang w:eastAsia="en-GB"/>
        </w:rPr>
        <w:t>-based</w:t>
      </w:r>
      <w:r w:rsidR="008709AF" w:rsidRPr="00117DF2">
        <w:rPr>
          <w:lang w:eastAsia="en-GB"/>
        </w:rPr>
        <w:t xml:space="preserve"> </w:t>
      </w:r>
      <w:r w:rsidR="00C022C9" w:rsidRPr="00117DF2">
        <w:rPr>
          <w:lang w:eastAsia="en-GB"/>
        </w:rPr>
        <w:t>services</w:t>
      </w:r>
      <w:r w:rsidR="00512896" w:rsidRPr="00117DF2">
        <w:rPr>
          <w:lang w:eastAsia="en-GB"/>
        </w:rPr>
        <w:t xml:space="preserve">. </w:t>
      </w:r>
      <w:r w:rsidR="000473CD" w:rsidRPr="00117DF2">
        <w:rPr>
          <w:lang w:eastAsia="en-GB"/>
        </w:rPr>
        <w:t xml:space="preserve">People </w:t>
      </w:r>
      <w:r w:rsidR="00512896" w:rsidRPr="00117DF2">
        <w:rPr>
          <w:lang w:eastAsia="en-GB"/>
        </w:rPr>
        <w:t>who live in congregated setting</w:t>
      </w:r>
      <w:r w:rsidR="00C022C9" w:rsidRPr="00117DF2">
        <w:rPr>
          <w:lang w:eastAsia="en-GB"/>
        </w:rPr>
        <w:t>s</w:t>
      </w:r>
      <w:r w:rsidR="00512896" w:rsidRPr="00117DF2">
        <w:rPr>
          <w:lang w:eastAsia="en-GB"/>
        </w:rPr>
        <w:t xml:space="preserve"> and </w:t>
      </w:r>
      <w:r w:rsidR="00C022C9" w:rsidRPr="00117DF2">
        <w:rPr>
          <w:lang w:eastAsia="en-GB"/>
        </w:rPr>
        <w:t xml:space="preserve">those </w:t>
      </w:r>
      <w:r w:rsidR="00512896" w:rsidRPr="00117DF2">
        <w:rPr>
          <w:lang w:eastAsia="en-GB"/>
        </w:rPr>
        <w:t xml:space="preserve">group homes </w:t>
      </w:r>
      <w:r w:rsidR="0044281D" w:rsidRPr="00117DF2">
        <w:rPr>
          <w:lang w:eastAsia="en-GB"/>
        </w:rPr>
        <w:t>score</w:t>
      </w:r>
      <w:r w:rsidR="009354A5" w:rsidRPr="00117DF2">
        <w:rPr>
          <w:lang w:eastAsia="en-GB"/>
        </w:rPr>
        <w:t xml:space="preserve"> </w:t>
      </w:r>
      <w:r w:rsidR="00E46E5E" w:rsidRPr="00117DF2">
        <w:rPr>
          <w:lang w:eastAsia="en-GB"/>
        </w:rPr>
        <w:t>similarly</w:t>
      </w:r>
      <w:r w:rsidR="000473CD" w:rsidRPr="00117DF2">
        <w:rPr>
          <w:lang w:eastAsia="en-GB"/>
        </w:rPr>
        <w:t xml:space="preserve"> </w:t>
      </w:r>
      <w:r w:rsidR="009354A5" w:rsidRPr="00117DF2">
        <w:rPr>
          <w:lang w:eastAsia="en-GB"/>
        </w:rPr>
        <w:t>on</w:t>
      </w:r>
      <w:r w:rsidR="000F608B" w:rsidRPr="00117DF2">
        <w:rPr>
          <w:lang w:eastAsia="en-GB"/>
        </w:rPr>
        <w:t xml:space="preserve"> interRAI</w:t>
      </w:r>
      <w:r w:rsidR="00512896" w:rsidRPr="00117DF2">
        <w:rPr>
          <w:lang w:eastAsia="en-GB"/>
        </w:rPr>
        <w:t xml:space="preserve"> in comparison to the average</w:t>
      </w:r>
      <w:r w:rsidR="00C022C9" w:rsidRPr="00117DF2">
        <w:rPr>
          <w:lang w:eastAsia="en-GB"/>
        </w:rPr>
        <w:t xml:space="preserve"> of all tools</w:t>
      </w:r>
      <w:r w:rsidR="00512896" w:rsidRPr="00117DF2">
        <w:rPr>
          <w:lang w:eastAsia="en-GB"/>
        </w:rPr>
        <w:t>.</w:t>
      </w:r>
      <w:r w:rsidR="000F608B" w:rsidRPr="00117DF2">
        <w:rPr>
          <w:lang w:eastAsia="en-GB"/>
        </w:rPr>
        <w:t xml:space="preserve"> </w:t>
      </w:r>
    </w:p>
    <w:p w:rsidR="009354A5" w:rsidRPr="00117DF2" w:rsidRDefault="009354A5" w:rsidP="009354A5">
      <w:pPr>
        <w:pStyle w:val="TableTitle"/>
      </w:pPr>
      <w:r w:rsidRPr="00117DF2">
        <w:t xml:space="preserve">Graph </w:t>
      </w:r>
      <w:r w:rsidR="00BC7480" w:rsidRPr="00117DF2">
        <w:t>8</w:t>
      </w:r>
      <w:r w:rsidRPr="00117DF2">
        <w:t>: Comparison of</w:t>
      </w:r>
      <w:r w:rsidR="00A072C5" w:rsidRPr="00117DF2">
        <w:t xml:space="preserve"> </w:t>
      </w:r>
      <w:r w:rsidR="00C022C9" w:rsidRPr="00117DF2">
        <w:t>RAS 5</w:t>
      </w:r>
      <w:r w:rsidRPr="00117DF2">
        <w:t xml:space="preserve"> with the average of all assessment tools by </w:t>
      </w:r>
      <w:r w:rsidR="0062208F" w:rsidRPr="00117DF2">
        <w:t>service</w:t>
      </w:r>
      <w:r w:rsidRPr="00117DF2">
        <w:t xml:space="preserve"> type</w:t>
      </w:r>
    </w:p>
    <w:p w:rsidR="008E1CD5" w:rsidRPr="00117DF2" w:rsidRDefault="00D6107B" w:rsidP="008E1CD5">
      <w:pPr>
        <w:autoSpaceDE w:val="0"/>
        <w:autoSpaceDN w:val="0"/>
        <w:adjustRightInd w:val="0"/>
        <w:spacing w:after="0"/>
        <w:rPr>
          <w:rFonts w:ascii="Times New Roman" w:eastAsia="SimSun" w:hAnsi="Times New Roman"/>
          <w:sz w:val="24"/>
          <w:lang w:eastAsia="en-IE"/>
        </w:rPr>
      </w:pPr>
      <w:r w:rsidRPr="00117DF2">
        <w:rPr>
          <w:rFonts w:ascii="Times New Roman" w:eastAsia="SimSun" w:hAnsi="Times New Roman"/>
          <w:noProof/>
          <w:sz w:val="24"/>
          <w:lang w:eastAsia="en-IE"/>
        </w:rPr>
        <w:drawing>
          <wp:inline distT="0" distB="0" distL="0" distR="0">
            <wp:extent cx="5972175" cy="4781550"/>
            <wp:effectExtent l="0" t="0" r="9525" b="0"/>
            <wp:docPr id="8" name="Picture 8" descr="Comparison of RAS 5 the average of all assessment tools by service type" title="Grap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279C2" w:rsidRPr="00117DF2" w:rsidRDefault="00D279C2" w:rsidP="00D279C2">
      <w:pPr>
        <w:pStyle w:val="TableNote"/>
      </w:pPr>
      <w:r w:rsidRPr="00117DF2">
        <w:t>Source: NDA</w:t>
      </w:r>
    </w:p>
    <w:p w:rsidR="001E7589" w:rsidRPr="00117DF2" w:rsidRDefault="00C022C9" w:rsidP="00B56BE3">
      <w:pPr>
        <w:rPr>
          <w:lang w:eastAsia="en-GB"/>
        </w:rPr>
      </w:pPr>
      <w:r w:rsidRPr="00117DF2">
        <w:rPr>
          <w:lang w:eastAsia="en-GB"/>
        </w:rPr>
        <w:t>RAS 5</w:t>
      </w:r>
      <w:r w:rsidR="00B56BE3" w:rsidRPr="00117DF2">
        <w:rPr>
          <w:lang w:eastAsia="en-GB"/>
        </w:rPr>
        <w:t>, compared to the average</w:t>
      </w:r>
      <w:r w:rsidR="00E45F5E" w:rsidRPr="00117DF2">
        <w:rPr>
          <w:lang w:eastAsia="en-GB"/>
        </w:rPr>
        <w:t xml:space="preserve"> of all tools</w:t>
      </w:r>
      <w:r w:rsidR="00B56BE3" w:rsidRPr="00117DF2">
        <w:rPr>
          <w:lang w:eastAsia="en-GB"/>
        </w:rPr>
        <w:t>, does not display a very clear pattern</w:t>
      </w:r>
      <w:r w:rsidR="001A0B8B" w:rsidRPr="00117DF2">
        <w:rPr>
          <w:lang w:eastAsia="en-GB"/>
        </w:rPr>
        <w:t xml:space="preserve">: </w:t>
      </w:r>
      <w:r w:rsidR="00291CA0" w:rsidRPr="00117DF2">
        <w:rPr>
          <w:lang w:eastAsia="en-GB"/>
        </w:rPr>
        <w:t>all four categories</w:t>
      </w:r>
      <w:r w:rsidR="00B47584" w:rsidRPr="00117DF2">
        <w:rPr>
          <w:lang w:eastAsia="en-GB"/>
        </w:rPr>
        <w:t xml:space="preserve"> of service provision</w:t>
      </w:r>
      <w:r w:rsidR="00291CA0" w:rsidRPr="00117DF2">
        <w:rPr>
          <w:lang w:eastAsia="en-GB"/>
        </w:rPr>
        <w:t xml:space="preserve"> are represented on both sides of the line</w:t>
      </w:r>
      <w:r w:rsidR="00BF3FB8" w:rsidRPr="00117DF2">
        <w:rPr>
          <w:lang w:eastAsia="en-GB"/>
        </w:rPr>
        <w:t>, indicating</w:t>
      </w:r>
      <w:r w:rsidRPr="00117DF2">
        <w:rPr>
          <w:lang w:eastAsia="en-GB"/>
        </w:rPr>
        <w:t xml:space="preserve"> that </w:t>
      </w:r>
      <w:r w:rsidR="00BF3FB8" w:rsidRPr="00117DF2">
        <w:rPr>
          <w:lang w:eastAsia="en-GB"/>
        </w:rPr>
        <w:t>scores are independent of service provision</w:t>
      </w:r>
      <w:r w:rsidR="00291CA0" w:rsidRPr="00117DF2">
        <w:rPr>
          <w:lang w:eastAsia="en-GB"/>
        </w:rPr>
        <w:t>.</w:t>
      </w:r>
    </w:p>
    <w:p w:rsidR="008709AF" w:rsidRPr="00117DF2" w:rsidRDefault="008709AF" w:rsidP="00B56BE3">
      <w:pPr>
        <w:rPr>
          <w:lang w:eastAsia="en-GB"/>
        </w:rPr>
      </w:pPr>
      <w:r w:rsidRPr="00117DF2">
        <w:rPr>
          <w:lang w:eastAsia="en-GB"/>
        </w:rPr>
        <w:br w:type="page"/>
      </w:r>
    </w:p>
    <w:p w:rsidR="00E45F5E" w:rsidRPr="00117DF2" w:rsidRDefault="00E45F5E" w:rsidP="00E45F5E">
      <w:pPr>
        <w:pStyle w:val="TableTitle"/>
      </w:pPr>
      <w:r w:rsidRPr="00117DF2">
        <w:t xml:space="preserve">Graph </w:t>
      </w:r>
      <w:r w:rsidR="00BC7480" w:rsidRPr="00117DF2">
        <w:t>9</w:t>
      </w:r>
      <w:r w:rsidRPr="00117DF2">
        <w:t xml:space="preserve">: Comparison of </w:t>
      </w:r>
      <w:r w:rsidR="00886993" w:rsidRPr="00117DF2">
        <w:t>SIS</w:t>
      </w:r>
      <w:r w:rsidRPr="00117DF2">
        <w:t xml:space="preserve"> with the average of all assessment tools by </w:t>
      </w:r>
      <w:r w:rsidR="0062208F" w:rsidRPr="00117DF2">
        <w:t>service</w:t>
      </w:r>
      <w:r w:rsidRPr="00117DF2">
        <w:t xml:space="preserve"> type</w:t>
      </w:r>
    </w:p>
    <w:p w:rsidR="008E1CD5" w:rsidRPr="00117DF2" w:rsidRDefault="00D6107B" w:rsidP="008E1CD5">
      <w:pPr>
        <w:autoSpaceDE w:val="0"/>
        <w:autoSpaceDN w:val="0"/>
        <w:adjustRightInd w:val="0"/>
        <w:spacing w:after="0"/>
        <w:rPr>
          <w:rFonts w:ascii="Times New Roman" w:eastAsia="SimSun" w:hAnsi="Times New Roman"/>
          <w:sz w:val="24"/>
          <w:lang w:eastAsia="en-IE"/>
        </w:rPr>
      </w:pPr>
      <w:bookmarkStart w:id="0" w:name="_GoBack"/>
      <w:r w:rsidRPr="00117DF2">
        <w:rPr>
          <w:rFonts w:ascii="Times New Roman" w:eastAsia="SimSun" w:hAnsi="Times New Roman"/>
          <w:noProof/>
          <w:sz w:val="24"/>
          <w:lang w:eastAsia="en-IE"/>
        </w:rPr>
        <w:drawing>
          <wp:inline distT="0" distB="0" distL="0" distR="0">
            <wp:extent cx="5972175" cy="4781550"/>
            <wp:effectExtent l="0" t="0" r="9525" b="0"/>
            <wp:docPr id="9" name="Picture 9" descr="Comparison of SIS with the average of all assessment tools by service type" title="Grap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bookmarkEnd w:id="0"/>
    </w:p>
    <w:p w:rsidR="00D279C2" w:rsidRPr="00117DF2" w:rsidRDefault="00D279C2" w:rsidP="00D279C2">
      <w:pPr>
        <w:pStyle w:val="TableNote"/>
      </w:pPr>
      <w:r w:rsidRPr="00117DF2">
        <w:t>Source: NDA</w:t>
      </w:r>
    </w:p>
    <w:p w:rsidR="001E7589" w:rsidRPr="00117DF2" w:rsidRDefault="00971C15" w:rsidP="00613A3D">
      <w:pPr>
        <w:rPr>
          <w:lang w:eastAsia="en-GB"/>
        </w:rPr>
      </w:pPr>
      <w:r w:rsidRPr="00117DF2">
        <w:rPr>
          <w:lang w:eastAsia="en-GB"/>
        </w:rPr>
        <w:t>While</w:t>
      </w:r>
      <w:r w:rsidR="00291CA0" w:rsidRPr="00117DF2">
        <w:rPr>
          <w:lang w:eastAsia="en-GB"/>
        </w:rPr>
        <w:t xml:space="preserve"> </w:t>
      </w:r>
      <w:r w:rsidR="001A0B8B" w:rsidRPr="00117DF2">
        <w:rPr>
          <w:lang w:eastAsia="en-GB"/>
        </w:rPr>
        <w:t xml:space="preserve">there is no strong </w:t>
      </w:r>
      <w:r w:rsidR="00291CA0" w:rsidRPr="00117DF2">
        <w:rPr>
          <w:lang w:eastAsia="en-GB"/>
        </w:rPr>
        <w:t xml:space="preserve">pattern for SIS compared to the </w:t>
      </w:r>
      <w:r w:rsidR="00613A3D" w:rsidRPr="00117DF2">
        <w:rPr>
          <w:lang w:eastAsia="en-GB"/>
        </w:rPr>
        <w:t xml:space="preserve">average </w:t>
      </w:r>
      <w:r w:rsidR="001A0B8B" w:rsidRPr="00117DF2">
        <w:rPr>
          <w:lang w:eastAsia="en-GB"/>
        </w:rPr>
        <w:t xml:space="preserve">of the </w:t>
      </w:r>
      <w:r w:rsidR="00291CA0" w:rsidRPr="00117DF2">
        <w:rPr>
          <w:lang w:eastAsia="en-GB"/>
        </w:rPr>
        <w:t>four tools</w:t>
      </w:r>
      <w:r w:rsidR="00D34C65" w:rsidRPr="00117DF2">
        <w:rPr>
          <w:lang w:eastAsia="en-GB"/>
        </w:rPr>
        <w:t>,</w:t>
      </w:r>
      <w:r w:rsidR="00291CA0" w:rsidRPr="00117DF2">
        <w:rPr>
          <w:lang w:eastAsia="en-GB"/>
        </w:rPr>
        <w:t xml:space="preserve"> </w:t>
      </w:r>
      <w:r w:rsidR="001A0B8B" w:rsidRPr="00117DF2">
        <w:rPr>
          <w:lang w:eastAsia="en-GB"/>
        </w:rPr>
        <w:t xml:space="preserve">SIS </w:t>
      </w:r>
      <w:r w:rsidR="00613A3D" w:rsidRPr="00117DF2">
        <w:rPr>
          <w:lang w:eastAsia="en-GB"/>
        </w:rPr>
        <w:t>on average gives higher scores</w:t>
      </w:r>
      <w:r w:rsidR="008709AF" w:rsidRPr="00117DF2">
        <w:rPr>
          <w:lang w:eastAsia="en-GB"/>
        </w:rPr>
        <w:t xml:space="preserve"> to people living in congregated setting and </w:t>
      </w:r>
      <w:r w:rsidR="00613A3D" w:rsidRPr="00117DF2">
        <w:rPr>
          <w:lang w:eastAsia="en-GB"/>
        </w:rPr>
        <w:t xml:space="preserve">those in </w:t>
      </w:r>
      <w:r w:rsidR="008709AF" w:rsidRPr="00117DF2">
        <w:rPr>
          <w:lang w:eastAsia="en-GB"/>
        </w:rPr>
        <w:t>group homes</w:t>
      </w:r>
      <w:r w:rsidR="00613A3D" w:rsidRPr="00117DF2">
        <w:rPr>
          <w:lang w:eastAsia="en-GB"/>
        </w:rPr>
        <w:t xml:space="preserve"> relative to the average of all tools</w:t>
      </w:r>
      <w:r w:rsidR="00702F9D" w:rsidRPr="00117DF2">
        <w:rPr>
          <w:lang w:eastAsia="en-GB"/>
        </w:rPr>
        <w:t>.</w:t>
      </w:r>
    </w:p>
    <w:p w:rsidR="0044281D" w:rsidRPr="00117DF2" w:rsidRDefault="0044281D" w:rsidP="00702F9D">
      <w:pPr>
        <w:rPr>
          <w:lang w:eastAsia="en-GB"/>
        </w:rPr>
      </w:pPr>
      <w:r w:rsidRPr="00117DF2">
        <w:rPr>
          <w:lang w:eastAsia="en-GB"/>
        </w:rPr>
        <w:t xml:space="preserve">The following table </w:t>
      </w:r>
      <w:r w:rsidR="0079568D" w:rsidRPr="00117DF2">
        <w:rPr>
          <w:lang w:eastAsia="en-GB"/>
        </w:rPr>
        <w:t xml:space="preserve">(table 7) </w:t>
      </w:r>
      <w:r w:rsidRPr="00117DF2">
        <w:rPr>
          <w:lang w:eastAsia="en-GB"/>
        </w:rPr>
        <w:t xml:space="preserve">summarises the mean score of each tool by service type. SIS scores </w:t>
      </w:r>
      <w:r w:rsidR="008709AF" w:rsidRPr="00117DF2">
        <w:rPr>
          <w:lang w:eastAsia="en-GB"/>
        </w:rPr>
        <w:t>people who live in congregated settings and group homes the highest of any of the tools.</w:t>
      </w:r>
      <w:r w:rsidRPr="00117DF2">
        <w:rPr>
          <w:lang w:eastAsia="en-GB"/>
        </w:rPr>
        <w:t xml:space="preserve"> </w:t>
      </w:r>
      <w:r w:rsidR="008478A0" w:rsidRPr="00117DF2">
        <w:rPr>
          <w:lang w:eastAsia="en-GB"/>
        </w:rPr>
        <w:t>FACE</w:t>
      </w:r>
      <w:r w:rsidR="008709AF" w:rsidRPr="00117DF2">
        <w:rPr>
          <w:lang w:eastAsia="en-GB"/>
        </w:rPr>
        <w:t xml:space="preserve"> scores site day users relatively high and</w:t>
      </w:r>
      <w:r w:rsidR="000F608B" w:rsidRPr="00117DF2">
        <w:rPr>
          <w:lang w:eastAsia="en-GB"/>
        </w:rPr>
        <w:t xml:space="preserve"> interRAI</w:t>
      </w:r>
      <w:r w:rsidR="008709AF" w:rsidRPr="00117DF2">
        <w:rPr>
          <w:lang w:eastAsia="en-GB"/>
        </w:rPr>
        <w:t xml:space="preserve"> scores non-site day users relatively high.</w:t>
      </w:r>
      <w:r w:rsidR="000F608B" w:rsidRPr="00117DF2">
        <w:rPr>
          <w:lang w:eastAsia="en-GB"/>
        </w:rPr>
        <w:t xml:space="preserve"> </w:t>
      </w:r>
      <w:r w:rsidR="00117DF2" w:rsidRPr="00117DF2">
        <w:rPr>
          <w:lang w:eastAsia="en-GB"/>
        </w:rPr>
        <w:t>InterRAI</w:t>
      </w:r>
      <w:r w:rsidRPr="00117DF2">
        <w:rPr>
          <w:lang w:eastAsia="en-GB"/>
        </w:rPr>
        <w:t xml:space="preserve"> scores group homes the highest and </w:t>
      </w:r>
      <w:r w:rsidR="008478A0" w:rsidRPr="00117DF2">
        <w:rPr>
          <w:lang w:eastAsia="en-GB"/>
        </w:rPr>
        <w:t>FACE</w:t>
      </w:r>
      <w:r w:rsidRPr="00117DF2">
        <w:rPr>
          <w:lang w:eastAsia="en-GB"/>
        </w:rPr>
        <w:t xml:space="preserve"> scores these the lowest. </w:t>
      </w:r>
      <w:r w:rsidR="008478A0" w:rsidRPr="00117DF2">
        <w:rPr>
          <w:lang w:eastAsia="en-GB"/>
        </w:rPr>
        <w:t>FACE</w:t>
      </w:r>
      <w:r w:rsidRPr="00117DF2">
        <w:rPr>
          <w:lang w:eastAsia="en-GB"/>
        </w:rPr>
        <w:t xml:space="preserve"> scores </w:t>
      </w:r>
      <w:r w:rsidR="00A859C9" w:rsidRPr="00117DF2">
        <w:rPr>
          <w:lang w:eastAsia="en-GB"/>
        </w:rPr>
        <w:t>agency</w:t>
      </w:r>
      <w:r w:rsidRPr="00117DF2">
        <w:rPr>
          <w:lang w:eastAsia="en-GB"/>
        </w:rPr>
        <w:t xml:space="preserve"> </w:t>
      </w:r>
      <w:r w:rsidR="00A859C9" w:rsidRPr="00117DF2">
        <w:rPr>
          <w:lang w:eastAsia="en-GB"/>
        </w:rPr>
        <w:t>service off-site</w:t>
      </w:r>
      <w:r w:rsidRPr="00117DF2">
        <w:rPr>
          <w:lang w:eastAsia="en-GB"/>
        </w:rPr>
        <w:t xml:space="preserve"> the highest and</w:t>
      </w:r>
      <w:r w:rsidR="000F608B" w:rsidRPr="00117DF2">
        <w:rPr>
          <w:lang w:eastAsia="en-GB"/>
        </w:rPr>
        <w:t xml:space="preserve"> interRAI</w:t>
      </w:r>
      <w:r w:rsidRPr="00117DF2">
        <w:rPr>
          <w:lang w:eastAsia="en-GB"/>
        </w:rPr>
        <w:t xml:space="preserve"> scores these the lowest and</w:t>
      </w:r>
      <w:r w:rsidR="00A072C5" w:rsidRPr="00117DF2">
        <w:rPr>
          <w:lang w:eastAsia="en-GB"/>
        </w:rPr>
        <w:t xml:space="preserve"> </w:t>
      </w:r>
      <w:r w:rsidR="00613A3D" w:rsidRPr="00117DF2">
        <w:rPr>
          <w:lang w:eastAsia="en-GB"/>
        </w:rPr>
        <w:t>RAS 5 has no consistent deviations from the average by service type</w:t>
      </w:r>
      <w:r w:rsidR="00E45F5E" w:rsidRPr="00117DF2">
        <w:rPr>
          <w:lang w:eastAsia="en-GB"/>
        </w:rPr>
        <w:t>.</w:t>
      </w:r>
    </w:p>
    <w:p w:rsidR="0079568D" w:rsidRPr="00117DF2" w:rsidRDefault="00DA2E47" w:rsidP="00484886">
      <w:pPr>
        <w:pStyle w:val="TableHead"/>
        <w:spacing w:after="120"/>
        <w:rPr>
          <w:lang w:eastAsia="en-GB"/>
        </w:rPr>
      </w:pPr>
      <w:r w:rsidRPr="00117DF2">
        <w:rPr>
          <w:lang w:eastAsia="en-GB"/>
        </w:rPr>
        <w:br w:type="page"/>
      </w:r>
      <w:r w:rsidR="0079568D" w:rsidRPr="00117DF2">
        <w:rPr>
          <w:lang w:eastAsia="en-GB"/>
        </w:rPr>
        <w:t xml:space="preserve">Table 7 </w:t>
      </w:r>
      <w:r w:rsidRPr="00117DF2">
        <w:rPr>
          <w:lang w:eastAsia="en-GB"/>
        </w:rPr>
        <w:t xml:space="preserve">comparison of the means of all assessment tools by service provision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86"/>
        <w:gridCol w:w="830"/>
        <w:gridCol w:w="853"/>
        <w:gridCol w:w="664"/>
        <w:gridCol w:w="1169"/>
        <w:gridCol w:w="2387"/>
      </w:tblGrid>
      <w:tr w:rsidR="00484886" w:rsidRPr="00117DF2" w:rsidTr="00484886">
        <w:tc>
          <w:tcPr>
            <w:tcW w:w="0" w:type="auto"/>
            <w:shd w:val="clear" w:color="auto" w:fill="auto"/>
          </w:tcPr>
          <w:p w:rsidR="00484886" w:rsidRPr="00117DF2" w:rsidRDefault="00484886" w:rsidP="00613A3D">
            <w:pPr>
              <w:spacing w:after="0"/>
              <w:rPr>
                <w:b/>
                <w:lang w:eastAsia="en-GB"/>
              </w:rPr>
            </w:pPr>
            <w:r w:rsidRPr="00117DF2">
              <w:rPr>
                <w:b/>
                <w:lang w:eastAsia="en-GB"/>
              </w:rPr>
              <w:t>Service Type</w:t>
            </w:r>
          </w:p>
        </w:tc>
        <w:tc>
          <w:tcPr>
            <w:tcW w:w="0" w:type="auto"/>
          </w:tcPr>
          <w:p w:rsidR="00484886" w:rsidRPr="00117DF2" w:rsidRDefault="00484886" w:rsidP="00A859C9">
            <w:pPr>
              <w:pStyle w:val="TableHead"/>
              <w:rPr>
                <w:sz w:val="22"/>
                <w:lang w:eastAsia="en-GB"/>
              </w:rPr>
            </w:pPr>
            <w:r w:rsidRPr="00117DF2">
              <w:rPr>
                <w:sz w:val="22"/>
                <w:lang w:eastAsia="en-GB"/>
              </w:rPr>
              <w:t>Nos.</w:t>
            </w:r>
          </w:p>
        </w:tc>
        <w:tc>
          <w:tcPr>
            <w:tcW w:w="0" w:type="auto"/>
            <w:shd w:val="clear" w:color="auto" w:fill="auto"/>
          </w:tcPr>
          <w:p w:rsidR="00484886" w:rsidRPr="00117DF2" w:rsidRDefault="00484886" w:rsidP="00A859C9">
            <w:pPr>
              <w:pStyle w:val="TableHead"/>
              <w:rPr>
                <w:sz w:val="22"/>
                <w:lang w:eastAsia="en-GB"/>
              </w:rPr>
            </w:pPr>
            <w:r w:rsidRPr="00117DF2">
              <w:rPr>
                <w:sz w:val="22"/>
                <w:lang w:eastAsia="en-GB"/>
              </w:rPr>
              <w:t xml:space="preserve">FACE </w:t>
            </w:r>
          </w:p>
        </w:tc>
        <w:tc>
          <w:tcPr>
            <w:tcW w:w="0" w:type="auto"/>
            <w:shd w:val="clear" w:color="auto" w:fill="auto"/>
          </w:tcPr>
          <w:p w:rsidR="00484886" w:rsidRPr="00117DF2" w:rsidRDefault="00613A3D" w:rsidP="00A859C9">
            <w:pPr>
              <w:pStyle w:val="TableHead"/>
              <w:rPr>
                <w:sz w:val="22"/>
                <w:lang w:eastAsia="en-GB"/>
              </w:rPr>
            </w:pPr>
            <w:r w:rsidRPr="00117DF2">
              <w:rPr>
                <w:sz w:val="22"/>
                <w:lang w:eastAsia="en-GB"/>
              </w:rPr>
              <w:t>RAS 5</w:t>
            </w:r>
          </w:p>
        </w:tc>
        <w:tc>
          <w:tcPr>
            <w:tcW w:w="0" w:type="auto"/>
            <w:shd w:val="clear" w:color="auto" w:fill="auto"/>
          </w:tcPr>
          <w:p w:rsidR="00484886" w:rsidRPr="00117DF2" w:rsidRDefault="00484886" w:rsidP="00A859C9">
            <w:pPr>
              <w:pStyle w:val="TableHead"/>
              <w:rPr>
                <w:sz w:val="22"/>
                <w:lang w:eastAsia="en-GB"/>
              </w:rPr>
            </w:pPr>
            <w:r w:rsidRPr="00117DF2">
              <w:rPr>
                <w:sz w:val="22"/>
                <w:lang w:eastAsia="en-GB"/>
              </w:rPr>
              <w:t>SIS</w:t>
            </w:r>
          </w:p>
        </w:tc>
        <w:tc>
          <w:tcPr>
            <w:tcW w:w="0" w:type="auto"/>
            <w:shd w:val="clear" w:color="auto" w:fill="auto"/>
          </w:tcPr>
          <w:p w:rsidR="00484886" w:rsidRPr="00117DF2" w:rsidRDefault="000F608B" w:rsidP="00A859C9">
            <w:pPr>
              <w:pStyle w:val="TableHead"/>
              <w:rPr>
                <w:sz w:val="22"/>
                <w:lang w:eastAsia="en-GB"/>
              </w:rPr>
            </w:pPr>
            <w:r w:rsidRPr="00117DF2">
              <w:rPr>
                <w:sz w:val="22"/>
                <w:lang w:eastAsia="en-GB"/>
              </w:rPr>
              <w:t xml:space="preserve"> interRAI</w:t>
            </w:r>
          </w:p>
        </w:tc>
        <w:tc>
          <w:tcPr>
            <w:tcW w:w="0" w:type="auto"/>
            <w:shd w:val="clear" w:color="auto" w:fill="auto"/>
          </w:tcPr>
          <w:p w:rsidR="00484886" w:rsidRPr="00117DF2" w:rsidRDefault="00484886" w:rsidP="00A859C9">
            <w:pPr>
              <w:pStyle w:val="TableHead"/>
              <w:rPr>
                <w:sz w:val="22"/>
                <w:lang w:eastAsia="en-GB"/>
              </w:rPr>
            </w:pPr>
            <w:r w:rsidRPr="00117DF2">
              <w:rPr>
                <w:sz w:val="22"/>
                <w:lang w:eastAsia="en-GB"/>
              </w:rPr>
              <w:t>Average of four tools</w:t>
            </w:r>
          </w:p>
        </w:tc>
      </w:tr>
      <w:tr w:rsidR="00484886" w:rsidRPr="00117DF2" w:rsidTr="00484886">
        <w:tc>
          <w:tcPr>
            <w:tcW w:w="0" w:type="auto"/>
            <w:shd w:val="clear" w:color="auto" w:fill="auto"/>
          </w:tcPr>
          <w:p w:rsidR="00484886" w:rsidRPr="00117DF2" w:rsidRDefault="00484886" w:rsidP="00613A3D">
            <w:pPr>
              <w:spacing w:after="0"/>
              <w:rPr>
                <w:lang w:eastAsia="en-GB"/>
              </w:rPr>
            </w:pPr>
            <w:r w:rsidRPr="00117DF2">
              <w:rPr>
                <w:lang w:eastAsia="en-GB"/>
              </w:rPr>
              <w:t>Site</w:t>
            </w:r>
            <w:r w:rsidR="00236DEA" w:rsidRPr="00117DF2">
              <w:rPr>
                <w:lang w:eastAsia="en-GB"/>
              </w:rPr>
              <w:t>-based</w:t>
            </w:r>
            <w:r w:rsidRPr="00117DF2">
              <w:rPr>
                <w:lang w:eastAsia="en-GB"/>
              </w:rPr>
              <w:t xml:space="preserve"> day</w:t>
            </w:r>
            <w:r w:rsidRPr="00117DF2" w:rsidDel="00484886">
              <w:rPr>
                <w:lang w:eastAsia="en-GB"/>
              </w:rPr>
              <w:t xml:space="preserve"> </w:t>
            </w:r>
          </w:p>
        </w:tc>
        <w:tc>
          <w:tcPr>
            <w:tcW w:w="0" w:type="auto"/>
          </w:tcPr>
          <w:p w:rsidR="00484886" w:rsidRPr="00117DF2" w:rsidRDefault="00484886" w:rsidP="00A859C9">
            <w:pPr>
              <w:pStyle w:val="TableCell"/>
              <w:rPr>
                <w:lang w:eastAsia="en-GB"/>
              </w:rPr>
            </w:pPr>
            <w:r w:rsidRPr="00117DF2">
              <w:rPr>
                <w:lang w:eastAsia="en-GB"/>
              </w:rPr>
              <w:t>7</w:t>
            </w:r>
          </w:p>
        </w:tc>
        <w:tc>
          <w:tcPr>
            <w:tcW w:w="0" w:type="auto"/>
            <w:shd w:val="clear" w:color="auto" w:fill="auto"/>
          </w:tcPr>
          <w:p w:rsidR="00484886" w:rsidRPr="00117DF2" w:rsidRDefault="00484886" w:rsidP="00A859C9">
            <w:pPr>
              <w:pStyle w:val="TableCell"/>
              <w:rPr>
                <w:lang w:eastAsia="en-GB"/>
              </w:rPr>
            </w:pPr>
            <w:r w:rsidRPr="00117DF2">
              <w:rPr>
                <w:lang w:eastAsia="en-GB"/>
              </w:rPr>
              <w:t>58.4</w:t>
            </w:r>
          </w:p>
        </w:tc>
        <w:tc>
          <w:tcPr>
            <w:tcW w:w="0" w:type="auto"/>
            <w:shd w:val="clear" w:color="auto" w:fill="auto"/>
          </w:tcPr>
          <w:p w:rsidR="00484886" w:rsidRPr="00117DF2" w:rsidRDefault="00484886" w:rsidP="00A859C9">
            <w:pPr>
              <w:pStyle w:val="TableCell"/>
              <w:rPr>
                <w:lang w:eastAsia="en-GB"/>
              </w:rPr>
            </w:pPr>
            <w:r w:rsidRPr="00117DF2">
              <w:rPr>
                <w:lang w:eastAsia="en-GB"/>
              </w:rPr>
              <w:t>54.1</w:t>
            </w:r>
          </w:p>
        </w:tc>
        <w:tc>
          <w:tcPr>
            <w:tcW w:w="0" w:type="auto"/>
            <w:shd w:val="clear" w:color="auto" w:fill="auto"/>
          </w:tcPr>
          <w:p w:rsidR="00484886" w:rsidRPr="00117DF2" w:rsidRDefault="008E1CD5" w:rsidP="00A859C9">
            <w:pPr>
              <w:pStyle w:val="TableCell"/>
              <w:rPr>
                <w:lang w:eastAsia="en-GB"/>
              </w:rPr>
            </w:pPr>
            <w:r w:rsidRPr="00117DF2">
              <w:rPr>
                <w:lang w:eastAsia="en-GB"/>
              </w:rPr>
              <w:t>45.1</w:t>
            </w:r>
          </w:p>
        </w:tc>
        <w:tc>
          <w:tcPr>
            <w:tcW w:w="0" w:type="auto"/>
            <w:shd w:val="clear" w:color="auto" w:fill="auto"/>
          </w:tcPr>
          <w:p w:rsidR="00484886" w:rsidRPr="00117DF2" w:rsidRDefault="008E1CD5" w:rsidP="00A859C9">
            <w:pPr>
              <w:pStyle w:val="TableCell"/>
              <w:rPr>
                <w:lang w:eastAsia="en-GB"/>
              </w:rPr>
            </w:pPr>
            <w:r w:rsidRPr="00117DF2">
              <w:rPr>
                <w:lang w:eastAsia="en-GB"/>
              </w:rPr>
              <w:t>31.7</w:t>
            </w:r>
          </w:p>
        </w:tc>
        <w:tc>
          <w:tcPr>
            <w:tcW w:w="0" w:type="auto"/>
            <w:shd w:val="clear" w:color="auto" w:fill="auto"/>
          </w:tcPr>
          <w:p w:rsidR="00484886" w:rsidRPr="00117DF2" w:rsidRDefault="008E1CD5" w:rsidP="00A859C9">
            <w:pPr>
              <w:pStyle w:val="TableCell"/>
              <w:rPr>
                <w:lang w:eastAsia="en-GB"/>
              </w:rPr>
            </w:pPr>
            <w:r w:rsidRPr="00117DF2">
              <w:rPr>
                <w:lang w:eastAsia="en-GB"/>
              </w:rPr>
              <w:t>47.9</w:t>
            </w:r>
          </w:p>
        </w:tc>
      </w:tr>
      <w:tr w:rsidR="00484886" w:rsidRPr="00117DF2" w:rsidTr="00484886">
        <w:tc>
          <w:tcPr>
            <w:tcW w:w="0" w:type="auto"/>
            <w:shd w:val="clear" w:color="auto" w:fill="auto"/>
          </w:tcPr>
          <w:p w:rsidR="00484886" w:rsidRPr="00117DF2" w:rsidRDefault="00484886" w:rsidP="00613A3D">
            <w:pPr>
              <w:spacing w:after="0"/>
              <w:rPr>
                <w:lang w:eastAsia="en-GB"/>
              </w:rPr>
            </w:pPr>
            <w:r w:rsidRPr="00117DF2">
              <w:rPr>
                <w:lang w:eastAsia="en-GB"/>
              </w:rPr>
              <w:t>Congregated</w:t>
            </w:r>
            <w:r w:rsidRPr="00117DF2" w:rsidDel="00484886">
              <w:rPr>
                <w:lang w:eastAsia="en-GB"/>
              </w:rPr>
              <w:t xml:space="preserve"> </w:t>
            </w:r>
          </w:p>
        </w:tc>
        <w:tc>
          <w:tcPr>
            <w:tcW w:w="0" w:type="auto"/>
          </w:tcPr>
          <w:p w:rsidR="00484886" w:rsidRPr="00117DF2" w:rsidRDefault="00484886" w:rsidP="00A859C9">
            <w:pPr>
              <w:pStyle w:val="TableCell"/>
              <w:rPr>
                <w:lang w:eastAsia="en-GB"/>
              </w:rPr>
            </w:pPr>
            <w:r w:rsidRPr="00117DF2">
              <w:rPr>
                <w:lang w:eastAsia="en-GB"/>
              </w:rPr>
              <w:t>7</w:t>
            </w:r>
          </w:p>
        </w:tc>
        <w:tc>
          <w:tcPr>
            <w:tcW w:w="0" w:type="auto"/>
            <w:shd w:val="clear" w:color="auto" w:fill="auto"/>
          </w:tcPr>
          <w:p w:rsidR="00484886" w:rsidRPr="00117DF2" w:rsidRDefault="00484886" w:rsidP="00A859C9">
            <w:pPr>
              <w:pStyle w:val="TableCell"/>
              <w:rPr>
                <w:lang w:eastAsia="en-GB"/>
              </w:rPr>
            </w:pPr>
            <w:r w:rsidRPr="00117DF2">
              <w:rPr>
                <w:lang w:eastAsia="en-GB"/>
              </w:rPr>
              <w:t>81.0</w:t>
            </w:r>
          </w:p>
        </w:tc>
        <w:tc>
          <w:tcPr>
            <w:tcW w:w="0" w:type="auto"/>
            <w:shd w:val="clear" w:color="auto" w:fill="auto"/>
          </w:tcPr>
          <w:p w:rsidR="00484886" w:rsidRPr="00117DF2" w:rsidRDefault="00484886" w:rsidP="00A859C9">
            <w:pPr>
              <w:pStyle w:val="TableCell"/>
              <w:rPr>
                <w:lang w:eastAsia="en-GB"/>
              </w:rPr>
            </w:pPr>
            <w:r w:rsidRPr="00117DF2">
              <w:rPr>
                <w:lang w:eastAsia="en-GB"/>
              </w:rPr>
              <w:t>84.6</w:t>
            </w:r>
          </w:p>
        </w:tc>
        <w:tc>
          <w:tcPr>
            <w:tcW w:w="0" w:type="auto"/>
            <w:shd w:val="clear" w:color="auto" w:fill="auto"/>
          </w:tcPr>
          <w:p w:rsidR="00484886" w:rsidRPr="00117DF2" w:rsidRDefault="008E1CD5" w:rsidP="00A859C9">
            <w:pPr>
              <w:pStyle w:val="TableCell"/>
              <w:rPr>
                <w:lang w:eastAsia="en-GB"/>
              </w:rPr>
            </w:pPr>
            <w:r w:rsidRPr="00117DF2">
              <w:rPr>
                <w:lang w:eastAsia="en-GB"/>
              </w:rPr>
              <w:t>88.4</w:t>
            </w:r>
          </w:p>
        </w:tc>
        <w:tc>
          <w:tcPr>
            <w:tcW w:w="0" w:type="auto"/>
            <w:shd w:val="clear" w:color="auto" w:fill="auto"/>
          </w:tcPr>
          <w:p w:rsidR="00484886" w:rsidRPr="00117DF2" w:rsidRDefault="008E1CD5" w:rsidP="00A859C9">
            <w:pPr>
              <w:pStyle w:val="TableCell"/>
              <w:rPr>
                <w:lang w:eastAsia="en-GB"/>
              </w:rPr>
            </w:pPr>
            <w:r w:rsidRPr="00117DF2">
              <w:rPr>
                <w:lang w:eastAsia="en-GB"/>
              </w:rPr>
              <w:t>82.3</w:t>
            </w:r>
          </w:p>
        </w:tc>
        <w:tc>
          <w:tcPr>
            <w:tcW w:w="0" w:type="auto"/>
            <w:shd w:val="clear" w:color="auto" w:fill="auto"/>
          </w:tcPr>
          <w:p w:rsidR="00484886" w:rsidRPr="00117DF2" w:rsidRDefault="008E1CD5" w:rsidP="00A859C9">
            <w:pPr>
              <w:pStyle w:val="TableCell"/>
              <w:rPr>
                <w:lang w:eastAsia="en-GB"/>
              </w:rPr>
            </w:pPr>
            <w:r w:rsidRPr="00117DF2">
              <w:rPr>
                <w:lang w:eastAsia="en-GB"/>
              </w:rPr>
              <w:t>81.3</w:t>
            </w:r>
          </w:p>
        </w:tc>
      </w:tr>
      <w:tr w:rsidR="00484886" w:rsidRPr="00117DF2" w:rsidTr="00484886">
        <w:tc>
          <w:tcPr>
            <w:tcW w:w="0" w:type="auto"/>
            <w:shd w:val="clear" w:color="auto" w:fill="auto"/>
          </w:tcPr>
          <w:p w:rsidR="00484886" w:rsidRPr="00117DF2" w:rsidRDefault="00484886" w:rsidP="00613A3D">
            <w:pPr>
              <w:spacing w:after="0"/>
              <w:rPr>
                <w:lang w:eastAsia="en-GB"/>
              </w:rPr>
            </w:pPr>
            <w:r w:rsidRPr="00117DF2">
              <w:rPr>
                <w:lang w:eastAsia="en-GB"/>
              </w:rPr>
              <w:t>Group home</w:t>
            </w:r>
            <w:r w:rsidRPr="00117DF2" w:rsidDel="00484886">
              <w:rPr>
                <w:lang w:eastAsia="en-GB"/>
              </w:rPr>
              <w:t xml:space="preserve"> </w:t>
            </w:r>
          </w:p>
        </w:tc>
        <w:tc>
          <w:tcPr>
            <w:tcW w:w="0" w:type="auto"/>
          </w:tcPr>
          <w:p w:rsidR="00484886" w:rsidRPr="00117DF2" w:rsidRDefault="00484886" w:rsidP="00A859C9">
            <w:pPr>
              <w:pStyle w:val="TableCell"/>
              <w:rPr>
                <w:lang w:eastAsia="en-GB"/>
              </w:rPr>
            </w:pPr>
            <w:r w:rsidRPr="00117DF2">
              <w:rPr>
                <w:lang w:eastAsia="en-GB"/>
              </w:rPr>
              <w:t>8</w:t>
            </w:r>
          </w:p>
        </w:tc>
        <w:tc>
          <w:tcPr>
            <w:tcW w:w="0" w:type="auto"/>
            <w:shd w:val="clear" w:color="auto" w:fill="auto"/>
          </w:tcPr>
          <w:p w:rsidR="00484886" w:rsidRPr="00117DF2" w:rsidRDefault="00484886" w:rsidP="00A859C9">
            <w:pPr>
              <w:pStyle w:val="TableCell"/>
              <w:rPr>
                <w:lang w:eastAsia="en-GB"/>
              </w:rPr>
            </w:pPr>
            <w:r w:rsidRPr="00117DF2">
              <w:rPr>
                <w:lang w:eastAsia="en-GB"/>
              </w:rPr>
              <w:t>43.5</w:t>
            </w:r>
          </w:p>
        </w:tc>
        <w:tc>
          <w:tcPr>
            <w:tcW w:w="0" w:type="auto"/>
            <w:shd w:val="clear" w:color="auto" w:fill="auto"/>
          </w:tcPr>
          <w:p w:rsidR="00484886" w:rsidRPr="00117DF2" w:rsidRDefault="00484886" w:rsidP="00A859C9">
            <w:pPr>
              <w:pStyle w:val="TableCell"/>
              <w:rPr>
                <w:lang w:eastAsia="en-GB"/>
              </w:rPr>
            </w:pPr>
            <w:r w:rsidRPr="00117DF2">
              <w:rPr>
                <w:lang w:eastAsia="en-GB"/>
              </w:rPr>
              <w:t>53.8</w:t>
            </w:r>
          </w:p>
        </w:tc>
        <w:tc>
          <w:tcPr>
            <w:tcW w:w="0" w:type="auto"/>
            <w:shd w:val="clear" w:color="auto" w:fill="auto"/>
          </w:tcPr>
          <w:p w:rsidR="00484886" w:rsidRPr="00117DF2" w:rsidRDefault="008E1CD5" w:rsidP="00A859C9">
            <w:pPr>
              <w:pStyle w:val="TableCell"/>
              <w:rPr>
                <w:lang w:eastAsia="en-GB"/>
              </w:rPr>
            </w:pPr>
            <w:r w:rsidRPr="00117DF2">
              <w:rPr>
                <w:lang w:eastAsia="en-GB"/>
              </w:rPr>
              <w:t>59.4</w:t>
            </w:r>
          </w:p>
        </w:tc>
        <w:tc>
          <w:tcPr>
            <w:tcW w:w="0" w:type="auto"/>
            <w:shd w:val="clear" w:color="auto" w:fill="auto"/>
          </w:tcPr>
          <w:p w:rsidR="00484886" w:rsidRPr="00117DF2" w:rsidRDefault="008E1CD5" w:rsidP="00A859C9">
            <w:pPr>
              <w:pStyle w:val="TableCell"/>
              <w:rPr>
                <w:lang w:eastAsia="en-GB"/>
              </w:rPr>
            </w:pPr>
            <w:r w:rsidRPr="00117DF2">
              <w:rPr>
                <w:lang w:eastAsia="en-GB"/>
              </w:rPr>
              <w:t>54.3</w:t>
            </w:r>
          </w:p>
        </w:tc>
        <w:tc>
          <w:tcPr>
            <w:tcW w:w="0" w:type="auto"/>
            <w:shd w:val="clear" w:color="auto" w:fill="auto"/>
          </w:tcPr>
          <w:p w:rsidR="00484886" w:rsidRPr="00117DF2" w:rsidRDefault="008E1CD5" w:rsidP="00A859C9">
            <w:pPr>
              <w:pStyle w:val="TableCell"/>
              <w:rPr>
                <w:lang w:eastAsia="en-GB"/>
              </w:rPr>
            </w:pPr>
            <w:r w:rsidRPr="00117DF2">
              <w:rPr>
                <w:lang w:eastAsia="en-GB"/>
              </w:rPr>
              <w:t>53.3</w:t>
            </w:r>
          </w:p>
        </w:tc>
      </w:tr>
      <w:tr w:rsidR="00484886" w:rsidRPr="00117DF2" w:rsidTr="00484886">
        <w:tc>
          <w:tcPr>
            <w:tcW w:w="0" w:type="auto"/>
            <w:shd w:val="clear" w:color="auto" w:fill="auto"/>
          </w:tcPr>
          <w:p w:rsidR="00484886" w:rsidRPr="00117DF2" w:rsidRDefault="00484886" w:rsidP="00613A3D">
            <w:pPr>
              <w:spacing w:after="0"/>
              <w:rPr>
                <w:lang w:eastAsia="en-GB"/>
              </w:rPr>
            </w:pPr>
            <w:r w:rsidRPr="00117DF2">
              <w:rPr>
                <w:lang w:eastAsia="en-GB"/>
              </w:rPr>
              <w:t>Non-site day</w:t>
            </w:r>
            <w:r w:rsidRPr="00117DF2" w:rsidDel="00484886">
              <w:rPr>
                <w:lang w:eastAsia="en-GB"/>
              </w:rPr>
              <w:t xml:space="preserve"> </w:t>
            </w:r>
          </w:p>
        </w:tc>
        <w:tc>
          <w:tcPr>
            <w:tcW w:w="0" w:type="auto"/>
          </w:tcPr>
          <w:p w:rsidR="00484886" w:rsidRPr="00117DF2" w:rsidRDefault="00484886" w:rsidP="00A859C9">
            <w:pPr>
              <w:pStyle w:val="TableCell"/>
              <w:rPr>
                <w:lang w:eastAsia="en-GB"/>
              </w:rPr>
            </w:pPr>
            <w:r w:rsidRPr="00117DF2">
              <w:rPr>
                <w:lang w:eastAsia="en-GB"/>
              </w:rPr>
              <w:t>18</w:t>
            </w:r>
          </w:p>
        </w:tc>
        <w:tc>
          <w:tcPr>
            <w:tcW w:w="0" w:type="auto"/>
            <w:shd w:val="clear" w:color="auto" w:fill="auto"/>
          </w:tcPr>
          <w:p w:rsidR="00484886" w:rsidRPr="00117DF2" w:rsidRDefault="00484886" w:rsidP="00A859C9">
            <w:pPr>
              <w:pStyle w:val="TableCell"/>
              <w:rPr>
                <w:lang w:eastAsia="en-GB"/>
              </w:rPr>
            </w:pPr>
            <w:r w:rsidRPr="00117DF2">
              <w:rPr>
                <w:lang w:eastAsia="en-GB"/>
              </w:rPr>
              <w:t>37.6</w:t>
            </w:r>
          </w:p>
        </w:tc>
        <w:tc>
          <w:tcPr>
            <w:tcW w:w="0" w:type="auto"/>
            <w:shd w:val="clear" w:color="auto" w:fill="auto"/>
          </w:tcPr>
          <w:p w:rsidR="00484886" w:rsidRPr="00117DF2" w:rsidRDefault="00484886" w:rsidP="00A859C9">
            <w:pPr>
              <w:pStyle w:val="TableCell"/>
              <w:rPr>
                <w:lang w:eastAsia="en-GB"/>
              </w:rPr>
            </w:pPr>
            <w:r w:rsidRPr="00117DF2">
              <w:rPr>
                <w:lang w:eastAsia="en-GB"/>
              </w:rPr>
              <w:t>33.2</w:t>
            </w:r>
          </w:p>
        </w:tc>
        <w:tc>
          <w:tcPr>
            <w:tcW w:w="0" w:type="auto"/>
            <w:shd w:val="clear" w:color="auto" w:fill="auto"/>
          </w:tcPr>
          <w:p w:rsidR="00484886" w:rsidRPr="00117DF2" w:rsidRDefault="008E1CD5" w:rsidP="00A859C9">
            <w:pPr>
              <w:pStyle w:val="TableCell"/>
              <w:rPr>
                <w:lang w:eastAsia="en-GB"/>
              </w:rPr>
            </w:pPr>
            <w:r w:rsidRPr="00117DF2">
              <w:rPr>
                <w:lang w:eastAsia="en-GB"/>
              </w:rPr>
              <w:t>32.8</w:t>
            </w:r>
          </w:p>
        </w:tc>
        <w:tc>
          <w:tcPr>
            <w:tcW w:w="0" w:type="auto"/>
            <w:shd w:val="clear" w:color="auto" w:fill="auto"/>
          </w:tcPr>
          <w:p w:rsidR="00484886" w:rsidRPr="00117DF2" w:rsidRDefault="008E1CD5" w:rsidP="00A859C9">
            <w:pPr>
              <w:pStyle w:val="TableCell"/>
              <w:rPr>
                <w:lang w:eastAsia="en-GB"/>
              </w:rPr>
            </w:pPr>
            <w:r w:rsidRPr="00117DF2">
              <w:rPr>
                <w:lang w:eastAsia="en-GB"/>
              </w:rPr>
              <w:t>43.0</w:t>
            </w:r>
          </w:p>
        </w:tc>
        <w:tc>
          <w:tcPr>
            <w:tcW w:w="0" w:type="auto"/>
            <w:shd w:val="clear" w:color="auto" w:fill="auto"/>
          </w:tcPr>
          <w:p w:rsidR="00484886" w:rsidRPr="00117DF2" w:rsidRDefault="008E1CD5" w:rsidP="00A859C9">
            <w:pPr>
              <w:pStyle w:val="TableCell"/>
              <w:rPr>
                <w:lang w:eastAsia="en-GB"/>
              </w:rPr>
            </w:pPr>
            <w:r w:rsidRPr="00117DF2">
              <w:rPr>
                <w:lang w:eastAsia="en-GB"/>
              </w:rPr>
              <w:t>37.2</w:t>
            </w:r>
          </w:p>
        </w:tc>
      </w:tr>
      <w:tr w:rsidR="00484886" w:rsidRPr="00117DF2" w:rsidTr="00484886">
        <w:tc>
          <w:tcPr>
            <w:tcW w:w="0" w:type="auto"/>
            <w:shd w:val="clear" w:color="auto" w:fill="auto"/>
          </w:tcPr>
          <w:p w:rsidR="00484886" w:rsidRPr="00117DF2" w:rsidRDefault="00484886" w:rsidP="00613A3D">
            <w:pPr>
              <w:spacing w:after="0"/>
              <w:rPr>
                <w:b/>
                <w:lang w:eastAsia="en-GB"/>
              </w:rPr>
            </w:pPr>
            <w:r w:rsidRPr="00117DF2">
              <w:rPr>
                <w:b/>
                <w:lang w:eastAsia="en-GB"/>
              </w:rPr>
              <w:t>Total</w:t>
            </w:r>
          </w:p>
        </w:tc>
        <w:tc>
          <w:tcPr>
            <w:tcW w:w="0" w:type="auto"/>
          </w:tcPr>
          <w:p w:rsidR="00484886" w:rsidRPr="00117DF2" w:rsidRDefault="00484886" w:rsidP="00A859C9">
            <w:pPr>
              <w:pStyle w:val="TableCell"/>
              <w:rPr>
                <w:lang w:eastAsia="en-GB"/>
              </w:rPr>
            </w:pPr>
            <w:r w:rsidRPr="00117DF2">
              <w:rPr>
                <w:lang w:eastAsia="en-GB"/>
              </w:rPr>
              <w:t>40</w:t>
            </w:r>
          </w:p>
        </w:tc>
        <w:tc>
          <w:tcPr>
            <w:tcW w:w="0" w:type="auto"/>
            <w:shd w:val="clear" w:color="auto" w:fill="auto"/>
          </w:tcPr>
          <w:p w:rsidR="00484886" w:rsidRPr="00117DF2" w:rsidRDefault="00484886" w:rsidP="008E1CD5">
            <w:pPr>
              <w:pStyle w:val="TableCell"/>
              <w:rPr>
                <w:lang w:eastAsia="en-GB"/>
              </w:rPr>
            </w:pPr>
            <w:r w:rsidRPr="00117DF2">
              <w:rPr>
                <w:lang w:eastAsia="en-GB"/>
              </w:rPr>
              <w:t>50.0</w:t>
            </w:r>
          </w:p>
        </w:tc>
        <w:tc>
          <w:tcPr>
            <w:tcW w:w="0" w:type="auto"/>
            <w:shd w:val="clear" w:color="auto" w:fill="auto"/>
          </w:tcPr>
          <w:p w:rsidR="00484886" w:rsidRPr="00117DF2" w:rsidRDefault="008E1CD5" w:rsidP="00A859C9">
            <w:pPr>
              <w:pStyle w:val="TableCell"/>
              <w:rPr>
                <w:lang w:eastAsia="en-GB"/>
              </w:rPr>
            </w:pPr>
            <w:r w:rsidRPr="00117DF2">
              <w:rPr>
                <w:lang w:eastAsia="en-GB"/>
              </w:rPr>
              <w:t>50.0</w:t>
            </w:r>
          </w:p>
        </w:tc>
        <w:tc>
          <w:tcPr>
            <w:tcW w:w="0" w:type="auto"/>
            <w:shd w:val="clear" w:color="auto" w:fill="auto"/>
          </w:tcPr>
          <w:p w:rsidR="00484886" w:rsidRPr="00117DF2" w:rsidRDefault="008E1CD5" w:rsidP="00A859C9">
            <w:pPr>
              <w:pStyle w:val="TableCell"/>
              <w:rPr>
                <w:lang w:eastAsia="en-GB"/>
              </w:rPr>
            </w:pPr>
            <w:r w:rsidRPr="00117DF2">
              <w:rPr>
                <w:lang w:eastAsia="en-GB"/>
              </w:rPr>
              <w:t>50.0</w:t>
            </w:r>
          </w:p>
        </w:tc>
        <w:tc>
          <w:tcPr>
            <w:tcW w:w="0" w:type="auto"/>
            <w:shd w:val="clear" w:color="auto" w:fill="auto"/>
          </w:tcPr>
          <w:p w:rsidR="00484886" w:rsidRPr="00117DF2" w:rsidRDefault="00A97278" w:rsidP="00A859C9">
            <w:pPr>
              <w:pStyle w:val="TableCell"/>
              <w:rPr>
                <w:lang w:eastAsia="en-GB"/>
              </w:rPr>
            </w:pPr>
            <w:r w:rsidRPr="00117DF2">
              <w:rPr>
                <w:lang w:eastAsia="en-GB"/>
              </w:rPr>
              <w:t>50.1</w:t>
            </w:r>
          </w:p>
        </w:tc>
        <w:tc>
          <w:tcPr>
            <w:tcW w:w="0" w:type="auto"/>
            <w:shd w:val="clear" w:color="auto" w:fill="auto"/>
          </w:tcPr>
          <w:p w:rsidR="00484886" w:rsidRPr="00117DF2" w:rsidRDefault="00A97278" w:rsidP="00A859C9">
            <w:pPr>
              <w:pStyle w:val="TableCell"/>
              <w:rPr>
                <w:lang w:eastAsia="en-GB"/>
              </w:rPr>
            </w:pPr>
            <w:r w:rsidRPr="00117DF2">
              <w:rPr>
                <w:lang w:eastAsia="en-GB"/>
              </w:rPr>
              <w:t>50.0</w:t>
            </w:r>
          </w:p>
        </w:tc>
      </w:tr>
    </w:tbl>
    <w:p w:rsidR="00D279C2" w:rsidRPr="00117DF2" w:rsidRDefault="00D279C2" w:rsidP="00D279C2">
      <w:pPr>
        <w:pStyle w:val="TableNote"/>
      </w:pPr>
      <w:r w:rsidRPr="00117DF2">
        <w:t>Source: NDA</w:t>
      </w:r>
      <w:r w:rsidR="00DA2E47" w:rsidRPr="00117DF2">
        <w:t xml:space="preserve"> from QRS</w:t>
      </w:r>
    </w:p>
    <w:p w:rsidR="00460532" w:rsidRPr="00117DF2" w:rsidRDefault="00E45F5E" w:rsidP="001E7589">
      <w:pPr>
        <w:rPr>
          <w:lang w:eastAsia="en-GB"/>
        </w:rPr>
      </w:pPr>
      <w:r w:rsidRPr="00117DF2">
        <w:rPr>
          <w:lang w:eastAsia="en-GB"/>
        </w:rPr>
        <w:t xml:space="preserve">Appendix </w:t>
      </w:r>
      <w:r w:rsidR="00BE1A58" w:rsidRPr="00117DF2">
        <w:rPr>
          <w:lang w:eastAsia="en-GB"/>
        </w:rPr>
        <w:t>1</w:t>
      </w:r>
      <w:r w:rsidRPr="00117DF2">
        <w:rPr>
          <w:lang w:eastAsia="en-GB"/>
        </w:rPr>
        <w:t xml:space="preserve"> has other breakdowns by gender, challenging behaviour and mental health status – non</w:t>
      </w:r>
      <w:r w:rsidR="00B47584" w:rsidRPr="00117DF2">
        <w:rPr>
          <w:lang w:eastAsia="en-GB"/>
        </w:rPr>
        <w:t>e</w:t>
      </w:r>
      <w:r w:rsidRPr="00117DF2">
        <w:rPr>
          <w:lang w:eastAsia="en-GB"/>
        </w:rPr>
        <w:t xml:space="preserve"> of these breakdowns are statistically significant.</w:t>
      </w:r>
    </w:p>
    <w:p w:rsidR="00236DEA" w:rsidRPr="00117DF2" w:rsidRDefault="00236DEA" w:rsidP="001E7589">
      <w:pPr>
        <w:rPr>
          <w:lang w:eastAsia="en-GB"/>
        </w:rPr>
      </w:pPr>
      <w:r w:rsidRPr="00117DF2">
        <w:rPr>
          <w:lang w:eastAsia="en-GB"/>
        </w:rPr>
        <w:t>In conclusion, a</w:t>
      </w:r>
      <w:r w:rsidR="00174D2B" w:rsidRPr="00117DF2">
        <w:rPr>
          <w:lang w:eastAsia="en-GB"/>
        </w:rPr>
        <w:t>ll four tools are highly correlated with each other so therefore could be sa</w:t>
      </w:r>
      <w:r w:rsidRPr="00117DF2">
        <w:rPr>
          <w:lang w:eastAsia="en-GB"/>
        </w:rPr>
        <w:t xml:space="preserve">id to reflect underlying need. </w:t>
      </w:r>
      <w:r w:rsidR="00174D2B" w:rsidRPr="00117DF2">
        <w:rPr>
          <w:lang w:eastAsia="en-GB"/>
        </w:rPr>
        <w:t xml:space="preserve">However, </w:t>
      </w:r>
      <w:r w:rsidR="00971C15" w:rsidRPr="00117DF2">
        <w:rPr>
          <w:lang w:eastAsia="en-GB"/>
        </w:rPr>
        <w:t>some</w:t>
      </w:r>
      <w:r w:rsidR="00174D2B" w:rsidRPr="00117DF2">
        <w:rPr>
          <w:lang w:eastAsia="en-GB"/>
        </w:rPr>
        <w:t xml:space="preserve"> tool</w:t>
      </w:r>
      <w:r w:rsidR="00971C15" w:rsidRPr="00117DF2">
        <w:rPr>
          <w:lang w:eastAsia="en-GB"/>
        </w:rPr>
        <w:t>s</w:t>
      </w:r>
      <w:r w:rsidR="00174D2B" w:rsidRPr="00117DF2">
        <w:rPr>
          <w:lang w:eastAsia="en-GB"/>
        </w:rPr>
        <w:t xml:space="preserve"> </w:t>
      </w:r>
      <w:r w:rsidR="001C5B6E" w:rsidRPr="00117DF2">
        <w:rPr>
          <w:lang w:eastAsia="en-GB"/>
        </w:rPr>
        <w:t>show</w:t>
      </w:r>
      <w:r w:rsidR="00174D2B" w:rsidRPr="00117DF2">
        <w:rPr>
          <w:lang w:eastAsia="en-GB"/>
        </w:rPr>
        <w:t xml:space="preserve"> </w:t>
      </w:r>
      <w:r w:rsidR="00C01317" w:rsidRPr="00117DF2">
        <w:rPr>
          <w:lang w:eastAsia="en-GB"/>
        </w:rPr>
        <w:t xml:space="preserve">small differences </w:t>
      </w:r>
      <w:r w:rsidR="00174D2B" w:rsidRPr="00117DF2">
        <w:rPr>
          <w:lang w:eastAsia="en-GB"/>
        </w:rPr>
        <w:t xml:space="preserve">based on disability or </w:t>
      </w:r>
      <w:r w:rsidRPr="00117DF2">
        <w:rPr>
          <w:lang w:eastAsia="en-GB"/>
        </w:rPr>
        <w:t xml:space="preserve">the type of current </w:t>
      </w:r>
      <w:r w:rsidR="00174D2B" w:rsidRPr="00117DF2">
        <w:rPr>
          <w:lang w:eastAsia="en-GB"/>
        </w:rPr>
        <w:t>service</w:t>
      </w:r>
      <w:r w:rsidRPr="00117DF2">
        <w:rPr>
          <w:lang w:eastAsia="en-GB"/>
        </w:rPr>
        <w:t xml:space="preserve"> received</w:t>
      </w:r>
      <w:r w:rsidR="00174D2B" w:rsidRPr="00117DF2">
        <w:rPr>
          <w:lang w:eastAsia="en-GB"/>
        </w:rPr>
        <w:t xml:space="preserve">. </w:t>
      </w:r>
      <w:r w:rsidRPr="00117DF2">
        <w:rPr>
          <w:lang w:eastAsia="en-GB"/>
        </w:rPr>
        <w:t xml:space="preserve">To that extent, the choice of tool may make a difference as to how an individual will be scored. </w:t>
      </w:r>
    </w:p>
    <w:p w:rsidR="00024820" w:rsidRPr="00117DF2" w:rsidRDefault="00024820" w:rsidP="00236DEA">
      <w:pPr>
        <w:pStyle w:val="Heading1"/>
        <w:rPr>
          <w:lang w:val="en-IE"/>
        </w:rPr>
      </w:pPr>
      <w:r w:rsidRPr="00117DF2">
        <w:rPr>
          <w:lang w:val="en-IE"/>
        </w:rPr>
        <w:t>Cost of introducing an assessment tool</w:t>
      </w:r>
    </w:p>
    <w:p w:rsidR="00B47584" w:rsidRPr="00117DF2" w:rsidRDefault="00B47584" w:rsidP="00484886">
      <w:pPr>
        <w:spacing w:after="120"/>
      </w:pPr>
      <w:r w:rsidRPr="00117DF2">
        <w:t xml:space="preserve">The cost of </w:t>
      </w:r>
      <w:r w:rsidR="00236DEA" w:rsidRPr="00117DF2">
        <w:t>administerin</w:t>
      </w:r>
      <w:r w:rsidR="0075420A" w:rsidRPr="00117DF2">
        <w:t xml:space="preserve">g any of the </w:t>
      </w:r>
      <w:r w:rsidRPr="00117DF2">
        <w:t>assessment tools includes</w:t>
      </w:r>
      <w:r w:rsidR="00AB55A0" w:rsidRPr="00117DF2">
        <w:t xml:space="preserve"> various factors such as</w:t>
      </w:r>
      <w:r w:rsidRPr="00117DF2">
        <w:t>:</w:t>
      </w:r>
    </w:p>
    <w:p w:rsidR="00B47584" w:rsidRPr="00117DF2" w:rsidRDefault="00AB55A0" w:rsidP="00B47584">
      <w:pPr>
        <w:pStyle w:val="ListBullet"/>
      </w:pPr>
      <w:r w:rsidRPr="00117DF2">
        <w:t>The s</w:t>
      </w:r>
      <w:r w:rsidR="00B47584" w:rsidRPr="00117DF2">
        <w:t>taff time to administer the assessment tool</w:t>
      </w:r>
      <w:r w:rsidRPr="00117DF2">
        <w:t xml:space="preserve">. </w:t>
      </w:r>
      <w:r w:rsidR="00236DEA" w:rsidRPr="00117DF2">
        <w:t>S</w:t>
      </w:r>
      <w:r w:rsidRPr="00117DF2">
        <w:t xml:space="preserve">taff time </w:t>
      </w:r>
      <w:r w:rsidR="00651DD7" w:rsidRPr="00117DF2">
        <w:t xml:space="preserve">will obviously vary depending on </w:t>
      </w:r>
      <w:r w:rsidR="00236DEA" w:rsidRPr="00117DF2">
        <w:t>whether the tool is administered by staff external or internal to the service provider</w:t>
      </w:r>
      <w:r w:rsidR="00651DD7" w:rsidRPr="00117DF2">
        <w:t xml:space="preserve">, whether it is </w:t>
      </w:r>
      <w:r w:rsidR="00D03122" w:rsidRPr="00117DF2">
        <w:t xml:space="preserve">integrated into existing assessment practices </w:t>
      </w:r>
      <w:r w:rsidR="00236DEA" w:rsidRPr="00117DF2">
        <w:t>or is a stand alone exercise. The pricing of staff time in doing the assessments will vary depending on the grade and pay rate of the staff conducting the assessments</w:t>
      </w:r>
      <w:r w:rsidR="00E564E3" w:rsidRPr="00117DF2">
        <w:t>.</w:t>
      </w:r>
    </w:p>
    <w:p w:rsidR="00B47584" w:rsidRPr="00117DF2" w:rsidRDefault="00C60BF8" w:rsidP="00B47584">
      <w:pPr>
        <w:pStyle w:val="ListBullet"/>
      </w:pPr>
      <w:r w:rsidRPr="00117DF2">
        <w:t>Licensing</w:t>
      </w:r>
      <w:r w:rsidR="00B47584" w:rsidRPr="00117DF2">
        <w:t xml:space="preserve"> costs for the assessment tool</w:t>
      </w:r>
      <w:r w:rsidR="00F836F2" w:rsidRPr="00117DF2">
        <w:t xml:space="preserve">. </w:t>
      </w:r>
      <w:r w:rsidR="00D03122" w:rsidRPr="00117DF2">
        <w:t xml:space="preserve">These might include direct costs of licensing the tool or indirect licensing costs through </w:t>
      </w:r>
      <w:r w:rsidR="00AB55A0" w:rsidRPr="00117DF2">
        <w:t>having to</w:t>
      </w:r>
      <w:r w:rsidR="00D03122" w:rsidRPr="00117DF2">
        <w:t xml:space="preserve"> use a preferred supplier for IT software and/or hardware.</w:t>
      </w:r>
    </w:p>
    <w:p w:rsidR="00B47584" w:rsidRPr="00117DF2" w:rsidRDefault="00C60BF8" w:rsidP="00B47584">
      <w:pPr>
        <w:pStyle w:val="ListBullet"/>
      </w:pPr>
      <w:r w:rsidRPr="00117DF2">
        <w:t>Training costs</w:t>
      </w:r>
    </w:p>
    <w:p w:rsidR="00C60BF8" w:rsidRPr="00117DF2" w:rsidRDefault="00C60BF8" w:rsidP="00B47584">
      <w:pPr>
        <w:pStyle w:val="ListBullet"/>
      </w:pPr>
      <w:r w:rsidRPr="00117DF2">
        <w:t>Travel costs</w:t>
      </w:r>
      <w:r w:rsidR="002E6546" w:rsidRPr="00117DF2">
        <w:t xml:space="preserve"> for staff to travel to assessment</w:t>
      </w:r>
    </w:p>
    <w:p w:rsidR="00C60BF8" w:rsidRPr="00117DF2" w:rsidRDefault="00C60BF8" w:rsidP="00484886">
      <w:pPr>
        <w:pStyle w:val="ListBullet"/>
        <w:spacing w:after="240"/>
        <w:ind w:left="357" w:hanging="357"/>
      </w:pPr>
      <w:r w:rsidRPr="00117DF2">
        <w:t>Hardware</w:t>
      </w:r>
      <w:r w:rsidR="00A859C9" w:rsidRPr="00117DF2">
        <w:t xml:space="preserve"> and software </w:t>
      </w:r>
      <w:r w:rsidRPr="00117DF2">
        <w:t xml:space="preserve">costs </w:t>
      </w:r>
    </w:p>
    <w:p w:rsidR="00C60BF8" w:rsidRPr="00117DF2" w:rsidRDefault="00C60BF8" w:rsidP="00C60BF8">
      <w:r w:rsidRPr="00117DF2">
        <w:t>Many of these costs are dependent on decisions</w:t>
      </w:r>
      <w:r w:rsidR="00DA2E47" w:rsidRPr="00117DF2">
        <w:t xml:space="preserve"> about how the tool is to be used</w:t>
      </w:r>
      <w:r w:rsidRPr="00117DF2">
        <w:t>, for instance how many people are t</w:t>
      </w:r>
      <w:r w:rsidR="002E6546" w:rsidRPr="00117DF2">
        <w:t xml:space="preserve">o be assessed, </w:t>
      </w:r>
      <w:r w:rsidR="000E74B3" w:rsidRPr="00117DF2">
        <w:t xml:space="preserve">how often </w:t>
      </w:r>
      <w:r w:rsidR="00923AAC" w:rsidRPr="00117DF2">
        <w:t>individuals are</w:t>
      </w:r>
      <w:r w:rsidR="000E74B3" w:rsidRPr="00117DF2">
        <w:t xml:space="preserve"> </w:t>
      </w:r>
      <w:r w:rsidRPr="00117DF2">
        <w:t>reassessed</w:t>
      </w:r>
      <w:r w:rsidR="000E74B3" w:rsidRPr="00117DF2">
        <w:t xml:space="preserve"> and</w:t>
      </w:r>
      <w:r w:rsidRPr="00117DF2">
        <w:t xml:space="preserve"> which staff </w:t>
      </w:r>
      <w:r w:rsidR="002E6546" w:rsidRPr="00117DF2">
        <w:t>do</w:t>
      </w:r>
      <w:r w:rsidRPr="00117DF2">
        <w:t xml:space="preserve"> the assessment. Other costs are dependent on the tendering process.</w:t>
      </w:r>
      <w:r w:rsidR="00DA2E47" w:rsidRPr="00117DF2">
        <w:t xml:space="preserve"> Finally some costs are dependent on the particular configuration of the tool: is it copyrighted, does it need special software or hardware and so on.</w:t>
      </w:r>
    </w:p>
    <w:p w:rsidR="00CA264D" w:rsidRPr="00117DF2" w:rsidRDefault="00CA264D" w:rsidP="00CA264D">
      <w:pPr>
        <w:pStyle w:val="TableTitle"/>
        <w:rPr>
          <w:lang w:eastAsia="en-GB"/>
        </w:rPr>
      </w:pPr>
      <w:r w:rsidRPr="00117DF2">
        <w:t xml:space="preserve">Table 8: </w:t>
      </w:r>
      <w:r w:rsidR="004F2B0D" w:rsidRPr="00117DF2">
        <w:t xml:space="preserve">Relative </w:t>
      </w:r>
      <w:r w:rsidRPr="00117DF2">
        <w:t xml:space="preserve">costs </w:t>
      </w:r>
      <w:r w:rsidR="00923AAC" w:rsidRPr="00117DF2">
        <w:t xml:space="preserve">associated with each tool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4077"/>
        <w:gridCol w:w="942"/>
        <w:gridCol w:w="1211"/>
        <w:gridCol w:w="1291"/>
        <w:gridCol w:w="1270"/>
      </w:tblGrid>
      <w:tr w:rsidR="00CA264D" w:rsidRPr="00117DF2" w:rsidTr="00FD6A98">
        <w:tblPrEx>
          <w:tblCellMar>
            <w:top w:w="0" w:type="dxa"/>
            <w:bottom w:w="0" w:type="dxa"/>
          </w:tblCellMar>
        </w:tblPrEx>
        <w:trPr>
          <w:tblHeader/>
        </w:trPr>
        <w:tc>
          <w:tcPr>
            <w:tcW w:w="2327" w:type="pct"/>
            <w:tcBorders>
              <w:bottom w:val="single" w:sz="12" w:space="0" w:color="000000"/>
            </w:tcBorders>
            <w:shd w:val="clear" w:color="auto" w:fill="auto"/>
          </w:tcPr>
          <w:p w:rsidR="00CA264D" w:rsidRPr="00117DF2" w:rsidRDefault="00CA264D" w:rsidP="00CA264D">
            <w:pPr>
              <w:pStyle w:val="TableHead"/>
              <w:jc w:val="right"/>
            </w:pPr>
            <w:r w:rsidRPr="00117DF2">
              <w:t>Cost source</w:t>
            </w:r>
          </w:p>
        </w:tc>
        <w:tc>
          <w:tcPr>
            <w:tcW w:w="521" w:type="pct"/>
            <w:tcBorders>
              <w:bottom w:val="single" w:sz="12" w:space="0" w:color="000000"/>
            </w:tcBorders>
            <w:shd w:val="clear" w:color="auto" w:fill="auto"/>
          </w:tcPr>
          <w:p w:rsidR="00CA264D" w:rsidRPr="00117DF2" w:rsidRDefault="00CA264D" w:rsidP="00CA264D">
            <w:pPr>
              <w:pStyle w:val="TableHead"/>
              <w:rPr>
                <w:lang w:eastAsia="en-GB"/>
              </w:rPr>
            </w:pPr>
            <w:r w:rsidRPr="00117DF2">
              <w:rPr>
                <w:lang w:eastAsia="en-GB"/>
              </w:rPr>
              <w:t xml:space="preserve">FACE </w:t>
            </w:r>
          </w:p>
        </w:tc>
        <w:tc>
          <w:tcPr>
            <w:tcW w:w="697" w:type="pct"/>
            <w:tcBorders>
              <w:bottom w:val="single" w:sz="12" w:space="0" w:color="000000"/>
            </w:tcBorders>
            <w:shd w:val="clear" w:color="auto" w:fill="auto"/>
          </w:tcPr>
          <w:p w:rsidR="00CA264D" w:rsidRPr="00117DF2" w:rsidRDefault="00F836F2" w:rsidP="004F2B0D">
            <w:pPr>
              <w:pStyle w:val="TableHead"/>
              <w:jc w:val="right"/>
              <w:rPr>
                <w:lang w:eastAsia="en-GB"/>
              </w:rPr>
            </w:pPr>
            <w:r w:rsidRPr="00117DF2">
              <w:rPr>
                <w:lang w:eastAsia="en-GB"/>
              </w:rPr>
              <w:t>RAS 5</w:t>
            </w:r>
          </w:p>
        </w:tc>
        <w:tc>
          <w:tcPr>
            <w:tcW w:w="742" w:type="pct"/>
            <w:tcBorders>
              <w:bottom w:val="single" w:sz="12" w:space="0" w:color="000000"/>
            </w:tcBorders>
            <w:shd w:val="clear" w:color="auto" w:fill="auto"/>
          </w:tcPr>
          <w:p w:rsidR="00CA264D" w:rsidRPr="00117DF2" w:rsidRDefault="00CA264D" w:rsidP="004F2B0D">
            <w:pPr>
              <w:pStyle w:val="TableHead"/>
              <w:jc w:val="right"/>
              <w:rPr>
                <w:lang w:eastAsia="en-GB"/>
              </w:rPr>
            </w:pPr>
            <w:r w:rsidRPr="00117DF2">
              <w:rPr>
                <w:lang w:eastAsia="en-GB"/>
              </w:rPr>
              <w:t>SIS</w:t>
            </w:r>
          </w:p>
        </w:tc>
        <w:tc>
          <w:tcPr>
            <w:tcW w:w="712" w:type="pct"/>
            <w:tcBorders>
              <w:bottom w:val="single" w:sz="12" w:space="0" w:color="000000"/>
            </w:tcBorders>
            <w:shd w:val="clear" w:color="auto" w:fill="auto"/>
          </w:tcPr>
          <w:p w:rsidR="00CA264D" w:rsidRPr="00117DF2" w:rsidRDefault="000F608B" w:rsidP="004F2B0D">
            <w:pPr>
              <w:pStyle w:val="TableHead"/>
              <w:jc w:val="right"/>
              <w:rPr>
                <w:lang w:eastAsia="en-GB"/>
              </w:rPr>
            </w:pPr>
            <w:r w:rsidRPr="00117DF2">
              <w:rPr>
                <w:lang w:eastAsia="en-GB"/>
              </w:rPr>
              <w:t xml:space="preserve"> interRAI</w:t>
            </w:r>
          </w:p>
        </w:tc>
      </w:tr>
      <w:tr w:rsidR="00CA264D" w:rsidRPr="00117DF2" w:rsidTr="00FD6A98">
        <w:tblPrEx>
          <w:tblCellMar>
            <w:top w:w="0" w:type="dxa"/>
            <w:bottom w:w="0" w:type="dxa"/>
          </w:tblCellMar>
        </w:tblPrEx>
        <w:tc>
          <w:tcPr>
            <w:tcW w:w="2327" w:type="pct"/>
            <w:tcBorders>
              <w:top w:val="single" w:sz="12" w:space="0" w:color="000000"/>
            </w:tcBorders>
            <w:shd w:val="clear" w:color="auto" w:fill="auto"/>
          </w:tcPr>
          <w:p w:rsidR="00CA264D" w:rsidRPr="00117DF2" w:rsidRDefault="00F836F2" w:rsidP="00F836F2">
            <w:pPr>
              <w:pStyle w:val="TableRowHead"/>
            </w:pPr>
            <w:r w:rsidRPr="00117DF2">
              <w:t>S</w:t>
            </w:r>
            <w:r w:rsidR="00CA264D" w:rsidRPr="00117DF2">
              <w:t>taff time – average length of interview</w:t>
            </w:r>
          </w:p>
        </w:tc>
        <w:tc>
          <w:tcPr>
            <w:tcW w:w="521" w:type="pct"/>
            <w:tcBorders>
              <w:top w:val="single" w:sz="12" w:space="0" w:color="000000"/>
            </w:tcBorders>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57.03</w:t>
            </w:r>
          </w:p>
        </w:tc>
        <w:tc>
          <w:tcPr>
            <w:tcW w:w="697" w:type="pct"/>
            <w:tcBorders>
              <w:top w:val="single" w:sz="12" w:space="0" w:color="000000"/>
            </w:tcBorders>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32.55</w:t>
            </w:r>
          </w:p>
        </w:tc>
        <w:tc>
          <w:tcPr>
            <w:tcW w:w="742" w:type="pct"/>
            <w:tcBorders>
              <w:top w:val="single" w:sz="12" w:space="0" w:color="000000"/>
            </w:tcBorders>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59.79</w:t>
            </w:r>
          </w:p>
        </w:tc>
        <w:tc>
          <w:tcPr>
            <w:tcW w:w="712" w:type="pct"/>
            <w:tcBorders>
              <w:top w:val="single" w:sz="12" w:space="0" w:color="000000"/>
            </w:tcBorders>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60.73</w:t>
            </w:r>
          </w:p>
        </w:tc>
      </w:tr>
      <w:tr w:rsidR="00923AAC" w:rsidRPr="00117DF2" w:rsidTr="00FD6A98">
        <w:tblPrEx>
          <w:tblCellMar>
            <w:top w:w="0" w:type="dxa"/>
            <w:bottom w:w="0" w:type="dxa"/>
          </w:tblCellMar>
        </w:tblPrEx>
        <w:tc>
          <w:tcPr>
            <w:tcW w:w="2327" w:type="pct"/>
            <w:shd w:val="clear" w:color="auto" w:fill="auto"/>
          </w:tcPr>
          <w:p w:rsidR="00923AAC" w:rsidRPr="00117DF2" w:rsidRDefault="00923AAC" w:rsidP="00CA264D">
            <w:pPr>
              <w:pStyle w:val="TableRowHead"/>
            </w:pPr>
            <w:r w:rsidRPr="00117DF2">
              <w:t>Number of assessments</w:t>
            </w:r>
          </w:p>
        </w:tc>
        <w:tc>
          <w:tcPr>
            <w:tcW w:w="521" w:type="pct"/>
            <w:shd w:val="clear" w:color="auto" w:fill="auto"/>
          </w:tcPr>
          <w:p w:rsidR="00923AAC" w:rsidRPr="00117DF2" w:rsidRDefault="00923AAC" w:rsidP="00486871">
            <w:pPr>
              <w:spacing w:after="0"/>
              <w:jc w:val="right"/>
              <w:rPr>
                <w:rFonts w:eastAsia="SimSun" w:cs="Arial"/>
                <w:szCs w:val="26"/>
                <w:lang w:eastAsia="en-GB"/>
              </w:rPr>
            </w:pPr>
            <w:r w:rsidRPr="00117DF2">
              <w:rPr>
                <w:rFonts w:eastAsia="SimSun" w:cs="Arial"/>
                <w:szCs w:val="26"/>
                <w:lang w:eastAsia="en-GB"/>
              </w:rPr>
              <w:t>Same</w:t>
            </w:r>
          </w:p>
        </w:tc>
        <w:tc>
          <w:tcPr>
            <w:tcW w:w="697" w:type="pct"/>
            <w:shd w:val="clear" w:color="auto" w:fill="auto"/>
          </w:tcPr>
          <w:p w:rsidR="00923AAC" w:rsidRPr="00117DF2" w:rsidRDefault="00923AAC" w:rsidP="00486871">
            <w:pPr>
              <w:spacing w:after="0"/>
              <w:jc w:val="right"/>
              <w:rPr>
                <w:rFonts w:eastAsia="SimSun" w:cs="Arial"/>
                <w:szCs w:val="26"/>
                <w:lang w:eastAsia="en-GB"/>
              </w:rPr>
            </w:pPr>
            <w:r w:rsidRPr="00117DF2">
              <w:rPr>
                <w:rFonts w:eastAsia="SimSun" w:cs="Arial"/>
                <w:szCs w:val="26"/>
                <w:lang w:eastAsia="en-GB"/>
              </w:rPr>
              <w:t>Same</w:t>
            </w:r>
          </w:p>
        </w:tc>
        <w:tc>
          <w:tcPr>
            <w:tcW w:w="742" w:type="pct"/>
            <w:shd w:val="clear" w:color="auto" w:fill="auto"/>
          </w:tcPr>
          <w:p w:rsidR="00923AAC" w:rsidRPr="00117DF2" w:rsidRDefault="00923AAC" w:rsidP="00486871">
            <w:pPr>
              <w:spacing w:after="0"/>
              <w:jc w:val="right"/>
              <w:rPr>
                <w:rFonts w:eastAsia="SimSun" w:cs="Arial"/>
                <w:szCs w:val="26"/>
                <w:lang w:eastAsia="en-GB"/>
              </w:rPr>
            </w:pPr>
            <w:r w:rsidRPr="00117DF2">
              <w:rPr>
                <w:rFonts w:eastAsia="SimSun" w:cs="Arial"/>
                <w:szCs w:val="26"/>
                <w:lang w:eastAsia="en-GB"/>
              </w:rPr>
              <w:t>Same</w:t>
            </w:r>
          </w:p>
        </w:tc>
        <w:tc>
          <w:tcPr>
            <w:tcW w:w="712" w:type="pct"/>
            <w:shd w:val="clear" w:color="auto" w:fill="auto"/>
          </w:tcPr>
          <w:p w:rsidR="00923AAC" w:rsidRPr="00117DF2" w:rsidRDefault="00923AAC" w:rsidP="00486871">
            <w:pPr>
              <w:spacing w:after="0"/>
              <w:jc w:val="right"/>
              <w:rPr>
                <w:rFonts w:eastAsia="SimSun" w:cs="Arial"/>
                <w:szCs w:val="26"/>
                <w:lang w:eastAsia="en-GB"/>
              </w:rPr>
            </w:pPr>
            <w:r w:rsidRPr="00117DF2">
              <w:rPr>
                <w:rFonts w:eastAsia="SimSun" w:cs="Arial"/>
                <w:szCs w:val="26"/>
                <w:lang w:eastAsia="en-GB"/>
              </w:rPr>
              <w:t>Same</w:t>
            </w:r>
          </w:p>
        </w:tc>
      </w:tr>
      <w:tr w:rsidR="00CA264D" w:rsidRPr="00117DF2" w:rsidTr="00FD6A98">
        <w:tblPrEx>
          <w:tblCellMar>
            <w:top w:w="0" w:type="dxa"/>
            <w:bottom w:w="0" w:type="dxa"/>
          </w:tblCellMar>
        </w:tblPrEx>
        <w:tc>
          <w:tcPr>
            <w:tcW w:w="2327" w:type="pct"/>
            <w:shd w:val="clear" w:color="auto" w:fill="auto"/>
          </w:tcPr>
          <w:p w:rsidR="00CA264D" w:rsidRPr="00117DF2" w:rsidRDefault="00CA264D" w:rsidP="00CA264D">
            <w:pPr>
              <w:pStyle w:val="TableRowHead"/>
            </w:pPr>
            <w:r w:rsidRPr="00117DF2">
              <w:t>Travel costs for staff to travel to assessment</w:t>
            </w:r>
          </w:p>
        </w:tc>
        <w:tc>
          <w:tcPr>
            <w:tcW w:w="521"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Same</w:t>
            </w:r>
          </w:p>
        </w:tc>
        <w:tc>
          <w:tcPr>
            <w:tcW w:w="697"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Same</w:t>
            </w:r>
          </w:p>
        </w:tc>
        <w:tc>
          <w:tcPr>
            <w:tcW w:w="74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Same</w:t>
            </w:r>
          </w:p>
        </w:tc>
        <w:tc>
          <w:tcPr>
            <w:tcW w:w="71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Same</w:t>
            </w:r>
          </w:p>
        </w:tc>
      </w:tr>
      <w:tr w:rsidR="00CA264D" w:rsidRPr="00117DF2" w:rsidTr="00FD6A98">
        <w:tblPrEx>
          <w:tblCellMar>
            <w:top w:w="0" w:type="dxa"/>
            <w:bottom w:w="0" w:type="dxa"/>
          </w:tblCellMar>
        </w:tblPrEx>
        <w:tc>
          <w:tcPr>
            <w:tcW w:w="2327" w:type="pct"/>
            <w:shd w:val="clear" w:color="auto" w:fill="auto"/>
          </w:tcPr>
          <w:p w:rsidR="00CA264D" w:rsidRPr="00117DF2" w:rsidRDefault="00CA264D" w:rsidP="00CA264D">
            <w:pPr>
              <w:pStyle w:val="TableRowHead"/>
            </w:pPr>
            <w:r w:rsidRPr="00117DF2">
              <w:t xml:space="preserve">Licensing costs </w:t>
            </w:r>
          </w:p>
        </w:tc>
        <w:tc>
          <w:tcPr>
            <w:tcW w:w="521" w:type="pct"/>
            <w:shd w:val="clear" w:color="auto" w:fill="auto"/>
          </w:tcPr>
          <w:p w:rsidR="00CA264D" w:rsidRPr="00117DF2" w:rsidRDefault="00F836F2" w:rsidP="00486871">
            <w:pPr>
              <w:spacing w:after="0"/>
              <w:jc w:val="right"/>
              <w:rPr>
                <w:rFonts w:eastAsia="SimSun" w:cs="Arial"/>
                <w:szCs w:val="26"/>
                <w:lang w:eastAsia="en-GB"/>
              </w:rPr>
            </w:pPr>
            <w:r w:rsidRPr="00117DF2">
              <w:rPr>
                <w:rFonts w:eastAsia="SimSun" w:cs="Arial"/>
                <w:szCs w:val="26"/>
                <w:lang w:eastAsia="en-GB"/>
              </w:rPr>
              <w:t>Low</w:t>
            </w:r>
          </w:p>
        </w:tc>
        <w:tc>
          <w:tcPr>
            <w:tcW w:w="697" w:type="pct"/>
            <w:shd w:val="clear" w:color="auto" w:fill="auto"/>
          </w:tcPr>
          <w:p w:rsidR="00CA264D" w:rsidRPr="00117DF2" w:rsidRDefault="00F836F2" w:rsidP="00486871">
            <w:pPr>
              <w:spacing w:after="0"/>
              <w:jc w:val="right"/>
              <w:rPr>
                <w:rFonts w:eastAsia="SimSun" w:cs="Arial"/>
                <w:szCs w:val="26"/>
                <w:lang w:eastAsia="en-GB"/>
              </w:rPr>
            </w:pPr>
            <w:r w:rsidRPr="00117DF2">
              <w:rPr>
                <w:rFonts w:eastAsia="SimSun" w:cs="Arial"/>
                <w:szCs w:val="26"/>
                <w:lang w:eastAsia="en-GB"/>
              </w:rPr>
              <w:t>Minimal</w:t>
            </w:r>
          </w:p>
        </w:tc>
        <w:tc>
          <w:tcPr>
            <w:tcW w:w="74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High</w:t>
            </w:r>
          </w:p>
        </w:tc>
        <w:tc>
          <w:tcPr>
            <w:tcW w:w="71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None</w:t>
            </w:r>
          </w:p>
        </w:tc>
      </w:tr>
      <w:tr w:rsidR="00CA264D" w:rsidRPr="00117DF2" w:rsidTr="00FD6A98">
        <w:tblPrEx>
          <w:tblCellMar>
            <w:top w:w="0" w:type="dxa"/>
            <w:bottom w:w="0" w:type="dxa"/>
          </w:tblCellMar>
        </w:tblPrEx>
        <w:tc>
          <w:tcPr>
            <w:tcW w:w="2327" w:type="pct"/>
            <w:shd w:val="clear" w:color="auto" w:fill="auto"/>
          </w:tcPr>
          <w:p w:rsidR="00CA264D" w:rsidRPr="00117DF2" w:rsidRDefault="00CA264D" w:rsidP="00CA264D">
            <w:pPr>
              <w:pStyle w:val="TableRowHead"/>
            </w:pPr>
            <w:r w:rsidRPr="00117DF2">
              <w:t>Per user cost</w:t>
            </w:r>
          </w:p>
        </w:tc>
        <w:tc>
          <w:tcPr>
            <w:tcW w:w="521"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No</w:t>
            </w:r>
            <w:r w:rsidR="004F2B0D" w:rsidRPr="00117DF2">
              <w:rPr>
                <w:rFonts w:eastAsia="SimSun" w:cs="Arial"/>
                <w:szCs w:val="26"/>
                <w:lang w:eastAsia="en-GB"/>
              </w:rPr>
              <w:t>ne</w:t>
            </w:r>
          </w:p>
        </w:tc>
        <w:tc>
          <w:tcPr>
            <w:tcW w:w="697" w:type="pct"/>
            <w:shd w:val="clear" w:color="auto" w:fill="auto"/>
          </w:tcPr>
          <w:p w:rsidR="00CA264D" w:rsidRPr="00117DF2" w:rsidRDefault="004F2B0D" w:rsidP="00486871">
            <w:pPr>
              <w:spacing w:after="0"/>
              <w:jc w:val="right"/>
              <w:rPr>
                <w:rFonts w:eastAsia="SimSun" w:cs="Arial"/>
                <w:szCs w:val="26"/>
                <w:lang w:eastAsia="en-GB"/>
              </w:rPr>
            </w:pPr>
            <w:r w:rsidRPr="00117DF2">
              <w:rPr>
                <w:rFonts w:eastAsia="SimSun" w:cs="Arial"/>
                <w:szCs w:val="26"/>
                <w:lang w:eastAsia="en-GB"/>
              </w:rPr>
              <w:t>L</w:t>
            </w:r>
            <w:r w:rsidR="00CA264D" w:rsidRPr="00117DF2">
              <w:rPr>
                <w:rFonts w:eastAsia="SimSun" w:cs="Arial"/>
                <w:szCs w:val="26"/>
                <w:lang w:eastAsia="en-GB"/>
              </w:rPr>
              <w:t>ow</w:t>
            </w:r>
          </w:p>
        </w:tc>
        <w:tc>
          <w:tcPr>
            <w:tcW w:w="742" w:type="pct"/>
            <w:shd w:val="clear" w:color="auto" w:fill="auto"/>
          </w:tcPr>
          <w:p w:rsidR="00CA264D" w:rsidRPr="00117DF2" w:rsidRDefault="004F2B0D" w:rsidP="00486871">
            <w:pPr>
              <w:spacing w:after="0"/>
              <w:jc w:val="right"/>
              <w:rPr>
                <w:rFonts w:eastAsia="SimSun" w:cs="Arial"/>
                <w:szCs w:val="26"/>
                <w:lang w:eastAsia="en-GB"/>
              </w:rPr>
            </w:pPr>
            <w:r w:rsidRPr="00117DF2">
              <w:rPr>
                <w:rFonts w:eastAsia="SimSun" w:cs="Arial"/>
                <w:szCs w:val="26"/>
                <w:lang w:eastAsia="en-GB"/>
              </w:rPr>
              <w:t>H</w:t>
            </w:r>
            <w:r w:rsidR="00CA264D" w:rsidRPr="00117DF2">
              <w:rPr>
                <w:rFonts w:eastAsia="SimSun" w:cs="Arial"/>
                <w:szCs w:val="26"/>
                <w:lang w:eastAsia="en-GB"/>
              </w:rPr>
              <w:t>igh</w:t>
            </w:r>
          </w:p>
        </w:tc>
        <w:tc>
          <w:tcPr>
            <w:tcW w:w="71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Unclear</w:t>
            </w:r>
          </w:p>
        </w:tc>
      </w:tr>
      <w:tr w:rsidR="00CA264D" w:rsidRPr="00117DF2" w:rsidTr="00FD6A98">
        <w:tblPrEx>
          <w:tblCellMar>
            <w:top w:w="0" w:type="dxa"/>
            <w:bottom w:w="0" w:type="dxa"/>
          </w:tblCellMar>
        </w:tblPrEx>
        <w:tc>
          <w:tcPr>
            <w:tcW w:w="2327" w:type="pct"/>
            <w:shd w:val="clear" w:color="auto" w:fill="auto"/>
          </w:tcPr>
          <w:p w:rsidR="00CA264D" w:rsidRPr="00117DF2" w:rsidRDefault="00CA264D" w:rsidP="00CA264D">
            <w:pPr>
              <w:pStyle w:val="TableRowHead"/>
            </w:pPr>
            <w:r w:rsidRPr="00117DF2">
              <w:t>Training costs</w:t>
            </w:r>
          </w:p>
        </w:tc>
        <w:tc>
          <w:tcPr>
            <w:tcW w:w="521"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Low</w:t>
            </w:r>
          </w:p>
        </w:tc>
        <w:tc>
          <w:tcPr>
            <w:tcW w:w="697"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Low</w:t>
            </w:r>
          </w:p>
        </w:tc>
        <w:tc>
          <w:tcPr>
            <w:tcW w:w="74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High</w:t>
            </w:r>
          </w:p>
        </w:tc>
        <w:tc>
          <w:tcPr>
            <w:tcW w:w="71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High</w:t>
            </w:r>
          </w:p>
        </w:tc>
      </w:tr>
      <w:tr w:rsidR="00FD6A98" w:rsidRPr="00117DF2" w:rsidTr="00FD6A98">
        <w:tblPrEx>
          <w:tblCellMar>
            <w:top w:w="0" w:type="dxa"/>
            <w:bottom w:w="0" w:type="dxa"/>
          </w:tblCellMar>
        </w:tblPrEx>
        <w:tc>
          <w:tcPr>
            <w:tcW w:w="2327" w:type="pct"/>
            <w:shd w:val="clear" w:color="auto" w:fill="auto"/>
          </w:tcPr>
          <w:p w:rsidR="00FD6A98" w:rsidRPr="00117DF2" w:rsidRDefault="00FD6A98" w:rsidP="00CA264D">
            <w:pPr>
              <w:pStyle w:val="TableRowHead"/>
            </w:pPr>
            <w:r w:rsidRPr="00117DF2">
              <w:t>Ongoing support costs</w:t>
            </w:r>
          </w:p>
        </w:tc>
        <w:tc>
          <w:tcPr>
            <w:tcW w:w="521" w:type="pct"/>
            <w:shd w:val="clear" w:color="auto" w:fill="auto"/>
          </w:tcPr>
          <w:p w:rsidR="00FD6A98" w:rsidRPr="00117DF2" w:rsidRDefault="00FD6A98" w:rsidP="00486871">
            <w:pPr>
              <w:spacing w:after="0"/>
              <w:jc w:val="right"/>
              <w:rPr>
                <w:rFonts w:eastAsia="SimSun" w:cs="Arial"/>
                <w:szCs w:val="26"/>
                <w:lang w:eastAsia="en-GB"/>
              </w:rPr>
            </w:pPr>
            <w:r w:rsidRPr="00117DF2">
              <w:rPr>
                <w:rFonts w:eastAsia="SimSun" w:cs="Arial"/>
                <w:szCs w:val="26"/>
                <w:lang w:eastAsia="en-GB"/>
              </w:rPr>
              <w:t>Low</w:t>
            </w:r>
          </w:p>
        </w:tc>
        <w:tc>
          <w:tcPr>
            <w:tcW w:w="697" w:type="pct"/>
            <w:shd w:val="clear" w:color="auto" w:fill="auto"/>
          </w:tcPr>
          <w:p w:rsidR="00FD6A98" w:rsidRPr="00117DF2" w:rsidRDefault="00FD6A98" w:rsidP="00486871">
            <w:pPr>
              <w:spacing w:after="0"/>
              <w:jc w:val="right"/>
              <w:rPr>
                <w:rFonts w:eastAsia="SimSun" w:cs="Arial"/>
                <w:szCs w:val="26"/>
                <w:lang w:eastAsia="en-GB"/>
              </w:rPr>
            </w:pPr>
            <w:r w:rsidRPr="00117DF2">
              <w:rPr>
                <w:rFonts w:eastAsia="SimSun" w:cs="Arial"/>
                <w:szCs w:val="26"/>
                <w:lang w:eastAsia="en-GB"/>
              </w:rPr>
              <w:t>Low</w:t>
            </w:r>
          </w:p>
        </w:tc>
        <w:tc>
          <w:tcPr>
            <w:tcW w:w="742" w:type="pct"/>
            <w:shd w:val="clear" w:color="auto" w:fill="auto"/>
          </w:tcPr>
          <w:p w:rsidR="00FD6A98" w:rsidRPr="00117DF2" w:rsidRDefault="00FD6A98" w:rsidP="00486871">
            <w:pPr>
              <w:spacing w:after="0"/>
              <w:jc w:val="right"/>
              <w:rPr>
                <w:rFonts w:eastAsia="SimSun" w:cs="Arial"/>
                <w:szCs w:val="26"/>
                <w:lang w:eastAsia="en-GB"/>
              </w:rPr>
            </w:pPr>
            <w:r w:rsidRPr="00117DF2">
              <w:rPr>
                <w:rFonts w:eastAsia="SimSun" w:cs="Arial"/>
                <w:szCs w:val="26"/>
                <w:lang w:eastAsia="en-GB"/>
              </w:rPr>
              <w:t>None</w:t>
            </w:r>
          </w:p>
        </w:tc>
        <w:tc>
          <w:tcPr>
            <w:tcW w:w="712" w:type="pct"/>
            <w:shd w:val="clear" w:color="auto" w:fill="auto"/>
          </w:tcPr>
          <w:p w:rsidR="00FD6A98" w:rsidRPr="00117DF2" w:rsidRDefault="00FD6A98" w:rsidP="00486871">
            <w:pPr>
              <w:spacing w:after="0"/>
              <w:jc w:val="right"/>
              <w:rPr>
                <w:rFonts w:eastAsia="SimSun" w:cs="Arial"/>
                <w:szCs w:val="26"/>
                <w:lang w:eastAsia="en-GB"/>
              </w:rPr>
            </w:pPr>
            <w:r w:rsidRPr="00117DF2">
              <w:rPr>
                <w:rFonts w:eastAsia="SimSun" w:cs="Arial"/>
                <w:szCs w:val="26"/>
                <w:lang w:eastAsia="en-GB"/>
              </w:rPr>
              <w:t>None</w:t>
            </w:r>
          </w:p>
        </w:tc>
      </w:tr>
      <w:tr w:rsidR="00CA264D" w:rsidRPr="00117DF2" w:rsidTr="00FD6A98">
        <w:tblPrEx>
          <w:tblCellMar>
            <w:top w:w="0" w:type="dxa"/>
            <w:bottom w:w="0" w:type="dxa"/>
          </w:tblCellMar>
        </w:tblPrEx>
        <w:tc>
          <w:tcPr>
            <w:tcW w:w="2327" w:type="pct"/>
            <w:shd w:val="clear" w:color="auto" w:fill="auto"/>
          </w:tcPr>
          <w:p w:rsidR="00CA264D" w:rsidRPr="00117DF2" w:rsidRDefault="00CA264D" w:rsidP="00CA264D">
            <w:pPr>
              <w:pStyle w:val="TableRowHead"/>
            </w:pPr>
            <w:r w:rsidRPr="00117DF2">
              <w:t xml:space="preserve">Specialist software </w:t>
            </w:r>
          </w:p>
        </w:tc>
        <w:tc>
          <w:tcPr>
            <w:tcW w:w="521"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None</w:t>
            </w:r>
          </w:p>
        </w:tc>
        <w:tc>
          <w:tcPr>
            <w:tcW w:w="697"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None</w:t>
            </w:r>
          </w:p>
        </w:tc>
        <w:tc>
          <w:tcPr>
            <w:tcW w:w="74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High</w:t>
            </w:r>
          </w:p>
        </w:tc>
        <w:tc>
          <w:tcPr>
            <w:tcW w:w="712" w:type="pct"/>
            <w:shd w:val="clear" w:color="auto" w:fill="auto"/>
          </w:tcPr>
          <w:p w:rsidR="00CA264D" w:rsidRPr="00117DF2" w:rsidRDefault="00CA264D" w:rsidP="00486871">
            <w:pPr>
              <w:spacing w:after="0"/>
              <w:jc w:val="right"/>
              <w:rPr>
                <w:rFonts w:eastAsia="SimSun" w:cs="Arial"/>
                <w:szCs w:val="26"/>
                <w:lang w:eastAsia="en-GB"/>
              </w:rPr>
            </w:pPr>
            <w:r w:rsidRPr="00117DF2">
              <w:rPr>
                <w:rFonts w:eastAsia="SimSun" w:cs="Arial"/>
                <w:szCs w:val="26"/>
                <w:lang w:eastAsia="en-GB"/>
              </w:rPr>
              <w:t>High</w:t>
            </w:r>
          </w:p>
        </w:tc>
      </w:tr>
      <w:tr w:rsidR="00484886" w:rsidRPr="00117DF2" w:rsidTr="00FD6A98">
        <w:tblPrEx>
          <w:tblCellMar>
            <w:top w:w="0" w:type="dxa"/>
            <w:bottom w:w="0" w:type="dxa"/>
          </w:tblCellMar>
        </w:tblPrEx>
        <w:tc>
          <w:tcPr>
            <w:tcW w:w="2327" w:type="pct"/>
            <w:shd w:val="clear" w:color="auto" w:fill="auto"/>
          </w:tcPr>
          <w:p w:rsidR="00484886" w:rsidRPr="00117DF2" w:rsidRDefault="00484886" w:rsidP="00CA264D">
            <w:pPr>
              <w:pStyle w:val="TableRowHead"/>
            </w:pPr>
            <w:r w:rsidRPr="00117DF2">
              <w:t>Specialist hardware</w:t>
            </w:r>
          </w:p>
        </w:tc>
        <w:tc>
          <w:tcPr>
            <w:tcW w:w="521" w:type="pct"/>
            <w:shd w:val="clear" w:color="auto" w:fill="auto"/>
          </w:tcPr>
          <w:p w:rsidR="00484886" w:rsidRPr="00117DF2" w:rsidRDefault="004F2B0D" w:rsidP="00486871">
            <w:pPr>
              <w:spacing w:after="0"/>
              <w:jc w:val="right"/>
              <w:rPr>
                <w:rFonts w:eastAsia="SimSun" w:cs="Arial"/>
                <w:szCs w:val="26"/>
                <w:lang w:eastAsia="en-GB"/>
              </w:rPr>
            </w:pPr>
            <w:r w:rsidRPr="00117DF2">
              <w:rPr>
                <w:rFonts w:eastAsia="SimSun" w:cs="Arial"/>
                <w:szCs w:val="26"/>
                <w:lang w:eastAsia="en-GB"/>
              </w:rPr>
              <w:t>Same</w:t>
            </w:r>
          </w:p>
        </w:tc>
        <w:tc>
          <w:tcPr>
            <w:tcW w:w="697" w:type="pct"/>
            <w:shd w:val="clear" w:color="auto" w:fill="auto"/>
          </w:tcPr>
          <w:p w:rsidR="00484886" w:rsidRPr="00117DF2" w:rsidRDefault="004F2B0D" w:rsidP="00486871">
            <w:pPr>
              <w:spacing w:after="0"/>
              <w:jc w:val="right"/>
              <w:rPr>
                <w:rFonts w:eastAsia="SimSun" w:cs="Arial"/>
                <w:szCs w:val="26"/>
                <w:lang w:eastAsia="en-GB"/>
              </w:rPr>
            </w:pPr>
            <w:r w:rsidRPr="00117DF2">
              <w:rPr>
                <w:rFonts w:eastAsia="SimSun" w:cs="Arial"/>
                <w:szCs w:val="26"/>
                <w:lang w:eastAsia="en-GB"/>
              </w:rPr>
              <w:t>Same</w:t>
            </w:r>
          </w:p>
        </w:tc>
        <w:tc>
          <w:tcPr>
            <w:tcW w:w="742" w:type="pct"/>
            <w:shd w:val="clear" w:color="auto" w:fill="auto"/>
          </w:tcPr>
          <w:p w:rsidR="00484886" w:rsidRPr="00117DF2" w:rsidRDefault="004F2B0D" w:rsidP="00486871">
            <w:pPr>
              <w:spacing w:after="0"/>
              <w:jc w:val="right"/>
              <w:rPr>
                <w:rFonts w:eastAsia="SimSun" w:cs="Arial"/>
                <w:szCs w:val="26"/>
                <w:lang w:eastAsia="en-GB"/>
              </w:rPr>
            </w:pPr>
            <w:r w:rsidRPr="00117DF2">
              <w:rPr>
                <w:rFonts w:eastAsia="SimSun" w:cs="Arial"/>
                <w:szCs w:val="26"/>
                <w:lang w:eastAsia="en-GB"/>
              </w:rPr>
              <w:t>Same</w:t>
            </w:r>
          </w:p>
        </w:tc>
        <w:tc>
          <w:tcPr>
            <w:tcW w:w="712" w:type="pct"/>
            <w:shd w:val="clear" w:color="auto" w:fill="auto"/>
          </w:tcPr>
          <w:p w:rsidR="00484886" w:rsidRPr="00117DF2" w:rsidRDefault="004F2B0D" w:rsidP="00486871">
            <w:pPr>
              <w:spacing w:after="0"/>
              <w:jc w:val="right"/>
              <w:rPr>
                <w:rFonts w:eastAsia="SimSun" w:cs="Arial"/>
                <w:szCs w:val="26"/>
                <w:lang w:eastAsia="en-GB"/>
              </w:rPr>
            </w:pPr>
            <w:r w:rsidRPr="00117DF2">
              <w:rPr>
                <w:rFonts w:eastAsia="SimSun" w:cs="Arial"/>
                <w:szCs w:val="26"/>
                <w:lang w:eastAsia="en-GB"/>
              </w:rPr>
              <w:t>Same</w:t>
            </w:r>
          </w:p>
        </w:tc>
      </w:tr>
    </w:tbl>
    <w:p w:rsidR="00CA264D" w:rsidRPr="00117DF2" w:rsidRDefault="00CA264D" w:rsidP="00CA264D">
      <w:pPr>
        <w:pStyle w:val="TableNote"/>
      </w:pPr>
      <w:r w:rsidRPr="00117DF2">
        <w:t xml:space="preserve">Source: </w:t>
      </w:r>
      <w:r w:rsidR="00FD6A98" w:rsidRPr="00117DF2">
        <w:t>NDA</w:t>
      </w:r>
    </w:p>
    <w:p w:rsidR="00CA264D" w:rsidRPr="00117DF2" w:rsidRDefault="00204069" w:rsidP="00CA264D">
      <w:r w:rsidRPr="00117DF2">
        <w:t>T</w:t>
      </w:r>
      <w:r w:rsidR="00923AAC" w:rsidRPr="00117DF2">
        <w:t>he</w:t>
      </w:r>
      <w:r w:rsidR="004E4CBE" w:rsidRPr="00117DF2">
        <w:t xml:space="preserve">re are many unknowns in table </w:t>
      </w:r>
      <w:r w:rsidR="00923AAC" w:rsidRPr="00117DF2">
        <w:t xml:space="preserve">8 and therefore it is not possible to give a definitive costing for the tools. However, </w:t>
      </w:r>
      <w:r w:rsidR="00F836F2" w:rsidRPr="00117DF2">
        <w:t>RAS 5</w:t>
      </w:r>
      <w:r w:rsidR="00923AAC" w:rsidRPr="00117DF2">
        <w:t xml:space="preserve"> is likely to be the cheapest followed by FACE </w:t>
      </w:r>
      <w:r w:rsidR="004E4CBE" w:rsidRPr="00117DF2">
        <w:t>with</w:t>
      </w:r>
      <w:r w:rsidR="00923AAC" w:rsidRPr="00117DF2">
        <w:t xml:space="preserve"> SIS and</w:t>
      </w:r>
      <w:r w:rsidR="000F608B" w:rsidRPr="00117DF2">
        <w:t xml:space="preserve"> interRAI</w:t>
      </w:r>
      <w:r w:rsidR="00923AAC" w:rsidRPr="00117DF2">
        <w:t xml:space="preserve"> more expensive.</w:t>
      </w:r>
    </w:p>
    <w:p w:rsidR="00204069" w:rsidRPr="00117DF2" w:rsidRDefault="00204069" w:rsidP="00CA264D">
      <w:r w:rsidRPr="00117DF2">
        <w:t xml:space="preserve">The dominant cost is likely to be hardware if data were to be collected using laptops. </w:t>
      </w:r>
      <w:r w:rsidR="00F836F2" w:rsidRPr="00117DF2">
        <w:t xml:space="preserve">Any laptops or tablets bought for this purpose could of course have many other possible uses. </w:t>
      </w:r>
      <w:r w:rsidRPr="00117DF2">
        <w:t xml:space="preserve">FACE and </w:t>
      </w:r>
      <w:r w:rsidR="00F836F2" w:rsidRPr="00117DF2">
        <w:t>RAS 5</w:t>
      </w:r>
      <w:r w:rsidRPr="00117DF2">
        <w:t xml:space="preserve"> lend themselves more readily to paper-based data collection with subsequent transcribing, while SIS and</w:t>
      </w:r>
      <w:r w:rsidR="000F608B" w:rsidRPr="00117DF2">
        <w:t xml:space="preserve"> interRAI</w:t>
      </w:r>
      <w:r w:rsidRPr="00117DF2">
        <w:t xml:space="preserve"> are optimised for direct data entry. </w:t>
      </w:r>
    </w:p>
    <w:p w:rsidR="000E74B3" w:rsidRPr="00117DF2" w:rsidRDefault="000E74B3" w:rsidP="00784AF8">
      <w:pPr>
        <w:pStyle w:val="Heading1"/>
        <w:rPr>
          <w:lang w:val="en-IE" w:eastAsia="en-GB"/>
        </w:rPr>
      </w:pPr>
      <w:r w:rsidRPr="00117DF2">
        <w:rPr>
          <w:lang w:val="en-IE" w:eastAsia="en-GB"/>
        </w:rPr>
        <w:t>Strengths and weaknesses of all four tools</w:t>
      </w:r>
    </w:p>
    <w:p w:rsidR="003D08A2" w:rsidRPr="00117DF2" w:rsidRDefault="003D08A2" w:rsidP="004275E8">
      <w:pPr>
        <w:pStyle w:val="Heading2"/>
      </w:pPr>
      <w:r w:rsidRPr="00117DF2">
        <w:t>FACE</w:t>
      </w:r>
    </w:p>
    <w:p w:rsidR="003D08A2" w:rsidRPr="00117DF2" w:rsidRDefault="003D08A2" w:rsidP="003D08A2">
      <w:r w:rsidRPr="00117DF2">
        <w:t>The FACE scores generated through the pilot correlated well with average need of all four tools</w:t>
      </w:r>
      <w:r w:rsidR="005A1B9F" w:rsidRPr="00117DF2">
        <w:t>.</w:t>
      </w:r>
      <w:r w:rsidRPr="00117DF2">
        <w:t xml:space="preserve"> </w:t>
      </w:r>
      <w:r w:rsidR="005A1B9F" w:rsidRPr="00117DF2">
        <w:t>F</w:t>
      </w:r>
      <w:r w:rsidRPr="00117DF2">
        <w:t>urthermore</w:t>
      </w:r>
      <w:r w:rsidR="005A1B9F" w:rsidRPr="00117DF2">
        <w:t>,</w:t>
      </w:r>
      <w:r w:rsidR="00F836F2" w:rsidRPr="00117DF2">
        <w:t xml:space="preserve"> FACE does not have any obvious</w:t>
      </w:r>
      <w:r w:rsidRPr="00117DF2">
        <w:t xml:space="preserve"> biases and was found to b</w:t>
      </w:r>
      <w:r w:rsidR="00F836F2" w:rsidRPr="00117DF2">
        <w:t xml:space="preserve">e acceptable to service users. </w:t>
      </w:r>
      <w:r w:rsidRPr="00117DF2">
        <w:t>Both interviewers and service users ranked it as the most relevant tool for identifying support needs amongst service users and both groups said they found it easy to understand. FACE explicitly explores what support is available to service users from family and friends. The time the FACE assessment takes to complete compares well wit</w:t>
      </w:r>
      <w:r w:rsidR="00DA2E47" w:rsidRPr="00117DF2">
        <w:t>h</w:t>
      </w:r>
      <w:r w:rsidRPr="00117DF2">
        <w:t xml:space="preserve"> the other three tools</w:t>
      </w:r>
      <w:r w:rsidR="005A1B9F" w:rsidRPr="00117DF2">
        <w:t>.</w:t>
      </w:r>
      <w:r w:rsidRPr="00117DF2">
        <w:t xml:space="preserve"> </w:t>
      </w:r>
    </w:p>
    <w:p w:rsidR="00F06C09" w:rsidRPr="00117DF2" w:rsidRDefault="003D08A2" w:rsidP="003D08A2">
      <w:r w:rsidRPr="00117DF2">
        <w:t xml:space="preserve">FACE is </w:t>
      </w:r>
      <w:r w:rsidR="00F06C09" w:rsidRPr="00117DF2">
        <w:t xml:space="preserve">a family of care assessment and planning tools that is </w:t>
      </w:r>
      <w:r w:rsidRPr="00117DF2">
        <w:t>used extensiv</w:t>
      </w:r>
      <w:r w:rsidR="005A1B9F" w:rsidRPr="00117DF2">
        <w:t>e</w:t>
      </w:r>
      <w:r w:rsidR="00DA2E47" w:rsidRPr="00117DF2">
        <w:t>ly</w:t>
      </w:r>
      <w:r w:rsidRPr="00117DF2">
        <w:t xml:space="preserve"> across the UK for resource allocation</w:t>
      </w:r>
      <w:r w:rsidR="00B84C7E" w:rsidRPr="00117DF2">
        <w:t xml:space="preserve"> and for service planning </w:t>
      </w:r>
      <w:r w:rsidRPr="00117DF2">
        <w:t xml:space="preserve">for people with a range of disabilities and it is used in some mental health contexts in Ireland. </w:t>
      </w:r>
      <w:r w:rsidR="00A859C9" w:rsidRPr="00117DF2">
        <w:t>FACE</w:t>
      </w:r>
      <w:r w:rsidR="007504EF" w:rsidRPr="00117DF2">
        <w:t xml:space="preserve"> has undertaken extensive internal </w:t>
      </w:r>
      <w:r w:rsidRPr="00117DF2">
        <w:t>testing to confirm its reliability and validity.</w:t>
      </w:r>
      <w:r w:rsidR="007504EF" w:rsidRPr="00117DF2">
        <w:rPr>
          <w:rStyle w:val="FootnoteReference"/>
        </w:rPr>
        <w:footnoteReference w:id="14"/>
      </w:r>
      <w:r w:rsidRPr="00117DF2">
        <w:t xml:space="preserve"> </w:t>
      </w:r>
    </w:p>
    <w:p w:rsidR="003D08A2" w:rsidRPr="00117DF2" w:rsidRDefault="00F06C09" w:rsidP="003D08A2">
      <w:r w:rsidRPr="00117DF2">
        <w:t>The FACE system has an algorithm to calculate care hours and associated costs, and the FACE licence includes the generation of budgets</w:t>
      </w:r>
      <w:r w:rsidR="00204069" w:rsidRPr="00117DF2">
        <w:t xml:space="preserve"> from the data inputted</w:t>
      </w:r>
      <w:r w:rsidRPr="00117DF2">
        <w:t xml:space="preserve">. </w:t>
      </w:r>
      <w:r w:rsidR="00B84C7E" w:rsidRPr="00117DF2">
        <w:t>This means that case mix estimates for different service providers could be established quickly. T</w:t>
      </w:r>
      <w:r w:rsidR="003D08A2" w:rsidRPr="00117DF2">
        <w:t xml:space="preserve">he FACE </w:t>
      </w:r>
      <w:r w:rsidR="00B84C7E" w:rsidRPr="00117DF2">
        <w:t>answers</w:t>
      </w:r>
      <w:r w:rsidR="003D08A2" w:rsidRPr="00117DF2">
        <w:t xml:space="preserve"> </w:t>
      </w:r>
      <w:r w:rsidR="006F6310" w:rsidRPr="00117DF2">
        <w:t>may be</w:t>
      </w:r>
      <w:r w:rsidR="00B7181F" w:rsidRPr="00117DF2">
        <w:t xml:space="preserve"> entered into an E</w:t>
      </w:r>
      <w:r w:rsidR="003D08A2" w:rsidRPr="00117DF2">
        <w:t>xcel spreadsheet</w:t>
      </w:r>
      <w:r w:rsidR="00B84C7E" w:rsidRPr="00117DF2">
        <w:t xml:space="preserve"> and do not require specialised software</w:t>
      </w:r>
      <w:r w:rsidRPr="00117DF2">
        <w:t>.</w:t>
      </w:r>
      <w:r w:rsidR="003D08A2" w:rsidRPr="00117DF2">
        <w:t xml:space="preserve"> </w:t>
      </w:r>
    </w:p>
    <w:p w:rsidR="003D08A2" w:rsidRPr="00117DF2" w:rsidRDefault="000B39C2" w:rsidP="004275E8">
      <w:pPr>
        <w:pStyle w:val="Heading2"/>
      </w:pPr>
      <w:r w:rsidRPr="00117DF2">
        <w:t>InterRAI</w:t>
      </w:r>
    </w:p>
    <w:p w:rsidR="003D08A2" w:rsidRPr="00117DF2" w:rsidRDefault="000B39C2" w:rsidP="003D08A2">
      <w:r w:rsidRPr="00117DF2">
        <w:t>InterRAI</w:t>
      </w:r>
      <w:r w:rsidR="003D08A2" w:rsidRPr="00117DF2">
        <w:t xml:space="preserve"> correlates well with underlying need as defined as the average of all tools and it does not have any clear biases. Service users on the whole found it acceptable but people with multiple and complex disabilities did not feel that the complexity of their situation was adequately captured. As </w:t>
      </w:r>
      <w:r w:rsidR="00F836F2" w:rsidRPr="00117DF2">
        <w:t xml:space="preserve">discussed elsewhere in this paper, this </w:t>
      </w:r>
      <w:r w:rsidR="003D08A2" w:rsidRPr="00117DF2">
        <w:t>was as result of the particular configuration used by the NDA and therefore the</w:t>
      </w:r>
      <w:r w:rsidR="000F608B" w:rsidRPr="00117DF2">
        <w:t xml:space="preserve"> interRAI</w:t>
      </w:r>
      <w:r w:rsidR="003D08A2" w:rsidRPr="00117DF2">
        <w:t xml:space="preserve"> tool would need to be </w:t>
      </w:r>
      <w:r w:rsidR="00E32CF5" w:rsidRPr="00117DF2">
        <w:t>changed</w:t>
      </w:r>
      <w:r w:rsidR="003D08A2" w:rsidRPr="00117DF2">
        <w:t xml:space="preserve"> to overcome this problem. Furthermore, some of the questions were judged to be inappropriate </w:t>
      </w:r>
      <w:r w:rsidR="00F836F2" w:rsidRPr="00117DF2">
        <w:t xml:space="preserve">in a disability service context (e.g. </w:t>
      </w:r>
      <w:r w:rsidR="003D08A2" w:rsidRPr="00117DF2">
        <w:t>the question on tea and coffee consumption)</w:t>
      </w:r>
      <w:r w:rsidR="00B84C7E" w:rsidRPr="00117DF2">
        <w:t xml:space="preserve">, and might need to be </w:t>
      </w:r>
      <w:r w:rsidR="003D08A2" w:rsidRPr="00117DF2">
        <w:t xml:space="preserve">dropped </w:t>
      </w:r>
      <w:r w:rsidR="00B84C7E" w:rsidRPr="00117DF2">
        <w:t xml:space="preserve">or amended </w:t>
      </w:r>
      <w:r w:rsidR="003D08A2" w:rsidRPr="00117DF2">
        <w:t xml:space="preserve">in any future iteration. </w:t>
      </w:r>
    </w:p>
    <w:p w:rsidR="003D08A2" w:rsidRPr="00117DF2" w:rsidRDefault="003D08A2" w:rsidP="003D08A2">
      <w:r w:rsidRPr="00117DF2">
        <w:t>Overall service users thought the length of time th</w:t>
      </w:r>
      <w:r w:rsidR="00FD6A98" w:rsidRPr="00117DF2">
        <w:t>e</w:t>
      </w:r>
      <w:r w:rsidR="000F608B" w:rsidRPr="00117DF2">
        <w:t xml:space="preserve"> interRAI</w:t>
      </w:r>
      <w:r w:rsidR="00FD6A98" w:rsidRPr="00117DF2">
        <w:t xml:space="preserve"> took was acceptable </w:t>
      </w:r>
      <w:r w:rsidRPr="00117DF2">
        <w:t>though this was on the</w:t>
      </w:r>
      <w:r w:rsidR="000F608B" w:rsidRPr="00117DF2">
        <w:t xml:space="preserve"> interRAI</w:t>
      </w:r>
      <w:r w:rsidRPr="00117DF2">
        <w:t xml:space="preserve"> tool that</w:t>
      </w:r>
      <w:r w:rsidR="00B7181F" w:rsidRPr="00117DF2">
        <w:t xml:space="preserve"> filtered respondents to one sub-tool or another using ‘gates’</w:t>
      </w:r>
      <w:r w:rsidR="000F608B" w:rsidRPr="00117DF2">
        <w:t xml:space="preserve"> </w:t>
      </w:r>
      <w:r w:rsidR="00B7181F" w:rsidRPr="00117DF2">
        <w:t xml:space="preserve">– </w:t>
      </w:r>
      <w:r w:rsidR="00FD6A98" w:rsidRPr="00117DF2">
        <w:t>a reconfigured tool might take longer</w:t>
      </w:r>
      <w:r w:rsidRPr="00117DF2">
        <w:t>.</w:t>
      </w:r>
      <w:r w:rsidR="00B7181F" w:rsidRPr="00117DF2">
        <w:t xml:space="preserve"> </w:t>
      </w:r>
    </w:p>
    <w:p w:rsidR="003D08A2" w:rsidRPr="00117DF2" w:rsidRDefault="00117DF2" w:rsidP="003D08A2">
      <w:r w:rsidRPr="00117DF2">
        <w:t>InterRAI</w:t>
      </w:r>
      <w:r w:rsidR="003D08A2" w:rsidRPr="00117DF2">
        <w:t xml:space="preserve"> was developed for use in elder care in the USA and has been extended out to many countries for resource allocation in elder care and, more recently it has </w:t>
      </w:r>
      <w:r w:rsidR="00E33B41" w:rsidRPr="00117DF2">
        <w:t xml:space="preserve">been </w:t>
      </w:r>
      <w:r w:rsidR="003D08A2" w:rsidRPr="00117DF2">
        <w:t>extended to other care domains</w:t>
      </w:r>
      <w:r w:rsidR="00B84C7E" w:rsidRPr="00117DF2">
        <w:t>.</w:t>
      </w:r>
      <w:r w:rsidR="000F608B" w:rsidRPr="00117DF2">
        <w:t xml:space="preserve"> </w:t>
      </w:r>
      <w:r w:rsidRPr="00117DF2">
        <w:t>InterRAI</w:t>
      </w:r>
      <w:r w:rsidR="003D08A2" w:rsidRPr="00117DF2">
        <w:t xml:space="preserve"> has developed an entire range of instruments and screeners to support assessment in a wide array of community and institutional contexts – this could mean that in future</w:t>
      </w:r>
      <w:r w:rsidR="000F608B" w:rsidRPr="00117DF2">
        <w:t xml:space="preserve"> interRAI</w:t>
      </w:r>
      <w:r w:rsidR="003D08A2" w:rsidRPr="00117DF2">
        <w:t xml:space="preserve"> would be used across the life cycle and in different contexts in Ireland. </w:t>
      </w:r>
      <w:r w:rsidR="00DA2E47" w:rsidRPr="00117DF2">
        <w:t>The</w:t>
      </w:r>
      <w:r w:rsidR="000F608B" w:rsidRPr="00117DF2">
        <w:t xml:space="preserve"> interRAI</w:t>
      </w:r>
      <w:r w:rsidR="00DA2E47" w:rsidRPr="00117DF2">
        <w:t xml:space="preserve"> elder care tool has had extensive psychometric testing and it has a good track record in allocation </w:t>
      </w:r>
      <w:r w:rsidR="003D35CF" w:rsidRPr="00117DF2">
        <w:t xml:space="preserve">of </w:t>
      </w:r>
      <w:r w:rsidR="00DA2E47" w:rsidRPr="00117DF2">
        <w:t>resources in elder care. As the roll</w:t>
      </w:r>
      <w:r w:rsidR="00B84C7E" w:rsidRPr="00117DF2">
        <w:t>-</w:t>
      </w:r>
      <w:r w:rsidR="00DA2E47" w:rsidRPr="00117DF2">
        <w:t>out to other domains is more recent</w:t>
      </w:r>
      <w:r w:rsidR="00E33B41" w:rsidRPr="00117DF2">
        <w:t>,</w:t>
      </w:r>
      <w:r w:rsidR="00DA2E47" w:rsidRPr="00117DF2">
        <w:t xml:space="preserve"> the testing of questions and resource allocation in those domains is not as yet highly developed.</w:t>
      </w:r>
      <w:r w:rsidR="003D08A2" w:rsidRPr="00117DF2">
        <w:t xml:space="preserve"> </w:t>
      </w:r>
      <w:r w:rsidR="00DA2E47" w:rsidRPr="00117DF2">
        <w:t xml:space="preserve">The </w:t>
      </w:r>
      <w:r w:rsidR="003D08A2" w:rsidRPr="00117DF2">
        <w:t xml:space="preserve">development of an appropriate tool </w:t>
      </w:r>
      <w:r w:rsidR="003D35CF" w:rsidRPr="00117DF2">
        <w:t xml:space="preserve">for people with disabilities in Ireland </w:t>
      </w:r>
      <w:r w:rsidR="003D08A2" w:rsidRPr="00117DF2">
        <w:t xml:space="preserve">and its testing </w:t>
      </w:r>
      <w:r w:rsidR="003D35CF" w:rsidRPr="00117DF2">
        <w:t>w</w:t>
      </w:r>
      <w:r w:rsidR="003D08A2" w:rsidRPr="00117DF2">
        <w:t xml:space="preserve">ould mean that it would be some time before an appropriate case-mix </w:t>
      </w:r>
      <w:r w:rsidR="003D35CF" w:rsidRPr="00117DF2">
        <w:t>based on</w:t>
      </w:r>
      <w:r w:rsidR="000F608B" w:rsidRPr="00117DF2">
        <w:t xml:space="preserve"> interRAI</w:t>
      </w:r>
      <w:r w:rsidR="003D35CF" w:rsidRPr="00117DF2">
        <w:t xml:space="preserve"> </w:t>
      </w:r>
      <w:r w:rsidR="003D08A2" w:rsidRPr="00117DF2">
        <w:t>w</w:t>
      </w:r>
      <w:r w:rsidR="00B84C7E" w:rsidRPr="00117DF2">
        <w:t>ould be</w:t>
      </w:r>
      <w:r w:rsidR="003D08A2" w:rsidRPr="00117DF2">
        <w:t xml:space="preserve"> ready to use.</w:t>
      </w:r>
    </w:p>
    <w:p w:rsidR="00B7181F" w:rsidRPr="00117DF2" w:rsidRDefault="003D08A2" w:rsidP="003D08A2">
      <w:r w:rsidRPr="00117DF2">
        <w:t>If</w:t>
      </w:r>
      <w:r w:rsidR="000F608B" w:rsidRPr="00117DF2">
        <w:t xml:space="preserve"> interRAI</w:t>
      </w:r>
      <w:r w:rsidRPr="00117DF2">
        <w:t xml:space="preserve"> were adopted there would be a need to source an IT supplier </w:t>
      </w:r>
      <w:r w:rsidR="0085209B" w:rsidRPr="00117DF2">
        <w:t>with</w:t>
      </w:r>
      <w:r w:rsidR="000F608B" w:rsidRPr="00117DF2">
        <w:t xml:space="preserve"> interRAI</w:t>
      </w:r>
      <w:r w:rsidR="0085209B" w:rsidRPr="00117DF2">
        <w:t xml:space="preserve"> software for data entry and </w:t>
      </w:r>
      <w:r w:rsidRPr="00117DF2">
        <w:t>to convert the</w:t>
      </w:r>
      <w:r w:rsidR="00A859C9" w:rsidRPr="00117DF2">
        <w:t xml:space="preserve"> tool via an algorithm into an indicative budget</w:t>
      </w:r>
      <w:r w:rsidR="0085209B" w:rsidRPr="00117DF2">
        <w:t xml:space="preserve">. </w:t>
      </w:r>
      <w:r w:rsidRPr="00117DF2">
        <w:t>These issues would have to be deal</w:t>
      </w:r>
      <w:r w:rsidR="003D35CF" w:rsidRPr="00117DF2">
        <w:t xml:space="preserve">t with at the tendering stage. </w:t>
      </w:r>
    </w:p>
    <w:p w:rsidR="0085209B" w:rsidRPr="00117DF2" w:rsidRDefault="00B7181F" w:rsidP="003D08A2">
      <w:r w:rsidRPr="00117DF2">
        <w:t xml:space="preserve">Other </w:t>
      </w:r>
      <w:r w:rsidR="0085209B" w:rsidRPr="00117DF2">
        <w:t>potential sources of delay are the development of an integr</w:t>
      </w:r>
      <w:r w:rsidRPr="00117DF2">
        <w:t>ated disability assessment tool and</w:t>
      </w:r>
      <w:r w:rsidR="0085209B" w:rsidRPr="00117DF2">
        <w:t xml:space="preserve"> the development of appropriate resource allocation algorithms</w:t>
      </w:r>
      <w:r w:rsidRPr="00117DF2">
        <w:t xml:space="preserve"> based on that tool. </w:t>
      </w:r>
      <w:r w:rsidR="00A235EB" w:rsidRPr="00117DF2">
        <w:t xml:space="preserve">Work is ongoing on this issue in </w:t>
      </w:r>
      <w:r w:rsidR="00117DF2" w:rsidRPr="00117DF2">
        <w:t>other</w:t>
      </w:r>
      <w:r w:rsidR="00A235EB" w:rsidRPr="00117DF2">
        <w:t xml:space="preserve"> </w:t>
      </w:r>
      <w:r w:rsidR="00117DF2" w:rsidRPr="00117DF2">
        <w:t>jurisdictions</w:t>
      </w:r>
      <w:r w:rsidRPr="00117DF2">
        <w:t>. The IT tender for a software supplier to generate results could add a small level of delay.</w:t>
      </w:r>
    </w:p>
    <w:p w:rsidR="000F68F7" w:rsidRPr="00117DF2" w:rsidRDefault="000F68F7" w:rsidP="004275E8">
      <w:pPr>
        <w:pStyle w:val="Heading2"/>
      </w:pPr>
      <w:r w:rsidRPr="004275E8">
        <w:t>RAS</w:t>
      </w:r>
      <w:r w:rsidRPr="00117DF2">
        <w:t xml:space="preserve"> 5</w:t>
      </w:r>
    </w:p>
    <w:p w:rsidR="000F68F7" w:rsidRPr="00117DF2" w:rsidRDefault="00B7181F" w:rsidP="003D08A2">
      <w:r w:rsidRPr="00117DF2">
        <w:t xml:space="preserve">RAS 5 </w:t>
      </w:r>
      <w:r w:rsidR="003D08A2" w:rsidRPr="00117DF2">
        <w:t xml:space="preserve">correlates well with underlying average need and was the tool that was least likely to show a bias. The tool measures what support is available to the service user. The tool was acceptable to service users although some service users felt that the </w:t>
      </w:r>
      <w:r w:rsidR="005117CB" w:rsidRPr="00117DF2">
        <w:t>complexity of their needs was</w:t>
      </w:r>
      <w:r w:rsidR="003D08A2" w:rsidRPr="00117DF2">
        <w:t xml:space="preserve"> not covered. Although acceptable to interviewers</w:t>
      </w:r>
      <w:r w:rsidR="00E33B41" w:rsidRPr="00117DF2">
        <w:t>,</w:t>
      </w:r>
      <w:r w:rsidR="003D08A2" w:rsidRPr="00117DF2">
        <w:t xml:space="preserve"> they thought </w:t>
      </w:r>
      <w:r w:rsidRPr="00117DF2">
        <w:t xml:space="preserve">it would have limited application outside the resource allocation context unlike other tools that collected more comprehensive information on service users’ support needs. </w:t>
      </w:r>
      <w:r w:rsidR="000F68F7" w:rsidRPr="00117DF2">
        <w:t>However, s</w:t>
      </w:r>
      <w:r w:rsidRPr="00117DF2">
        <w:t xml:space="preserve">ervice users did not express that concern. </w:t>
      </w:r>
    </w:p>
    <w:p w:rsidR="003D08A2" w:rsidRPr="00117DF2" w:rsidRDefault="00B7181F" w:rsidP="003D08A2">
      <w:r w:rsidRPr="00117DF2">
        <w:t xml:space="preserve">The RAS 5 </w:t>
      </w:r>
      <w:r w:rsidR="003D08A2" w:rsidRPr="00117DF2">
        <w:t>tool does ask about resources available to the service user</w:t>
      </w:r>
      <w:r w:rsidR="005117CB" w:rsidRPr="00117DF2">
        <w:t xml:space="preserve"> and it </w:t>
      </w:r>
      <w:r w:rsidR="003D08A2" w:rsidRPr="00117DF2">
        <w:t xml:space="preserve">can be modified and probably could be altered to enable it to capture other information. </w:t>
      </w:r>
    </w:p>
    <w:p w:rsidR="003D08A2" w:rsidRPr="00117DF2" w:rsidRDefault="000F68F7" w:rsidP="003D08A2">
      <w:r w:rsidRPr="00117DF2">
        <w:t>RAS 5</w:t>
      </w:r>
      <w:r w:rsidR="003D08A2" w:rsidRPr="00117DF2">
        <w:t xml:space="preserve"> has an existing track record in being used for resource allocation for people with a range of disabilities in the UK, though there have been legal c</w:t>
      </w:r>
      <w:r w:rsidR="00A235EB" w:rsidRPr="00117DF2">
        <w:t>hallenges to it implementation</w:t>
      </w:r>
      <w:r w:rsidR="003D08A2" w:rsidRPr="00117DF2">
        <w:t xml:space="preserve">. </w:t>
      </w:r>
      <w:r w:rsidR="005117CB" w:rsidRPr="00117DF2">
        <w:t>Case mix estimates could be established quickly. However, a</w:t>
      </w:r>
      <w:r w:rsidR="003D08A2" w:rsidRPr="00117DF2">
        <w:t>lgorithms for turning data into case-mix estimates have been</w:t>
      </w:r>
      <w:r w:rsidR="005E31C9" w:rsidRPr="00117DF2">
        <w:t xml:space="preserve"> proving</w:t>
      </w:r>
      <w:r w:rsidR="003D08A2" w:rsidRPr="00117DF2">
        <w:t xml:space="preserve"> </w:t>
      </w:r>
      <w:r w:rsidR="005E31C9" w:rsidRPr="00117DF2">
        <w:t xml:space="preserve">problematic </w:t>
      </w:r>
      <w:r w:rsidR="003D08A2" w:rsidRPr="00117DF2">
        <w:t xml:space="preserve">in the UK under pressure from operational issues and from </w:t>
      </w:r>
      <w:r w:rsidR="00A235EB" w:rsidRPr="00117DF2">
        <w:t>0</w:t>
      </w:r>
      <w:r w:rsidR="003D08A2" w:rsidRPr="00117DF2">
        <w:t xml:space="preserve"> challenges. Testing is not publicly available to confirm the reliability </w:t>
      </w:r>
      <w:r w:rsidRPr="00117DF2">
        <w:t xml:space="preserve">and validity of the In Control RAS 5 </w:t>
      </w:r>
      <w:r w:rsidR="003D08A2" w:rsidRPr="00117DF2">
        <w:t xml:space="preserve">as a measure of need, </w:t>
      </w:r>
      <w:r w:rsidRPr="00117DF2">
        <w:t>n</w:t>
      </w:r>
      <w:r w:rsidR="003D08A2" w:rsidRPr="00117DF2">
        <w:t>or to determine the predictive power in determining cost.</w:t>
      </w:r>
    </w:p>
    <w:p w:rsidR="003D08A2" w:rsidRPr="00117DF2" w:rsidRDefault="000F68F7" w:rsidP="003D08A2">
      <w:r w:rsidRPr="00117DF2">
        <w:t xml:space="preserve">Of all the tools, RAS 5 </w:t>
      </w:r>
      <w:r w:rsidR="003D08A2" w:rsidRPr="00117DF2">
        <w:t xml:space="preserve">was the quickest to complete (average 32.6 minutes) and </w:t>
      </w:r>
      <w:r w:rsidR="00A235EB" w:rsidRPr="00117DF2">
        <w:t>its national rollout costs are</w:t>
      </w:r>
      <w:r w:rsidRPr="00117DF2">
        <w:t xml:space="preserve"> </w:t>
      </w:r>
      <w:r w:rsidR="003D08A2" w:rsidRPr="00117DF2">
        <w:t xml:space="preserve">the lowest. </w:t>
      </w:r>
    </w:p>
    <w:p w:rsidR="003D08A2" w:rsidRPr="00117DF2" w:rsidRDefault="003D08A2" w:rsidP="004275E8">
      <w:pPr>
        <w:pStyle w:val="Heading2"/>
      </w:pPr>
      <w:r w:rsidRPr="00117DF2">
        <w:t>SIS</w:t>
      </w:r>
    </w:p>
    <w:p w:rsidR="003D08A2" w:rsidRPr="00117DF2" w:rsidRDefault="003D08A2" w:rsidP="003D08A2">
      <w:r w:rsidRPr="00117DF2">
        <w:t xml:space="preserve">SIS correlates well with underlying need but </w:t>
      </w:r>
      <w:r w:rsidR="005117CB" w:rsidRPr="00117DF2">
        <w:t xml:space="preserve">people with physical disabilities </w:t>
      </w:r>
      <w:r w:rsidRPr="00117DF2">
        <w:t xml:space="preserve">did </w:t>
      </w:r>
      <w:r w:rsidR="005117CB" w:rsidRPr="00117DF2">
        <w:t>score slightly lower on SIS compared to the other tools</w:t>
      </w:r>
      <w:r w:rsidRPr="00117DF2">
        <w:t>.</w:t>
      </w:r>
      <w:r w:rsidR="000F608B" w:rsidRPr="00117DF2">
        <w:t xml:space="preserve"> </w:t>
      </w:r>
      <w:r w:rsidRPr="00117DF2">
        <w:t xml:space="preserve">This could reflect </w:t>
      </w:r>
      <w:r w:rsidR="00E33B41" w:rsidRPr="00117DF2">
        <w:t xml:space="preserve">the fact </w:t>
      </w:r>
      <w:r w:rsidRPr="00117DF2">
        <w:t xml:space="preserve">that SIS was developed for use in intellectual disability </w:t>
      </w:r>
      <w:r w:rsidR="00E33B41" w:rsidRPr="00117DF2">
        <w:t xml:space="preserve">although </w:t>
      </w:r>
      <w:r w:rsidR="000F68F7" w:rsidRPr="00117DF2">
        <w:t>more recently being applied in other disability contexts</w:t>
      </w:r>
      <w:r w:rsidRPr="00117DF2">
        <w:t>. This would mean that any SIS tool adopted would have to be altered to eliminate any such bias. However, as a standardised copyrighted tool, the abi</w:t>
      </w:r>
      <w:r w:rsidR="00FD6A98" w:rsidRPr="00117DF2">
        <w:t>lity to modify SIS is limited.</w:t>
      </w:r>
    </w:p>
    <w:p w:rsidR="003D08A2" w:rsidRPr="00117DF2" w:rsidRDefault="003D08A2" w:rsidP="003D08A2">
      <w:r w:rsidRPr="00117DF2">
        <w:t>While the quick response data found that SIS was acceptable to service users, service users were most likely to identify SIS as the tool that missed points relevant to them. Interviewers in nearly a third of cases felt that there were some irrelevant questions</w:t>
      </w:r>
      <w:r w:rsidR="00E33B41" w:rsidRPr="00117DF2">
        <w:t>.</w:t>
      </w:r>
      <w:r w:rsidRPr="00117DF2">
        <w:t xml:space="preserve"> </w:t>
      </w:r>
      <w:r w:rsidR="00E33B41" w:rsidRPr="00117DF2">
        <w:t>A</w:t>
      </w:r>
      <w:r w:rsidRPr="00117DF2">
        <w:t xml:space="preserve">t the same time interviewers felt that the SIS was very comprehensive in gathering information </w:t>
      </w:r>
      <w:r w:rsidR="00E33B41" w:rsidRPr="00117DF2">
        <w:t>on</w:t>
      </w:r>
      <w:r w:rsidRPr="00117DF2">
        <w:t xml:space="preserve"> service users’ support needs (although service users did not make this distinction). Service use</w:t>
      </w:r>
      <w:r w:rsidR="00E33B41" w:rsidRPr="00117DF2">
        <w:t>r</w:t>
      </w:r>
      <w:r w:rsidRPr="00117DF2">
        <w:t>s with a physical disability were significantly more likely to state that parts of the SIS questionnaire were not relevant to them and a more general concern was raised by interviewers as to the applicability of all SIS questions for service users with physical disabilities.</w:t>
      </w:r>
    </w:p>
    <w:p w:rsidR="003D08A2" w:rsidRPr="00117DF2" w:rsidRDefault="003D08A2" w:rsidP="003D08A2">
      <w:r w:rsidRPr="00117DF2">
        <w:t>SIS has been used widely both within the US and internationally and it has been tested to see how valid and reliable it is. However it has not be</w:t>
      </w:r>
      <w:r w:rsidR="00E33B41" w:rsidRPr="00117DF2">
        <w:t>en</w:t>
      </w:r>
      <w:r w:rsidRPr="00117DF2">
        <w:t xml:space="preserve"> used extensively for case-mix allocation</w:t>
      </w:r>
      <w:r w:rsidR="00A859C9" w:rsidRPr="00117DF2">
        <w:t xml:space="preserve"> outside of intellectual disability</w:t>
      </w:r>
      <w:r w:rsidRPr="00117DF2">
        <w:t xml:space="preserve"> and this element of the tool would need to be developed and tested</w:t>
      </w:r>
      <w:r w:rsidR="00BA7774" w:rsidRPr="00117DF2">
        <w:t xml:space="preserve"> through a separate statistical exercise. </w:t>
      </w:r>
      <w:r w:rsidR="00A71E2B" w:rsidRPr="00117DF2">
        <w:t>A</w:t>
      </w:r>
      <w:r w:rsidR="00BA7774" w:rsidRPr="00117DF2">
        <w:t xml:space="preserve"> supplementary suite of questions would need to be developed to ascertain the degree of family and community support available and whether it was sustainable.</w:t>
      </w:r>
      <w:r w:rsidR="000F608B" w:rsidRPr="00117DF2">
        <w:t xml:space="preserve"> </w:t>
      </w:r>
    </w:p>
    <w:p w:rsidR="00935F22" w:rsidRPr="00117DF2" w:rsidRDefault="00BA7774" w:rsidP="00935F22">
      <w:pPr>
        <w:pStyle w:val="Heading1"/>
        <w:rPr>
          <w:lang w:val="en-IE" w:eastAsia="en-GB"/>
        </w:rPr>
      </w:pPr>
      <w:r w:rsidRPr="00117DF2">
        <w:rPr>
          <w:lang w:val="en-IE" w:eastAsia="en-GB"/>
        </w:rPr>
        <w:t>Some additional i</w:t>
      </w:r>
      <w:r w:rsidR="00935F22" w:rsidRPr="00117DF2">
        <w:rPr>
          <w:lang w:val="en-IE" w:eastAsia="en-GB"/>
        </w:rPr>
        <w:t xml:space="preserve">ssues </w:t>
      </w:r>
    </w:p>
    <w:p w:rsidR="000E74B3" w:rsidRPr="00117DF2" w:rsidRDefault="00BA7774" w:rsidP="000E74B3">
      <w:r w:rsidRPr="00117DF2">
        <w:t xml:space="preserve">Some additional issues emerged in the course of the research which would need to be considered in introducing any resource allocation system in Ireland. </w:t>
      </w:r>
    </w:p>
    <w:p w:rsidR="0056139B" w:rsidRPr="00117DF2" w:rsidRDefault="00BA7774" w:rsidP="0056139B">
      <w:pPr>
        <w:pStyle w:val="Heading3"/>
      </w:pPr>
      <w:r w:rsidRPr="00117DF2">
        <w:t>Current versus potential capabilities</w:t>
      </w:r>
    </w:p>
    <w:p w:rsidR="00BA7774" w:rsidRPr="00117DF2" w:rsidRDefault="00BA7774" w:rsidP="00A859C9">
      <w:pPr>
        <w:pStyle w:val="ListBullet"/>
        <w:numPr>
          <w:ilvl w:val="0"/>
          <w:numId w:val="0"/>
        </w:numPr>
      </w:pPr>
      <w:r w:rsidRPr="00117DF2">
        <w:t>It is essential to be clear and consistent about</w:t>
      </w:r>
      <w:r w:rsidR="002B364F" w:rsidRPr="00117DF2">
        <w:t xml:space="preserve"> whether</w:t>
      </w:r>
      <w:r w:rsidRPr="00117DF2">
        <w:t xml:space="preserve"> individual questions are assessing someone’s current capabilities or their capabilities given appropriate support. </w:t>
      </w:r>
    </w:p>
    <w:p w:rsidR="0018630A" w:rsidRPr="00117DF2" w:rsidRDefault="002B364F" w:rsidP="0056139B">
      <w:pPr>
        <w:pStyle w:val="Heading3"/>
        <w:rPr>
          <w:lang w:eastAsia="en-GB"/>
        </w:rPr>
      </w:pPr>
      <w:r w:rsidRPr="00117DF2">
        <w:rPr>
          <w:lang w:eastAsia="en-GB"/>
        </w:rPr>
        <w:t>Answers that are mutually inconsistent</w:t>
      </w:r>
    </w:p>
    <w:p w:rsidR="0056139B" w:rsidRPr="00117DF2" w:rsidRDefault="0056139B" w:rsidP="0056139B">
      <w:pPr>
        <w:rPr>
          <w:lang w:eastAsia="en-GB"/>
        </w:rPr>
      </w:pPr>
      <w:r w:rsidRPr="00117DF2">
        <w:rPr>
          <w:lang w:eastAsia="en-GB"/>
        </w:rPr>
        <w:t xml:space="preserve">As highlighted in </w:t>
      </w:r>
      <w:r w:rsidR="00D84D2D" w:rsidRPr="00117DF2">
        <w:t>the first study</w:t>
      </w:r>
      <w:r w:rsidR="004517B7" w:rsidRPr="00117DF2">
        <w:t>,</w:t>
      </w:r>
      <w:r w:rsidR="00D84D2D" w:rsidRPr="00117DF2">
        <w:t xml:space="preserve"> </w:t>
      </w:r>
      <w:r w:rsidRPr="00117DF2">
        <w:rPr>
          <w:lang w:eastAsia="en-GB"/>
        </w:rPr>
        <w:t>occasionally people give different answers to similar questions. There are many causes of this: tiredness, forgetfulness, social desirability response bias</w:t>
      </w:r>
      <w:r w:rsidR="002B364F" w:rsidRPr="00117DF2">
        <w:rPr>
          <w:lang w:eastAsia="en-GB"/>
        </w:rPr>
        <w:t>,</w:t>
      </w:r>
      <w:r w:rsidRPr="00117DF2">
        <w:rPr>
          <w:lang w:eastAsia="en-GB"/>
        </w:rPr>
        <w:t xml:space="preserve"> acquiescence bias</w:t>
      </w:r>
      <w:r w:rsidR="002B364F" w:rsidRPr="00117DF2">
        <w:rPr>
          <w:lang w:eastAsia="en-GB"/>
        </w:rPr>
        <w:t>, or the effect of a cognitive disability such as acquired brain injury.</w:t>
      </w:r>
      <w:r w:rsidR="00D84D2D" w:rsidRPr="00117DF2">
        <w:rPr>
          <w:lang w:eastAsia="en-GB"/>
        </w:rPr>
        <w:t xml:space="preserve"> </w:t>
      </w:r>
      <w:r w:rsidR="002B364F" w:rsidRPr="00117DF2">
        <w:rPr>
          <w:lang w:eastAsia="en-GB"/>
        </w:rPr>
        <w:t>T</w:t>
      </w:r>
      <w:r w:rsidR="00D84D2D" w:rsidRPr="00117DF2">
        <w:rPr>
          <w:lang w:eastAsia="en-GB"/>
        </w:rPr>
        <w:t xml:space="preserve">his </w:t>
      </w:r>
      <w:r w:rsidR="002B364F" w:rsidRPr="00117DF2">
        <w:rPr>
          <w:lang w:eastAsia="en-GB"/>
        </w:rPr>
        <w:t xml:space="preserve">factor </w:t>
      </w:r>
      <w:r w:rsidR="00D84D2D" w:rsidRPr="00117DF2">
        <w:rPr>
          <w:lang w:eastAsia="en-GB"/>
        </w:rPr>
        <w:t>underscores the need for assessments to be checked and triangulated to improve confidence in the results.</w:t>
      </w:r>
      <w:r w:rsidR="000F608B" w:rsidRPr="00117DF2">
        <w:rPr>
          <w:lang w:eastAsia="en-GB"/>
        </w:rPr>
        <w:t xml:space="preserve"> </w:t>
      </w:r>
    </w:p>
    <w:p w:rsidR="002B364F" w:rsidRPr="00117DF2" w:rsidRDefault="002B364F" w:rsidP="00BE1A58">
      <w:pPr>
        <w:pStyle w:val="Heading2"/>
        <w:rPr>
          <w:lang w:eastAsia="en-GB"/>
        </w:rPr>
      </w:pPr>
      <w:r w:rsidRPr="00117DF2">
        <w:rPr>
          <w:lang w:eastAsia="en-GB"/>
        </w:rPr>
        <w:t>Flexible responses to intermittent</w:t>
      </w:r>
      <w:r w:rsidR="000F608B" w:rsidRPr="00117DF2">
        <w:rPr>
          <w:lang w:eastAsia="en-GB"/>
        </w:rPr>
        <w:t xml:space="preserve"> </w:t>
      </w:r>
      <w:r w:rsidRPr="00117DF2">
        <w:rPr>
          <w:lang w:eastAsia="en-GB"/>
        </w:rPr>
        <w:t>or changing needs</w:t>
      </w:r>
    </w:p>
    <w:p w:rsidR="002B364F" w:rsidRPr="00117DF2" w:rsidRDefault="002B364F" w:rsidP="00341F1A">
      <w:pPr>
        <w:rPr>
          <w:lang w:eastAsia="en-GB"/>
        </w:rPr>
      </w:pPr>
      <w:r w:rsidRPr="00117DF2">
        <w:rPr>
          <w:lang w:eastAsia="en-GB"/>
        </w:rPr>
        <w:t xml:space="preserve">While some people have fairly stable circumstances or support needs, others may have needs that are intermittent and are inherently more difficult to predict. </w:t>
      </w:r>
      <w:r w:rsidR="00D928DB" w:rsidRPr="00117DF2">
        <w:rPr>
          <w:lang w:eastAsia="en-GB"/>
        </w:rPr>
        <w:t xml:space="preserve">People with progressive conditions or who otherwise have changing support needs over time will need to have their needs assessed periodically as circumstances change. It would be important to develop protocols that set out what might trigger a reassessment. </w:t>
      </w:r>
    </w:p>
    <w:p w:rsidR="00341F1A" w:rsidRPr="00117DF2" w:rsidRDefault="002B364F" w:rsidP="00341F1A">
      <w:pPr>
        <w:rPr>
          <w:lang w:eastAsia="en-GB"/>
        </w:rPr>
      </w:pPr>
      <w:r w:rsidRPr="00117DF2">
        <w:rPr>
          <w:lang w:eastAsia="en-GB"/>
        </w:rPr>
        <w:t xml:space="preserve">Some of the personal circumstances of individual interviewees in the study highlighted the importance of a resource allocation system that could respond flexibly to intermittent needs. </w:t>
      </w:r>
      <w:r w:rsidR="00341F1A" w:rsidRPr="00117DF2">
        <w:rPr>
          <w:lang w:eastAsia="en-GB"/>
        </w:rPr>
        <w:t xml:space="preserve">For instance one </w:t>
      </w:r>
      <w:r w:rsidRPr="00117DF2">
        <w:rPr>
          <w:lang w:eastAsia="en-GB"/>
        </w:rPr>
        <w:t xml:space="preserve">interviewee who was deaf, and a parent, </w:t>
      </w:r>
      <w:r w:rsidR="00341F1A" w:rsidRPr="00117DF2">
        <w:rPr>
          <w:lang w:eastAsia="en-GB"/>
        </w:rPr>
        <w:t>needed intermittent help</w:t>
      </w:r>
      <w:r w:rsidRPr="00117DF2">
        <w:rPr>
          <w:lang w:eastAsia="en-GB"/>
        </w:rPr>
        <w:t xml:space="preserve"> because of his family circumstances</w:t>
      </w:r>
      <w:r w:rsidR="00341F1A" w:rsidRPr="00117DF2">
        <w:rPr>
          <w:lang w:eastAsia="en-GB"/>
        </w:rPr>
        <w:t>. While all the tools were good at identifying his routine everyday needs</w:t>
      </w:r>
      <w:r w:rsidRPr="00117DF2">
        <w:rPr>
          <w:lang w:eastAsia="en-GB"/>
        </w:rPr>
        <w:t>,</w:t>
      </w:r>
      <w:r w:rsidR="00341F1A" w:rsidRPr="00117DF2">
        <w:rPr>
          <w:lang w:eastAsia="en-GB"/>
        </w:rPr>
        <w:t xml:space="preserve"> none of the tools could predict the need for </w:t>
      </w:r>
      <w:r w:rsidR="00E24D53" w:rsidRPr="00117DF2">
        <w:rPr>
          <w:lang w:eastAsia="en-GB"/>
        </w:rPr>
        <w:t>intermittent help in this role as a father</w:t>
      </w:r>
      <w:r w:rsidR="00341F1A" w:rsidRPr="00117DF2">
        <w:rPr>
          <w:lang w:eastAsia="en-GB"/>
        </w:rPr>
        <w:t xml:space="preserve">. </w:t>
      </w:r>
    </w:p>
    <w:p w:rsidR="00BE1A58" w:rsidRPr="00117DF2" w:rsidRDefault="00BE1A58" w:rsidP="00BE1A58">
      <w:pPr>
        <w:rPr>
          <w:lang w:eastAsia="en-GB"/>
        </w:rPr>
      </w:pPr>
      <w:r w:rsidRPr="00117DF2">
        <w:rPr>
          <w:lang w:eastAsia="en-GB"/>
        </w:rPr>
        <w:t>All the tools were good at predicting need when a person was in a very stable, predic</w:t>
      </w:r>
      <w:r w:rsidR="004517B7" w:rsidRPr="00117DF2">
        <w:rPr>
          <w:lang w:eastAsia="en-GB"/>
        </w:rPr>
        <w:t>t</w:t>
      </w:r>
      <w:r w:rsidRPr="00117DF2">
        <w:rPr>
          <w:lang w:eastAsia="en-GB"/>
        </w:rPr>
        <w:t>able environment (for instance when a person was living in a group home).</w:t>
      </w:r>
      <w:r w:rsidR="000F608B" w:rsidRPr="00117DF2">
        <w:rPr>
          <w:lang w:eastAsia="en-GB"/>
        </w:rPr>
        <w:t xml:space="preserve"> </w:t>
      </w:r>
      <w:r w:rsidRPr="00117DF2">
        <w:rPr>
          <w:lang w:eastAsia="en-GB"/>
        </w:rPr>
        <w:t>However the tools had difficulties (conceptual at least) where there was a much more individualised service</w:t>
      </w:r>
      <w:r w:rsidR="00E24D53" w:rsidRPr="00117DF2">
        <w:rPr>
          <w:lang w:eastAsia="en-GB"/>
        </w:rPr>
        <w:t xml:space="preserve"> (see examples in appendix </w:t>
      </w:r>
      <w:r w:rsidR="005117CB" w:rsidRPr="00117DF2">
        <w:rPr>
          <w:lang w:eastAsia="en-GB"/>
        </w:rPr>
        <w:t>2</w:t>
      </w:r>
      <w:r w:rsidR="00E24D53" w:rsidRPr="00117DF2">
        <w:rPr>
          <w:lang w:eastAsia="en-GB"/>
        </w:rPr>
        <w:t>)</w:t>
      </w:r>
      <w:r w:rsidR="002B364F" w:rsidRPr="00117DF2">
        <w:rPr>
          <w:lang w:eastAsia="en-GB"/>
        </w:rPr>
        <w:t xml:space="preserve">. </w:t>
      </w:r>
      <w:r w:rsidRPr="00117DF2">
        <w:rPr>
          <w:lang w:eastAsia="en-GB"/>
        </w:rPr>
        <w:t>For instance one person with a disability lived with another person with a disability. All the tools rated the individual</w:t>
      </w:r>
      <w:r w:rsidR="002B364F" w:rsidRPr="00117DF2">
        <w:rPr>
          <w:lang w:eastAsia="en-GB"/>
        </w:rPr>
        <w:t>’</w:t>
      </w:r>
      <w:r w:rsidRPr="00117DF2">
        <w:rPr>
          <w:lang w:eastAsia="en-GB"/>
        </w:rPr>
        <w:t>s needs not the couple</w:t>
      </w:r>
      <w:r w:rsidR="00D84D2D" w:rsidRPr="00117DF2">
        <w:rPr>
          <w:lang w:eastAsia="en-GB"/>
        </w:rPr>
        <w:t>’</w:t>
      </w:r>
      <w:r w:rsidRPr="00117DF2">
        <w:rPr>
          <w:lang w:eastAsia="en-GB"/>
        </w:rPr>
        <w:t>s needs</w:t>
      </w:r>
      <w:r w:rsidR="00D928DB" w:rsidRPr="00117DF2">
        <w:rPr>
          <w:lang w:eastAsia="en-GB"/>
        </w:rPr>
        <w:t>, where they could share some</w:t>
      </w:r>
      <w:r w:rsidR="002B364F" w:rsidRPr="00117DF2">
        <w:rPr>
          <w:lang w:eastAsia="en-GB"/>
        </w:rPr>
        <w:t xml:space="preserve"> support resource</w:t>
      </w:r>
      <w:r w:rsidR="00D928DB" w:rsidRPr="00117DF2">
        <w:rPr>
          <w:lang w:eastAsia="en-GB"/>
        </w:rPr>
        <w:t>s</w:t>
      </w:r>
      <w:r w:rsidRPr="00117DF2">
        <w:rPr>
          <w:lang w:eastAsia="en-GB"/>
        </w:rPr>
        <w:t xml:space="preserve">. This means that the tools can not </w:t>
      </w:r>
      <w:r w:rsidR="00E24D53" w:rsidRPr="00117DF2">
        <w:rPr>
          <w:lang w:eastAsia="en-GB"/>
        </w:rPr>
        <w:t xml:space="preserve">completely </w:t>
      </w:r>
      <w:r w:rsidRPr="00117DF2">
        <w:rPr>
          <w:lang w:eastAsia="en-GB"/>
        </w:rPr>
        <w:t xml:space="preserve">replace professional </w:t>
      </w:r>
      <w:r w:rsidR="001C5B6E" w:rsidRPr="00117DF2">
        <w:rPr>
          <w:lang w:eastAsia="en-GB"/>
        </w:rPr>
        <w:t>judgements</w:t>
      </w:r>
      <w:r w:rsidR="00E24D53" w:rsidRPr="00117DF2">
        <w:rPr>
          <w:lang w:eastAsia="en-GB"/>
        </w:rPr>
        <w:t xml:space="preserve"> in the assessment of need</w:t>
      </w:r>
      <w:r w:rsidRPr="00117DF2">
        <w:rPr>
          <w:lang w:eastAsia="en-GB"/>
        </w:rPr>
        <w:t>.</w:t>
      </w:r>
    </w:p>
    <w:p w:rsidR="00E27441" w:rsidRPr="00117DF2" w:rsidRDefault="00E27441" w:rsidP="00E27441">
      <w:pPr>
        <w:pStyle w:val="Heading2"/>
        <w:rPr>
          <w:lang w:eastAsia="en-GB"/>
        </w:rPr>
      </w:pPr>
      <w:r w:rsidRPr="00117DF2">
        <w:rPr>
          <w:lang w:eastAsia="en-GB"/>
        </w:rPr>
        <w:t>Translating assessments into budgets</w:t>
      </w:r>
    </w:p>
    <w:p w:rsidR="00D928DB" w:rsidRPr="00117DF2" w:rsidRDefault="00E27441" w:rsidP="00A235EB">
      <w:pPr>
        <w:rPr>
          <w:b/>
          <w:lang w:eastAsia="en-GB"/>
        </w:rPr>
      </w:pPr>
      <w:r w:rsidRPr="00117DF2">
        <w:t>FACE (for social care generally) and</w:t>
      </w:r>
      <w:r w:rsidR="000F608B" w:rsidRPr="00117DF2">
        <w:t xml:space="preserve"> interRAI</w:t>
      </w:r>
      <w:r w:rsidRPr="00117DF2">
        <w:t xml:space="preserve"> (for eldercare) have developed systems for predicting cost that are reasonably applicable in an Irish context, and those algorithms could be further refined after fuller-scale testing in Ireland. Further work would be needed to develop sound systems for converting SIS or RAS 5 scores into costs. </w:t>
      </w:r>
    </w:p>
    <w:p w:rsidR="00F02874" w:rsidRPr="00117DF2" w:rsidRDefault="00F02874" w:rsidP="00F02874">
      <w:pPr>
        <w:pStyle w:val="Heading1"/>
        <w:rPr>
          <w:lang w:val="en-IE"/>
        </w:rPr>
      </w:pPr>
      <w:r w:rsidRPr="00117DF2">
        <w:rPr>
          <w:lang w:val="en-IE"/>
        </w:rPr>
        <w:t>Conclusion and next steps</w:t>
      </w:r>
    </w:p>
    <w:p w:rsidR="00A17391" w:rsidRPr="00117DF2" w:rsidRDefault="00F02874" w:rsidP="00F02874">
      <w:r w:rsidRPr="00117DF2">
        <w:t>Resource allocation tools have the potential to better match funding to needs in Ireland</w:t>
      </w:r>
      <w:r w:rsidR="00D70488" w:rsidRPr="00117DF2">
        <w:t xml:space="preserve"> in a way that is both transparent and fair</w:t>
      </w:r>
      <w:r w:rsidRPr="00117DF2">
        <w:t>. The four tools examined in the two research pr</w:t>
      </w:r>
      <w:r w:rsidR="006E776A" w:rsidRPr="00117DF2">
        <w:t>ojects predicted need well and all four tools were generally acceptable to people with disabilities in Ireland.</w:t>
      </w:r>
    </w:p>
    <w:p w:rsidR="00D928DB" w:rsidRPr="00117DF2" w:rsidRDefault="00D928DB" w:rsidP="00F02874">
      <w:r w:rsidRPr="00117DF2">
        <w:t xml:space="preserve">This paper has presented the evidence from the field trials conducted by the National Disability Authority as to how well the individual resource allocation systems studies performed at the needs assessment stage. </w:t>
      </w:r>
    </w:p>
    <w:p w:rsidR="00D928DB" w:rsidRPr="00117DF2" w:rsidRDefault="00D928DB" w:rsidP="00F02874">
      <w:r w:rsidRPr="00117DF2">
        <w:t xml:space="preserve">A further National Disability Authority paper reviews wider aspects and possible applications of each resource allocation system, including how needs assessments might be translated into costs. </w:t>
      </w:r>
    </w:p>
    <w:p w:rsidR="00E27441" w:rsidRPr="00117DF2" w:rsidRDefault="00E27441" w:rsidP="00F02874">
      <w:r w:rsidRPr="00117DF2">
        <w:t xml:space="preserve">Following the selection by the Department of Health and HSE of the final resource allocation system, it is recommended assessments using the chosen tool would be trialled on a larger scale in a defined geographical area with a comprehensive cohort of service users, to model the feasibility of large scale application, the resource implications of a fuller-scale assessment exercise, and to examine what ‘shadow’ budgets would be generated. </w:t>
      </w:r>
    </w:p>
    <w:p w:rsidR="003108CF" w:rsidRPr="00117DF2" w:rsidRDefault="008C7448" w:rsidP="00CB0036">
      <w:pPr>
        <w:pStyle w:val="Heading2"/>
      </w:pPr>
      <w:r w:rsidRPr="00117DF2">
        <w:br w:type="page"/>
        <w:t>Appendix 1</w:t>
      </w:r>
      <w:r w:rsidR="00B663E2" w:rsidRPr="00117DF2">
        <w:t>: Summary of tools by different breakdowns</w:t>
      </w:r>
    </w:p>
    <w:p w:rsidR="00B663E2" w:rsidRPr="00117DF2" w:rsidRDefault="00B663E2" w:rsidP="00EE1BAC">
      <w:pPr>
        <w:spacing w:after="120"/>
      </w:pPr>
      <w:r w:rsidRPr="00117DF2">
        <w:t>This appendix examines the mean scores on each tool for different sub-categories.</w:t>
      </w:r>
      <w:r w:rsidR="000F608B" w:rsidRPr="00117DF2">
        <w:t xml:space="preserve"> </w:t>
      </w:r>
      <w:r w:rsidRPr="00117DF2">
        <w:t>None of these breakdowns showed statistically significant difference</w:t>
      </w:r>
      <w:r w:rsidR="00005A85" w:rsidRPr="00117DF2">
        <w:t>s</w:t>
      </w:r>
      <w:r w:rsidRPr="00117DF2">
        <w:t xml:space="preserve"> between the tools.</w:t>
      </w:r>
      <w:r w:rsidR="000F608B" w:rsidRPr="00117DF2">
        <w:t xml:space="preserve"> </w:t>
      </w:r>
      <w:r w:rsidRPr="00117DF2">
        <w:t xml:space="preserve">However, </w:t>
      </w:r>
      <w:r w:rsidR="00A235EB" w:rsidRPr="00117DF2">
        <w:t>with</w:t>
      </w:r>
      <w:r w:rsidRPr="00117DF2">
        <w:t xml:space="preserve"> a small sample size this is not surprising.</w:t>
      </w:r>
    </w:p>
    <w:p w:rsidR="005117CB" w:rsidRPr="00117DF2" w:rsidRDefault="005117CB" w:rsidP="000B1B9F">
      <w:pPr>
        <w:pStyle w:val="TableTitle"/>
        <w:spacing w:after="60"/>
      </w:pPr>
      <w:r w:rsidRPr="00117DF2">
        <w:t>Table 8: mean score by gender by tool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42"/>
        <w:gridCol w:w="1274"/>
        <w:gridCol w:w="1070"/>
        <w:gridCol w:w="902"/>
        <w:gridCol w:w="2814"/>
      </w:tblGrid>
      <w:tr w:rsidR="005117CB" w:rsidRPr="00117DF2" w:rsidTr="003C26F9">
        <w:tc>
          <w:tcPr>
            <w:tcW w:w="1027" w:type="pct"/>
          </w:tcPr>
          <w:p w:rsidR="005117CB" w:rsidRPr="00117DF2" w:rsidRDefault="005117CB" w:rsidP="00941AE6">
            <w:pPr>
              <w:spacing w:after="0"/>
              <w:rPr>
                <w:b/>
              </w:rPr>
            </w:pPr>
            <w:r w:rsidRPr="00117DF2">
              <w:rPr>
                <w:b/>
              </w:rPr>
              <w:t>Gender</w:t>
            </w:r>
          </w:p>
        </w:tc>
        <w:tc>
          <w:tcPr>
            <w:tcW w:w="533" w:type="pct"/>
          </w:tcPr>
          <w:p w:rsidR="005117CB" w:rsidRPr="00117DF2" w:rsidRDefault="005117CB" w:rsidP="00E27441">
            <w:pPr>
              <w:spacing w:after="0"/>
              <w:jc w:val="right"/>
              <w:rPr>
                <w:b/>
              </w:rPr>
            </w:pPr>
            <w:r w:rsidRPr="00117DF2">
              <w:rPr>
                <w:b/>
              </w:rPr>
              <w:t>FACE</w:t>
            </w:r>
          </w:p>
        </w:tc>
        <w:tc>
          <w:tcPr>
            <w:tcW w:w="723" w:type="pct"/>
          </w:tcPr>
          <w:p w:rsidR="005117CB" w:rsidRPr="00117DF2" w:rsidRDefault="000F608B" w:rsidP="00E27441">
            <w:pPr>
              <w:spacing w:after="0"/>
              <w:jc w:val="right"/>
              <w:rPr>
                <w:b/>
              </w:rPr>
            </w:pPr>
            <w:r w:rsidRPr="00117DF2">
              <w:rPr>
                <w:b/>
              </w:rPr>
              <w:t xml:space="preserve"> interRAI</w:t>
            </w:r>
          </w:p>
        </w:tc>
        <w:tc>
          <w:tcPr>
            <w:tcW w:w="607" w:type="pct"/>
          </w:tcPr>
          <w:p w:rsidR="005117CB" w:rsidRPr="00117DF2" w:rsidRDefault="005117CB" w:rsidP="00E27441">
            <w:pPr>
              <w:spacing w:after="0"/>
              <w:jc w:val="right"/>
              <w:rPr>
                <w:b/>
              </w:rPr>
            </w:pPr>
            <w:r w:rsidRPr="00117DF2">
              <w:rPr>
                <w:b/>
              </w:rPr>
              <w:t xml:space="preserve"> </w:t>
            </w:r>
            <w:r w:rsidR="00E27441" w:rsidRPr="00117DF2">
              <w:rPr>
                <w:b/>
              </w:rPr>
              <w:t>RAS 5</w:t>
            </w:r>
          </w:p>
        </w:tc>
        <w:tc>
          <w:tcPr>
            <w:tcW w:w="512" w:type="pct"/>
          </w:tcPr>
          <w:p w:rsidR="005117CB" w:rsidRPr="00117DF2" w:rsidRDefault="005117CB" w:rsidP="00E27441">
            <w:pPr>
              <w:spacing w:after="0"/>
              <w:jc w:val="right"/>
              <w:rPr>
                <w:b/>
              </w:rPr>
            </w:pPr>
            <w:r w:rsidRPr="00117DF2">
              <w:rPr>
                <w:b/>
              </w:rPr>
              <w:t xml:space="preserve"> SIS</w:t>
            </w:r>
          </w:p>
        </w:tc>
        <w:tc>
          <w:tcPr>
            <w:tcW w:w="1597" w:type="pct"/>
          </w:tcPr>
          <w:p w:rsidR="005117CB" w:rsidRPr="00117DF2" w:rsidRDefault="005117CB" w:rsidP="00E27441">
            <w:pPr>
              <w:spacing w:after="0"/>
              <w:jc w:val="right"/>
              <w:rPr>
                <w:b/>
              </w:rPr>
            </w:pPr>
            <w:r w:rsidRPr="00117DF2">
              <w:rPr>
                <w:b/>
              </w:rPr>
              <w:t>Average of tools</w:t>
            </w:r>
          </w:p>
        </w:tc>
      </w:tr>
      <w:tr w:rsidR="005117CB" w:rsidRPr="00117DF2" w:rsidTr="003C26F9">
        <w:tc>
          <w:tcPr>
            <w:tcW w:w="1027" w:type="pct"/>
          </w:tcPr>
          <w:p w:rsidR="005117CB" w:rsidRPr="00117DF2" w:rsidRDefault="005117CB" w:rsidP="00941AE6">
            <w:pPr>
              <w:spacing w:after="0"/>
            </w:pPr>
            <w:r w:rsidRPr="00117DF2">
              <w:t>Male n=17</w:t>
            </w:r>
          </w:p>
        </w:tc>
        <w:tc>
          <w:tcPr>
            <w:tcW w:w="533" w:type="pct"/>
          </w:tcPr>
          <w:p w:rsidR="005117CB" w:rsidRPr="00117DF2" w:rsidRDefault="005117CB" w:rsidP="00E27441">
            <w:pPr>
              <w:spacing w:after="0"/>
              <w:jc w:val="right"/>
            </w:pPr>
            <w:r w:rsidRPr="00117DF2">
              <w:t>40.</w:t>
            </w:r>
            <w:r w:rsidR="001842BB" w:rsidRPr="00117DF2">
              <w:t>6</w:t>
            </w:r>
          </w:p>
        </w:tc>
        <w:tc>
          <w:tcPr>
            <w:tcW w:w="723" w:type="pct"/>
          </w:tcPr>
          <w:p w:rsidR="005117CB" w:rsidRPr="00117DF2" w:rsidRDefault="001842BB" w:rsidP="00E27441">
            <w:pPr>
              <w:spacing w:after="0"/>
              <w:jc w:val="right"/>
            </w:pPr>
            <w:r w:rsidRPr="00117DF2">
              <w:t>42.1</w:t>
            </w:r>
          </w:p>
        </w:tc>
        <w:tc>
          <w:tcPr>
            <w:tcW w:w="607" w:type="pct"/>
          </w:tcPr>
          <w:p w:rsidR="005117CB" w:rsidRPr="00117DF2" w:rsidRDefault="005117CB" w:rsidP="00E27441">
            <w:pPr>
              <w:spacing w:after="0"/>
              <w:jc w:val="right"/>
            </w:pPr>
            <w:r w:rsidRPr="00117DF2">
              <w:t>37.</w:t>
            </w:r>
            <w:r w:rsidR="001842BB" w:rsidRPr="00117DF2">
              <w:t>6</w:t>
            </w:r>
          </w:p>
        </w:tc>
        <w:tc>
          <w:tcPr>
            <w:tcW w:w="512" w:type="pct"/>
          </w:tcPr>
          <w:p w:rsidR="005117CB" w:rsidRPr="00117DF2" w:rsidRDefault="00A4312C" w:rsidP="00E27441">
            <w:pPr>
              <w:spacing w:after="0"/>
              <w:jc w:val="right"/>
            </w:pPr>
            <w:r w:rsidRPr="00117DF2">
              <w:t>38.1</w:t>
            </w:r>
          </w:p>
        </w:tc>
        <w:tc>
          <w:tcPr>
            <w:tcW w:w="1597" w:type="pct"/>
          </w:tcPr>
          <w:p w:rsidR="005117CB" w:rsidRPr="00117DF2" w:rsidRDefault="00A4312C" w:rsidP="00E27441">
            <w:pPr>
              <w:spacing w:after="0"/>
              <w:jc w:val="right"/>
            </w:pPr>
            <w:r w:rsidRPr="00117DF2">
              <w:t>39.5</w:t>
            </w:r>
          </w:p>
        </w:tc>
      </w:tr>
      <w:tr w:rsidR="005117CB" w:rsidRPr="00117DF2" w:rsidTr="003C26F9">
        <w:tc>
          <w:tcPr>
            <w:tcW w:w="1027" w:type="pct"/>
          </w:tcPr>
          <w:p w:rsidR="005117CB" w:rsidRPr="00117DF2" w:rsidRDefault="005117CB" w:rsidP="00941AE6">
            <w:pPr>
              <w:spacing w:after="0"/>
            </w:pPr>
            <w:r w:rsidRPr="00117DF2">
              <w:t>Female n=23</w:t>
            </w:r>
          </w:p>
        </w:tc>
        <w:tc>
          <w:tcPr>
            <w:tcW w:w="533" w:type="pct"/>
          </w:tcPr>
          <w:p w:rsidR="005117CB" w:rsidRPr="00117DF2" w:rsidRDefault="005117CB" w:rsidP="00E27441">
            <w:pPr>
              <w:spacing w:after="0"/>
              <w:jc w:val="right"/>
            </w:pPr>
            <w:r w:rsidRPr="00117DF2">
              <w:t>57.0</w:t>
            </w:r>
          </w:p>
        </w:tc>
        <w:tc>
          <w:tcPr>
            <w:tcW w:w="723" w:type="pct"/>
          </w:tcPr>
          <w:p w:rsidR="005117CB" w:rsidRPr="00117DF2" w:rsidRDefault="001842BB" w:rsidP="00E27441">
            <w:pPr>
              <w:spacing w:after="0"/>
              <w:jc w:val="right"/>
            </w:pPr>
            <w:r w:rsidRPr="00117DF2">
              <w:t>56.0</w:t>
            </w:r>
          </w:p>
        </w:tc>
        <w:tc>
          <w:tcPr>
            <w:tcW w:w="607" w:type="pct"/>
          </w:tcPr>
          <w:p w:rsidR="005117CB" w:rsidRPr="00117DF2" w:rsidRDefault="005117CB" w:rsidP="00E27441">
            <w:pPr>
              <w:spacing w:after="0"/>
              <w:jc w:val="right"/>
            </w:pPr>
            <w:r w:rsidRPr="00117DF2">
              <w:t>59.</w:t>
            </w:r>
            <w:r w:rsidR="001842BB" w:rsidRPr="00117DF2">
              <w:t>1</w:t>
            </w:r>
          </w:p>
        </w:tc>
        <w:tc>
          <w:tcPr>
            <w:tcW w:w="512" w:type="pct"/>
          </w:tcPr>
          <w:p w:rsidR="005117CB" w:rsidRPr="00117DF2" w:rsidRDefault="00A4312C" w:rsidP="00E27441">
            <w:pPr>
              <w:spacing w:after="0"/>
              <w:jc w:val="right"/>
            </w:pPr>
            <w:r w:rsidRPr="00117DF2">
              <w:t>58.9</w:t>
            </w:r>
          </w:p>
        </w:tc>
        <w:tc>
          <w:tcPr>
            <w:tcW w:w="1597" w:type="pct"/>
          </w:tcPr>
          <w:p w:rsidR="005117CB" w:rsidRPr="00117DF2" w:rsidRDefault="001842BB" w:rsidP="00E27441">
            <w:pPr>
              <w:spacing w:after="0"/>
              <w:jc w:val="right"/>
            </w:pPr>
            <w:r w:rsidRPr="00117DF2">
              <w:t>5</w:t>
            </w:r>
            <w:r w:rsidR="00A4312C" w:rsidRPr="00117DF2">
              <w:t>7.8</w:t>
            </w:r>
          </w:p>
        </w:tc>
      </w:tr>
      <w:tr w:rsidR="005117CB" w:rsidRPr="00117DF2" w:rsidTr="003C26F9">
        <w:tc>
          <w:tcPr>
            <w:tcW w:w="1027" w:type="pct"/>
          </w:tcPr>
          <w:p w:rsidR="005117CB" w:rsidRPr="00117DF2" w:rsidRDefault="005117CB" w:rsidP="00941AE6">
            <w:pPr>
              <w:spacing w:after="0"/>
            </w:pPr>
            <w:r w:rsidRPr="00117DF2">
              <w:t>Total N=40</w:t>
            </w:r>
          </w:p>
        </w:tc>
        <w:tc>
          <w:tcPr>
            <w:tcW w:w="533" w:type="pct"/>
          </w:tcPr>
          <w:p w:rsidR="005117CB" w:rsidRPr="00117DF2" w:rsidRDefault="005117CB" w:rsidP="00E27441">
            <w:pPr>
              <w:spacing w:after="0"/>
              <w:jc w:val="right"/>
            </w:pPr>
            <w:r w:rsidRPr="00117DF2">
              <w:t>50.0</w:t>
            </w:r>
          </w:p>
        </w:tc>
        <w:tc>
          <w:tcPr>
            <w:tcW w:w="723" w:type="pct"/>
          </w:tcPr>
          <w:p w:rsidR="005117CB" w:rsidRPr="00117DF2" w:rsidRDefault="001842BB" w:rsidP="00E27441">
            <w:pPr>
              <w:spacing w:after="0"/>
              <w:jc w:val="right"/>
            </w:pPr>
            <w:r w:rsidRPr="00117DF2">
              <w:t>50.1</w:t>
            </w:r>
          </w:p>
        </w:tc>
        <w:tc>
          <w:tcPr>
            <w:tcW w:w="607" w:type="pct"/>
          </w:tcPr>
          <w:p w:rsidR="005117CB" w:rsidRPr="00117DF2" w:rsidRDefault="001842BB" w:rsidP="00E27441">
            <w:pPr>
              <w:spacing w:after="0"/>
              <w:jc w:val="right"/>
            </w:pPr>
            <w:r w:rsidRPr="00117DF2">
              <w:t>50.1</w:t>
            </w:r>
          </w:p>
        </w:tc>
        <w:tc>
          <w:tcPr>
            <w:tcW w:w="512" w:type="pct"/>
          </w:tcPr>
          <w:p w:rsidR="005117CB" w:rsidRPr="00117DF2" w:rsidRDefault="00A4312C" w:rsidP="00E27441">
            <w:pPr>
              <w:spacing w:after="0"/>
              <w:jc w:val="right"/>
            </w:pPr>
            <w:r w:rsidRPr="00117DF2">
              <w:t>50.0</w:t>
            </w:r>
          </w:p>
        </w:tc>
        <w:tc>
          <w:tcPr>
            <w:tcW w:w="1597" w:type="pct"/>
          </w:tcPr>
          <w:p w:rsidR="005117CB" w:rsidRPr="00117DF2" w:rsidRDefault="005117CB" w:rsidP="00E27441">
            <w:pPr>
              <w:spacing w:after="0"/>
              <w:jc w:val="right"/>
            </w:pPr>
            <w:r w:rsidRPr="00117DF2">
              <w:t>5</w:t>
            </w:r>
            <w:r w:rsidR="001842BB" w:rsidRPr="00117DF2">
              <w:t>0.0</w:t>
            </w:r>
          </w:p>
        </w:tc>
      </w:tr>
    </w:tbl>
    <w:p w:rsidR="00D279C2" w:rsidRPr="00117DF2" w:rsidRDefault="00D279C2" w:rsidP="000B1B9F">
      <w:pPr>
        <w:pStyle w:val="TableNote"/>
        <w:spacing w:before="0" w:after="120"/>
      </w:pPr>
      <w:r w:rsidRPr="00117DF2">
        <w:t>Source: NDA</w:t>
      </w:r>
    </w:p>
    <w:p w:rsidR="005117CB" w:rsidRPr="00117DF2" w:rsidRDefault="005117CB" w:rsidP="000B1B9F">
      <w:pPr>
        <w:pStyle w:val="TableTitle"/>
        <w:spacing w:after="60"/>
      </w:pPr>
      <w:r w:rsidRPr="00117DF2">
        <w:t>Table 9: mean score by age group by tool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956"/>
        <w:gridCol w:w="1297"/>
        <w:gridCol w:w="1089"/>
        <w:gridCol w:w="918"/>
        <w:gridCol w:w="2865"/>
      </w:tblGrid>
      <w:tr w:rsidR="00480F88" w:rsidRPr="00117DF2" w:rsidTr="003C26F9">
        <w:tc>
          <w:tcPr>
            <w:tcW w:w="956" w:type="pct"/>
          </w:tcPr>
          <w:p w:rsidR="00480F88" w:rsidRPr="00117DF2" w:rsidRDefault="00480F88" w:rsidP="00941AE6">
            <w:pPr>
              <w:spacing w:after="0"/>
              <w:rPr>
                <w:b/>
              </w:rPr>
            </w:pPr>
            <w:r w:rsidRPr="00117DF2">
              <w:rPr>
                <w:b/>
              </w:rPr>
              <w:t>Age</w:t>
            </w:r>
          </w:p>
        </w:tc>
        <w:tc>
          <w:tcPr>
            <w:tcW w:w="542" w:type="pct"/>
          </w:tcPr>
          <w:p w:rsidR="00480F88" w:rsidRPr="00117DF2" w:rsidRDefault="00480F88" w:rsidP="00E27441">
            <w:pPr>
              <w:spacing w:after="0"/>
              <w:jc w:val="right"/>
              <w:rPr>
                <w:b/>
              </w:rPr>
            </w:pPr>
            <w:r w:rsidRPr="00117DF2">
              <w:rPr>
                <w:b/>
              </w:rPr>
              <w:t>FACE</w:t>
            </w:r>
          </w:p>
        </w:tc>
        <w:tc>
          <w:tcPr>
            <w:tcW w:w="736" w:type="pct"/>
          </w:tcPr>
          <w:p w:rsidR="00480F88" w:rsidRPr="00117DF2" w:rsidRDefault="000F608B" w:rsidP="00E27441">
            <w:pPr>
              <w:spacing w:after="0"/>
              <w:jc w:val="right"/>
              <w:rPr>
                <w:b/>
              </w:rPr>
            </w:pPr>
            <w:r w:rsidRPr="00117DF2">
              <w:rPr>
                <w:b/>
              </w:rPr>
              <w:t xml:space="preserve"> interRAI</w:t>
            </w:r>
          </w:p>
        </w:tc>
        <w:tc>
          <w:tcPr>
            <w:tcW w:w="618" w:type="pct"/>
          </w:tcPr>
          <w:p w:rsidR="00480F88" w:rsidRPr="00117DF2" w:rsidRDefault="00E27441" w:rsidP="00E27441">
            <w:pPr>
              <w:spacing w:after="0"/>
              <w:jc w:val="right"/>
              <w:rPr>
                <w:b/>
              </w:rPr>
            </w:pPr>
            <w:r w:rsidRPr="00117DF2">
              <w:rPr>
                <w:b/>
              </w:rPr>
              <w:t>RAS 5</w:t>
            </w:r>
            <w:r w:rsidR="00480F88" w:rsidRPr="00117DF2">
              <w:rPr>
                <w:b/>
              </w:rPr>
              <w:t xml:space="preserve"> </w:t>
            </w:r>
          </w:p>
        </w:tc>
        <w:tc>
          <w:tcPr>
            <w:tcW w:w="521" w:type="pct"/>
          </w:tcPr>
          <w:p w:rsidR="00480F88" w:rsidRPr="00117DF2" w:rsidRDefault="00480F88" w:rsidP="00E27441">
            <w:pPr>
              <w:spacing w:after="0"/>
              <w:jc w:val="right"/>
              <w:rPr>
                <w:b/>
              </w:rPr>
            </w:pPr>
            <w:r w:rsidRPr="00117DF2">
              <w:rPr>
                <w:b/>
              </w:rPr>
              <w:t xml:space="preserve"> SIS</w:t>
            </w:r>
          </w:p>
        </w:tc>
        <w:tc>
          <w:tcPr>
            <w:tcW w:w="1626" w:type="pct"/>
          </w:tcPr>
          <w:p w:rsidR="00480F88" w:rsidRPr="00117DF2" w:rsidRDefault="00480F88" w:rsidP="00E27441">
            <w:pPr>
              <w:spacing w:after="0"/>
              <w:jc w:val="right"/>
              <w:rPr>
                <w:b/>
              </w:rPr>
            </w:pPr>
            <w:r w:rsidRPr="00117DF2">
              <w:rPr>
                <w:b/>
              </w:rPr>
              <w:t>Average of tools</w:t>
            </w:r>
          </w:p>
        </w:tc>
      </w:tr>
      <w:tr w:rsidR="00480F88" w:rsidRPr="00117DF2" w:rsidTr="003C26F9">
        <w:tc>
          <w:tcPr>
            <w:tcW w:w="956" w:type="pct"/>
          </w:tcPr>
          <w:p w:rsidR="00480F88" w:rsidRPr="00117DF2" w:rsidRDefault="00480F88" w:rsidP="00941AE6">
            <w:pPr>
              <w:spacing w:after="0"/>
            </w:pPr>
            <w:r w:rsidRPr="00117DF2">
              <w:t>18-40 n=23</w:t>
            </w:r>
          </w:p>
        </w:tc>
        <w:tc>
          <w:tcPr>
            <w:tcW w:w="542" w:type="pct"/>
          </w:tcPr>
          <w:p w:rsidR="00480F88" w:rsidRPr="00117DF2" w:rsidRDefault="001842BB" w:rsidP="00E27441">
            <w:pPr>
              <w:spacing w:after="0"/>
              <w:jc w:val="right"/>
            </w:pPr>
            <w:r w:rsidRPr="00117DF2">
              <w:t>52.0</w:t>
            </w:r>
          </w:p>
        </w:tc>
        <w:tc>
          <w:tcPr>
            <w:tcW w:w="736" w:type="pct"/>
          </w:tcPr>
          <w:p w:rsidR="00480F88" w:rsidRPr="00117DF2" w:rsidRDefault="001842BB" w:rsidP="00E27441">
            <w:pPr>
              <w:spacing w:after="0"/>
              <w:jc w:val="right"/>
            </w:pPr>
            <w:r w:rsidRPr="00117DF2">
              <w:t>45.7</w:t>
            </w:r>
          </w:p>
        </w:tc>
        <w:tc>
          <w:tcPr>
            <w:tcW w:w="618" w:type="pct"/>
          </w:tcPr>
          <w:p w:rsidR="00480F88" w:rsidRPr="00117DF2" w:rsidRDefault="00480F88" w:rsidP="00E27441">
            <w:pPr>
              <w:spacing w:after="0"/>
              <w:jc w:val="right"/>
            </w:pPr>
            <w:r w:rsidRPr="00117DF2">
              <w:t>54.7</w:t>
            </w:r>
          </w:p>
        </w:tc>
        <w:tc>
          <w:tcPr>
            <w:tcW w:w="521" w:type="pct"/>
          </w:tcPr>
          <w:p w:rsidR="00480F88" w:rsidRPr="00117DF2" w:rsidRDefault="001842BB" w:rsidP="00E27441">
            <w:pPr>
              <w:spacing w:after="0"/>
              <w:jc w:val="right"/>
            </w:pPr>
            <w:r w:rsidRPr="00117DF2">
              <w:t>5</w:t>
            </w:r>
            <w:r w:rsidR="00A4312C" w:rsidRPr="00117DF2">
              <w:t>4.3</w:t>
            </w:r>
          </w:p>
        </w:tc>
        <w:tc>
          <w:tcPr>
            <w:tcW w:w="1626" w:type="pct"/>
          </w:tcPr>
          <w:p w:rsidR="00480F88" w:rsidRPr="00117DF2" w:rsidRDefault="00A4312C" w:rsidP="00E27441">
            <w:pPr>
              <w:spacing w:after="0"/>
              <w:jc w:val="right"/>
            </w:pPr>
            <w:r w:rsidRPr="00117DF2">
              <w:t>51.7</w:t>
            </w:r>
          </w:p>
        </w:tc>
      </w:tr>
      <w:tr w:rsidR="00480F88" w:rsidRPr="00117DF2" w:rsidTr="003C26F9">
        <w:tc>
          <w:tcPr>
            <w:tcW w:w="956" w:type="pct"/>
          </w:tcPr>
          <w:p w:rsidR="00480F88" w:rsidRPr="00117DF2" w:rsidRDefault="00480F88" w:rsidP="00941AE6">
            <w:pPr>
              <w:spacing w:after="0"/>
            </w:pPr>
            <w:r w:rsidRPr="00117DF2">
              <w:t>41-65 n=17</w:t>
            </w:r>
          </w:p>
        </w:tc>
        <w:tc>
          <w:tcPr>
            <w:tcW w:w="542" w:type="pct"/>
          </w:tcPr>
          <w:p w:rsidR="00480F88" w:rsidRPr="00117DF2" w:rsidRDefault="00480F88" w:rsidP="00E27441">
            <w:pPr>
              <w:spacing w:after="0"/>
              <w:jc w:val="right"/>
            </w:pPr>
            <w:r w:rsidRPr="00117DF2">
              <w:t>47.4</w:t>
            </w:r>
          </w:p>
        </w:tc>
        <w:tc>
          <w:tcPr>
            <w:tcW w:w="736" w:type="pct"/>
          </w:tcPr>
          <w:p w:rsidR="00480F88" w:rsidRPr="00117DF2" w:rsidRDefault="001842BB" w:rsidP="00E27441">
            <w:pPr>
              <w:spacing w:after="0"/>
              <w:jc w:val="right"/>
            </w:pPr>
            <w:r w:rsidRPr="00117DF2">
              <w:t>56.2</w:t>
            </w:r>
          </w:p>
        </w:tc>
        <w:tc>
          <w:tcPr>
            <w:tcW w:w="618" w:type="pct"/>
          </w:tcPr>
          <w:p w:rsidR="00480F88" w:rsidRPr="00117DF2" w:rsidRDefault="00480F88" w:rsidP="00E27441">
            <w:pPr>
              <w:spacing w:after="0"/>
              <w:jc w:val="right"/>
            </w:pPr>
            <w:r w:rsidRPr="00117DF2">
              <w:t>43.5</w:t>
            </w:r>
          </w:p>
        </w:tc>
        <w:tc>
          <w:tcPr>
            <w:tcW w:w="521" w:type="pct"/>
          </w:tcPr>
          <w:p w:rsidR="00480F88" w:rsidRPr="00117DF2" w:rsidRDefault="00A4312C" w:rsidP="00E27441">
            <w:pPr>
              <w:spacing w:after="0"/>
              <w:jc w:val="right"/>
            </w:pPr>
            <w:r w:rsidRPr="00117DF2">
              <w:t>4.2</w:t>
            </w:r>
          </w:p>
        </w:tc>
        <w:tc>
          <w:tcPr>
            <w:tcW w:w="1626" w:type="pct"/>
          </w:tcPr>
          <w:p w:rsidR="00480F88" w:rsidRPr="00117DF2" w:rsidRDefault="00A4312C" w:rsidP="00E27441">
            <w:pPr>
              <w:spacing w:after="0"/>
              <w:jc w:val="right"/>
            </w:pPr>
            <w:r w:rsidRPr="00117DF2">
              <w:t>47.8</w:t>
            </w:r>
          </w:p>
        </w:tc>
      </w:tr>
    </w:tbl>
    <w:p w:rsidR="00005A85" w:rsidRPr="00117DF2" w:rsidRDefault="00005A85" w:rsidP="000B1B9F">
      <w:pPr>
        <w:pStyle w:val="TableNote"/>
        <w:spacing w:before="0" w:after="120"/>
      </w:pPr>
      <w:r w:rsidRPr="00117DF2">
        <w:t>Source: NDA</w:t>
      </w:r>
    </w:p>
    <w:p w:rsidR="005117CB" w:rsidRPr="00117DF2" w:rsidRDefault="005117CB" w:rsidP="000B1B9F">
      <w:pPr>
        <w:pStyle w:val="TableTitle"/>
        <w:spacing w:after="60"/>
      </w:pPr>
      <w:r w:rsidRPr="00117DF2">
        <w:t>Table 10: mean score by challenging behaviour by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967"/>
        <w:gridCol w:w="1270"/>
        <w:gridCol w:w="951"/>
        <w:gridCol w:w="716"/>
        <w:gridCol w:w="1519"/>
      </w:tblGrid>
      <w:tr w:rsidR="000B1B9F" w:rsidRPr="00117DF2" w:rsidTr="00A4312C">
        <w:trPr>
          <w:trHeight w:val="290"/>
        </w:trPr>
        <w:tc>
          <w:tcPr>
            <w:tcW w:w="3652" w:type="dxa"/>
          </w:tcPr>
          <w:p w:rsidR="00480F88" w:rsidRPr="00117DF2" w:rsidRDefault="00480F88" w:rsidP="00941AE6">
            <w:pPr>
              <w:spacing w:after="0"/>
              <w:rPr>
                <w:b/>
              </w:rPr>
            </w:pPr>
          </w:p>
        </w:tc>
        <w:tc>
          <w:tcPr>
            <w:tcW w:w="970" w:type="dxa"/>
          </w:tcPr>
          <w:p w:rsidR="00480F88" w:rsidRPr="00117DF2" w:rsidRDefault="00480F88" w:rsidP="00941AE6">
            <w:pPr>
              <w:spacing w:after="0"/>
              <w:rPr>
                <w:b/>
              </w:rPr>
            </w:pPr>
            <w:r w:rsidRPr="00117DF2">
              <w:rPr>
                <w:b/>
              </w:rPr>
              <w:t>FACE</w:t>
            </w:r>
          </w:p>
        </w:tc>
        <w:tc>
          <w:tcPr>
            <w:tcW w:w="1156" w:type="dxa"/>
          </w:tcPr>
          <w:p w:rsidR="00480F88" w:rsidRPr="00117DF2" w:rsidRDefault="000F608B" w:rsidP="00941AE6">
            <w:pPr>
              <w:spacing w:after="0"/>
              <w:rPr>
                <w:b/>
              </w:rPr>
            </w:pPr>
            <w:r w:rsidRPr="00117DF2">
              <w:rPr>
                <w:b/>
              </w:rPr>
              <w:t xml:space="preserve"> interRAI</w:t>
            </w:r>
          </w:p>
        </w:tc>
        <w:tc>
          <w:tcPr>
            <w:tcW w:w="978" w:type="dxa"/>
          </w:tcPr>
          <w:p w:rsidR="00480F88" w:rsidRPr="00117DF2" w:rsidRDefault="00A57183" w:rsidP="00941AE6">
            <w:pPr>
              <w:spacing w:after="0"/>
              <w:rPr>
                <w:b/>
              </w:rPr>
            </w:pPr>
            <w:r w:rsidRPr="00117DF2">
              <w:rPr>
                <w:b/>
              </w:rPr>
              <w:t>RAS</w:t>
            </w:r>
            <w:r w:rsidR="00E27441" w:rsidRPr="00117DF2">
              <w:rPr>
                <w:b/>
              </w:rPr>
              <w:t xml:space="preserve"> </w:t>
            </w:r>
            <w:r w:rsidR="00D87EFE" w:rsidRPr="00117DF2">
              <w:rPr>
                <w:b/>
              </w:rPr>
              <w:t>5</w:t>
            </w:r>
          </w:p>
        </w:tc>
        <w:tc>
          <w:tcPr>
            <w:tcW w:w="723" w:type="dxa"/>
          </w:tcPr>
          <w:p w:rsidR="00480F88" w:rsidRPr="00117DF2" w:rsidRDefault="00480F88" w:rsidP="00941AE6">
            <w:pPr>
              <w:spacing w:after="0"/>
              <w:rPr>
                <w:b/>
              </w:rPr>
            </w:pPr>
            <w:r w:rsidRPr="00117DF2">
              <w:rPr>
                <w:b/>
              </w:rPr>
              <w:t>SIS</w:t>
            </w:r>
          </w:p>
        </w:tc>
        <w:tc>
          <w:tcPr>
            <w:tcW w:w="1557" w:type="dxa"/>
          </w:tcPr>
          <w:p w:rsidR="00480F88" w:rsidRPr="00117DF2" w:rsidRDefault="00480F88" w:rsidP="00941AE6">
            <w:pPr>
              <w:spacing w:after="0"/>
              <w:rPr>
                <w:b/>
              </w:rPr>
            </w:pPr>
            <w:r w:rsidRPr="00117DF2">
              <w:rPr>
                <w:b/>
              </w:rPr>
              <w:t xml:space="preserve">Average of </w:t>
            </w:r>
            <w:r w:rsidR="000B1B9F" w:rsidRPr="00117DF2">
              <w:rPr>
                <w:b/>
              </w:rPr>
              <w:t>tools</w:t>
            </w:r>
          </w:p>
        </w:tc>
      </w:tr>
      <w:tr w:rsidR="00B663E2" w:rsidRPr="00117DF2" w:rsidTr="00A4312C">
        <w:tc>
          <w:tcPr>
            <w:tcW w:w="3652" w:type="dxa"/>
          </w:tcPr>
          <w:p w:rsidR="00B663E2" w:rsidRPr="00117DF2" w:rsidRDefault="00B663E2" w:rsidP="00941AE6">
            <w:pPr>
              <w:spacing w:after="0"/>
            </w:pPr>
            <w:r w:rsidRPr="00117DF2">
              <w:t>Challenging behaviour n=</w:t>
            </w:r>
            <w:r w:rsidR="00292EC2" w:rsidRPr="00117DF2">
              <w:t>2</w:t>
            </w:r>
          </w:p>
        </w:tc>
        <w:tc>
          <w:tcPr>
            <w:tcW w:w="970" w:type="dxa"/>
          </w:tcPr>
          <w:p w:rsidR="00B663E2" w:rsidRPr="00117DF2" w:rsidRDefault="00292EC2" w:rsidP="00E27441">
            <w:pPr>
              <w:spacing w:after="0"/>
              <w:jc w:val="right"/>
            </w:pPr>
            <w:r w:rsidRPr="00117DF2">
              <w:t>63.0</w:t>
            </w:r>
          </w:p>
        </w:tc>
        <w:tc>
          <w:tcPr>
            <w:tcW w:w="1156" w:type="dxa"/>
          </w:tcPr>
          <w:p w:rsidR="00B663E2" w:rsidRPr="00117DF2" w:rsidRDefault="00292EC2" w:rsidP="00E27441">
            <w:pPr>
              <w:spacing w:after="0"/>
              <w:jc w:val="right"/>
            </w:pPr>
            <w:r w:rsidRPr="00117DF2">
              <w:t>82.0</w:t>
            </w:r>
          </w:p>
        </w:tc>
        <w:tc>
          <w:tcPr>
            <w:tcW w:w="978" w:type="dxa"/>
          </w:tcPr>
          <w:p w:rsidR="00B663E2" w:rsidRPr="00117DF2" w:rsidRDefault="00292EC2" w:rsidP="00E27441">
            <w:pPr>
              <w:spacing w:after="0"/>
              <w:jc w:val="right"/>
            </w:pPr>
            <w:r w:rsidRPr="00117DF2">
              <w:t>86.0</w:t>
            </w:r>
          </w:p>
        </w:tc>
        <w:tc>
          <w:tcPr>
            <w:tcW w:w="723" w:type="dxa"/>
          </w:tcPr>
          <w:p w:rsidR="00B663E2" w:rsidRPr="00117DF2" w:rsidRDefault="00A4312C" w:rsidP="00E27441">
            <w:pPr>
              <w:spacing w:after="0"/>
              <w:jc w:val="right"/>
            </w:pPr>
            <w:r w:rsidRPr="00117DF2">
              <w:t>82.0</w:t>
            </w:r>
          </w:p>
        </w:tc>
        <w:tc>
          <w:tcPr>
            <w:tcW w:w="1557" w:type="dxa"/>
          </w:tcPr>
          <w:p w:rsidR="00B663E2" w:rsidRPr="00117DF2" w:rsidRDefault="00A4312C" w:rsidP="00E27441">
            <w:pPr>
              <w:spacing w:after="0"/>
              <w:jc w:val="right"/>
            </w:pPr>
            <w:r w:rsidRPr="00117DF2">
              <w:t>77.5</w:t>
            </w:r>
          </w:p>
        </w:tc>
      </w:tr>
      <w:tr w:rsidR="000B1B9F" w:rsidRPr="00117DF2" w:rsidTr="00A4312C">
        <w:tc>
          <w:tcPr>
            <w:tcW w:w="3652" w:type="dxa"/>
          </w:tcPr>
          <w:p w:rsidR="00B663E2" w:rsidRPr="00117DF2" w:rsidRDefault="00B663E2" w:rsidP="00941AE6">
            <w:pPr>
              <w:spacing w:after="0"/>
            </w:pPr>
            <w:r w:rsidRPr="00117DF2">
              <w:t>Other n=36</w:t>
            </w:r>
          </w:p>
        </w:tc>
        <w:tc>
          <w:tcPr>
            <w:tcW w:w="970" w:type="dxa"/>
          </w:tcPr>
          <w:p w:rsidR="00B663E2" w:rsidRPr="00117DF2" w:rsidRDefault="00292EC2" w:rsidP="00E27441">
            <w:pPr>
              <w:spacing w:after="0"/>
              <w:jc w:val="right"/>
            </w:pPr>
            <w:r w:rsidRPr="00117DF2">
              <w:t>49.3</w:t>
            </w:r>
          </w:p>
        </w:tc>
        <w:tc>
          <w:tcPr>
            <w:tcW w:w="1156" w:type="dxa"/>
          </w:tcPr>
          <w:p w:rsidR="00B663E2" w:rsidRPr="00117DF2" w:rsidRDefault="00292EC2" w:rsidP="00E27441">
            <w:pPr>
              <w:spacing w:after="0"/>
              <w:jc w:val="right"/>
            </w:pPr>
            <w:r w:rsidRPr="00117DF2">
              <w:t>48.5</w:t>
            </w:r>
          </w:p>
        </w:tc>
        <w:tc>
          <w:tcPr>
            <w:tcW w:w="978" w:type="dxa"/>
          </w:tcPr>
          <w:p w:rsidR="00B663E2" w:rsidRPr="00117DF2" w:rsidRDefault="00292EC2" w:rsidP="00E27441">
            <w:pPr>
              <w:spacing w:after="0"/>
              <w:jc w:val="right"/>
            </w:pPr>
            <w:r w:rsidRPr="00117DF2">
              <w:t>48.1</w:t>
            </w:r>
          </w:p>
        </w:tc>
        <w:tc>
          <w:tcPr>
            <w:tcW w:w="723" w:type="dxa"/>
          </w:tcPr>
          <w:p w:rsidR="00B663E2" w:rsidRPr="00117DF2" w:rsidRDefault="00A4312C" w:rsidP="00E27441">
            <w:pPr>
              <w:spacing w:after="0"/>
              <w:jc w:val="right"/>
            </w:pPr>
            <w:r w:rsidRPr="00117DF2">
              <w:t>48.5</w:t>
            </w:r>
          </w:p>
        </w:tc>
        <w:tc>
          <w:tcPr>
            <w:tcW w:w="1557" w:type="dxa"/>
          </w:tcPr>
          <w:p w:rsidR="00B663E2" w:rsidRPr="00117DF2" w:rsidRDefault="00292EC2" w:rsidP="00E27441">
            <w:pPr>
              <w:spacing w:after="0"/>
              <w:jc w:val="right"/>
            </w:pPr>
            <w:r w:rsidRPr="00117DF2">
              <w:t>48.</w:t>
            </w:r>
            <w:r w:rsidR="00A4312C" w:rsidRPr="00117DF2">
              <w:t>6</w:t>
            </w:r>
          </w:p>
        </w:tc>
      </w:tr>
    </w:tbl>
    <w:p w:rsidR="00005A85" w:rsidRPr="00117DF2" w:rsidRDefault="00005A85" w:rsidP="000B1B9F">
      <w:pPr>
        <w:pStyle w:val="TableNote"/>
        <w:spacing w:before="0" w:after="120"/>
      </w:pPr>
      <w:r w:rsidRPr="00117DF2">
        <w:t>Source: NDA</w:t>
      </w:r>
    </w:p>
    <w:p w:rsidR="00480F88" w:rsidRPr="00117DF2" w:rsidRDefault="00480F88" w:rsidP="000B1B9F">
      <w:pPr>
        <w:pStyle w:val="TableTitle"/>
        <w:spacing w:after="60"/>
      </w:pPr>
      <w:r w:rsidRPr="00117DF2">
        <w:t>Table 11: mean score by mental health difficulties by tool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42"/>
        <w:gridCol w:w="1270"/>
        <w:gridCol w:w="895"/>
        <w:gridCol w:w="669"/>
        <w:gridCol w:w="1234"/>
      </w:tblGrid>
      <w:tr w:rsidR="000B1B9F" w:rsidRPr="00117DF2" w:rsidTr="008709AF">
        <w:tc>
          <w:tcPr>
            <w:tcW w:w="2178" w:type="pct"/>
          </w:tcPr>
          <w:p w:rsidR="00480F88" w:rsidRPr="00117DF2" w:rsidRDefault="00480F88" w:rsidP="00941AE6">
            <w:pPr>
              <w:spacing w:after="0"/>
            </w:pPr>
          </w:p>
        </w:tc>
        <w:tc>
          <w:tcPr>
            <w:tcW w:w="537" w:type="pct"/>
          </w:tcPr>
          <w:p w:rsidR="00480F88" w:rsidRPr="00117DF2" w:rsidRDefault="00480F88" w:rsidP="00E27441">
            <w:pPr>
              <w:spacing w:after="0"/>
              <w:jc w:val="right"/>
              <w:rPr>
                <w:b/>
              </w:rPr>
            </w:pPr>
            <w:r w:rsidRPr="00117DF2">
              <w:rPr>
                <w:b/>
              </w:rPr>
              <w:t>FACE</w:t>
            </w:r>
          </w:p>
        </w:tc>
        <w:tc>
          <w:tcPr>
            <w:tcW w:w="640" w:type="pct"/>
          </w:tcPr>
          <w:p w:rsidR="00480F88" w:rsidRPr="00117DF2" w:rsidRDefault="000F608B" w:rsidP="00E27441">
            <w:pPr>
              <w:spacing w:after="0"/>
              <w:jc w:val="right"/>
              <w:rPr>
                <w:b/>
              </w:rPr>
            </w:pPr>
            <w:r w:rsidRPr="00117DF2">
              <w:rPr>
                <w:b/>
              </w:rPr>
              <w:t xml:space="preserve"> interRAI</w:t>
            </w:r>
          </w:p>
        </w:tc>
        <w:tc>
          <w:tcPr>
            <w:tcW w:w="542" w:type="pct"/>
          </w:tcPr>
          <w:p w:rsidR="00480F88" w:rsidRPr="00117DF2" w:rsidRDefault="00A57183" w:rsidP="00E27441">
            <w:pPr>
              <w:spacing w:after="0"/>
              <w:jc w:val="right"/>
              <w:rPr>
                <w:b/>
              </w:rPr>
            </w:pPr>
            <w:r w:rsidRPr="00117DF2">
              <w:rPr>
                <w:b/>
              </w:rPr>
              <w:t>RAS</w:t>
            </w:r>
            <w:r w:rsidR="00E27441" w:rsidRPr="00117DF2">
              <w:rPr>
                <w:b/>
              </w:rPr>
              <w:t xml:space="preserve"> </w:t>
            </w:r>
            <w:r w:rsidR="00D87EFE" w:rsidRPr="00117DF2">
              <w:rPr>
                <w:b/>
              </w:rPr>
              <w:t>5</w:t>
            </w:r>
          </w:p>
        </w:tc>
        <w:tc>
          <w:tcPr>
            <w:tcW w:w="400" w:type="pct"/>
          </w:tcPr>
          <w:p w:rsidR="00480F88" w:rsidRPr="00117DF2" w:rsidRDefault="00480F88" w:rsidP="00E27441">
            <w:pPr>
              <w:spacing w:after="0"/>
              <w:jc w:val="right"/>
              <w:rPr>
                <w:b/>
              </w:rPr>
            </w:pPr>
            <w:r w:rsidRPr="00117DF2">
              <w:rPr>
                <w:b/>
              </w:rPr>
              <w:t xml:space="preserve"> SIS</w:t>
            </w:r>
          </w:p>
        </w:tc>
        <w:tc>
          <w:tcPr>
            <w:tcW w:w="702" w:type="pct"/>
          </w:tcPr>
          <w:p w:rsidR="00480F88" w:rsidRPr="00117DF2" w:rsidRDefault="00480F88" w:rsidP="00E27441">
            <w:pPr>
              <w:spacing w:after="0"/>
              <w:jc w:val="right"/>
              <w:rPr>
                <w:b/>
              </w:rPr>
            </w:pPr>
            <w:r w:rsidRPr="00117DF2">
              <w:rPr>
                <w:b/>
              </w:rPr>
              <w:t>Average of tools</w:t>
            </w:r>
          </w:p>
        </w:tc>
      </w:tr>
      <w:tr w:rsidR="00B663E2" w:rsidRPr="00117DF2" w:rsidTr="008709AF">
        <w:tc>
          <w:tcPr>
            <w:tcW w:w="2178" w:type="pct"/>
          </w:tcPr>
          <w:p w:rsidR="00B663E2" w:rsidRPr="00117DF2" w:rsidRDefault="00E27441" w:rsidP="00941AE6">
            <w:pPr>
              <w:spacing w:after="0"/>
            </w:pPr>
            <w:r w:rsidRPr="00117DF2">
              <w:t>M</w:t>
            </w:r>
            <w:r w:rsidR="00B663E2" w:rsidRPr="00117DF2">
              <w:t>ental health difficulties n=5</w:t>
            </w:r>
          </w:p>
        </w:tc>
        <w:tc>
          <w:tcPr>
            <w:tcW w:w="537" w:type="pct"/>
          </w:tcPr>
          <w:p w:rsidR="00B663E2" w:rsidRPr="00117DF2" w:rsidRDefault="00B663E2" w:rsidP="00E27441">
            <w:pPr>
              <w:spacing w:after="0"/>
              <w:jc w:val="right"/>
            </w:pPr>
            <w:r w:rsidRPr="00117DF2">
              <w:t>45.4</w:t>
            </w:r>
          </w:p>
        </w:tc>
        <w:tc>
          <w:tcPr>
            <w:tcW w:w="640" w:type="pct"/>
          </w:tcPr>
          <w:p w:rsidR="00B663E2" w:rsidRPr="00117DF2" w:rsidRDefault="00B663E2" w:rsidP="00E27441">
            <w:pPr>
              <w:spacing w:after="0"/>
              <w:jc w:val="right"/>
            </w:pPr>
            <w:r w:rsidRPr="00117DF2">
              <w:t>4</w:t>
            </w:r>
            <w:r w:rsidR="001842BB" w:rsidRPr="00117DF2">
              <w:t>8.2</w:t>
            </w:r>
          </w:p>
        </w:tc>
        <w:tc>
          <w:tcPr>
            <w:tcW w:w="542" w:type="pct"/>
          </w:tcPr>
          <w:p w:rsidR="00B663E2" w:rsidRPr="00117DF2" w:rsidRDefault="00B663E2" w:rsidP="00E27441">
            <w:pPr>
              <w:spacing w:after="0"/>
              <w:jc w:val="right"/>
            </w:pPr>
            <w:r w:rsidRPr="00117DF2">
              <w:t>49.2</w:t>
            </w:r>
          </w:p>
        </w:tc>
        <w:tc>
          <w:tcPr>
            <w:tcW w:w="400" w:type="pct"/>
          </w:tcPr>
          <w:p w:rsidR="00B663E2" w:rsidRPr="00117DF2" w:rsidRDefault="001842BB" w:rsidP="00E27441">
            <w:pPr>
              <w:spacing w:after="0"/>
              <w:jc w:val="right"/>
            </w:pPr>
            <w:r w:rsidRPr="00117DF2">
              <w:t>5</w:t>
            </w:r>
            <w:r w:rsidR="00A4312C" w:rsidRPr="00117DF2">
              <w:t>7.6</w:t>
            </w:r>
          </w:p>
        </w:tc>
        <w:tc>
          <w:tcPr>
            <w:tcW w:w="702" w:type="pct"/>
          </w:tcPr>
          <w:p w:rsidR="00B663E2" w:rsidRPr="00117DF2" w:rsidRDefault="001842BB" w:rsidP="00E27441">
            <w:pPr>
              <w:spacing w:after="0"/>
              <w:jc w:val="right"/>
            </w:pPr>
            <w:r w:rsidRPr="00117DF2">
              <w:t>50.</w:t>
            </w:r>
            <w:r w:rsidR="00A4312C" w:rsidRPr="00117DF2">
              <w:t>1</w:t>
            </w:r>
          </w:p>
        </w:tc>
      </w:tr>
      <w:tr w:rsidR="000B1B9F" w:rsidRPr="00117DF2" w:rsidTr="008709AF">
        <w:tc>
          <w:tcPr>
            <w:tcW w:w="2178" w:type="pct"/>
          </w:tcPr>
          <w:p w:rsidR="00B663E2" w:rsidRPr="00117DF2" w:rsidRDefault="00E27441" w:rsidP="00941AE6">
            <w:pPr>
              <w:spacing w:after="0"/>
            </w:pPr>
            <w:r w:rsidRPr="00117DF2">
              <w:t>O</w:t>
            </w:r>
            <w:r w:rsidR="00B663E2" w:rsidRPr="00117DF2">
              <w:t>ther n=35</w:t>
            </w:r>
          </w:p>
        </w:tc>
        <w:tc>
          <w:tcPr>
            <w:tcW w:w="537" w:type="pct"/>
          </w:tcPr>
          <w:p w:rsidR="00B663E2" w:rsidRPr="00117DF2" w:rsidRDefault="00B663E2" w:rsidP="00E27441">
            <w:pPr>
              <w:spacing w:after="0"/>
              <w:jc w:val="right"/>
            </w:pPr>
            <w:r w:rsidRPr="00117DF2">
              <w:t>50.</w:t>
            </w:r>
            <w:r w:rsidR="001842BB" w:rsidRPr="00117DF2">
              <w:t>7</w:t>
            </w:r>
          </w:p>
        </w:tc>
        <w:tc>
          <w:tcPr>
            <w:tcW w:w="640" w:type="pct"/>
          </w:tcPr>
          <w:p w:rsidR="00B663E2" w:rsidRPr="00117DF2" w:rsidRDefault="001842BB" w:rsidP="00E27441">
            <w:pPr>
              <w:spacing w:after="0"/>
              <w:jc w:val="right"/>
            </w:pPr>
            <w:r w:rsidRPr="00117DF2">
              <w:t>50.4</w:t>
            </w:r>
          </w:p>
        </w:tc>
        <w:tc>
          <w:tcPr>
            <w:tcW w:w="542" w:type="pct"/>
          </w:tcPr>
          <w:p w:rsidR="00B663E2" w:rsidRPr="00117DF2" w:rsidRDefault="00B663E2" w:rsidP="00E27441">
            <w:pPr>
              <w:spacing w:after="0"/>
              <w:jc w:val="right"/>
            </w:pPr>
            <w:r w:rsidRPr="00117DF2">
              <w:t>50.</w:t>
            </w:r>
            <w:r w:rsidR="001842BB" w:rsidRPr="00117DF2">
              <w:t>1</w:t>
            </w:r>
          </w:p>
        </w:tc>
        <w:tc>
          <w:tcPr>
            <w:tcW w:w="400" w:type="pct"/>
          </w:tcPr>
          <w:p w:rsidR="001842BB" w:rsidRPr="00117DF2" w:rsidRDefault="00A4312C" w:rsidP="00E27441">
            <w:pPr>
              <w:spacing w:after="0"/>
              <w:jc w:val="right"/>
            </w:pPr>
            <w:r w:rsidRPr="00117DF2">
              <w:t>48.9</w:t>
            </w:r>
          </w:p>
        </w:tc>
        <w:tc>
          <w:tcPr>
            <w:tcW w:w="702" w:type="pct"/>
          </w:tcPr>
          <w:p w:rsidR="00B663E2" w:rsidRPr="00117DF2" w:rsidRDefault="001842BB" w:rsidP="00E27441">
            <w:pPr>
              <w:spacing w:after="0"/>
              <w:jc w:val="right"/>
            </w:pPr>
            <w:r w:rsidRPr="00117DF2">
              <w:t>4</w:t>
            </w:r>
            <w:r w:rsidR="00A4312C" w:rsidRPr="00117DF2">
              <w:t>0.0</w:t>
            </w:r>
          </w:p>
        </w:tc>
      </w:tr>
    </w:tbl>
    <w:p w:rsidR="00005A85" w:rsidRPr="00117DF2" w:rsidRDefault="00005A85" w:rsidP="000B1B9F">
      <w:pPr>
        <w:pStyle w:val="TableNote"/>
        <w:spacing w:before="0" w:after="120"/>
      </w:pPr>
      <w:r w:rsidRPr="00117DF2">
        <w:t>Source: NDA</w:t>
      </w:r>
    </w:p>
    <w:p w:rsidR="00480F88" w:rsidRPr="00117DF2" w:rsidRDefault="00480F88" w:rsidP="000B1B9F">
      <w:pPr>
        <w:pStyle w:val="TableTitle"/>
        <w:spacing w:after="60"/>
      </w:pPr>
      <w:r w:rsidRPr="00117DF2">
        <w:t>Table 1</w:t>
      </w:r>
      <w:r w:rsidR="00284B8D" w:rsidRPr="00117DF2">
        <w:t>2</w:t>
      </w:r>
      <w:r w:rsidRPr="00117DF2">
        <w:t xml:space="preserve"> mean score by complex disabilities behaviour by tool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942"/>
        <w:gridCol w:w="1270"/>
        <w:gridCol w:w="967"/>
        <w:gridCol w:w="676"/>
        <w:gridCol w:w="2040"/>
      </w:tblGrid>
      <w:tr w:rsidR="00005A85" w:rsidRPr="00117DF2" w:rsidTr="003C26F9">
        <w:trPr>
          <w:trHeight w:val="254"/>
        </w:trPr>
        <w:tc>
          <w:tcPr>
            <w:tcW w:w="1668" w:type="pct"/>
          </w:tcPr>
          <w:p w:rsidR="00480F88" w:rsidRPr="00117DF2" w:rsidRDefault="00480F88" w:rsidP="00941AE6">
            <w:pPr>
              <w:spacing w:after="0"/>
            </w:pPr>
          </w:p>
        </w:tc>
        <w:tc>
          <w:tcPr>
            <w:tcW w:w="493" w:type="pct"/>
          </w:tcPr>
          <w:p w:rsidR="00480F88" w:rsidRPr="00117DF2" w:rsidRDefault="00480F88" w:rsidP="00E27441">
            <w:pPr>
              <w:spacing w:after="0"/>
              <w:jc w:val="right"/>
              <w:rPr>
                <w:b/>
              </w:rPr>
            </w:pPr>
            <w:r w:rsidRPr="00117DF2">
              <w:rPr>
                <w:b/>
              </w:rPr>
              <w:t>FACE</w:t>
            </w:r>
          </w:p>
        </w:tc>
        <w:tc>
          <w:tcPr>
            <w:tcW w:w="712" w:type="pct"/>
          </w:tcPr>
          <w:p w:rsidR="00480F88" w:rsidRPr="00117DF2" w:rsidRDefault="000F608B" w:rsidP="00E27441">
            <w:pPr>
              <w:spacing w:after="0"/>
              <w:jc w:val="right"/>
              <w:rPr>
                <w:b/>
              </w:rPr>
            </w:pPr>
            <w:r w:rsidRPr="00117DF2">
              <w:rPr>
                <w:b/>
              </w:rPr>
              <w:t xml:space="preserve"> interRAI</w:t>
            </w:r>
          </w:p>
        </w:tc>
        <w:tc>
          <w:tcPr>
            <w:tcW w:w="561" w:type="pct"/>
          </w:tcPr>
          <w:p w:rsidR="00480F88" w:rsidRPr="00117DF2" w:rsidRDefault="00E27441" w:rsidP="00E27441">
            <w:pPr>
              <w:spacing w:after="0"/>
              <w:jc w:val="right"/>
              <w:rPr>
                <w:b/>
              </w:rPr>
            </w:pPr>
            <w:r w:rsidRPr="00117DF2">
              <w:rPr>
                <w:b/>
              </w:rPr>
              <w:t>RAS 5</w:t>
            </w:r>
          </w:p>
        </w:tc>
        <w:tc>
          <w:tcPr>
            <w:tcW w:w="396" w:type="pct"/>
          </w:tcPr>
          <w:p w:rsidR="00480F88" w:rsidRPr="00117DF2" w:rsidRDefault="00480F88" w:rsidP="00E27441">
            <w:pPr>
              <w:spacing w:after="0"/>
              <w:jc w:val="right"/>
              <w:rPr>
                <w:b/>
              </w:rPr>
            </w:pPr>
            <w:r w:rsidRPr="00117DF2">
              <w:rPr>
                <w:b/>
              </w:rPr>
              <w:t xml:space="preserve"> SIS</w:t>
            </w:r>
          </w:p>
        </w:tc>
        <w:tc>
          <w:tcPr>
            <w:tcW w:w="1170" w:type="pct"/>
          </w:tcPr>
          <w:p w:rsidR="00480F88" w:rsidRPr="00117DF2" w:rsidRDefault="00480F88" w:rsidP="00E27441">
            <w:pPr>
              <w:spacing w:after="0"/>
              <w:jc w:val="right"/>
              <w:rPr>
                <w:b/>
              </w:rPr>
            </w:pPr>
            <w:r w:rsidRPr="00117DF2">
              <w:rPr>
                <w:b/>
              </w:rPr>
              <w:t>Average of tools</w:t>
            </w:r>
          </w:p>
        </w:tc>
      </w:tr>
      <w:tr w:rsidR="00005A85" w:rsidRPr="00117DF2" w:rsidTr="003C26F9">
        <w:tc>
          <w:tcPr>
            <w:tcW w:w="1668" w:type="pct"/>
          </w:tcPr>
          <w:p w:rsidR="00CA7696" w:rsidRPr="00117DF2" w:rsidRDefault="00005A85" w:rsidP="00941AE6">
            <w:pPr>
              <w:spacing w:after="0"/>
            </w:pPr>
            <w:r w:rsidRPr="00117DF2">
              <w:t>C</w:t>
            </w:r>
            <w:r w:rsidR="00CA7696" w:rsidRPr="00117DF2">
              <w:t>omplex</w:t>
            </w:r>
            <w:r w:rsidR="000B1B9F" w:rsidRPr="00117DF2">
              <w:t xml:space="preserve"> </w:t>
            </w:r>
            <w:r w:rsidR="00CA7696" w:rsidRPr="00117DF2">
              <w:t>disability n=15</w:t>
            </w:r>
          </w:p>
        </w:tc>
        <w:tc>
          <w:tcPr>
            <w:tcW w:w="493" w:type="pct"/>
            <w:vAlign w:val="center"/>
          </w:tcPr>
          <w:p w:rsidR="00CA7696" w:rsidRPr="00117DF2" w:rsidRDefault="001842BB" w:rsidP="00E27441">
            <w:pPr>
              <w:spacing w:after="0"/>
              <w:jc w:val="right"/>
            </w:pPr>
            <w:r w:rsidRPr="00117DF2">
              <w:t>51.0</w:t>
            </w:r>
          </w:p>
        </w:tc>
        <w:tc>
          <w:tcPr>
            <w:tcW w:w="712" w:type="pct"/>
            <w:vAlign w:val="center"/>
          </w:tcPr>
          <w:p w:rsidR="00CA7696" w:rsidRPr="00117DF2" w:rsidRDefault="001842BB" w:rsidP="00E27441">
            <w:pPr>
              <w:spacing w:after="0"/>
              <w:jc w:val="right"/>
            </w:pPr>
            <w:r w:rsidRPr="00117DF2">
              <w:t>50.8</w:t>
            </w:r>
          </w:p>
        </w:tc>
        <w:tc>
          <w:tcPr>
            <w:tcW w:w="561" w:type="pct"/>
            <w:vAlign w:val="center"/>
          </w:tcPr>
          <w:p w:rsidR="00CA7696" w:rsidRPr="00117DF2" w:rsidRDefault="001842BB" w:rsidP="00E27441">
            <w:pPr>
              <w:spacing w:after="0"/>
              <w:jc w:val="right"/>
            </w:pPr>
            <w:r w:rsidRPr="00117DF2">
              <w:t>55.6</w:t>
            </w:r>
          </w:p>
        </w:tc>
        <w:tc>
          <w:tcPr>
            <w:tcW w:w="396" w:type="pct"/>
            <w:vAlign w:val="center"/>
          </w:tcPr>
          <w:p w:rsidR="00CA7696" w:rsidRPr="00117DF2" w:rsidRDefault="00A4312C" w:rsidP="00E27441">
            <w:pPr>
              <w:spacing w:after="0"/>
              <w:jc w:val="right"/>
            </w:pPr>
            <w:r w:rsidRPr="00117DF2">
              <w:t>50.0</w:t>
            </w:r>
          </w:p>
        </w:tc>
        <w:tc>
          <w:tcPr>
            <w:tcW w:w="1170" w:type="pct"/>
            <w:vAlign w:val="center"/>
          </w:tcPr>
          <w:p w:rsidR="00CA7696" w:rsidRPr="00117DF2" w:rsidRDefault="001842BB" w:rsidP="00E27441">
            <w:pPr>
              <w:spacing w:after="0"/>
              <w:jc w:val="right"/>
            </w:pPr>
            <w:r w:rsidRPr="00117DF2">
              <w:t>5</w:t>
            </w:r>
            <w:r w:rsidR="00A4312C" w:rsidRPr="00117DF2">
              <w:t>1.9</w:t>
            </w:r>
          </w:p>
        </w:tc>
      </w:tr>
      <w:tr w:rsidR="00005A85" w:rsidRPr="00117DF2" w:rsidTr="003C26F9">
        <w:tc>
          <w:tcPr>
            <w:tcW w:w="1668" w:type="pct"/>
          </w:tcPr>
          <w:p w:rsidR="00CA7696" w:rsidRPr="00117DF2" w:rsidRDefault="000B1B9F" w:rsidP="00941AE6">
            <w:pPr>
              <w:spacing w:after="0"/>
            </w:pPr>
            <w:r w:rsidRPr="00117DF2">
              <w:t>O</w:t>
            </w:r>
            <w:r w:rsidR="00CA7696" w:rsidRPr="00117DF2">
              <w:t>ther</w:t>
            </w:r>
            <w:r w:rsidRPr="00117DF2">
              <w:t xml:space="preserve"> </w:t>
            </w:r>
            <w:r w:rsidR="00CA7696" w:rsidRPr="00117DF2">
              <w:t>n=25</w:t>
            </w:r>
          </w:p>
        </w:tc>
        <w:tc>
          <w:tcPr>
            <w:tcW w:w="493" w:type="pct"/>
            <w:vAlign w:val="center"/>
          </w:tcPr>
          <w:p w:rsidR="00CA7696" w:rsidRPr="00117DF2" w:rsidRDefault="001842BB" w:rsidP="00E27441">
            <w:pPr>
              <w:spacing w:after="0"/>
              <w:jc w:val="right"/>
            </w:pPr>
            <w:r w:rsidRPr="00117DF2">
              <w:t>49.4</w:t>
            </w:r>
          </w:p>
        </w:tc>
        <w:tc>
          <w:tcPr>
            <w:tcW w:w="712" w:type="pct"/>
            <w:vAlign w:val="center"/>
          </w:tcPr>
          <w:p w:rsidR="00CA7696" w:rsidRPr="00117DF2" w:rsidRDefault="001842BB" w:rsidP="00E27441">
            <w:pPr>
              <w:spacing w:after="0"/>
              <w:jc w:val="right"/>
            </w:pPr>
            <w:r w:rsidRPr="00117DF2">
              <w:t>49.7</w:t>
            </w:r>
          </w:p>
        </w:tc>
        <w:tc>
          <w:tcPr>
            <w:tcW w:w="561" w:type="pct"/>
            <w:vAlign w:val="center"/>
          </w:tcPr>
          <w:p w:rsidR="00CA7696" w:rsidRPr="00117DF2" w:rsidRDefault="001842BB" w:rsidP="00E27441">
            <w:pPr>
              <w:spacing w:after="0"/>
              <w:jc w:val="right"/>
            </w:pPr>
            <w:r w:rsidRPr="00117DF2">
              <w:t>46.7</w:t>
            </w:r>
          </w:p>
        </w:tc>
        <w:tc>
          <w:tcPr>
            <w:tcW w:w="396" w:type="pct"/>
            <w:vAlign w:val="center"/>
          </w:tcPr>
          <w:p w:rsidR="00CA7696" w:rsidRPr="00117DF2" w:rsidRDefault="00A4312C" w:rsidP="00E27441">
            <w:pPr>
              <w:spacing w:after="0"/>
              <w:jc w:val="right"/>
            </w:pPr>
            <w:r w:rsidRPr="00117DF2">
              <w:t>50.0</w:t>
            </w:r>
          </w:p>
        </w:tc>
        <w:tc>
          <w:tcPr>
            <w:tcW w:w="1170" w:type="pct"/>
            <w:vAlign w:val="center"/>
          </w:tcPr>
          <w:p w:rsidR="00CA7696" w:rsidRPr="00117DF2" w:rsidRDefault="001842BB" w:rsidP="00E27441">
            <w:pPr>
              <w:spacing w:after="0"/>
              <w:jc w:val="right"/>
            </w:pPr>
            <w:r w:rsidRPr="00117DF2">
              <w:t>4</w:t>
            </w:r>
            <w:r w:rsidR="00A4312C" w:rsidRPr="00117DF2">
              <w:t>8.9</w:t>
            </w:r>
          </w:p>
        </w:tc>
      </w:tr>
    </w:tbl>
    <w:p w:rsidR="00005A85" w:rsidRPr="00117DF2" w:rsidRDefault="00005A85" w:rsidP="000B1B9F">
      <w:pPr>
        <w:pStyle w:val="TableNote"/>
        <w:spacing w:before="0" w:after="120"/>
      </w:pPr>
      <w:r w:rsidRPr="00117DF2">
        <w:t>Source: NDA</w:t>
      </w:r>
    </w:p>
    <w:p w:rsidR="00480F88" w:rsidRPr="00117DF2" w:rsidRDefault="00480F88" w:rsidP="000B1B9F">
      <w:pPr>
        <w:pStyle w:val="TableTitle"/>
        <w:spacing w:after="60"/>
      </w:pPr>
      <w:r w:rsidRPr="00117DF2">
        <w:t>Table 1</w:t>
      </w:r>
      <w:r w:rsidR="00284B8D" w:rsidRPr="00117DF2">
        <w:t>3</w:t>
      </w:r>
      <w:r w:rsidRPr="00117DF2">
        <w:t xml:space="preserve"> mean score by parental stat</w:t>
      </w:r>
      <w:r w:rsidR="00284B8D" w:rsidRPr="00117DF2">
        <w:t>u</w:t>
      </w:r>
      <w:r w:rsidRPr="00117DF2">
        <w:t>s by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966"/>
        <w:gridCol w:w="1270"/>
        <w:gridCol w:w="1084"/>
        <w:gridCol w:w="903"/>
        <w:gridCol w:w="1234"/>
      </w:tblGrid>
      <w:tr w:rsidR="00A4312C" w:rsidRPr="00117DF2" w:rsidTr="00A4312C">
        <w:tc>
          <w:tcPr>
            <w:tcW w:w="3652" w:type="dxa"/>
          </w:tcPr>
          <w:p w:rsidR="00480F88" w:rsidRPr="00117DF2" w:rsidRDefault="00480F88" w:rsidP="00941AE6">
            <w:pPr>
              <w:spacing w:after="0"/>
            </w:pPr>
          </w:p>
        </w:tc>
        <w:tc>
          <w:tcPr>
            <w:tcW w:w="970" w:type="dxa"/>
          </w:tcPr>
          <w:p w:rsidR="00480F88" w:rsidRPr="00117DF2" w:rsidRDefault="00480F88" w:rsidP="00941AE6">
            <w:pPr>
              <w:spacing w:after="0"/>
              <w:rPr>
                <w:b/>
              </w:rPr>
            </w:pPr>
            <w:r w:rsidRPr="00117DF2">
              <w:rPr>
                <w:b/>
              </w:rPr>
              <w:t>FACE</w:t>
            </w:r>
          </w:p>
        </w:tc>
        <w:tc>
          <w:tcPr>
            <w:tcW w:w="1156" w:type="dxa"/>
          </w:tcPr>
          <w:p w:rsidR="00480F88" w:rsidRPr="00117DF2" w:rsidRDefault="000F608B" w:rsidP="00941AE6">
            <w:pPr>
              <w:spacing w:after="0"/>
              <w:rPr>
                <w:b/>
              </w:rPr>
            </w:pPr>
            <w:r w:rsidRPr="00117DF2">
              <w:rPr>
                <w:b/>
              </w:rPr>
              <w:t xml:space="preserve"> interRAI</w:t>
            </w:r>
          </w:p>
        </w:tc>
        <w:tc>
          <w:tcPr>
            <w:tcW w:w="1134" w:type="dxa"/>
          </w:tcPr>
          <w:p w:rsidR="00480F88" w:rsidRPr="00117DF2" w:rsidRDefault="00E27441" w:rsidP="00941AE6">
            <w:pPr>
              <w:spacing w:after="0"/>
              <w:rPr>
                <w:b/>
              </w:rPr>
            </w:pPr>
            <w:r w:rsidRPr="00117DF2">
              <w:rPr>
                <w:b/>
              </w:rPr>
              <w:t>RAS 5</w:t>
            </w:r>
          </w:p>
        </w:tc>
        <w:tc>
          <w:tcPr>
            <w:tcW w:w="939" w:type="dxa"/>
          </w:tcPr>
          <w:p w:rsidR="00480F88" w:rsidRPr="00117DF2" w:rsidRDefault="00480F88" w:rsidP="00941AE6">
            <w:pPr>
              <w:spacing w:after="0"/>
              <w:rPr>
                <w:b/>
              </w:rPr>
            </w:pPr>
            <w:r w:rsidRPr="00117DF2">
              <w:rPr>
                <w:b/>
              </w:rPr>
              <w:t xml:space="preserve"> SIS</w:t>
            </w:r>
          </w:p>
        </w:tc>
        <w:tc>
          <w:tcPr>
            <w:tcW w:w="1185" w:type="dxa"/>
          </w:tcPr>
          <w:p w:rsidR="00480F88" w:rsidRPr="00117DF2" w:rsidRDefault="00480F88" w:rsidP="00941AE6">
            <w:pPr>
              <w:spacing w:after="0"/>
              <w:rPr>
                <w:b/>
              </w:rPr>
            </w:pPr>
            <w:r w:rsidRPr="00117DF2">
              <w:rPr>
                <w:b/>
              </w:rPr>
              <w:t>Average of tools</w:t>
            </w:r>
          </w:p>
        </w:tc>
      </w:tr>
      <w:tr w:rsidR="00A4312C" w:rsidRPr="00117DF2" w:rsidTr="00A4312C">
        <w:tc>
          <w:tcPr>
            <w:tcW w:w="3652" w:type="dxa"/>
          </w:tcPr>
          <w:p w:rsidR="00B663E2" w:rsidRPr="00117DF2" w:rsidRDefault="00B663E2" w:rsidP="00941AE6">
            <w:pPr>
              <w:spacing w:after="0"/>
            </w:pPr>
            <w:r w:rsidRPr="00117DF2">
              <w:t>Dependent children n=4</w:t>
            </w:r>
          </w:p>
        </w:tc>
        <w:tc>
          <w:tcPr>
            <w:tcW w:w="970" w:type="dxa"/>
            <w:vAlign w:val="center"/>
          </w:tcPr>
          <w:p w:rsidR="00B663E2" w:rsidRPr="00117DF2" w:rsidRDefault="001842BB" w:rsidP="00E27441">
            <w:pPr>
              <w:spacing w:after="0"/>
              <w:jc w:val="right"/>
            </w:pPr>
            <w:r w:rsidRPr="00117DF2">
              <w:t>25.5</w:t>
            </w:r>
          </w:p>
        </w:tc>
        <w:tc>
          <w:tcPr>
            <w:tcW w:w="1156" w:type="dxa"/>
            <w:vAlign w:val="center"/>
          </w:tcPr>
          <w:p w:rsidR="00B663E2" w:rsidRPr="00117DF2" w:rsidRDefault="001842BB" w:rsidP="00E27441">
            <w:pPr>
              <w:spacing w:after="0"/>
              <w:jc w:val="right"/>
            </w:pPr>
            <w:r w:rsidRPr="00117DF2">
              <w:t>33.25</w:t>
            </w:r>
          </w:p>
        </w:tc>
        <w:tc>
          <w:tcPr>
            <w:tcW w:w="1134" w:type="dxa"/>
            <w:vAlign w:val="center"/>
          </w:tcPr>
          <w:p w:rsidR="00B663E2" w:rsidRPr="00117DF2" w:rsidRDefault="001842BB" w:rsidP="00E27441">
            <w:pPr>
              <w:spacing w:after="0"/>
              <w:jc w:val="right"/>
            </w:pPr>
            <w:r w:rsidRPr="00117DF2">
              <w:t>20.0</w:t>
            </w:r>
          </w:p>
        </w:tc>
        <w:tc>
          <w:tcPr>
            <w:tcW w:w="939" w:type="dxa"/>
            <w:vAlign w:val="center"/>
          </w:tcPr>
          <w:p w:rsidR="00B663E2" w:rsidRPr="00117DF2" w:rsidRDefault="001842BB" w:rsidP="00E27441">
            <w:pPr>
              <w:spacing w:after="0"/>
              <w:jc w:val="right"/>
            </w:pPr>
            <w:r w:rsidRPr="00117DF2">
              <w:t>2</w:t>
            </w:r>
            <w:r w:rsidR="00A4312C" w:rsidRPr="00117DF2">
              <w:t>2.8</w:t>
            </w:r>
          </w:p>
        </w:tc>
        <w:tc>
          <w:tcPr>
            <w:tcW w:w="1185" w:type="dxa"/>
            <w:vAlign w:val="center"/>
          </w:tcPr>
          <w:p w:rsidR="00B663E2" w:rsidRPr="00117DF2" w:rsidRDefault="00A4312C" w:rsidP="00E27441">
            <w:pPr>
              <w:spacing w:after="0"/>
              <w:jc w:val="right"/>
            </w:pPr>
            <w:r w:rsidRPr="00117DF2">
              <w:t>25.4</w:t>
            </w:r>
          </w:p>
        </w:tc>
      </w:tr>
      <w:tr w:rsidR="00A4312C" w:rsidRPr="00117DF2" w:rsidTr="00A4312C">
        <w:tc>
          <w:tcPr>
            <w:tcW w:w="3652" w:type="dxa"/>
          </w:tcPr>
          <w:p w:rsidR="00B663E2" w:rsidRPr="00117DF2" w:rsidRDefault="00E27441" w:rsidP="00941AE6">
            <w:pPr>
              <w:spacing w:after="0"/>
            </w:pPr>
            <w:r w:rsidRPr="00117DF2">
              <w:t>O</w:t>
            </w:r>
            <w:r w:rsidR="00B663E2" w:rsidRPr="00117DF2">
              <w:t>ther n=36</w:t>
            </w:r>
          </w:p>
        </w:tc>
        <w:tc>
          <w:tcPr>
            <w:tcW w:w="970" w:type="dxa"/>
            <w:vAlign w:val="center"/>
          </w:tcPr>
          <w:p w:rsidR="00B663E2" w:rsidRPr="00117DF2" w:rsidRDefault="001842BB" w:rsidP="00E27441">
            <w:pPr>
              <w:spacing w:after="0"/>
              <w:jc w:val="right"/>
            </w:pPr>
            <w:r w:rsidRPr="00117DF2">
              <w:t>52.8</w:t>
            </w:r>
          </w:p>
        </w:tc>
        <w:tc>
          <w:tcPr>
            <w:tcW w:w="1156" w:type="dxa"/>
            <w:vAlign w:val="center"/>
          </w:tcPr>
          <w:p w:rsidR="00B663E2" w:rsidRPr="00117DF2" w:rsidRDefault="001842BB" w:rsidP="00E27441">
            <w:pPr>
              <w:spacing w:after="0"/>
              <w:jc w:val="right"/>
            </w:pPr>
            <w:r w:rsidRPr="00117DF2">
              <w:t>52.0</w:t>
            </w:r>
          </w:p>
        </w:tc>
        <w:tc>
          <w:tcPr>
            <w:tcW w:w="1134" w:type="dxa"/>
            <w:vAlign w:val="center"/>
          </w:tcPr>
          <w:p w:rsidR="00B663E2" w:rsidRPr="00117DF2" w:rsidRDefault="001842BB" w:rsidP="00E27441">
            <w:pPr>
              <w:spacing w:after="0"/>
              <w:jc w:val="right"/>
            </w:pPr>
            <w:r w:rsidRPr="00117DF2">
              <w:t>53.3</w:t>
            </w:r>
          </w:p>
        </w:tc>
        <w:tc>
          <w:tcPr>
            <w:tcW w:w="939" w:type="dxa"/>
            <w:vAlign w:val="center"/>
          </w:tcPr>
          <w:p w:rsidR="00B663E2" w:rsidRPr="00117DF2" w:rsidRDefault="001842BB" w:rsidP="00E27441">
            <w:pPr>
              <w:spacing w:after="0"/>
              <w:jc w:val="right"/>
            </w:pPr>
            <w:r w:rsidRPr="00117DF2">
              <w:t>5</w:t>
            </w:r>
            <w:r w:rsidR="00A4312C" w:rsidRPr="00117DF2">
              <w:t>3.1</w:t>
            </w:r>
          </w:p>
        </w:tc>
        <w:tc>
          <w:tcPr>
            <w:tcW w:w="1185" w:type="dxa"/>
            <w:vAlign w:val="center"/>
          </w:tcPr>
          <w:p w:rsidR="00B663E2" w:rsidRPr="00117DF2" w:rsidRDefault="00A4312C" w:rsidP="00E27441">
            <w:pPr>
              <w:spacing w:after="0"/>
              <w:jc w:val="right"/>
            </w:pPr>
            <w:r w:rsidRPr="00117DF2">
              <w:t>52.8</w:t>
            </w:r>
          </w:p>
        </w:tc>
      </w:tr>
    </w:tbl>
    <w:p w:rsidR="00005A85" w:rsidRPr="00117DF2" w:rsidRDefault="00005A85" w:rsidP="000B1B9F">
      <w:pPr>
        <w:pStyle w:val="TableNote"/>
        <w:spacing w:before="0" w:after="120"/>
      </w:pPr>
      <w:r w:rsidRPr="00117DF2">
        <w:t>Source: NDA</w:t>
      </w:r>
    </w:p>
    <w:p w:rsidR="00284B8D" w:rsidRPr="00117DF2" w:rsidRDefault="00284B8D" w:rsidP="000B1B9F">
      <w:pPr>
        <w:pStyle w:val="TableTitle"/>
        <w:spacing w:after="60"/>
      </w:pPr>
      <w:r w:rsidRPr="00117DF2">
        <w:t>Table 14</w:t>
      </w:r>
      <w:r w:rsidR="00264C1C" w:rsidRPr="00117DF2">
        <w:t xml:space="preserve"> </w:t>
      </w:r>
      <w:r w:rsidRPr="00117DF2">
        <w:t>mean score by single parent status by tool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988"/>
        <w:gridCol w:w="1341"/>
        <w:gridCol w:w="1124"/>
        <w:gridCol w:w="793"/>
        <w:gridCol w:w="2344"/>
      </w:tblGrid>
      <w:tr w:rsidR="00284B8D" w:rsidRPr="00117DF2" w:rsidTr="003C26F9">
        <w:trPr>
          <w:trHeight w:val="290"/>
        </w:trPr>
        <w:tc>
          <w:tcPr>
            <w:tcW w:w="1260" w:type="pct"/>
          </w:tcPr>
          <w:p w:rsidR="00284B8D" w:rsidRPr="00117DF2" w:rsidRDefault="00284B8D" w:rsidP="00941AE6">
            <w:pPr>
              <w:spacing w:after="0"/>
            </w:pPr>
          </w:p>
        </w:tc>
        <w:tc>
          <w:tcPr>
            <w:tcW w:w="560" w:type="pct"/>
          </w:tcPr>
          <w:p w:rsidR="00284B8D" w:rsidRPr="00117DF2" w:rsidRDefault="00284B8D" w:rsidP="00E27441">
            <w:pPr>
              <w:spacing w:after="0"/>
              <w:jc w:val="right"/>
              <w:rPr>
                <w:b/>
              </w:rPr>
            </w:pPr>
            <w:r w:rsidRPr="00117DF2">
              <w:rPr>
                <w:b/>
              </w:rPr>
              <w:t>FACE</w:t>
            </w:r>
          </w:p>
        </w:tc>
        <w:tc>
          <w:tcPr>
            <w:tcW w:w="761" w:type="pct"/>
          </w:tcPr>
          <w:p w:rsidR="00284B8D" w:rsidRPr="00117DF2" w:rsidRDefault="000F608B" w:rsidP="00E27441">
            <w:pPr>
              <w:spacing w:after="0"/>
              <w:jc w:val="right"/>
              <w:rPr>
                <w:b/>
              </w:rPr>
            </w:pPr>
            <w:r w:rsidRPr="00117DF2">
              <w:rPr>
                <w:b/>
              </w:rPr>
              <w:t xml:space="preserve"> interRAI</w:t>
            </w:r>
          </w:p>
        </w:tc>
        <w:tc>
          <w:tcPr>
            <w:tcW w:w="638" w:type="pct"/>
          </w:tcPr>
          <w:p w:rsidR="00284B8D" w:rsidRPr="00117DF2" w:rsidRDefault="00284B8D" w:rsidP="00E27441">
            <w:pPr>
              <w:spacing w:after="0"/>
              <w:jc w:val="right"/>
              <w:rPr>
                <w:b/>
              </w:rPr>
            </w:pPr>
            <w:r w:rsidRPr="00117DF2">
              <w:rPr>
                <w:b/>
              </w:rPr>
              <w:t xml:space="preserve"> </w:t>
            </w:r>
            <w:r w:rsidR="00E27441" w:rsidRPr="00117DF2">
              <w:rPr>
                <w:b/>
              </w:rPr>
              <w:t>RAS 5</w:t>
            </w:r>
          </w:p>
        </w:tc>
        <w:tc>
          <w:tcPr>
            <w:tcW w:w="450" w:type="pct"/>
          </w:tcPr>
          <w:p w:rsidR="00284B8D" w:rsidRPr="00117DF2" w:rsidRDefault="00284B8D" w:rsidP="00E27441">
            <w:pPr>
              <w:spacing w:after="0"/>
              <w:jc w:val="right"/>
              <w:rPr>
                <w:b/>
              </w:rPr>
            </w:pPr>
            <w:r w:rsidRPr="00117DF2">
              <w:rPr>
                <w:b/>
              </w:rPr>
              <w:t>SIS</w:t>
            </w:r>
          </w:p>
        </w:tc>
        <w:tc>
          <w:tcPr>
            <w:tcW w:w="1330" w:type="pct"/>
          </w:tcPr>
          <w:p w:rsidR="00284B8D" w:rsidRPr="00117DF2" w:rsidRDefault="00284B8D" w:rsidP="00E27441">
            <w:pPr>
              <w:spacing w:after="0"/>
              <w:jc w:val="right"/>
              <w:rPr>
                <w:b/>
              </w:rPr>
            </w:pPr>
            <w:r w:rsidRPr="00117DF2">
              <w:rPr>
                <w:b/>
              </w:rPr>
              <w:t>Average of tools</w:t>
            </w:r>
          </w:p>
        </w:tc>
      </w:tr>
      <w:tr w:rsidR="00CA7696" w:rsidRPr="00117DF2" w:rsidTr="003C26F9">
        <w:tc>
          <w:tcPr>
            <w:tcW w:w="1260" w:type="pct"/>
          </w:tcPr>
          <w:p w:rsidR="00CA7696" w:rsidRPr="00117DF2" w:rsidRDefault="00E27441" w:rsidP="00941AE6">
            <w:pPr>
              <w:spacing w:after="0"/>
            </w:pPr>
            <w:r w:rsidRPr="00117DF2">
              <w:t>S</w:t>
            </w:r>
            <w:r w:rsidR="00CA7696" w:rsidRPr="00117DF2">
              <w:t>ingle parent=2</w:t>
            </w:r>
          </w:p>
        </w:tc>
        <w:tc>
          <w:tcPr>
            <w:tcW w:w="560" w:type="pct"/>
            <w:vAlign w:val="center"/>
          </w:tcPr>
          <w:p w:rsidR="00CA7696" w:rsidRPr="00117DF2" w:rsidRDefault="001842BB" w:rsidP="00E27441">
            <w:pPr>
              <w:spacing w:after="0"/>
              <w:jc w:val="right"/>
            </w:pPr>
            <w:r w:rsidRPr="00117DF2">
              <w:t>8.0</w:t>
            </w:r>
          </w:p>
        </w:tc>
        <w:tc>
          <w:tcPr>
            <w:tcW w:w="761" w:type="pct"/>
            <w:vAlign w:val="center"/>
          </w:tcPr>
          <w:p w:rsidR="00CA7696" w:rsidRPr="00117DF2" w:rsidRDefault="001842BB" w:rsidP="00E27441">
            <w:pPr>
              <w:spacing w:after="0"/>
              <w:jc w:val="right"/>
            </w:pPr>
            <w:r w:rsidRPr="00117DF2">
              <w:t>19.5</w:t>
            </w:r>
          </w:p>
        </w:tc>
        <w:tc>
          <w:tcPr>
            <w:tcW w:w="638" w:type="pct"/>
            <w:vAlign w:val="center"/>
          </w:tcPr>
          <w:p w:rsidR="00CA7696" w:rsidRPr="00117DF2" w:rsidRDefault="001842BB" w:rsidP="00E27441">
            <w:pPr>
              <w:spacing w:after="0"/>
              <w:jc w:val="right"/>
            </w:pPr>
            <w:r w:rsidRPr="00117DF2">
              <w:t>16.0</w:t>
            </w:r>
          </w:p>
        </w:tc>
        <w:tc>
          <w:tcPr>
            <w:tcW w:w="450" w:type="pct"/>
            <w:vAlign w:val="center"/>
          </w:tcPr>
          <w:p w:rsidR="00CA7696" w:rsidRPr="00117DF2" w:rsidRDefault="00A4312C" w:rsidP="00E27441">
            <w:pPr>
              <w:spacing w:after="0"/>
              <w:jc w:val="right"/>
            </w:pPr>
            <w:r w:rsidRPr="00117DF2">
              <w:t>12.5</w:t>
            </w:r>
          </w:p>
        </w:tc>
        <w:tc>
          <w:tcPr>
            <w:tcW w:w="1330" w:type="pct"/>
            <w:vAlign w:val="center"/>
          </w:tcPr>
          <w:p w:rsidR="00CA7696" w:rsidRPr="00117DF2" w:rsidRDefault="001842BB" w:rsidP="00E27441">
            <w:pPr>
              <w:spacing w:after="0"/>
              <w:jc w:val="right"/>
            </w:pPr>
            <w:r w:rsidRPr="00117DF2">
              <w:t>14.</w:t>
            </w:r>
            <w:r w:rsidR="00A4312C" w:rsidRPr="00117DF2">
              <w:t>0</w:t>
            </w:r>
          </w:p>
        </w:tc>
      </w:tr>
      <w:tr w:rsidR="00CA7696" w:rsidRPr="00117DF2" w:rsidTr="003C26F9">
        <w:tc>
          <w:tcPr>
            <w:tcW w:w="1260" w:type="pct"/>
          </w:tcPr>
          <w:p w:rsidR="00CA7696" w:rsidRPr="00117DF2" w:rsidRDefault="00E27441" w:rsidP="00941AE6">
            <w:pPr>
              <w:spacing w:after="0"/>
            </w:pPr>
            <w:r w:rsidRPr="00117DF2">
              <w:t>O</w:t>
            </w:r>
            <w:r w:rsidR="00CA7696" w:rsidRPr="00117DF2">
              <w:t>ther=38</w:t>
            </w:r>
          </w:p>
        </w:tc>
        <w:tc>
          <w:tcPr>
            <w:tcW w:w="560" w:type="pct"/>
            <w:vAlign w:val="center"/>
          </w:tcPr>
          <w:p w:rsidR="00CA7696" w:rsidRPr="00117DF2" w:rsidRDefault="001842BB" w:rsidP="00E27441">
            <w:pPr>
              <w:spacing w:after="0"/>
              <w:jc w:val="right"/>
            </w:pPr>
            <w:r w:rsidRPr="00117DF2">
              <w:t>52.2</w:t>
            </w:r>
          </w:p>
        </w:tc>
        <w:tc>
          <w:tcPr>
            <w:tcW w:w="761" w:type="pct"/>
            <w:vAlign w:val="center"/>
          </w:tcPr>
          <w:p w:rsidR="00CA7696" w:rsidRPr="00117DF2" w:rsidRDefault="001842BB" w:rsidP="00E27441">
            <w:pPr>
              <w:spacing w:after="0"/>
              <w:jc w:val="right"/>
            </w:pPr>
            <w:r w:rsidRPr="00117DF2">
              <w:t>51.74</w:t>
            </w:r>
          </w:p>
        </w:tc>
        <w:tc>
          <w:tcPr>
            <w:tcW w:w="638" w:type="pct"/>
            <w:vAlign w:val="center"/>
          </w:tcPr>
          <w:p w:rsidR="00CA7696" w:rsidRPr="00117DF2" w:rsidRDefault="001842BB" w:rsidP="00E27441">
            <w:pPr>
              <w:spacing w:after="0"/>
              <w:jc w:val="right"/>
            </w:pPr>
            <w:r w:rsidRPr="00117DF2">
              <w:t>51.7</w:t>
            </w:r>
          </w:p>
        </w:tc>
        <w:tc>
          <w:tcPr>
            <w:tcW w:w="450" w:type="pct"/>
            <w:vAlign w:val="center"/>
          </w:tcPr>
          <w:p w:rsidR="00CA7696" w:rsidRPr="00117DF2" w:rsidRDefault="001842BB" w:rsidP="00E27441">
            <w:pPr>
              <w:spacing w:after="0"/>
              <w:jc w:val="right"/>
            </w:pPr>
            <w:r w:rsidRPr="00117DF2">
              <w:t>5</w:t>
            </w:r>
            <w:r w:rsidR="00A4312C" w:rsidRPr="00117DF2">
              <w:t>2.0</w:t>
            </w:r>
          </w:p>
        </w:tc>
        <w:tc>
          <w:tcPr>
            <w:tcW w:w="1330" w:type="pct"/>
            <w:vAlign w:val="center"/>
          </w:tcPr>
          <w:p w:rsidR="00CA7696" w:rsidRPr="00117DF2" w:rsidRDefault="001842BB" w:rsidP="00E27441">
            <w:pPr>
              <w:spacing w:after="0"/>
              <w:jc w:val="right"/>
            </w:pPr>
            <w:r w:rsidRPr="00117DF2">
              <w:t>51.9</w:t>
            </w:r>
          </w:p>
        </w:tc>
      </w:tr>
    </w:tbl>
    <w:p w:rsidR="00EE1BAC" w:rsidRPr="00117DF2" w:rsidRDefault="00005A85" w:rsidP="00EE1BAC">
      <w:pPr>
        <w:pStyle w:val="TableNote"/>
        <w:spacing w:before="0" w:after="120"/>
      </w:pPr>
      <w:r w:rsidRPr="00117DF2">
        <w:t>Source: NDA</w:t>
      </w:r>
    </w:p>
    <w:p w:rsidR="00E430CE" w:rsidRPr="00117DF2" w:rsidRDefault="00871EE3" w:rsidP="00E430CE">
      <w:pPr>
        <w:pStyle w:val="Heading1"/>
        <w:rPr>
          <w:b w:val="0"/>
          <w:lang w:val="en-IE"/>
        </w:rPr>
      </w:pPr>
      <w:r w:rsidRPr="00117DF2">
        <w:rPr>
          <w:lang w:val="en-IE"/>
        </w:rPr>
        <w:t>Appendix 2: Differences in ranking</w:t>
      </w:r>
    </w:p>
    <w:p w:rsidR="00E430CE" w:rsidRPr="00117DF2" w:rsidRDefault="00E430CE" w:rsidP="00BA6467">
      <w:pPr>
        <w:spacing w:after="120"/>
      </w:pPr>
      <w:r w:rsidRPr="00117DF2">
        <w:t xml:space="preserve">While the study showed strong similarities in how the different tools ranked the </w:t>
      </w:r>
      <w:r w:rsidR="00A235EB" w:rsidRPr="00117DF2">
        <w:t>whole</w:t>
      </w:r>
      <w:r w:rsidRPr="00117DF2">
        <w:t xml:space="preserve"> sample, and that there was little discernible systematic bias, this does not mean that there were no differences in how individuals were assessed. This section looks at those individuals to whom some tools awarded very different rankings.</w:t>
      </w:r>
    </w:p>
    <w:p w:rsidR="006D3B8F" w:rsidRPr="00117DF2" w:rsidRDefault="001C5B6E" w:rsidP="00BA6467">
      <w:pPr>
        <w:spacing w:after="120"/>
      </w:pPr>
      <w:r w:rsidRPr="00117DF2">
        <w:t xml:space="preserve">The above analysis </w:t>
      </w:r>
      <w:r w:rsidR="000F05EC" w:rsidRPr="00117DF2">
        <w:t>demonstrated</w:t>
      </w:r>
      <w:r w:rsidRPr="00117DF2">
        <w:t xml:space="preserve"> that subgroup treatment </w:t>
      </w:r>
      <w:r w:rsidR="000F05EC" w:rsidRPr="00117DF2">
        <w:t xml:space="preserve">was similar for all four tools </w:t>
      </w:r>
      <w:r w:rsidRPr="00117DF2">
        <w:t>(with the exception</w:t>
      </w:r>
      <w:r w:rsidR="00A235EB" w:rsidRPr="00117DF2">
        <w:t>s</w:t>
      </w:r>
      <w:r w:rsidRPr="00117DF2">
        <w:t xml:space="preserve"> </w:t>
      </w:r>
      <w:r w:rsidR="000F05EC" w:rsidRPr="00117DF2">
        <w:t xml:space="preserve">noted) however this </w:t>
      </w:r>
      <w:r w:rsidRPr="00117DF2">
        <w:t xml:space="preserve">does not mean that individuals get similar treatment under all four tools. </w:t>
      </w:r>
      <w:r w:rsidR="005E54A7" w:rsidRPr="00117DF2">
        <w:t>To examine this issue</w:t>
      </w:r>
      <w:r w:rsidR="00E430CE" w:rsidRPr="00117DF2">
        <w:t xml:space="preserve">, individuals were ranked using </w:t>
      </w:r>
      <w:r w:rsidR="005E54A7" w:rsidRPr="00117DF2">
        <w:t>all tools and a value for the difference between highest ranking and lowest ranking was calculated.</w:t>
      </w:r>
      <w:r w:rsidR="006D3B8F" w:rsidRPr="00117DF2">
        <w:t xml:space="preserve"> </w:t>
      </w:r>
      <w:r w:rsidR="00A235EB" w:rsidRPr="00117DF2">
        <w:t xml:space="preserve">Table 15 gives </w:t>
      </w:r>
      <w:r w:rsidR="006D3B8F" w:rsidRPr="00117DF2">
        <w:t>the five most extreme</w:t>
      </w:r>
      <w:r w:rsidR="00BB5D00" w:rsidRPr="00117DF2">
        <w:t xml:space="preserve"> </w:t>
      </w:r>
      <w:r w:rsidR="00040BE9" w:rsidRPr="00117DF2">
        <w:t>differences</w:t>
      </w:r>
      <w:r w:rsidR="00BB5D00" w:rsidRPr="00117DF2">
        <w:t xml:space="preserve"> in </w:t>
      </w:r>
      <w:r w:rsidR="006D3B8F" w:rsidRPr="00117DF2">
        <w:t>values</w:t>
      </w:r>
      <w:r w:rsidR="00A235EB" w:rsidRPr="00117DF2">
        <w:t>.</w:t>
      </w:r>
    </w:p>
    <w:p w:rsidR="00264C1C" w:rsidRPr="00117DF2" w:rsidRDefault="00264C1C" w:rsidP="00264C1C">
      <w:pPr>
        <w:pStyle w:val="TableTitle"/>
      </w:pPr>
      <w:r w:rsidRPr="00117DF2">
        <w:t xml:space="preserve">Table 15 </w:t>
      </w:r>
      <w:r w:rsidR="00F50563" w:rsidRPr="00117DF2">
        <w:t xml:space="preserve">rank of </w:t>
      </w:r>
      <w:r w:rsidRPr="00117DF2">
        <w:t>individual scores by tool</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455"/>
        <w:gridCol w:w="786"/>
        <w:gridCol w:w="1025"/>
        <w:gridCol w:w="625"/>
        <w:gridCol w:w="1395"/>
        <w:gridCol w:w="3525"/>
      </w:tblGrid>
      <w:tr w:rsidR="00F50563" w:rsidRPr="00117DF2" w:rsidTr="00051DA6">
        <w:tblPrEx>
          <w:tblCellMar>
            <w:top w:w="0" w:type="dxa"/>
            <w:bottom w:w="0" w:type="dxa"/>
          </w:tblCellMar>
        </w:tblPrEx>
        <w:trPr>
          <w:tblHeader/>
        </w:trPr>
        <w:tc>
          <w:tcPr>
            <w:tcW w:w="836" w:type="pct"/>
          </w:tcPr>
          <w:p w:rsidR="00F50563" w:rsidRPr="00117DF2" w:rsidRDefault="00F50563" w:rsidP="00E27441">
            <w:pPr>
              <w:spacing w:after="0"/>
              <w:jc w:val="right"/>
              <w:rPr>
                <w:b/>
              </w:rPr>
            </w:pPr>
            <w:r w:rsidRPr="00117DF2">
              <w:rPr>
                <w:b/>
              </w:rPr>
              <w:t>Identifier</w:t>
            </w:r>
          </w:p>
        </w:tc>
        <w:tc>
          <w:tcPr>
            <w:tcW w:w="395" w:type="pct"/>
          </w:tcPr>
          <w:p w:rsidR="00F50563" w:rsidRPr="00117DF2" w:rsidRDefault="00DA1422" w:rsidP="00E27441">
            <w:pPr>
              <w:spacing w:after="0"/>
              <w:jc w:val="right"/>
              <w:rPr>
                <w:b/>
              </w:rPr>
            </w:pPr>
            <w:r w:rsidRPr="00117DF2">
              <w:rPr>
                <w:b/>
              </w:rPr>
              <w:t>FACE</w:t>
            </w:r>
            <w:r w:rsidR="00F50563" w:rsidRPr="00117DF2">
              <w:rPr>
                <w:b/>
              </w:rPr>
              <w:t xml:space="preserve"> </w:t>
            </w:r>
          </w:p>
        </w:tc>
        <w:tc>
          <w:tcPr>
            <w:tcW w:w="592" w:type="pct"/>
          </w:tcPr>
          <w:p w:rsidR="00F50563" w:rsidRPr="00117DF2" w:rsidRDefault="00E27441" w:rsidP="00E27441">
            <w:pPr>
              <w:spacing w:after="0"/>
              <w:jc w:val="right"/>
              <w:rPr>
                <w:b/>
              </w:rPr>
            </w:pPr>
            <w:r w:rsidRPr="00117DF2">
              <w:rPr>
                <w:b/>
              </w:rPr>
              <w:t>RAS 5</w:t>
            </w:r>
          </w:p>
        </w:tc>
        <w:tc>
          <w:tcPr>
            <w:tcW w:w="365" w:type="pct"/>
          </w:tcPr>
          <w:p w:rsidR="00F50563" w:rsidRPr="00117DF2" w:rsidRDefault="00F50563" w:rsidP="00E27441">
            <w:pPr>
              <w:spacing w:after="0"/>
              <w:jc w:val="right"/>
              <w:rPr>
                <w:b/>
              </w:rPr>
            </w:pPr>
            <w:r w:rsidRPr="00117DF2">
              <w:rPr>
                <w:b/>
              </w:rPr>
              <w:t>SIS</w:t>
            </w:r>
          </w:p>
        </w:tc>
        <w:tc>
          <w:tcPr>
            <w:tcW w:w="802" w:type="pct"/>
          </w:tcPr>
          <w:p w:rsidR="00F50563" w:rsidRPr="00117DF2" w:rsidRDefault="000F608B" w:rsidP="00E27441">
            <w:pPr>
              <w:spacing w:after="0"/>
              <w:jc w:val="right"/>
              <w:rPr>
                <w:b/>
              </w:rPr>
            </w:pPr>
            <w:r w:rsidRPr="00117DF2">
              <w:rPr>
                <w:b/>
              </w:rPr>
              <w:t xml:space="preserve"> interRAI</w:t>
            </w:r>
          </w:p>
        </w:tc>
        <w:tc>
          <w:tcPr>
            <w:tcW w:w="2010" w:type="pct"/>
          </w:tcPr>
          <w:p w:rsidR="00F50563" w:rsidRPr="00117DF2" w:rsidRDefault="00F50563" w:rsidP="00E27441">
            <w:pPr>
              <w:spacing w:after="0"/>
              <w:jc w:val="right"/>
              <w:rPr>
                <w:b/>
              </w:rPr>
            </w:pPr>
            <w:r w:rsidRPr="00117DF2">
              <w:rPr>
                <w:b/>
              </w:rPr>
              <w:t>highest-lowest ranking</w:t>
            </w:r>
          </w:p>
        </w:tc>
      </w:tr>
      <w:tr w:rsidR="004B3F32" w:rsidRPr="00117DF2" w:rsidTr="00051DA6">
        <w:tblPrEx>
          <w:tblCellMar>
            <w:top w:w="0" w:type="dxa"/>
            <w:bottom w:w="0" w:type="dxa"/>
          </w:tblCellMar>
        </w:tblPrEx>
        <w:trPr>
          <w:trHeight w:val="284"/>
        </w:trPr>
        <w:tc>
          <w:tcPr>
            <w:tcW w:w="836" w:type="pct"/>
          </w:tcPr>
          <w:p w:rsidR="004B3F32" w:rsidRPr="00117DF2" w:rsidRDefault="004B3F32" w:rsidP="00F50563">
            <w:pPr>
              <w:autoSpaceDE w:val="0"/>
              <w:autoSpaceDN w:val="0"/>
              <w:adjustRightInd w:val="0"/>
              <w:spacing w:after="0"/>
              <w:rPr>
                <w:rFonts w:cs="Arial"/>
                <w:color w:val="000000"/>
                <w:sz w:val="22"/>
                <w:szCs w:val="18"/>
              </w:rPr>
            </w:pPr>
            <w:r w:rsidRPr="00117DF2">
              <w:rPr>
                <w:rFonts w:cs="Arial"/>
                <w:color w:val="000000"/>
                <w:sz w:val="22"/>
                <w:szCs w:val="18"/>
              </w:rPr>
              <w:t>A</w:t>
            </w:r>
          </w:p>
        </w:tc>
        <w:tc>
          <w:tcPr>
            <w:tcW w:w="395" w:type="pct"/>
            <w:shd w:val="clear" w:color="auto" w:fill="auto"/>
          </w:tcPr>
          <w:p w:rsidR="004B3F32" w:rsidRPr="00117DF2" w:rsidRDefault="004B3F32" w:rsidP="00F50563">
            <w:pPr>
              <w:autoSpaceDE w:val="0"/>
              <w:autoSpaceDN w:val="0"/>
              <w:adjustRightInd w:val="0"/>
              <w:spacing w:after="0"/>
              <w:jc w:val="right"/>
              <w:rPr>
                <w:rFonts w:cs="Arial"/>
                <w:color w:val="000000"/>
                <w:sz w:val="22"/>
                <w:szCs w:val="18"/>
              </w:rPr>
            </w:pPr>
            <w:r w:rsidRPr="00117DF2">
              <w:rPr>
                <w:rFonts w:cs="Arial"/>
                <w:color w:val="000000"/>
                <w:sz w:val="22"/>
                <w:szCs w:val="18"/>
              </w:rPr>
              <w:t>32.0</w:t>
            </w:r>
          </w:p>
        </w:tc>
        <w:tc>
          <w:tcPr>
            <w:tcW w:w="592" w:type="pct"/>
            <w:shd w:val="clear" w:color="auto" w:fill="auto"/>
          </w:tcPr>
          <w:p w:rsidR="004B3F32" w:rsidRPr="00117DF2" w:rsidRDefault="004B3F32" w:rsidP="00F50563">
            <w:pPr>
              <w:autoSpaceDE w:val="0"/>
              <w:autoSpaceDN w:val="0"/>
              <w:adjustRightInd w:val="0"/>
              <w:spacing w:after="0"/>
              <w:jc w:val="right"/>
              <w:rPr>
                <w:rFonts w:cs="Arial"/>
                <w:color w:val="000000"/>
                <w:sz w:val="22"/>
                <w:szCs w:val="18"/>
              </w:rPr>
            </w:pPr>
            <w:r w:rsidRPr="00117DF2">
              <w:rPr>
                <w:rFonts w:cs="Arial"/>
                <w:color w:val="000000"/>
                <w:sz w:val="22"/>
                <w:szCs w:val="18"/>
              </w:rPr>
              <w:t>16.5</w:t>
            </w:r>
          </w:p>
        </w:tc>
        <w:tc>
          <w:tcPr>
            <w:tcW w:w="365" w:type="pct"/>
            <w:shd w:val="clear" w:color="auto" w:fill="auto"/>
          </w:tcPr>
          <w:p w:rsidR="004B3F32" w:rsidRPr="00117DF2" w:rsidRDefault="004B3F32" w:rsidP="00F50563">
            <w:pPr>
              <w:autoSpaceDE w:val="0"/>
              <w:autoSpaceDN w:val="0"/>
              <w:adjustRightInd w:val="0"/>
              <w:spacing w:after="0"/>
              <w:jc w:val="right"/>
              <w:rPr>
                <w:rFonts w:cs="Arial"/>
                <w:color w:val="000000"/>
                <w:sz w:val="22"/>
                <w:szCs w:val="18"/>
              </w:rPr>
            </w:pPr>
            <w:r w:rsidRPr="00117DF2">
              <w:rPr>
                <w:rFonts w:cs="Arial"/>
                <w:color w:val="000000"/>
                <w:sz w:val="22"/>
                <w:szCs w:val="18"/>
              </w:rPr>
              <w:t>7.0</w:t>
            </w:r>
          </w:p>
        </w:tc>
        <w:tc>
          <w:tcPr>
            <w:tcW w:w="802" w:type="pct"/>
            <w:shd w:val="clear" w:color="auto" w:fill="auto"/>
          </w:tcPr>
          <w:p w:rsidR="004B3F32" w:rsidRPr="00117DF2" w:rsidRDefault="00051DA6" w:rsidP="00F50563">
            <w:pPr>
              <w:autoSpaceDE w:val="0"/>
              <w:autoSpaceDN w:val="0"/>
              <w:adjustRightInd w:val="0"/>
              <w:spacing w:after="0"/>
              <w:jc w:val="right"/>
              <w:rPr>
                <w:rFonts w:cs="Arial"/>
                <w:color w:val="000000"/>
                <w:sz w:val="22"/>
                <w:szCs w:val="18"/>
              </w:rPr>
            </w:pPr>
            <w:r w:rsidRPr="00117DF2">
              <w:rPr>
                <w:rFonts w:cs="Arial"/>
                <w:color w:val="000000"/>
                <w:sz w:val="22"/>
                <w:szCs w:val="18"/>
              </w:rPr>
              <w:t>34</w:t>
            </w:r>
          </w:p>
        </w:tc>
        <w:tc>
          <w:tcPr>
            <w:tcW w:w="2010" w:type="pct"/>
          </w:tcPr>
          <w:p w:rsidR="004B3F32" w:rsidRPr="00117DF2" w:rsidRDefault="004B3F32" w:rsidP="00051DA6">
            <w:pPr>
              <w:autoSpaceDE w:val="0"/>
              <w:autoSpaceDN w:val="0"/>
              <w:adjustRightInd w:val="0"/>
              <w:spacing w:after="0"/>
              <w:jc w:val="right"/>
              <w:rPr>
                <w:rFonts w:cs="Arial"/>
                <w:color w:val="000000"/>
                <w:sz w:val="22"/>
                <w:szCs w:val="20"/>
              </w:rPr>
            </w:pPr>
            <w:r w:rsidRPr="00117DF2">
              <w:rPr>
                <w:rFonts w:cs="Arial"/>
                <w:color w:val="000000"/>
                <w:sz w:val="22"/>
                <w:szCs w:val="20"/>
              </w:rPr>
              <w:t>2</w:t>
            </w:r>
            <w:r w:rsidR="00051DA6" w:rsidRPr="00117DF2">
              <w:rPr>
                <w:rFonts w:cs="Arial"/>
                <w:color w:val="000000"/>
                <w:sz w:val="22"/>
                <w:szCs w:val="20"/>
              </w:rPr>
              <w:t>7</w:t>
            </w:r>
            <w:r w:rsidRPr="00117DF2">
              <w:rPr>
                <w:rFonts w:cs="Arial"/>
                <w:color w:val="000000"/>
                <w:sz w:val="22"/>
                <w:szCs w:val="20"/>
              </w:rPr>
              <w:t>.0</w:t>
            </w:r>
          </w:p>
        </w:tc>
      </w:tr>
      <w:tr w:rsidR="00051DA6" w:rsidRPr="00117DF2" w:rsidTr="00051DA6">
        <w:tblPrEx>
          <w:tblCellMar>
            <w:top w:w="0" w:type="dxa"/>
            <w:bottom w:w="0" w:type="dxa"/>
          </w:tblCellMar>
        </w:tblPrEx>
        <w:trPr>
          <w:trHeight w:val="284"/>
        </w:trPr>
        <w:tc>
          <w:tcPr>
            <w:tcW w:w="836" w:type="pct"/>
          </w:tcPr>
          <w:p w:rsidR="00051DA6" w:rsidRPr="00117DF2" w:rsidRDefault="00736882" w:rsidP="006803B8">
            <w:pPr>
              <w:autoSpaceDE w:val="0"/>
              <w:autoSpaceDN w:val="0"/>
              <w:adjustRightInd w:val="0"/>
              <w:spacing w:after="0"/>
              <w:rPr>
                <w:rFonts w:cs="Arial"/>
                <w:color w:val="000000"/>
                <w:sz w:val="22"/>
                <w:szCs w:val="18"/>
              </w:rPr>
            </w:pPr>
            <w:r w:rsidRPr="00117DF2">
              <w:rPr>
                <w:rFonts w:cs="Arial"/>
                <w:color w:val="000000"/>
                <w:sz w:val="22"/>
                <w:szCs w:val="18"/>
              </w:rPr>
              <w:t>B</w:t>
            </w:r>
          </w:p>
        </w:tc>
        <w:tc>
          <w:tcPr>
            <w:tcW w:w="395" w:type="pct"/>
            <w:shd w:val="clear" w:color="auto" w:fill="auto"/>
          </w:tcPr>
          <w:p w:rsidR="00051DA6" w:rsidRPr="00117DF2" w:rsidRDefault="00051DA6" w:rsidP="006803B8">
            <w:pPr>
              <w:autoSpaceDE w:val="0"/>
              <w:autoSpaceDN w:val="0"/>
              <w:adjustRightInd w:val="0"/>
              <w:spacing w:after="0"/>
              <w:jc w:val="right"/>
              <w:rPr>
                <w:rFonts w:cs="Arial"/>
                <w:color w:val="000000"/>
                <w:sz w:val="22"/>
                <w:szCs w:val="18"/>
              </w:rPr>
            </w:pPr>
            <w:r w:rsidRPr="00117DF2">
              <w:rPr>
                <w:rFonts w:cs="Arial"/>
                <w:color w:val="000000"/>
                <w:sz w:val="22"/>
                <w:szCs w:val="18"/>
              </w:rPr>
              <w:t>6.5</w:t>
            </w:r>
          </w:p>
        </w:tc>
        <w:tc>
          <w:tcPr>
            <w:tcW w:w="592" w:type="pct"/>
            <w:shd w:val="clear" w:color="auto" w:fill="auto"/>
          </w:tcPr>
          <w:p w:rsidR="00051DA6" w:rsidRPr="00117DF2" w:rsidRDefault="00051DA6" w:rsidP="006803B8">
            <w:pPr>
              <w:autoSpaceDE w:val="0"/>
              <w:autoSpaceDN w:val="0"/>
              <w:adjustRightInd w:val="0"/>
              <w:spacing w:after="0"/>
              <w:jc w:val="right"/>
              <w:rPr>
                <w:rFonts w:cs="Arial"/>
                <w:color w:val="000000"/>
                <w:sz w:val="22"/>
                <w:szCs w:val="18"/>
              </w:rPr>
            </w:pPr>
            <w:r w:rsidRPr="00117DF2">
              <w:rPr>
                <w:rFonts w:cs="Arial"/>
                <w:color w:val="000000"/>
                <w:sz w:val="22"/>
                <w:szCs w:val="18"/>
              </w:rPr>
              <w:t>27.0</w:t>
            </w:r>
          </w:p>
        </w:tc>
        <w:tc>
          <w:tcPr>
            <w:tcW w:w="365" w:type="pct"/>
            <w:shd w:val="clear" w:color="auto" w:fill="auto"/>
          </w:tcPr>
          <w:p w:rsidR="00051DA6" w:rsidRPr="00117DF2" w:rsidRDefault="00051DA6" w:rsidP="006803B8">
            <w:pPr>
              <w:autoSpaceDE w:val="0"/>
              <w:autoSpaceDN w:val="0"/>
              <w:adjustRightInd w:val="0"/>
              <w:spacing w:after="0"/>
              <w:jc w:val="right"/>
              <w:rPr>
                <w:rFonts w:cs="Arial"/>
                <w:color w:val="000000"/>
                <w:sz w:val="22"/>
                <w:szCs w:val="18"/>
              </w:rPr>
            </w:pPr>
            <w:r w:rsidRPr="00117DF2">
              <w:rPr>
                <w:rFonts w:cs="Arial"/>
                <w:color w:val="000000"/>
                <w:sz w:val="22"/>
                <w:szCs w:val="18"/>
              </w:rPr>
              <w:t>15.0</w:t>
            </w:r>
          </w:p>
        </w:tc>
        <w:tc>
          <w:tcPr>
            <w:tcW w:w="802" w:type="pct"/>
            <w:shd w:val="clear" w:color="auto" w:fill="auto"/>
          </w:tcPr>
          <w:p w:rsidR="00051DA6" w:rsidRPr="00117DF2" w:rsidRDefault="00051DA6" w:rsidP="006803B8">
            <w:pPr>
              <w:autoSpaceDE w:val="0"/>
              <w:autoSpaceDN w:val="0"/>
              <w:adjustRightInd w:val="0"/>
              <w:spacing w:after="0"/>
              <w:jc w:val="right"/>
              <w:rPr>
                <w:rFonts w:cs="Arial"/>
                <w:color w:val="000000"/>
                <w:sz w:val="22"/>
                <w:szCs w:val="18"/>
              </w:rPr>
            </w:pPr>
            <w:r w:rsidRPr="00117DF2">
              <w:rPr>
                <w:rFonts w:cs="Arial"/>
                <w:color w:val="000000"/>
                <w:sz w:val="22"/>
                <w:szCs w:val="18"/>
              </w:rPr>
              <w:t>5</w:t>
            </w:r>
          </w:p>
        </w:tc>
        <w:tc>
          <w:tcPr>
            <w:tcW w:w="2010" w:type="pct"/>
          </w:tcPr>
          <w:p w:rsidR="00051DA6" w:rsidRPr="00117DF2" w:rsidRDefault="00051DA6" w:rsidP="006803B8">
            <w:pPr>
              <w:autoSpaceDE w:val="0"/>
              <w:autoSpaceDN w:val="0"/>
              <w:adjustRightInd w:val="0"/>
              <w:spacing w:after="0"/>
              <w:jc w:val="right"/>
              <w:rPr>
                <w:rFonts w:cs="Arial"/>
                <w:color w:val="000000"/>
                <w:sz w:val="22"/>
                <w:szCs w:val="20"/>
              </w:rPr>
            </w:pPr>
            <w:r w:rsidRPr="00117DF2">
              <w:rPr>
                <w:rFonts w:cs="Arial"/>
                <w:color w:val="000000"/>
                <w:sz w:val="22"/>
                <w:szCs w:val="20"/>
              </w:rPr>
              <w:t>22.0</w:t>
            </w:r>
          </w:p>
        </w:tc>
      </w:tr>
      <w:tr w:rsidR="00051DA6" w:rsidRPr="00117DF2" w:rsidTr="006803B8">
        <w:tblPrEx>
          <w:tblCellMar>
            <w:top w:w="0" w:type="dxa"/>
            <w:bottom w:w="0" w:type="dxa"/>
          </w:tblCellMar>
        </w:tblPrEx>
        <w:trPr>
          <w:trHeight w:val="284"/>
        </w:trPr>
        <w:tc>
          <w:tcPr>
            <w:tcW w:w="836" w:type="pct"/>
          </w:tcPr>
          <w:p w:rsidR="00051DA6" w:rsidRPr="00117DF2" w:rsidRDefault="00D15D2A" w:rsidP="00F50563">
            <w:pPr>
              <w:autoSpaceDE w:val="0"/>
              <w:autoSpaceDN w:val="0"/>
              <w:adjustRightInd w:val="0"/>
              <w:spacing w:after="0"/>
              <w:rPr>
                <w:rFonts w:cs="Arial"/>
                <w:color w:val="000000"/>
                <w:sz w:val="22"/>
                <w:szCs w:val="18"/>
              </w:rPr>
            </w:pPr>
            <w:r w:rsidRPr="00117DF2">
              <w:rPr>
                <w:rFonts w:cs="Arial"/>
                <w:color w:val="000000"/>
                <w:sz w:val="22"/>
                <w:szCs w:val="18"/>
              </w:rPr>
              <w:t>C</w:t>
            </w:r>
          </w:p>
        </w:tc>
        <w:tc>
          <w:tcPr>
            <w:tcW w:w="395"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22</w:t>
            </w:r>
          </w:p>
        </w:tc>
        <w:tc>
          <w:tcPr>
            <w:tcW w:w="592"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23.5</w:t>
            </w:r>
          </w:p>
        </w:tc>
        <w:tc>
          <w:tcPr>
            <w:tcW w:w="365"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12.5</w:t>
            </w:r>
          </w:p>
        </w:tc>
        <w:tc>
          <w:tcPr>
            <w:tcW w:w="802"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34</w:t>
            </w:r>
          </w:p>
        </w:tc>
        <w:tc>
          <w:tcPr>
            <w:tcW w:w="2010" w:type="pct"/>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34</w:t>
            </w:r>
          </w:p>
        </w:tc>
      </w:tr>
      <w:tr w:rsidR="00051DA6" w:rsidRPr="00117DF2" w:rsidTr="006803B8">
        <w:tblPrEx>
          <w:tblCellMar>
            <w:top w:w="0" w:type="dxa"/>
            <w:bottom w:w="0" w:type="dxa"/>
          </w:tblCellMar>
        </w:tblPrEx>
        <w:trPr>
          <w:trHeight w:val="284"/>
        </w:trPr>
        <w:tc>
          <w:tcPr>
            <w:tcW w:w="836" w:type="pct"/>
          </w:tcPr>
          <w:p w:rsidR="00051DA6" w:rsidRPr="00117DF2" w:rsidRDefault="00D15D2A" w:rsidP="00F50563">
            <w:pPr>
              <w:autoSpaceDE w:val="0"/>
              <w:autoSpaceDN w:val="0"/>
              <w:adjustRightInd w:val="0"/>
              <w:spacing w:after="0"/>
              <w:rPr>
                <w:rFonts w:cs="Arial"/>
                <w:color w:val="000000"/>
                <w:sz w:val="22"/>
                <w:szCs w:val="18"/>
              </w:rPr>
            </w:pPr>
            <w:r w:rsidRPr="00117DF2">
              <w:rPr>
                <w:rFonts w:cs="Arial"/>
                <w:color w:val="000000"/>
                <w:sz w:val="22"/>
                <w:szCs w:val="18"/>
              </w:rPr>
              <w:t>D</w:t>
            </w:r>
          </w:p>
        </w:tc>
        <w:tc>
          <w:tcPr>
            <w:tcW w:w="395"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40</w:t>
            </w:r>
          </w:p>
        </w:tc>
        <w:tc>
          <w:tcPr>
            <w:tcW w:w="592"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37.5</w:t>
            </w:r>
          </w:p>
        </w:tc>
        <w:tc>
          <w:tcPr>
            <w:tcW w:w="365"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29</w:t>
            </w:r>
          </w:p>
        </w:tc>
        <w:tc>
          <w:tcPr>
            <w:tcW w:w="802" w:type="pct"/>
            <w:shd w:val="clear" w:color="auto" w:fill="auto"/>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18.5</w:t>
            </w:r>
          </w:p>
        </w:tc>
        <w:tc>
          <w:tcPr>
            <w:tcW w:w="2010" w:type="pct"/>
            <w:vAlign w:val="bottom"/>
          </w:tcPr>
          <w:p w:rsidR="00051DA6" w:rsidRPr="00117DF2" w:rsidRDefault="00051DA6" w:rsidP="00051DA6">
            <w:pPr>
              <w:autoSpaceDE w:val="0"/>
              <w:autoSpaceDN w:val="0"/>
              <w:adjustRightInd w:val="0"/>
              <w:spacing w:after="0"/>
              <w:jc w:val="right"/>
              <w:rPr>
                <w:rFonts w:cs="Arial"/>
                <w:color w:val="000000"/>
                <w:sz w:val="22"/>
                <w:szCs w:val="18"/>
              </w:rPr>
            </w:pPr>
            <w:r w:rsidRPr="00117DF2">
              <w:rPr>
                <w:rFonts w:cs="Arial"/>
                <w:color w:val="000000"/>
                <w:sz w:val="22"/>
                <w:szCs w:val="18"/>
              </w:rPr>
              <w:t>40</w:t>
            </w:r>
          </w:p>
        </w:tc>
      </w:tr>
      <w:tr w:rsidR="00051DA6" w:rsidRPr="00117DF2" w:rsidTr="00051DA6">
        <w:tblPrEx>
          <w:tblCellMar>
            <w:top w:w="0" w:type="dxa"/>
            <w:bottom w:w="0" w:type="dxa"/>
          </w:tblCellMar>
        </w:tblPrEx>
        <w:trPr>
          <w:trHeight w:val="284"/>
        </w:trPr>
        <w:tc>
          <w:tcPr>
            <w:tcW w:w="836" w:type="pct"/>
          </w:tcPr>
          <w:p w:rsidR="00051DA6" w:rsidRPr="00117DF2" w:rsidRDefault="00736882" w:rsidP="00F50563">
            <w:pPr>
              <w:autoSpaceDE w:val="0"/>
              <w:autoSpaceDN w:val="0"/>
              <w:adjustRightInd w:val="0"/>
              <w:spacing w:after="0"/>
              <w:rPr>
                <w:rFonts w:cs="Arial"/>
                <w:color w:val="000000"/>
                <w:sz w:val="22"/>
                <w:szCs w:val="18"/>
              </w:rPr>
            </w:pPr>
            <w:r w:rsidRPr="00117DF2">
              <w:rPr>
                <w:rFonts w:cs="Arial"/>
                <w:color w:val="000000"/>
                <w:sz w:val="22"/>
                <w:szCs w:val="18"/>
              </w:rPr>
              <w:t>E</w:t>
            </w:r>
          </w:p>
        </w:tc>
        <w:tc>
          <w:tcPr>
            <w:tcW w:w="395" w:type="pct"/>
            <w:shd w:val="clear" w:color="auto" w:fill="auto"/>
          </w:tcPr>
          <w:p w:rsidR="00051DA6" w:rsidRPr="00117DF2" w:rsidRDefault="00051DA6" w:rsidP="00F50563">
            <w:pPr>
              <w:autoSpaceDE w:val="0"/>
              <w:autoSpaceDN w:val="0"/>
              <w:adjustRightInd w:val="0"/>
              <w:spacing w:after="0"/>
              <w:jc w:val="right"/>
              <w:rPr>
                <w:rFonts w:cs="Arial"/>
                <w:color w:val="000000"/>
                <w:sz w:val="22"/>
                <w:szCs w:val="18"/>
              </w:rPr>
            </w:pPr>
            <w:r w:rsidRPr="00117DF2">
              <w:rPr>
                <w:rFonts w:cs="Arial"/>
                <w:color w:val="000000"/>
                <w:sz w:val="22"/>
                <w:szCs w:val="18"/>
              </w:rPr>
              <w:t>3.0</w:t>
            </w:r>
          </w:p>
        </w:tc>
        <w:tc>
          <w:tcPr>
            <w:tcW w:w="592" w:type="pct"/>
            <w:shd w:val="clear" w:color="auto" w:fill="auto"/>
          </w:tcPr>
          <w:p w:rsidR="00051DA6" w:rsidRPr="00117DF2" w:rsidRDefault="00051DA6" w:rsidP="00F50563">
            <w:pPr>
              <w:autoSpaceDE w:val="0"/>
              <w:autoSpaceDN w:val="0"/>
              <w:adjustRightInd w:val="0"/>
              <w:spacing w:after="0"/>
              <w:jc w:val="right"/>
              <w:rPr>
                <w:rFonts w:cs="Arial"/>
                <w:color w:val="000000"/>
                <w:sz w:val="22"/>
                <w:szCs w:val="18"/>
              </w:rPr>
            </w:pPr>
            <w:r w:rsidRPr="00117DF2">
              <w:rPr>
                <w:rFonts w:cs="Arial"/>
                <w:color w:val="000000"/>
                <w:sz w:val="22"/>
                <w:szCs w:val="18"/>
              </w:rPr>
              <w:t>7.5</w:t>
            </w:r>
          </w:p>
        </w:tc>
        <w:tc>
          <w:tcPr>
            <w:tcW w:w="365" w:type="pct"/>
            <w:shd w:val="clear" w:color="auto" w:fill="auto"/>
          </w:tcPr>
          <w:p w:rsidR="00051DA6" w:rsidRPr="00117DF2" w:rsidRDefault="00051DA6" w:rsidP="00F50563">
            <w:pPr>
              <w:autoSpaceDE w:val="0"/>
              <w:autoSpaceDN w:val="0"/>
              <w:adjustRightInd w:val="0"/>
              <w:spacing w:after="0"/>
              <w:jc w:val="right"/>
              <w:rPr>
                <w:rFonts w:cs="Arial"/>
                <w:color w:val="000000"/>
                <w:sz w:val="22"/>
                <w:szCs w:val="18"/>
              </w:rPr>
            </w:pPr>
            <w:r w:rsidRPr="00117DF2">
              <w:rPr>
                <w:rFonts w:cs="Arial"/>
                <w:color w:val="000000"/>
                <w:sz w:val="22"/>
                <w:szCs w:val="18"/>
              </w:rPr>
              <w:t>24.0</w:t>
            </w:r>
          </w:p>
        </w:tc>
        <w:tc>
          <w:tcPr>
            <w:tcW w:w="802" w:type="pct"/>
            <w:shd w:val="clear" w:color="auto" w:fill="auto"/>
          </w:tcPr>
          <w:p w:rsidR="00051DA6" w:rsidRPr="00117DF2" w:rsidRDefault="00051DA6" w:rsidP="00F50563">
            <w:pPr>
              <w:autoSpaceDE w:val="0"/>
              <w:autoSpaceDN w:val="0"/>
              <w:adjustRightInd w:val="0"/>
              <w:spacing w:after="0"/>
              <w:jc w:val="right"/>
              <w:rPr>
                <w:rFonts w:cs="Arial"/>
                <w:color w:val="000000"/>
                <w:sz w:val="22"/>
                <w:szCs w:val="18"/>
              </w:rPr>
            </w:pPr>
            <w:r w:rsidRPr="00117DF2">
              <w:rPr>
                <w:rFonts w:cs="Arial"/>
                <w:color w:val="000000"/>
                <w:sz w:val="22"/>
                <w:szCs w:val="18"/>
              </w:rPr>
              <w:t>5</w:t>
            </w:r>
          </w:p>
        </w:tc>
        <w:tc>
          <w:tcPr>
            <w:tcW w:w="2010" w:type="pct"/>
          </w:tcPr>
          <w:p w:rsidR="00051DA6" w:rsidRPr="00117DF2" w:rsidRDefault="00051DA6" w:rsidP="00F50563">
            <w:pPr>
              <w:autoSpaceDE w:val="0"/>
              <w:autoSpaceDN w:val="0"/>
              <w:adjustRightInd w:val="0"/>
              <w:spacing w:after="0"/>
              <w:jc w:val="right"/>
              <w:rPr>
                <w:rFonts w:cs="Arial"/>
                <w:color w:val="000000"/>
                <w:sz w:val="22"/>
                <w:szCs w:val="20"/>
              </w:rPr>
            </w:pPr>
            <w:r w:rsidRPr="00117DF2">
              <w:rPr>
                <w:rFonts w:cs="Arial"/>
                <w:color w:val="000000"/>
                <w:sz w:val="22"/>
                <w:szCs w:val="20"/>
              </w:rPr>
              <w:t>21.0</w:t>
            </w:r>
          </w:p>
        </w:tc>
      </w:tr>
    </w:tbl>
    <w:p w:rsidR="00BA6467" w:rsidRPr="00117DF2" w:rsidRDefault="004B3F32" w:rsidP="00BE044A">
      <w:pPr>
        <w:pStyle w:val="TableNote"/>
        <w:spacing w:after="120"/>
        <w:rPr>
          <w:sz w:val="22"/>
          <w:szCs w:val="22"/>
        </w:rPr>
      </w:pPr>
      <w:r w:rsidRPr="00117DF2">
        <w:t>Source: NDA</w:t>
      </w:r>
      <w:r w:rsidR="00BE044A" w:rsidRPr="00117DF2">
        <w:t xml:space="preserve"> </w:t>
      </w:r>
      <w:r w:rsidR="00BA6467" w:rsidRPr="00117DF2">
        <w:rPr>
          <w:sz w:val="22"/>
          <w:szCs w:val="22"/>
        </w:rPr>
        <w:t>Note: this is based on raw scores for FACE, but weighted scores are used in its cost algorithm</w:t>
      </w:r>
    </w:p>
    <w:p w:rsidR="00D15D2A" w:rsidRPr="00117DF2" w:rsidRDefault="00D15D2A" w:rsidP="00E430CE">
      <w:pPr>
        <w:spacing w:after="120"/>
      </w:pPr>
      <w:r w:rsidRPr="00117DF2">
        <w:t>The following are pen pictures of the five cases with enough detail to illustrate</w:t>
      </w:r>
      <w:r w:rsidR="00E430CE" w:rsidRPr="00117DF2">
        <w:t xml:space="preserve"> the different weighting</w:t>
      </w:r>
      <w:r w:rsidRPr="00117DF2">
        <w:t xml:space="preserve">s – to aid anonymity some of the peoples genders have been changed. </w:t>
      </w:r>
    </w:p>
    <w:p w:rsidR="00736882" w:rsidRPr="00117DF2" w:rsidRDefault="006D3B8F" w:rsidP="00736882">
      <w:pPr>
        <w:pStyle w:val="ListBullet"/>
      </w:pPr>
      <w:r w:rsidRPr="00117DF2">
        <w:t>A</w:t>
      </w:r>
      <w:r w:rsidR="005E54A7" w:rsidRPr="00117DF2">
        <w:t xml:space="preserve"> </w:t>
      </w:r>
      <w:r w:rsidR="00374AF3" w:rsidRPr="00117DF2">
        <w:t>has</w:t>
      </w:r>
      <w:r w:rsidRPr="00117DF2">
        <w:t xml:space="preserve"> </w:t>
      </w:r>
      <w:r w:rsidR="00E430CE" w:rsidRPr="00117DF2">
        <w:t xml:space="preserve">a </w:t>
      </w:r>
      <w:r w:rsidRPr="00117DF2">
        <w:t>degenerative disorder</w:t>
      </w:r>
      <w:r w:rsidR="00E430CE" w:rsidRPr="00117DF2">
        <w:t xml:space="preserve"> and </w:t>
      </w:r>
      <w:r w:rsidR="005E54A7" w:rsidRPr="00117DF2">
        <w:t xml:space="preserve">lives with a live in PA in </w:t>
      </w:r>
      <w:r w:rsidR="00E430CE" w:rsidRPr="00117DF2">
        <w:t>A</w:t>
      </w:r>
      <w:r w:rsidR="00374AF3" w:rsidRPr="00117DF2">
        <w:t>’s</w:t>
      </w:r>
      <w:r w:rsidR="005E54A7" w:rsidRPr="00117DF2">
        <w:t xml:space="preserve"> own house. </w:t>
      </w:r>
      <w:r w:rsidR="00E430CE" w:rsidRPr="00117DF2">
        <w:t xml:space="preserve">A </w:t>
      </w:r>
      <w:r w:rsidR="005E54A7" w:rsidRPr="00117DF2">
        <w:t xml:space="preserve">uses an electric wheelchair and can not raise his hands above his waist therefore </w:t>
      </w:r>
      <w:r w:rsidR="00E430CE" w:rsidRPr="00117DF2">
        <w:t>A</w:t>
      </w:r>
      <w:r w:rsidR="00374AF3" w:rsidRPr="00117DF2">
        <w:t xml:space="preserve">’s </w:t>
      </w:r>
      <w:r w:rsidR="005E54A7" w:rsidRPr="00117DF2">
        <w:t>PA cooks, cleans, dresses and feed</w:t>
      </w:r>
      <w:r w:rsidR="00374AF3" w:rsidRPr="00117DF2">
        <w:t>s</w:t>
      </w:r>
      <w:r w:rsidR="005E54A7" w:rsidRPr="00117DF2">
        <w:t xml:space="preserve"> him. Therefore, both</w:t>
      </w:r>
      <w:r w:rsidR="000F608B" w:rsidRPr="00117DF2">
        <w:t xml:space="preserve"> interRAI</w:t>
      </w:r>
      <w:r w:rsidR="005E54A7" w:rsidRPr="00117DF2">
        <w:t xml:space="preserve"> and FACE score him as having high support needs. However, </w:t>
      </w:r>
      <w:r w:rsidR="00E430CE" w:rsidRPr="00117DF2">
        <w:t>A</w:t>
      </w:r>
      <w:r w:rsidR="00374AF3" w:rsidRPr="00117DF2">
        <w:t xml:space="preserve"> is articulate, intelligent and has no </w:t>
      </w:r>
      <w:r w:rsidR="005E54A7" w:rsidRPr="00117DF2">
        <w:t>challenging behaviours therefore SIS scores him lower</w:t>
      </w:r>
      <w:r w:rsidR="00554C49" w:rsidRPr="00117DF2">
        <w:t>.</w:t>
      </w:r>
      <w:r w:rsidR="005E54A7" w:rsidRPr="00117DF2">
        <w:t xml:space="preserve"> </w:t>
      </w:r>
    </w:p>
    <w:p w:rsidR="00736882" w:rsidRPr="00117DF2" w:rsidRDefault="00E430CE" w:rsidP="00736882">
      <w:pPr>
        <w:pStyle w:val="ListBullet"/>
      </w:pPr>
      <w:r w:rsidRPr="00117DF2">
        <w:t>B has Down</w:t>
      </w:r>
      <w:r w:rsidR="00736882" w:rsidRPr="00117DF2">
        <w:t xml:space="preserve"> syndrome and a mild </w:t>
      </w:r>
      <w:r w:rsidRPr="00117DF2">
        <w:t>intellectual disability</w:t>
      </w:r>
      <w:r w:rsidR="00736882" w:rsidRPr="00117DF2">
        <w:t>. Pa</w:t>
      </w:r>
      <w:r w:rsidRPr="00117DF2">
        <w:t>rtly the difference in B</w:t>
      </w:r>
      <w:r w:rsidR="00736882" w:rsidRPr="00117DF2">
        <w:t>’s rankings reflects different answers to similar qu</w:t>
      </w:r>
      <w:r w:rsidRPr="00117DF2">
        <w:t>estions across tools. In FACE, B</w:t>
      </w:r>
      <w:r w:rsidR="00736882" w:rsidRPr="00117DF2">
        <w:t xml:space="preserve"> said she lives at home with parents but for</w:t>
      </w:r>
      <w:r w:rsidR="000F608B" w:rsidRPr="00117DF2">
        <w:t xml:space="preserve"> interRAI</w:t>
      </w:r>
      <w:r w:rsidR="00736882" w:rsidRPr="00117DF2">
        <w:t xml:space="preserve"> she said she lives in g</w:t>
      </w:r>
      <w:r w:rsidRPr="00117DF2">
        <w:t>roup home (latter is correct). B</w:t>
      </w:r>
      <w:r w:rsidR="00736882" w:rsidRPr="00117DF2">
        <w:t xml:space="preserve"> can do all the activities of daily liv</w:t>
      </w:r>
      <w:r w:rsidRPr="00117DF2">
        <w:t>ing herself. B</w:t>
      </w:r>
      <w:r w:rsidR="00736882" w:rsidRPr="00117DF2">
        <w:t xml:space="preserve"> scored higher on </w:t>
      </w:r>
      <w:r w:rsidRPr="00117DF2">
        <w:t>RAS 5</w:t>
      </w:r>
      <w:r w:rsidR="00736882" w:rsidRPr="00117DF2">
        <w:t xml:space="preserve"> because she said she needed help to do these things. This example underscores the need for triangulation.</w:t>
      </w:r>
    </w:p>
    <w:p w:rsidR="00D15D2A" w:rsidRPr="00117DF2" w:rsidRDefault="00D15D2A" w:rsidP="00D15D2A">
      <w:pPr>
        <w:pStyle w:val="ListBullet"/>
      </w:pPr>
      <w:r w:rsidRPr="00117DF2">
        <w:t>C has a degenerative condition and has a high level of disability and that is why FACE,</w:t>
      </w:r>
      <w:r w:rsidR="00E430CE" w:rsidRPr="00117DF2">
        <w:t xml:space="preserve"> RAS 5 </w:t>
      </w:r>
      <w:r w:rsidRPr="00117DF2">
        <w:t>and</w:t>
      </w:r>
      <w:r w:rsidR="000F608B" w:rsidRPr="00117DF2">
        <w:t xml:space="preserve"> interRAI</w:t>
      </w:r>
      <w:r w:rsidRPr="00117DF2">
        <w:t xml:space="preserve"> all score him highly – however as he is verbal and is able to direct his own care he is scored lower by SIS.</w:t>
      </w:r>
      <w:r w:rsidR="000F608B" w:rsidRPr="00117DF2">
        <w:t xml:space="preserve"> </w:t>
      </w:r>
      <w:r w:rsidR="00117DF2" w:rsidRPr="00117DF2">
        <w:t>InterRAI</w:t>
      </w:r>
      <w:r w:rsidRPr="00117DF2">
        <w:t xml:space="preserve"> score him particularly</w:t>
      </w:r>
      <w:r w:rsidR="00055D74" w:rsidRPr="00117DF2">
        <w:t xml:space="preserve"> highly because he </w:t>
      </w:r>
      <w:r w:rsidR="00BE044A" w:rsidRPr="00117DF2">
        <w:t>middle aged</w:t>
      </w:r>
      <w:r w:rsidR="00055D74" w:rsidRPr="00117DF2">
        <w:t>.</w:t>
      </w:r>
    </w:p>
    <w:p w:rsidR="00736882" w:rsidRPr="00117DF2" w:rsidRDefault="00736882" w:rsidP="00D15D2A">
      <w:pPr>
        <w:pStyle w:val="ListBullet"/>
      </w:pPr>
      <w:r w:rsidRPr="00117DF2">
        <w:t xml:space="preserve">D is </w:t>
      </w:r>
      <w:r w:rsidR="00DA1422" w:rsidRPr="00117DF2">
        <w:t>a young woman with cer</w:t>
      </w:r>
      <w:r w:rsidR="002A0F85" w:rsidRPr="00117DF2">
        <w:t xml:space="preserve">ebral palsy who lives at home. </w:t>
      </w:r>
      <w:r w:rsidR="00DA1422" w:rsidRPr="00117DF2">
        <w:t>Her parents support and care for her including turning her four times a night. As she is very physically disabled FACE,</w:t>
      </w:r>
      <w:r w:rsidR="002A0F85" w:rsidRPr="00117DF2">
        <w:t xml:space="preserve"> RAS 5 and SIS give her high marks. </w:t>
      </w:r>
      <w:r w:rsidR="00DA1422" w:rsidRPr="00117DF2">
        <w:t>Although</w:t>
      </w:r>
      <w:r w:rsidR="000F608B" w:rsidRPr="00117DF2">
        <w:t xml:space="preserve"> interRAI</w:t>
      </w:r>
      <w:r w:rsidR="00DA1422" w:rsidRPr="00117DF2">
        <w:t xml:space="preserve"> classify D as having the highest </w:t>
      </w:r>
      <w:r w:rsidR="00D15D2A" w:rsidRPr="00117DF2">
        <w:t>functional</w:t>
      </w:r>
      <w:r w:rsidR="00DA1422" w:rsidRPr="00117DF2">
        <w:t xml:space="preserve"> needs possible, because she has never left the family home, has no outburst of anger and is young they award her less funding that other people</w:t>
      </w:r>
      <w:r w:rsidR="002A0F85" w:rsidRPr="00117DF2">
        <w:t xml:space="preserve"> with the same level of needs.</w:t>
      </w:r>
    </w:p>
    <w:p w:rsidR="00D279C2" w:rsidRPr="00117DF2" w:rsidRDefault="00736882" w:rsidP="00A4312C">
      <w:pPr>
        <w:pStyle w:val="ListBullet"/>
      </w:pPr>
      <w:r w:rsidRPr="00117DF2">
        <w:t>E</w:t>
      </w:r>
      <w:r w:rsidR="005E54A7" w:rsidRPr="00117DF2">
        <w:t xml:space="preserve"> is deaf </w:t>
      </w:r>
      <w:r w:rsidR="00374AF3" w:rsidRPr="00117DF2">
        <w:t xml:space="preserve">person, </w:t>
      </w:r>
      <w:r w:rsidR="005E54A7" w:rsidRPr="00117DF2">
        <w:t xml:space="preserve">has a mild </w:t>
      </w:r>
      <w:r w:rsidR="00BB5D00" w:rsidRPr="00117DF2">
        <w:t xml:space="preserve">intellectual disability </w:t>
      </w:r>
      <w:r w:rsidR="006D3B8F" w:rsidRPr="00117DF2">
        <w:t>and</w:t>
      </w:r>
      <w:r w:rsidR="005E54A7" w:rsidRPr="00117DF2">
        <w:t xml:space="preserve"> lives in a group home. </w:t>
      </w:r>
      <w:r w:rsidR="002A0F85" w:rsidRPr="00117DF2">
        <w:t>E</w:t>
      </w:r>
      <w:r w:rsidR="005E54A7" w:rsidRPr="00117DF2">
        <w:t xml:space="preserve"> is completely independent in personal care and </w:t>
      </w:r>
      <w:r w:rsidR="006D3B8F" w:rsidRPr="00117DF2">
        <w:t xml:space="preserve">can </w:t>
      </w:r>
      <w:r w:rsidR="005E54A7" w:rsidRPr="00117DF2">
        <w:t xml:space="preserve">manage public transport </w:t>
      </w:r>
      <w:r w:rsidR="00554C49" w:rsidRPr="00117DF2">
        <w:t xml:space="preserve">alone </w:t>
      </w:r>
      <w:r w:rsidR="005E54A7" w:rsidRPr="00117DF2">
        <w:t xml:space="preserve">therefore FACE and </w:t>
      </w:r>
      <w:r w:rsidR="002A0F85" w:rsidRPr="00117DF2">
        <w:t>RAS 5</w:t>
      </w:r>
      <w:r w:rsidR="005E54A7" w:rsidRPr="00117DF2">
        <w:t xml:space="preserve"> rank th</w:t>
      </w:r>
      <w:r w:rsidR="00554C49" w:rsidRPr="00117DF2">
        <w:t>is</w:t>
      </w:r>
      <w:r w:rsidR="005E54A7" w:rsidRPr="00117DF2">
        <w:t xml:space="preserve"> person as having low needs. However </w:t>
      </w:r>
      <w:r w:rsidR="002A0F85" w:rsidRPr="00117DF2">
        <w:t>E</w:t>
      </w:r>
      <w:r w:rsidR="00374AF3" w:rsidRPr="00117DF2">
        <w:t xml:space="preserve"> needs help to socialise, </w:t>
      </w:r>
      <w:r w:rsidR="005E54A7" w:rsidRPr="00117DF2">
        <w:t>plan</w:t>
      </w:r>
      <w:r w:rsidR="00374AF3" w:rsidRPr="00117DF2">
        <w:t xml:space="preserve"> and budget</w:t>
      </w:r>
      <w:r w:rsidR="005E54A7" w:rsidRPr="00117DF2">
        <w:t xml:space="preserve"> therefore SIS ranks the person </w:t>
      </w:r>
      <w:r w:rsidR="00374AF3" w:rsidRPr="00117DF2">
        <w:t>higher</w:t>
      </w:r>
      <w:r w:rsidR="005E54A7" w:rsidRPr="00117DF2">
        <w:t>.</w:t>
      </w:r>
    </w:p>
    <w:sectPr w:rsidR="00D279C2" w:rsidRPr="00117DF2" w:rsidSect="0015788A">
      <w:headerReference w:type="default" r:id="rId17"/>
      <w:footerReference w:type="default" r:id="rId18"/>
      <w:pgSz w:w="12240" w:h="15840"/>
      <w:pgMar w:top="1077" w:right="1797" w:bottom="1440"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67" w:rsidRDefault="00B24367">
      <w:r>
        <w:separator/>
      </w:r>
    </w:p>
  </w:endnote>
  <w:endnote w:type="continuationSeparator" w:id="0">
    <w:p w:rsidR="00B24367" w:rsidRDefault="00B2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3F" w:rsidRDefault="00AB733F">
    <w:pPr>
      <w:pStyle w:val="Footer"/>
    </w:pPr>
    <w:r>
      <w:tab/>
    </w:r>
    <w:r>
      <w:tab/>
    </w:r>
    <w:r>
      <w:fldChar w:fldCharType="begin"/>
    </w:r>
    <w:r>
      <w:instrText xml:space="preserve"> PAGE  \* Arabic  \* MERGEFORMAT </w:instrText>
    </w:r>
    <w:r>
      <w:fldChar w:fldCharType="separate"/>
    </w:r>
    <w:r w:rsidR="002324D3">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67" w:rsidRDefault="00B24367">
      <w:r>
        <w:separator/>
      </w:r>
    </w:p>
  </w:footnote>
  <w:footnote w:type="continuationSeparator" w:id="0">
    <w:p w:rsidR="00B24367" w:rsidRDefault="00B24367">
      <w:r>
        <w:continuationSeparator/>
      </w:r>
    </w:p>
  </w:footnote>
  <w:footnote w:id="1">
    <w:p w:rsidR="00AB733F" w:rsidRPr="0011277B" w:rsidRDefault="00AB733F" w:rsidP="009F6062">
      <w:pPr>
        <w:pStyle w:val="FootnoteText"/>
      </w:pPr>
      <w:r w:rsidRPr="0011277B">
        <w:rPr>
          <w:rStyle w:val="FootnoteReference"/>
        </w:rPr>
        <w:footnoteRef/>
      </w:r>
      <w:r w:rsidRPr="0011277B">
        <w:t xml:space="preserve">This issue was particularly dealt with in the first report </w:t>
      </w:r>
      <w:hyperlink r:id="rId1" w:history="1">
        <w:r w:rsidRPr="0011277B">
          <w:rPr>
            <w:rStyle w:val="Hyperlink"/>
          </w:rPr>
          <w:t>http://www.nda.ie/cntmgmtnew.nsf/0/8A76108C3F4680E88025795A003BAE74?OpenDocument</w:t>
        </w:r>
      </w:hyperlink>
    </w:p>
  </w:footnote>
  <w:footnote w:id="2">
    <w:p w:rsidR="00AB733F" w:rsidRPr="0011277B" w:rsidRDefault="00AB733F" w:rsidP="00BB5D00">
      <w:pPr>
        <w:pStyle w:val="FootnoteText"/>
        <w:spacing w:after="0"/>
      </w:pPr>
      <w:r w:rsidRPr="0011277B">
        <w:rPr>
          <w:rStyle w:val="FootnoteReference"/>
        </w:rPr>
        <w:footnoteRef/>
      </w:r>
      <w:r w:rsidRPr="0011277B">
        <w:t xml:space="preserve"> See </w:t>
      </w:r>
      <w:hyperlink r:id="rId2" w:history="1">
        <w:r w:rsidRPr="0011277B">
          <w:t>http://per.gov.ie/wp-content/uploads/ProgrammeforGovernmentFinal.pdf</w:t>
        </w:r>
      </w:hyperlink>
      <w:r w:rsidRPr="0011277B">
        <w:t>, p30</w:t>
      </w:r>
    </w:p>
  </w:footnote>
  <w:footnote w:id="3">
    <w:p w:rsidR="00AB733F" w:rsidRPr="0011277B" w:rsidRDefault="00AB733F" w:rsidP="00BB5D00">
      <w:pPr>
        <w:pStyle w:val="FootnoteText"/>
        <w:spacing w:after="0"/>
      </w:pPr>
      <w:r w:rsidRPr="0011277B">
        <w:rPr>
          <w:rStyle w:val="FootnoteReference"/>
        </w:rPr>
        <w:footnoteRef/>
      </w:r>
      <w:r w:rsidRPr="0011277B">
        <w:t xml:space="preserve"> See final report at </w:t>
      </w:r>
      <w:hyperlink r:id="rId3" w:history="1">
        <w:r w:rsidRPr="0011277B">
          <w:rPr>
            <w:rStyle w:val="Hyperlink"/>
          </w:rPr>
          <w:t>http://w</w:t>
        </w:r>
        <w:r w:rsidRPr="0011277B">
          <w:rPr>
            <w:rStyle w:val="Hyperlink"/>
          </w:rPr>
          <w:t>w</w:t>
        </w:r>
        <w:r w:rsidRPr="0011277B">
          <w:rPr>
            <w:rStyle w:val="Hyperlink"/>
          </w:rPr>
          <w:t>w.nda.ie/cntmgmtnew.nsf/0/8A76108C3F4680E88025795A003BAE74?OpenDocument</w:t>
        </w:r>
      </w:hyperlink>
    </w:p>
  </w:footnote>
  <w:footnote w:id="4">
    <w:p w:rsidR="00AB733F" w:rsidRPr="0011277B" w:rsidRDefault="00AB733F" w:rsidP="00D52D1B">
      <w:pPr>
        <w:pStyle w:val="FootnoteText"/>
      </w:pPr>
      <w:r w:rsidRPr="0011277B">
        <w:rPr>
          <w:rStyle w:val="FootnoteReference"/>
        </w:rPr>
        <w:footnoteRef/>
      </w:r>
      <w:r w:rsidRPr="0011277B">
        <w:t xml:space="preserve"> </w:t>
      </w:r>
      <w:r w:rsidRPr="0011277B">
        <w:rPr>
          <w:lang w:eastAsia="en-GB"/>
        </w:rPr>
        <w:t xml:space="preserve">HSE Northern Area, HSE Southern Area, </w:t>
      </w:r>
      <w:r w:rsidRPr="0011277B">
        <w:t>HSE South Western/East Coast Area, Clare Mental Health Services, HSE Mid Western Area, West Clare Community Mental Health Team, West Galway Mental Health Services, St Loman</w:t>
      </w:r>
      <w:r>
        <w:t>’</w:t>
      </w:r>
      <w:r w:rsidRPr="0011277B">
        <w:t>s</w:t>
      </w:r>
    </w:p>
  </w:footnote>
  <w:footnote w:id="5">
    <w:p w:rsidR="00AB733F" w:rsidRPr="00D52D1B" w:rsidRDefault="00AB733F" w:rsidP="00D52D1B">
      <w:pPr>
        <w:pStyle w:val="FootnoteText"/>
      </w:pPr>
      <w:r>
        <w:rPr>
          <w:rStyle w:val="FootnoteReference"/>
        </w:rPr>
        <w:footnoteRef/>
      </w:r>
      <w:r>
        <w:t xml:space="preserve">Clifford, Saunders and Gibbon (2013). Modelling the relationship between needs and costs: how accurate resource allocation can deliver personal budgets and personalisation. </w:t>
      </w:r>
      <w:r w:rsidRPr="00D52D1B">
        <w:rPr>
          <w:b/>
        </w:rPr>
        <w:t>Research, Policy and Planning</w:t>
      </w:r>
      <w:r w:rsidRPr="00D52D1B">
        <w:t xml:space="preserve"> (2013) 30(2), 107-120</w:t>
      </w:r>
      <w:r>
        <w:t xml:space="preserve">. </w:t>
      </w:r>
      <w:r w:rsidRPr="00D52D1B">
        <w:rPr>
          <w:bCs/>
        </w:rPr>
        <w:t>http://ssrg.org.uk/wp-content/uploads/2012/01/CLIFFORD-et-al-7Jan14.pdf</w:t>
      </w:r>
    </w:p>
  </w:footnote>
  <w:footnote w:id="6">
    <w:p w:rsidR="00AB733F" w:rsidRPr="0011277B" w:rsidRDefault="00AB733F" w:rsidP="00F34BBA">
      <w:pPr>
        <w:pStyle w:val="FootnoteText"/>
        <w:spacing w:after="60"/>
      </w:pPr>
      <w:r w:rsidRPr="0011277B">
        <w:rPr>
          <w:rStyle w:val="FootnoteReference"/>
        </w:rPr>
        <w:footnoteRef/>
      </w:r>
      <w:r w:rsidRPr="0011277B">
        <w:t xml:space="preserve"> The service provider from Kerry was included to ensure that sufficient people with sensory disabilities were included.</w:t>
      </w:r>
      <w:r>
        <w:t xml:space="preserve"> </w:t>
      </w:r>
      <w:r w:rsidRPr="0011277B">
        <w:t xml:space="preserve">In addition to this two of the interviewees were based in Limerick. </w:t>
      </w:r>
    </w:p>
  </w:footnote>
  <w:footnote w:id="7">
    <w:p w:rsidR="00AB733F" w:rsidRPr="0011277B" w:rsidRDefault="00AB733F" w:rsidP="005D7EF8">
      <w:pPr>
        <w:pStyle w:val="FootnoteText"/>
        <w:spacing w:after="0"/>
      </w:pPr>
      <w:r w:rsidRPr="0011277B">
        <w:rPr>
          <w:rStyle w:val="FootnoteReference"/>
        </w:rPr>
        <w:footnoteRef/>
      </w:r>
      <w:r w:rsidRPr="0011277B">
        <w:t xml:space="preserve"> The service providers approached represented 50 service users who participated in </w:t>
      </w:r>
      <w:r>
        <w:rPr>
          <w:lang w:val="ga-IE"/>
        </w:rPr>
        <w:t>the first study</w:t>
      </w:r>
      <w:r w:rsidRPr="0011277B">
        <w:t>.</w:t>
      </w:r>
      <w:r>
        <w:t xml:space="preserve"> </w:t>
      </w:r>
      <w:r w:rsidRPr="0011277B">
        <w:t xml:space="preserve">Of these 48 were approached to participate in </w:t>
      </w:r>
      <w:r>
        <w:rPr>
          <w:lang w:val="ga-IE"/>
        </w:rPr>
        <w:t>the present study</w:t>
      </w:r>
      <w:r w:rsidRPr="0011277B">
        <w:t>.</w:t>
      </w:r>
      <w:r>
        <w:t xml:space="preserve"> </w:t>
      </w:r>
      <w:r w:rsidRPr="0011277B">
        <w:t>One service user was no longer with the service and one service provider preferred we did not re-contact the service user.</w:t>
      </w:r>
      <w:r>
        <w:t xml:space="preserve"> </w:t>
      </w:r>
      <w:r w:rsidRPr="0011277B">
        <w:t xml:space="preserve">Of the 48 approached, 39 agreed to participate in </w:t>
      </w:r>
      <w:r>
        <w:rPr>
          <w:lang w:val="ga-IE"/>
        </w:rPr>
        <w:t xml:space="preserve">the present study </w:t>
      </w:r>
      <w:r w:rsidRPr="0011277B">
        <w:t xml:space="preserve">giving a response rate of 79%. As we wanted to have 40 participants one service </w:t>
      </w:r>
      <w:r>
        <w:rPr>
          <w:lang w:val="ga-IE"/>
        </w:rPr>
        <w:t xml:space="preserve">provider </w:t>
      </w:r>
      <w:r w:rsidRPr="0011277B">
        <w:t>agreed to recruit a service user based on the characteristics of one of the non-respondents.</w:t>
      </w:r>
      <w:r>
        <w:t xml:space="preserve"> </w:t>
      </w:r>
      <w:r w:rsidRPr="0011277B">
        <w:t>The characteristics were type and level of disability, gender, age and challenging behaviour.</w:t>
      </w:r>
      <w:r>
        <w:t xml:space="preserve"> </w:t>
      </w:r>
      <w:r w:rsidRPr="0011277B">
        <w:t xml:space="preserve">Though this introduces a bias in the ability to test-re-test it was felt that it was more important to maintain a reasonable sized sample. </w:t>
      </w:r>
    </w:p>
  </w:footnote>
  <w:footnote w:id="8">
    <w:p w:rsidR="00AB733F" w:rsidRPr="0011277B" w:rsidRDefault="00AB733F" w:rsidP="00227DFF">
      <w:pPr>
        <w:pStyle w:val="FootnoteText"/>
      </w:pPr>
      <w:r w:rsidRPr="0011277B">
        <w:rPr>
          <w:rStyle w:val="FootnoteReference"/>
        </w:rPr>
        <w:footnoteRef/>
      </w:r>
      <w:r w:rsidRPr="0011277B">
        <w:t xml:space="preserve"> None of</w:t>
      </w:r>
      <w:r>
        <w:t xml:space="preserve"> the participants lived with 6-</w:t>
      </w:r>
      <w:r>
        <w:rPr>
          <w:lang w:val="ga-IE"/>
        </w:rPr>
        <w:t>9</w:t>
      </w:r>
      <w:r w:rsidRPr="0011277B">
        <w:t xml:space="preserve"> others.</w:t>
      </w:r>
    </w:p>
  </w:footnote>
  <w:footnote w:id="9">
    <w:p w:rsidR="00AB733F" w:rsidRPr="0011277B" w:rsidRDefault="00AB733F" w:rsidP="00227DFF">
      <w:pPr>
        <w:pStyle w:val="FootnoteText"/>
      </w:pPr>
      <w:r w:rsidRPr="0011277B">
        <w:rPr>
          <w:rStyle w:val="FootnoteReference"/>
        </w:rPr>
        <w:footnoteRef/>
      </w:r>
      <w:r w:rsidRPr="0011277B">
        <w:t xml:space="preserve"> In the first study the sequencing of interviews (i.e. whether the RAS or SIS was undertaken first or second) was rotated but analysis showed that this was not an important issue.</w:t>
      </w:r>
    </w:p>
  </w:footnote>
  <w:footnote w:id="10">
    <w:p w:rsidR="00AB733F" w:rsidRPr="0011277B" w:rsidRDefault="00AB733F">
      <w:pPr>
        <w:pStyle w:val="FootnoteText"/>
      </w:pPr>
      <w:r w:rsidRPr="0011277B">
        <w:rPr>
          <w:rStyle w:val="FootnoteReference"/>
        </w:rPr>
        <w:footnoteRef/>
      </w:r>
      <w:r w:rsidRPr="0011277B">
        <w:t xml:space="preserve"> A factor analysis indicated one underlying factor which explained </w:t>
      </w:r>
      <w:r>
        <w:rPr>
          <w:lang w:val="ga-IE"/>
        </w:rPr>
        <w:t>71.1</w:t>
      </w:r>
      <w:r w:rsidRPr="0011277B">
        <w:t xml:space="preserve">% of underlying variance. Though based on only 40 cases, this points to all four tools measuring the same thing. </w:t>
      </w:r>
      <w:r w:rsidRPr="0011277B">
        <w:rPr>
          <w:bCs/>
        </w:rPr>
        <w:t>Extraction</w:t>
      </w:r>
      <w:r w:rsidRPr="0011277B">
        <w:t xml:space="preserve"> indicated that all four tools are well represented in the common factor space.</w:t>
      </w:r>
    </w:p>
  </w:footnote>
  <w:footnote w:id="11">
    <w:p w:rsidR="00AB733F" w:rsidRPr="0011277B" w:rsidRDefault="00AB733F">
      <w:pPr>
        <w:pStyle w:val="FootnoteText"/>
      </w:pPr>
      <w:r w:rsidRPr="0011277B">
        <w:rPr>
          <w:rStyle w:val="FootnoteReference"/>
        </w:rPr>
        <w:footnoteRef/>
      </w:r>
      <w:r w:rsidRPr="0011277B">
        <w:t xml:space="preserve"> </w:t>
      </w:r>
      <w:r>
        <w:rPr>
          <w:lang w:val="ga-IE"/>
        </w:rPr>
        <w:t>Percentage s</w:t>
      </w:r>
      <w:r w:rsidRPr="0011277B">
        <w:t>cores on all four tools were added and then divided by 1.6 so that average need potentially varied between 0 and 100.</w:t>
      </w:r>
      <w:r>
        <w:t xml:space="preserve"> </w:t>
      </w:r>
    </w:p>
  </w:footnote>
  <w:footnote w:id="12">
    <w:p w:rsidR="00AB733F" w:rsidRPr="0011277B" w:rsidRDefault="00AB733F">
      <w:pPr>
        <w:pStyle w:val="FootnoteText"/>
      </w:pPr>
      <w:r w:rsidRPr="0011277B">
        <w:rPr>
          <w:rStyle w:val="FootnoteReference"/>
        </w:rPr>
        <w:footnoteRef/>
      </w:r>
      <w:r w:rsidRPr="0011277B">
        <w:t xml:space="preserve"> Further statistical analysis controlling for other factors highlights that SIS has a very small but s</w:t>
      </w:r>
      <w:r>
        <w:t>tatistically significant bias towards lower scores</w:t>
      </w:r>
      <w:r w:rsidRPr="0011277B">
        <w:t xml:space="preserve"> for people with physical disabilities</w:t>
      </w:r>
    </w:p>
  </w:footnote>
  <w:footnote w:id="13">
    <w:p w:rsidR="00AB733F" w:rsidRPr="0011277B" w:rsidRDefault="00AB733F">
      <w:pPr>
        <w:pStyle w:val="FootnoteText"/>
      </w:pPr>
      <w:r w:rsidRPr="0011277B">
        <w:rPr>
          <w:rStyle w:val="FootnoteReference"/>
        </w:rPr>
        <w:footnoteRef/>
      </w:r>
      <w:r w:rsidRPr="0011277B">
        <w:t xml:space="preserve"> Though there are statistically significant differences by service provision</w:t>
      </w:r>
      <w:r>
        <w:t>,</w:t>
      </w:r>
      <w:r w:rsidRPr="0011277B">
        <w:t xml:space="preserve"> further analysis showed that this was largely driven by disability type</w:t>
      </w:r>
      <w:r>
        <w:t>,</w:t>
      </w:r>
      <w:r w:rsidRPr="0011277B">
        <w:t xml:space="preserve"> as there were differences between where people with different disabilities lived. </w:t>
      </w:r>
    </w:p>
  </w:footnote>
  <w:footnote w:id="14">
    <w:p w:rsidR="00AB733F" w:rsidRPr="0011277B" w:rsidRDefault="00AB733F">
      <w:pPr>
        <w:pStyle w:val="FootnoteText"/>
      </w:pPr>
      <w:r w:rsidRPr="0011277B">
        <w:rPr>
          <w:rStyle w:val="FootnoteReference"/>
        </w:rPr>
        <w:footnoteRef/>
      </w:r>
      <w:r w:rsidRPr="0011277B">
        <w:t xml:space="preserve"> The NDA was supplied with copies of these results.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C9" w:rsidRPr="00B833C9" w:rsidRDefault="00B833C9" w:rsidP="00B833C9">
    <w:pPr>
      <w:pStyle w:val="Title"/>
      <w:jc w:val="left"/>
      <w:rPr>
        <w:sz w:val="18"/>
        <w:szCs w:val="18"/>
      </w:rPr>
    </w:pPr>
    <w:r w:rsidRPr="00B833C9">
      <w:rPr>
        <w:sz w:val="18"/>
        <w:szCs w:val="18"/>
      </w:rPr>
      <w:t>National Disability Authority Resource Allocation Feasibility Study phase 2</w:t>
    </w:r>
  </w:p>
  <w:p w:rsidR="00AB733F" w:rsidRDefault="00AB733F" w:rsidP="00B8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3A6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82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9842C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C7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4A21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72C5797"/>
    <w:multiLevelType w:val="hybridMultilevel"/>
    <w:tmpl w:val="FFE241B0"/>
    <w:lvl w:ilvl="0" w:tplc="82F45302">
      <w:start w:val="1"/>
      <w:numFmt w:val="bullet"/>
      <w:lvlText w:val="•"/>
      <w:lvlJc w:val="left"/>
      <w:pPr>
        <w:tabs>
          <w:tab w:val="num" w:pos="720"/>
        </w:tabs>
        <w:ind w:left="720" w:hanging="360"/>
      </w:pPr>
      <w:rPr>
        <w:rFonts w:ascii="Arial" w:hAnsi="Arial" w:hint="default"/>
      </w:rPr>
    </w:lvl>
    <w:lvl w:ilvl="1" w:tplc="0E067F3C" w:tentative="1">
      <w:start w:val="1"/>
      <w:numFmt w:val="bullet"/>
      <w:lvlText w:val="•"/>
      <w:lvlJc w:val="left"/>
      <w:pPr>
        <w:tabs>
          <w:tab w:val="num" w:pos="1440"/>
        </w:tabs>
        <w:ind w:left="1440" w:hanging="360"/>
      </w:pPr>
      <w:rPr>
        <w:rFonts w:ascii="Arial" w:hAnsi="Arial" w:hint="default"/>
      </w:rPr>
    </w:lvl>
    <w:lvl w:ilvl="2" w:tplc="C9567378" w:tentative="1">
      <w:start w:val="1"/>
      <w:numFmt w:val="bullet"/>
      <w:lvlText w:val="•"/>
      <w:lvlJc w:val="left"/>
      <w:pPr>
        <w:tabs>
          <w:tab w:val="num" w:pos="2160"/>
        </w:tabs>
        <w:ind w:left="2160" w:hanging="360"/>
      </w:pPr>
      <w:rPr>
        <w:rFonts w:ascii="Arial" w:hAnsi="Arial" w:hint="default"/>
      </w:rPr>
    </w:lvl>
    <w:lvl w:ilvl="3" w:tplc="244E4BE4" w:tentative="1">
      <w:start w:val="1"/>
      <w:numFmt w:val="bullet"/>
      <w:lvlText w:val="•"/>
      <w:lvlJc w:val="left"/>
      <w:pPr>
        <w:tabs>
          <w:tab w:val="num" w:pos="2880"/>
        </w:tabs>
        <w:ind w:left="2880" w:hanging="360"/>
      </w:pPr>
      <w:rPr>
        <w:rFonts w:ascii="Arial" w:hAnsi="Arial" w:hint="default"/>
      </w:rPr>
    </w:lvl>
    <w:lvl w:ilvl="4" w:tplc="01B61770" w:tentative="1">
      <w:start w:val="1"/>
      <w:numFmt w:val="bullet"/>
      <w:lvlText w:val="•"/>
      <w:lvlJc w:val="left"/>
      <w:pPr>
        <w:tabs>
          <w:tab w:val="num" w:pos="3600"/>
        </w:tabs>
        <w:ind w:left="3600" w:hanging="360"/>
      </w:pPr>
      <w:rPr>
        <w:rFonts w:ascii="Arial" w:hAnsi="Arial" w:hint="default"/>
      </w:rPr>
    </w:lvl>
    <w:lvl w:ilvl="5" w:tplc="78EA4F2E" w:tentative="1">
      <w:start w:val="1"/>
      <w:numFmt w:val="bullet"/>
      <w:lvlText w:val="•"/>
      <w:lvlJc w:val="left"/>
      <w:pPr>
        <w:tabs>
          <w:tab w:val="num" w:pos="4320"/>
        </w:tabs>
        <w:ind w:left="4320" w:hanging="360"/>
      </w:pPr>
      <w:rPr>
        <w:rFonts w:ascii="Arial" w:hAnsi="Arial" w:hint="default"/>
      </w:rPr>
    </w:lvl>
    <w:lvl w:ilvl="6" w:tplc="2F589BD8" w:tentative="1">
      <w:start w:val="1"/>
      <w:numFmt w:val="bullet"/>
      <w:lvlText w:val="•"/>
      <w:lvlJc w:val="left"/>
      <w:pPr>
        <w:tabs>
          <w:tab w:val="num" w:pos="5040"/>
        </w:tabs>
        <w:ind w:left="5040" w:hanging="360"/>
      </w:pPr>
      <w:rPr>
        <w:rFonts w:ascii="Arial" w:hAnsi="Arial" w:hint="default"/>
      </w:rPr>
    </w:lvl>
    <w:lvl w:ilvl="7" w:tplc="4D70372A" w:tentative="1">
      <w:start w:val="1"/>
      <w:numFmt w:val="bullet"/>
      <w:lvlText w:val="•"/>
      <w:lvlJc w:val="left"/>
      <w:pPr>
        <w:tabs>
          <w:tab w:val="num" w:pos="5760"/>
        </w:tabs>
        <w:ind w:left="5760" w:hanging="360"/>
      </w:pPr>
      <w:rPr>
        <w:rFonts w:ascii="Arial" w:hAnsi="Arial" w:hint="default"/>
      </w:rPr>
    </w:lvl>
    <w:lvl w:ilvl="8" w:tplc="BD88BC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613F48"/>
    <w:multiLevelType w:val="hybridMultilevel"/>
    <w:tmpl w:val="DEC4CA6E"/>
    <w:lvl w:ilvl="0" w:tplc="6D8872F6">
      <w:start w:val="1"/>
      <w:numFmt w:val="bullet"/>
      <w:pStyle w:val="Table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E6F25"/>
    <w:multiLevelType w:val="multilevel"/>
    <w:tmpl w:val="6756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0"/>
  </w:num>
  <w:num w:numId="35">
    <w:abstractNumId w:val="9"/>
  </w:num>
  <w:num w:numId="36">
    <w:abstractNumId w:val="12"/>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8E"/>
    <w:rsid w:val="0000007E"/>
    <w:rsid w:val="00005A85"/>
    <w:rsid w:val="00007FDB"/>
    <w:rsid w:val="00017819"/>
    <w:rsid w:val="00024820"/>
    <w:rsid w:val="0002660D"/>
    <w:rsid w:val="00030060"/>
    <w:rsid w:val="0003099A"/>
    <w:rsid w:val="000313E4"/>
    <w:rsid w:val="00033BB0"/>
    <w:rsid w:val="00040AA9"/>
    <w:rsid w:val="00040BE9"/>
    <w:rsid w:val="00040DB1"/>
    <w:rsid w:val="0004387B"/>
    <w:rsid w:val="000473CD"/>
    <w:rsid w:val="00051DA6"/>
    <w:rsid w:val="00055418"/>
    <w:rsid w:val="00055D74"/>
    <w:rsid w:val="00080E84"/>
    <w:rsid w:val="00081154"/>
    <w:rsid w:val="00094647"/>
    <w:rsid w:val="00097111"/>
    <w:rsid w:val="000A0246"/>
    <w:rsid w:val="000A3BDD"/>
    <w:rsid w:val="000A77A7"/>
    <w:rsid w:val="000A7FA6"/>
    <w:rsid w:val="000B1B9F"/>
    <w:rsid w:val="000B39C2"/>
    <w:rsid w:val="000B630C"/>
    <w:rsid w:val="000D01FB"/>
    <w:rsid w:val="000D37C7"/>
    <w:rsid w:val="000D449E"/>
    <w:rsid w:val="000D45CC"/>
    <w:rsid w:val="000D64F7"/>
    <w:rsid w:val="000D7575"/>
    <w:rsid w:val="000E6364"/>
    <w:rsid w:val="000E74B3"/>
    <w:rsid w:val="000F05EC"/>
    <w:rsid w:val="000F34CD"/>
    <w:rsid w:val="000F5064"/>
    <w:rsid w:val="000F608B"/>
    <w:rsid w:val="000F68F7"/>
    <w:rsid w:val="001004DA"/>
    <w:rsid w:val="001056D4"/>
    <w:rsid w:val="001065C6"/>
    <w:rsid w:val="0011277B"/>
    <w:rsid w:val="00116289"/>
    <w:rsid w:val="00117DF2"/>
    <w:rsid w:val="00120319"/>
    <w:rsid w:val="00122036"/>
    <w:rsid w:val="0013443C"/>
    <w:rsid w:val="00136F74"/>
    <w:rsid w:val="0013755B"/>
    <w:rsid w:val="001406E0"/>
    <w:rsid w:val="00150B57"/>
    <w:rsid w:val="001516EB"/>
    <w:rsid w:val="001535C2"/>
    <w:rsid w:val="001538B6"/>
    <w:rsid w:val="0015443E"/>
    <w:rsid w:val="0015670A"/>
    <w:rsid w:val="0015788A"/>
    <w:rsid w:val="001612C6"/>
    <w:rsid w:val="00174D2B"/>
    <w:rsid w:val="00175B71"/>
    <w:rsid w:val="00181FE6"/>
    <w:rsid w:val="001827AF"/>
    <w:rsid w:val="001842BB"/>
    <w:rsid w:val="00184B78"/>
    <w:rsid w:val="00184F7F"/>
    <w:rsid w:val="00185213"/>
    <w:rsid w:val="00185D2A"/>
    <w:rsid w:val="0018630A"/>
    <w:rsid w:val="001948E5"/>
    <w:rsid w:val="001961B9"/>
    <w:rsid w:val="001A0B8B"/>
    <w:rsid w:val="001A683F"/>
    <w:rsid w:val="001B621A"/>
    <w:rsid w:val="001B7CCB"/>
    <w:rsid w:val="001C2025"/>
    <w:rsid w:val="001C2628"/>
    <w:rsid w:val="001C3603"/>
    <w:rsid w:val="001C46A7"/>
    <w:rsid w:val="001C5B6E"/>
    <w:rsid w:val="001D6844"/>
    <w:rsid w:val="001E5EA2"/>
    <w:rsid w:val="001E653B"/>
    <w:rsid w:val="001E7589"/>
    <w:rsid w:val="001F0D22"/>
    <w:rsid w:val="001F112E"/>
    <w:rsid w:val="001F2DA1"/>
    <w:rsid w:val="00204069"/>
    <w:rsid w:val="00214E75"/>
    <w:rsid w:val="00227660"/>
    <w:rsid w:val="00227DFF"/>
    <w:rsid w:val="00231014"/>
    <w:rsid w:val="00232005"/>
    <w:rsid w:val="002324D3"/>
    <w:rsid w:val="00233BC7"/>
    <w:rsid w:val="00236DEA"/>
    <w:rsid w:val="0023739B"/>
    <w:rsid w:val="002451D4"/>
    <w:rsid w:val="00245963"/>
    <w:rsid w:val="002459B8"/>
    <w:rsid w:val="00245D88"/>
    <w:rsid w:val="00250459"/>
    <w:rsid w:val="00250560"/>
    <w:rsid w:val="0025762D"/>
    <w:rsid w:val="0026014A"/>
    <w:rsid w:val="00262A04"/>
    <w:rsid w:val="00264C1C"/>
    <w:rsid w:val="00265A74"/>
    <w:rsid w:val="00266775"/>
    <w:rsid w:val="002727C4"/>
    <w:rsid w:val="00276277"/>
    <w:rsid w:val="00281929"/>
    <w:rsid w:val="002827B5"/>
    <w:rsid w:val="00284B8D"/>
    <w:rsid w:val="00287B8E"/>
    <w:rsid w:val="00291CA0"/>
    <w:rsid w:val="00292EC2"/>
    <w:rsid w:val="002947A5"/>
    <w:rsid w:val="00295F79"/>
    <w:rsid w:val="00296B96"/>
    <w:rsid w:val="002A0F85"/>
    <w:rsid w:val="002A42AF"/>
    <w:rsid w:val="002A50FE"/>
    <w:rsid w:val="002B364F"/>
    <w:rsid w:val="002B3AEE"/>
    <w:rsid w:val="002C07DA"/>
    <w:rsid w:val="002D0C6A"/>
    <w:rsid w:val="002D100B"/>
    <w:rsid w:val="002D5687"/>
    <w:rsid w:val="002E27A2"/>
    <w:rsid w:val="002E30F6"/>
    <w:rsid w:val="002E6546"/>
    <w:rsid w:val="002E693E"/>
    <w:rsid w:val="002F16F4"/>
    <w:rsid w:val="002F4C62"/>
    <w:rsid w:val="003034F8"/>
    <w:rsid w:val="003108CF"/>
    <w:rsid w:val="0031632F"/>
    <w:rsid w:val="00316AD5"/>
    <w:rsid w:val="00317A8B"/>
    <w:rsid w:val="00320E1C"/>
    <w:rsid w:val="0032218D"/>
    <w:rsid w:val="00322C1B"/>
    <w:rsid w:val="003232CB"/>
    <w:rsid w:val="003278DF"/>
    <w:rsid w:val="00330B12"/>
    <w:rsid w:val="00333953"/>
    <w:rsid w:val="00341676"/>
    <w:rsid w:val="00341F1A"/>
    <w:rsid w:val="00355F93"/>
    <w:rsid w:val="00366579"/>
    <w:rsid w:val="00374AF3"/>
    <w:rsid w:val="00382AA2"/>
    <w:rsid w:val="00390CD4"/>
    <w:rsid w:val="00396C86"/>
    <w:rsid w:val="003A36D4"/>
    <w:rsid w:val="003A44C8"/>
    <w:rsid w:val="003A4ABD"/>
    <w:rsid w:val="003A544B"/>
    <w:rsid w:val="003A675A"/>
    <w:rsid w:val="003A6890"/>
    <w:rsid w:val="003A72F9"/>
    <w:rsid w:val="003B10EC"/>
    <w:rsid w:val="003C26F9"/>
    <w:rsid w:val="003D08A2"/>
    <w:rsid w:val="003D35CF"/>
    <w:rsid w:val="003D3F8F"/>
    <w:rsid w:val="003E7641"/>
    <w:rsid w:val="003F26E6"/>
    <w:rsid w:val="003F6C50"/>
    <w:rsid w:val="003F7167"/>
    <w:rsid w:val="00405EBC"/>
    <w:rsid w:val="00413E31"/>
    <w:rsid w:val="00424773"/>
    <w:rsid w:val="0042672A"/>
    <w:rsid w:val="004275E8"/>
    <w:rsid w:val="00431E37"/>
    <w:rsid w:val="00432246"/>
    <w:rsid w:val="00432816"/>
    <w:rsid w:val="004416C5"/>
    <w:rsid w:val="0044281D"/>
    <w:rsid w:val="004517B7"/>
    <w:rsid w:val="00452674"/>
    <w:rsid w:val="00453CC0"/>
    <w:rsid w:val="00455BD8"/>
    <w:rsid w:val="00460532"/>
    <w:rsid w:val="00465009"/>
    <w:rsid w:val="00480F88"/>
    <w:rsid w:val="00484886"/>
    <w:rsid w:val="00486871"/>
    <w:rsid w:val="004934C9"/>
    <w:rsid w:val="00495D7E"/>
    <w:rsid w:val="004A0CF4"/>
    <w:rsid w:val="004A5A97"/>
    <w:rsid w:val="004A65E8"/>
    <w:rsid w:val="004B3F32"/>
    <w:rsid w:val="004C2A11"/>
    <w:rsid w:val="004C5836"/>
    <w:rsid w:val="004C67EE"/>
    <w:rsid w:val="004D0BB9"/>
    <w:rsid w:val="004D316C"/>
    <w:rsid w:val="004D49E3"/>
    <w:rsid w:val="004D75DA"/>
    <w:rsid w:val="004E4CBE"/>
    <w:rsid w:val="004E6DB1"/>
    <w:rsid w:val="004F2B0D"/>
    <w:rsid w:val="004F40B6"/>
    <w:rsid w:val="00500A1B"/>
    <w:rsid w:val="00506998"/>
    <w:rsid w:val="005117CB"/>
    <w:rsid w:val="00512896"/>
    <w:rsid w:val="00527CF1"/>
    <w:rsid w:val="00531B92"/>
    <w:rsid w:val="00531CA9"/>
    <w:rsid w:val="00534DEA"/>
    <w:rsid w:val="00541E92"/>
    <w:rsid w:val="00544C13"/>
    <w:rsid w:val="0055038A"/>
    <w:rsid w:val="00554C49"/>
    <w:rsid w:val="0056139B"/>
    <w:rsid w:val="00571C3A"/>
    <w:rsid w:val="00583F13"/>
    <w:rsid w:val="00591DDB"/>
    <w:rsid w:val="00593DA6"/>
    <w:rsid w:val="00596BE9"/>
    <w:rsid w:val="005976F0"/>
    <w:rsid w:val="005A1B9F"/>
    <w:rsid w:val="005A6FB3"/>
    <w:rsid w:val="005B1925"/>
    <w:rsid w:val="005B3DBA"/>
    <w:rsid w:val="005B549C"/>
    <w:rsid w:val="005C292B"/>
    <w:rsid w:val="005C29E3"/>
    <w:rsid w:val="005C69E4"/>
    <w:rsid w:val="005D4D14"/>
    <w:rsid w:val="005D7EF8"/>
    <w:rsid w:val="005E31C9"/>
    <w:rsid w:val="005E4112"/>
    <w:rsid w:val="005E54A7"/>
    <w:rsid w:val="005F0FBB"/>
    <w:rsid w:val="005F30DF"/>
    <w:rsid w:val="005F7C00"/>
    <w:rsid w:val="006006CE"/>
    <w:rsid w:val="0060659D"/>
    <w:rsid w:val="00606939"/>
    <w:rsid w:val="0061112B"/>
    <w:rsid w:val="006117BD"/>
    <w:rsid w:val="00613A3D"/>
    <w:rsid w:val="00615988"/>
    <w:rsid w:val="00615CFF"/>
    <w:rsid w:val="00616E31"/>
    <w:rsid w:val="00621DB0"/>
    <w:rsid w:val="0062208F"/>
    <w:rsid w:val="00622447"/>
    <w:rsid w:val="006241CB"/>
    <w:rsid w:val="006242E7"/>
    <w:rsid w:val="006402B9"/>
    <w:rsid w:val="00641E14"/>
    <w:rsid w:val="006464EA"/>
    <w:rsid w:val="0065147B"/>
    <w:rsid w:val="00651DD7"/>
    <w:rsid w:val="00660EBC"/>
    <w:rsid w:val="006617B7"/>
    <w:rsid w:val="006648F1"/>
    <w:rsid w:val="00670E99"/>
    <w:rsid w:val="00672E62"/>
    <w:rsid w:val="00674597"/>
    <w:rsid w:val="0067616A"/>
    <w:rsid w:val="006803B8"/>
    <w:rsid w:val="0068179A"/>
    <w:rsid w:val="00681AA1"/>
    <w:rsid w:val="00692ECC"/>
    <w:rsid w:val="006A00B4"/>
    <w:rsid w:val="006A247A"/>
    <w:rsid w:val="006A3F0B"/>
    <w:rsid w:val="006B0CB6"/>
    <w:rsid w:val="006B19A2"/>
    <w:rsid w:val="006B4780"/>
    <w:rsid w:val="006C06EC"/>
    <w:rsid w:val="006C2EAC"/>
    <w:rsid w:val="006C32CC"/>
    <w:rsid w:val="006D23DC"/>
    <w:rsid w:val="006D3B8F"/>
    <w:rsid w:val="006E0C75"/>
    <w:rsid w:val="006E32F2"/>
    <w:rsid w:val="006E53D1"/>
    <w:rsid w:val="006E5FB9"/>
    <w:rsid w:val="006E6364"/>
    <w:rsid w:val="006E688F"/>
    <w:rsid w:val="006E776A"/>
    <w:rsid w:val="006F1612"/>
    <w:rsid w:val="006F25EC"/>
    <w:rsid w:val="006F6310"/>
    <w:rsid w:val="00702F8E"/>
    <w:rsid w:val="00702F9D"/>
    <w:rsid w:val="007049E7"/>
    <w:rsid w:val="0070506B"/>
    <w:rsid w:val="00712920"/>
    <w:rsid w:val="0071548F"/>
    <w:rsid w:val="0072056C"/>
    <w:rsid w:val="007211C9"/>
    <w:rsid w:val="00722ECA"/>
    <w:rsid w:val="00724530"/>
    <w:rsid w:val="00724AF9"/>
    <w:rsid w:val="007259C0"/>
    <w:rsid w:val="0073619F"/>
    <w:rsid w:val="00736882"/>
    <w:rsid w:val="007504EF"/>
    <w:rsid w:val="0075420A"/>
    <w:rsid w:val="0075524B"/>
    <w:rsid w:val="00755283"/>
    <w:rsid w:val="007608EF"/>
    <w:rsid w:val="007625BE"/>
    <w:rsid w:val="007644F0"/>
    <w:rsid w:val="007667A0"/>
    <w:rsid w:val="00767046"/>
    <w:rsid w:val="00776AA5"/>
    <w:rsid w:val="00782BC7"/>
    <w:rsid w:val="00784AF8"/>
    <w:rsid w:val="0079300D"/>
    <w:rsid w:val="00794A48"/>
    <w:rsid w:val="0079568D"/>
    <w:rsid w:val="00795C75"/>
    <w:rsid w:val="00796464"/>
    <w:rsid w:val="007A2568"/>
    <w:rsid w:val="007A4BBD"/>
    <w:rsid w:val="007A56B6"/>
    <w:rsid w:val="007B381B"/>
    <w:rsid w:val="007B6238"/>
    <w:rsid w:val="007C1D90"/>
    <w:rsid w:val="007C1F2D"/>
    <w:rsid w:val="007C2043"/>
    <w:rsid w:val="007C4B91"/>
    <w:rsid w:val="007C73F7"/>
    <w:rsid w:val="007D6451"/>
    <w:rsid w:val="007D71FC"/>
    <w:rsid w:val="007E0DA5"/>
    <w:rsid w:val="007E50C3"/>
    <w:rsid w:val="007E6C6D"/>
    <w:rsid w:val="007F5487"/>
    <w:rsid w:val="008139CE"/>
    <w:rsid w:val="00814602"/>
    <w:rsid w:val="008150F4"/>
    <w:rsid w:val="00823B96"/>
    <w:rsid w:val="00831FA1"/>
    <w:rsid w:val="00833D82"/>
    <w:rsid w:val="008350CD"/>
    <w:rsid w:val="00842C0F"/>
    <w:rsid w:val="0084774D"/>
    <w:rsid w:val="008478A0"/>
    <w:rsid w:val="00847DAE"/>
    <w:rsid w:val="0085209B"/>
    <w:rsid w:val="008573B7"/>
    <w:rsid w:val="008604B0"/>
    <w:rsid w:val="008709AF"/>
    <w:rsid w:val="00871EE3"/>
    <w:rsid w:val="008761ED"/>
    <w:rsid w:val="008804EF"/>
    <w:rsid w:val="00886993"/>
    <w:rsid w:val="00891A39"/>
    <w:rsid w:val="00892BEB"/>
    <w:rsid w:val="00893D1B"/>
    <w:rsid w:val="008B2918"/>
    <w:rsid w:val="008B4010"/>
    <w:rsid w:val="008C7448"/>
    <w:rsid w:val="008E1CD5"/>
    <w:rsid w:val="008E4BAA"/>
    <w:rsid w:val="008F2479"/>
    <w:rsid w:val="008F29EC"/>
    <w:rsid w:val="008F3548"/>
    <w:rsid w:val="009021E0"/>
    <w:rsid w:val="00904DAF"/>
    <w:rsid w:val="009123CF"/>
    <w:rsid w:val="00913DFB"/>
    <w:rsid w:val="00914B17"/>
    <w:rsid w:val="00915353"/>
    <w:rsid w:val="00916D84"/>
    <w:rsid w:val="009222D3"/>
    <w:rsid w:val="009235F6"/>
    <w:rsid w:val="00923AAC"/>
    <w:rsid w:val="00927DA9"/>
    <w:rsid w:val="00927DE2"/>
    <w:rsid w:val="00933DB5"/>
    <w:rsid w:val="009354A5"/>
    <w:rsid w:val="00935F22"/>
    <w:rsid w:val="00940AB9"/>
    <w:rsid w:val="0094173A"/>
    <w:rsid w:val="00941AE6"/>
    <w:rsid w:val="00943877"/>
    <w:rsid w:val="0095673B"/>
    <w:rsid w:val="009642D4"/>
    <w:rsid w:val="00964559"/>
    <w:rsid w:val="00965B3C"/>
    <w:rsid w:val="0097047D"/>
    <w:rsid w:val="00971C15"/>
    <w:rsid w:val="00972FC1"/>
    <w:rsid w:val="009759CF"/>
    <w:rsid w:val="00986032"/>
    <w:rsid w:val="0099137E"/>
    <w:rsid w:val="00993D09"/>
    <w:rsid w:val="009943F7"/>
    <w:rsid w:val="00996730"/>
    <w:rsid w:val="009A4D8E"/>
    <w:rsid w:val="009B2E6F"/>
    <w:rsid w:val="009B41AF"/>
    <w:rsid w:val="009B68D4"/>
    <w:rsid w:val="009C12C9"/>
    <w:rsid w:val="009C3BD7"/>
    <w:rsid w:val="009C4D62"/>
    <w:rsid w:val="009E4388"/>
    <w:rsid w:val="009F6062"/>
    <w:rsid w:val="00A05270"/>
    <w:rsid w:val="00A061A9"/>
    <w:rsid w:val="00A072C5"/>
    <w:rsid w:val="00A077A3"/>
    <w:rsid w:val="00A07852"/>
    <w:rsid w:val="00A1079C"/>
    <w:rsid w:val="00A12689"/>
    <w:rsid w:val="00A12FFB"/>
    <w:rsid w:val="00A143AF"/>
    <w:rsid w:val="00A14CC9"/>
    <w:rsid w:val="00A17391"/>
    <w:rsid w:val="00A2254C"/>
    <w:rsid w:val="00A235EB"/>
    <w:rsid w:val="00A2494D"/>
    <w:rsid w:val="00A340F4"/>
    <w:rsid w:val="00A415FB"/>
    <w:rsid w:val="00A41DD2"/>
    <w:rsid w:val="00A4312C"/>
    <w:rsid w:val="00A443B9"/>
    <w:rsid w:val="00A446D9"/>
    <w:rsid w:val="00A44892"/>
    <w:rsid w:val="00A52BAC"/>
    <w:rsid w:val="00A57183"/>
    <w:rsid w:val="00A576BC"/>
    <w:rsid w:val="00A601DC"/>
    <w:rsid w:val="00A603B9"/>
    <w:rsid w:val="00A60E8C"/>
    <w:rsid w:val="00A71E2B"/>
    <w:rsid w:val="00A73228"/>
    <w:rsid w:val="00A8298B"/>
    <w:rsid w:val="00A82F74"/>
    <w:rsid w:val="00A83612"/>
    <w:rsid w:val="00A859C9"/>
    <w:rsid w:val="00A948E4"/>
    <w:rsid w:val="00A95655"/>
    <w:rsid w:val="00A95987"/>
    <w:rsid w:val="00A97278"/>
    <w:rsid w:val="00AA1532"/>
    <w:rsid w:val="00AA2C25"/>
    <w:rsid w:val="00AA356B"/>
    <w:rsid w:val="00AA35FD"/>
    <w:rsid w:val="00AA56D7"/>
    <w:rsid w:val="00AB55A0"/>
    <w:rsid w:val="00AB6ADF"/>
    <w:rsid w:val="00AB733F"/>
    <w:rsid w:val="00AD0CE4"/>
    <w:rsid w:val="00AD1511"/>
    <w:rsid w:val="00AE0595"/>
    <w:rsid w:val="00AF3370"/>
    <w:rsid w:val="00B0375F"/>
    <w:rsid w:val="00B05D5D"/>
    <w:rsid w:val="00B05DFB"/>
    <w:rsid w:val="00B1131F"/>
    <w:rsid w:val="00B12B52"/>
    <w:rsid w:val="00B12FC9"/>
    <w:rsid w:val="00B15F42"/>
    <w:rsid w:val="00B24367"/>
    <w:rsid w:val="00B256E0"/>
    <w:rsid w:val="00B27D20"/>
    <w:rsid w:val="00B40634"/>
    <w:rsid w:val="00B4371F"/>
    <w:rsid w:val="00B44C5D"/>
    <w:rsid w:val="00B47584"/>
    <w:rsid w:val="00B51910"/>
    <w:rsid w:val="00B51B5A"/>
    <w:rsid w:val="00B522DD"/>
    <w:rsid w:val="00B56BE3"/>
    <w:rsid w:val="00B57AA7"/>
    <w:rsid w:val="00B6121F"/>
    <w:rsid w:val="00B652E8"/>
    <w:rsid w:val="00B663E2"/>
    <w:rsid w:val="00B66EB8"/>
    <w:rsid w:val="00B7181F"/>
    <w:rsid w:val="00B72AD7"/>
    <w:rsid w:val="00B74EBE"/>
    <w:rsid w:val="00B76547"/>
    <w:rsid w:val="00B833C9"/>
    <w:rsid w:val="00B837E6"/>
    <w:rsid w:val="00B838CD"/>
    <w:rsid w:val="00B84C7E"/>
    <w:rsid w:val="00B91D34"/>
    <w:rsid w:val="00B943C3"/>
    <w:rsid w:val="00BA2579"/>
    <w:rsid w:val="00BA3AE8"/>
    <w:rsid w:val="00BA6467"/>
    <w:rsid w:val="00BA7774"/>
    <w:rsid w:val="00BB235C"/>
    <w:rsid w:val="00BB538E"/>
    <w:rsid w:val="00BB5D00"/>
    <w:rsid w:val="00BC083D"/>
    <w:rsid w:val="00BC0EA0"/>
    <w:rsid w:val="00BC2A51"/>
    <w:rsid w:val="00BC3785"/>
    <w:rsid w:val="00BC7480"/>
    <w:rsid w:val="00BC74C2"/>
    <w:rsid w:val="00BD0DCA"/>
    <w:rsid w:val="00BD6B07"/>
    <w:rsid w:val="00BD75F4"/>
    <w:rsid w:val="00BE044A"/>
    <w:rsid w:val="00BE1A58"/>
    <w:rsid w:val="00BE3DCC"/>
    <w:rsid w:val="00BF357D"/>
    <w:rsid w:val="00BF3FB8"/>
    <w:rsid w:val="00BF7DC0"/>
    <w:rsid w:val="00C01317"/>
    <w:rsid w:val="00C022C9"/>
    <w:rsid w:val="00C047C2"/>
    <w:rsid w:val="00C04A28"/>
    <w:rsid w:val="00C06E44"/>
    <w:rsid w:val="00C12EF2"/>
    <w:rsid w:val="00C137A9"/>
    <w:rsid w:val="00C13B74"/>
    <w:rsid w:val="00C14E9B"/>
    <w:rsid w:val="00C14F78"/>
    <w:rsid w:val="00C154AE"/>
    <w:rsid w:val="00C1594A"/>
    <w:rsid w:val="00C20CD8"/>
    <w:rsid w:val="00C211DC"/>
    <w:rsid w:val="00C27156"/>
    <w:rsid w:val="00C27B1E"/>
    <w:rsid w:val="00C31546"/>
    <w:rsid w:val="00C3660B"/>
    <w:rsid w:val="00C44C6A"/>
    <w:rsid w:val="00C541D6"/>
    <w:rsid w:val="00C60BF8"/>
    <w:rsid w:val="00C630BB"/>
    <w:rsid w:val="00C632F9"/>
    <w:rsid w:val="00C65353"/>
    <w:rsid w:val="00C65374"/>
    <w:rsid w:val="00C67AAE"/>
    <w:rsid w:val="00C72559"/>
    <w:rsid w:val="00C74131"/>
    <w:rsid w:val="00C77096"/>
    <w:rsid w:val="00C84A92"/>
    <w:rsid w:val="00C84F96"/>
    <w:rsid w:val="00C867C9"/>
    <w:rsid w:val="00C97BB2"/>
    <w:rsid w:val="00CA264D"/>
    <w:rsid w:val="00CA7696"/>
    <w:rsid w:val="00CB0036"/>
    <w:rsid w:val="00CB280C"/>
    <w:rsid w:val="00CC1DAD"/>
    <w:rsid w:val="00CC5126"/>
    <w:rsid w:val="00CF36F7"/>
    <w:rsid w:val="00D00974"/>
    <w:rsid w:val="00D013C6"/>
    <w:rsid w:val="00D02608"/>
    <w:rsid w:val="00D03122"/>
    <w:rsid w:val="00D034BE"/>
    <w:rsid w:val="00D10CA3"/>
    <w:rsid w:val="00D1470D"/>
    <w:rsid w:val="00D15BC3"/>
    <w:rsid w:val="00D15D2A"/>
    <w:rsid w:val="00D23CC1"/>
    <w:rsid w:val="00D279C2"/>
    <w:rsid w:val="00D34C65"/>
    <w:rsid w:val="00D35DFA"/>
    <w:rsid w:val="00D45909"/>
    <w:rsid w:val="00D461E6"/>
    <w:rsid w:val="00D46641"/>
    <w:rsid w:val="00D4681B"/>
    <w:rsid w:val="00D52BEC"/>
    <w:rsid w:val="00D52D1B"/>
    <w:rsid w:val="00D5494F"/>
    <w:rsid w:val="00D6107B"/>
    <w:rsid w:val="00D62908"/>
    <w:rsid w:val="00D66BDB"/>
    <w:rsid w:val="00D673BD"/>
    <w:rsid w:val="00D70488"/>
    <w:rsid w:val="00D70522"/>
    <w:rsid w:val="00D715C0"/>
    <w:rsid w:val="00D71B1A"/>
    <w:rsid w:val="00D7421E"/>
    <w:rsid w:val="00D74DCA"/>
    <w:rsid w:val="00D752B5"/>
    <w:rsid w:val="00D83C1D"/>
    <w:rsid w:val="00D83F04"/>
    <w:rsid w:val="00D84D2D"/>
    <w:rsid w:val="00D87EFE"/>
    <w:rsid w:val="00D907BA"/>
    <w:rsid w:val="00D91082"/>
    <w:rsid w:val="00D91D57"/>
    <w:rsid w:val="00D928DB"/>
    <w:rsid w:val="00DA1422"/>
    <w:rsid w:val="00DA2E47"/>
    <w:rsid w:val="00DA3E6F"/>
    <w:rsid w:val="00DA4EF0"/>
    <w:rsid w:val="00DB65FC"/>
    <w:rsid w:val="00DC1074"/>
    <w:rsid w:val="00DC4C80"/>
    <w:rsid w:val="00DD10C9"/>
    <w:rsid w:val="00DD1F78"/>
    <w:rsid w:val="00DD3E34"/>
    <w:rsid w:val="00DD4996"/>
    <w:rsid w:val="00DD68A5"/>
    <w:rsid w:val="00DD6C9A"/>
    <w:rsid w:val="00DD70E9"/>
    <w:rsid w:val="00DD791A"/>
    <w:rsid w:val="00DF6F18"/>
    <w:rsid w:val="00E05E30"/>
    <w:rsid w:val="00E07DCB"/>
    <w:rsid w:val="00E13CAD"/>
    <w:rsid w:val="00E1453D"/>
    <w:rsid w:val="00E14D8C"/>
    <w:rsid w:val="00E23C94"/>
    <w:rsid w:val="00E24D53"/>
    <w:rsid w:val="00E2573E"/>
    <w:rsid w:val="00E27441"/>
    <w:rsid w:val="00E274C4"/>
    <w:rsid w:val="00E302B2"/>
    <w:rsid w:val="00E3271D"/>
    <w:rsid w:val="00E32CF5"/>
    <w:rsid w:val="00E33B41"/>
    <w:rsid w:val="00E4205E"/>
    <w:rsid w:val="00E424CD"/>
    <w:rsid w:val="00E430CE"/>
    <w:rsid w:val="00E45F5E"/>
    <w:rsid w:val="00E46E5E"/>
    <w:rsid w:val="00E564E3"/>
    <w:rsid w:val="00E67DB0"/>
    <w:rsid w:val="00E75BA9"/>
    <w:rsid w:val="00E769B0"/>
    <w:rsid w:val="00E76CF6"/>
    <w:rsid w:val="00E833D3"/>
    <w:rsid w:val="00E86101"/>
    <w:rsid w:val="00EA3DF2"/>
    <w:rsid w:val="00EA6AA7"/>
    <w:rsid w:val="00EB70E0"/>
    <w:rsid w:val="00EC232C"/>
    <w:rsid w:val="00ED06DD"/>
    <w:rsid w:val="00EE1BAC"/>
    <w:rsid w:val="00EF40C3"/>
    <w:rsid w:val="00EF5414"/>
    <w:rsid w:val="00F02874"/>
    <w:rsid w:val="00F0384C"/>
    <w:rsid w:val="00F0513C"/>
    <w:rsid w:val="00F06C09"/>
    <w:rsid w:val="00F12A53"/>
    <w:rsid w:val="00F2151E"/>
    <w:rsid w:val="00F21C50"/>
    <w:rsid w:val="00F2548D"/>
    <w:rsid w:val="00F32812"/>
    <w:rsid w:val="00F34BBA"/>
    <w:rsid w:val="00F351D6"/>
    <w:rsid w:val="00F4374C"/>
    <w:rsid w:val="00F50563"/>
    <w:rsid w:val="00F60228"/>
    <w:rsid w:val="00F60C76"/>
    <w:rsid w:val="00F61E95"/>
    <w:rsid w:val="00F755E9"/>
    <w:rsid w:val="00F770C8"/>
    <w:rsid w:val="00F82D23"/>
    <w:rsid w:val="00F836F2"/>
    <w:rsid w:val="00F854A5"/>
    <w:rsid w:val="00F85947"/>
    <w:rsid w:val="00F87630"/>
    <w:rsid w:val="00F87BB1"/>
    <w:rsid w:val="00F90632"/>
    <w:rsid w:val="00F917E6"/>
    <w:rsid w:val="00F93C3D"/>
    <w:rsid w:val="00F9648A"/>
    <w:rsid w:val="00FA0918"/>
    <w:rsid w:val="00FA0DD5"/>
    <w:rsid w:val="00FB0C5D"/>
    <w:rsid w:val="00FC206D"/>
    <w:rsid w:val="00FC4DC9"/>
    <w:rsid w:val="00FC5EC8"/>
    <w:rsid w:val="00FC621C"/>
    <w:rsid w:val="00FC62B2"/>
    <w:rsid w:val="00FD2589"/>
    <w:rsid w:val="00FD6A98"/>
    <w:rsid w:val="00FE3C91"/>
    <w:rsid w:val="00FE5693"/>
    <w:rsid w:val="00FE7835"/>
    <w:rsid w:val="00FF0074"/>
    <w:rsid w:val="00FF1B5F"/>
    <w:rsid w:val="00FF21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8F5EEB-BA2A-405A-B906-1E50F3B1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eastAsia="SimSun" w:cs="Arial"/>
      <w:b/>
      <w:bCs/>
      <w:kern w:val="32"/>
      <w:sz w:val="32"/>
      <w:szCs w:val="32"/>
      <w:lang w:val="en-GB"/>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eastAsia="SimSun"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rFonts w:eastAsia="SimSun"/>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TitleChar">
    <w:name w:val="Title Char"/>
    <w:link w:val="Title"/>
    <w:locked/>
    <w:rsid w:val="00BB538E"/>
    <w:rPr>
      <w:rFonts w:ascii="Gill Sans" w:hAnsi="Gill Sans" w:cs="Arial"/>
      <w:b/>
      <w:bCs/>
      <w:kern w:val="28"/>
      <w:sz w:val="36"/>
      <w:szCs w:val="32"/>
      <w:lang w:val="en-IE" w:eastAsia="en-US" w:bidi="ar-SA"/>
    </w:rPr>
  </w:style>
  <w:style w:type="table" w:styleId="TableGrid">
    <w:name w:val="Table Grid"/>
    <w:basedOn w:val="TableNormal"/>
    <w:rsid w:val="0068179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6EC"/>
    <w:pPr>
      <w:tabs>
        <w:tab w:val="num" w:pos="0"/>
      </w:tabs>
      <w:spacing w:after="180" w:line="288" w:lineRule="auto"/>
      <w:ind w:hanging="720"/>
      <w:jc w:val="both"/>
    </w:pPr>
    <w:rPr>
      <w:rFonts w:ascii="Times New Roman" w:eastAsia="SimSun" w:hAnsi="Times New Roman"/>
      <w:sz w:val="22"/>
      <w:szCs w:val="22"/>
      <w:lang w:val="en-GB" w:eastAsia="en-GB"/>
    </w:rPr>
  </w:style>
  <w:style w:type="character" w:customStyle="1" w:styleId="BodyTextChar">
    <w:name w:val="Body Text Char"/>
    <w:link w:val="BodyText"/>
    <w:locked/>
    <w:rsid w:val="006C06EC"/>
    <w:rPr>
      <w:sz w:val="22"/>
      <w:szCs w:val="22"/>
      <w:lang w:val="en-GB" w:eastAsia="en-GB" w:bidi="ar-SA"/>
    </w:rPr>
  </w:style>
  <w:style w:type="paragraph" w:styleId="BodyText2">
    <w:name w:val="Body Text 2"/>
    <w:basedOn w:val="Normal"/>
    <w:rsid w:val="003F6C50"/>
    <w:pPr>
      <w:spacing w:after="120" w:line="480" w:lineRule="auto"/>
    </w:pPr>
  </w:style>
  <w:style w:type="character" w:customStyle="1" w:styleId="FootnoteTextChar">
    <w:name w:val="Footnote Text Char"/>
    <w:link w:val="FootnoteText"/>
    <w:locked/>
    <w:rsid w:val="00672E62"/>
    <w:rPr>
      <w:rFonts w:ascii="Gill Sans" w:hAnsi="Gill Sans"/>
      <w:sz w:val="22"/>
      <w:lang w:val="en-IE" w:eastAsia="en-US" w:bidi="ar-SA"/>
    </w:rPr>
  </w:style>
  <w:style w:type="paragraph" w:customStyle="1" w:styleId="ColumnHeading">
    <w:name w:val="Column Heading"/>
    <w:rsid w:val="00593DA6"/>
    <w:rPr>
      <w:rFonts w:ascii="Arial" w:eastAsia="Times New Roman" w:hAnsi="Arial"/>
      <w:b/>
      <w:sz w:val="16"/>
      <w:szCs w:val="16"/>
      <w:lang w:val="en-GB" w:eastAsia="en-GB"/>
    </w:rPr>
  </w:style>
  <w:style w:type="paragraph" w:customStyle="1" w:styleId="TableText">
    <w:name w:val="Table Text"/>
    <w:rsid w:val="00593DA6"/>
    <w:pPr>
      <w:spacing w:after="113"/>
    </w:pPr>
    <w:rPr>
      <w:rFonts w:ascii="Arial" w:eastAsia="Times New Roman" w:hAnsi="Arial"/>
      <w:sz w:val="16"/>
      <w:szCs w:val="16"/>
      <w:lang w:val="en-GB" w:eastAsia="en-GB"/>
    </w:rPr>
  </w:style>
  <w:style w:type="paragraph" w:customStyle="1" w:styleId="TableBullet">
    <w:name w:val="Table Bullet"/>
    <w:rsid w:val="00593DA6"/>
    <w:pPr>
      <w:numPr>
        <w:numId w:val="17"/>
      </w:numPr>
      <w:spacing w:after="113"/>
    </w:pPr>
    <w:rPr>
      <w:rFonts w:ascii="Arial" w:eastAsia="Times New Roman" w:hAnsi="Arial"/>
      <w:sz w:val="16"/>
      <w:szCs w:val="16"/>
      <w:lang w:val="en-GB" w:eastAsia="en-GB"/>
    </w:rPr>
  </w:style>
  <w:style w:type="paragraph" w:customStyle="1" w:styleId="CaptionPara">
    <w:name w:val="Caption Para"/>
    <w:next w:val="Normal"/>
    <w:rsid w:val="00593DA6"/>
    <w:pPr>
      <w:keepNext/>
      <w:pBdr>
        <w:top w:val="single" w:sz="4" w:space="1" w:color="FFFFFF"/>
        <w:left w:val="single" w:sz="4" w:space="4" w:color="FFFFFF"/>
        <w:bottom w:val="single" w:sz="4" w:space="1" w:color="FFFFFF"/>
        <w:right w:val="single" w:sz="4" w:space="4" w:color="FFFFFF"/>
      </w:pBdr>
      <w:shd w:val="clear" w:color="auto" w:fill="CCCCCC"/>
    </w:pPr>
    <w:rPr>
      <w:rFonts w:ascii="Arial" w:eastAsia="Times New Roman" w:hAnsi="Arial" w:cs="Arial"/>
      <w:bCs/>
      <w:kern w:val="28"/>
      <w:sz w:val="18"/>
      <w:szCs w:val="18"/>
      <w:lang w:val="en-GB" w:eastAsia="en-GB"/>
    </w:rPr>
  </w:style>
  <w:style w:type="paragraph" w:styleId="EndnoteText">
    <w:name w:val="endnote text"/>
    <w:basedOn w:val="Normal"/>
    <w:semiHidden/>
    <w:rsid w:val="00F2548D"/>
    <w:rPr>
      <w:sz w:val="20"/>
      <w:szCs w:val="20"/>
    </w:rPr>
  </w:style>
  <w:style w:type="character" w:styleId="EndnoteReference">
    <w:name w:val="endnote reference"/>
    <w:semiHidden/>
    <w:rsid w:val="00F2548D"/>
    <w:rPr>
      <w:vertAlign w:val="superscript"/>
    </w:rPr>
  </w:style>
  <w:style w:type="paragraph" w:styleId="BalloonText">
    <w:name w:val="Balloon Text"/>
    <w:basedOn w:val="Normal"/>
    <w:semiHidden/>
    <w:rsid w:val="00B91D34"/>
    <w:rPr>
      <w:rFonts w:ascii="Tahoma" w:hAnsi="Tahoma" w:cs="Tahoma"/>
      <w:sz w:val="16"/>
      <w:szCs w:val="16"/>
    </w:rPr>
  </w:style>
  <w:style w:type="character" w:styleId="CommentReference">
    <w:name w:val="annotation reference"/>
    <w:semiHidden/>
    <w:rsid w:val="00E1453D"/>
    <w:rPr>
      <w:sz w:val="16"/>
      <w:szCs w:val="16"/>
    </w:rPr>
  </w:style>
  <w:style w:type="paragraph" w:styleId="CommentSubject">
    <w:name w:val="annotation subject"/>
    <w:basedOn w:val="CommentText"/>
    <w:next w:val="CommentText"/>
    <w:semiHidden/>
    <w:rsid w:val="00E1453D"/>
    <w:rPr>
      <w:rFonts w:ascii="Gill Sans" w:hAnsi="Gill Sans"/>
      <w:b/>
      <w:bCs/>
      <w:szCs w:val="20"/>
      <w:lang w:val="en-GB"/>
    </w:rPr>
  </w:style>
  <w:style w:type="paragraph" w:styleId="NormalWeb">
    <w:name w:val="Normal (Web)"/>
    <w:basedOn w:val="Normal"/>
    <w:rsid w:val="00E1453D"/>
    <w:pPr>
      <w:spacing w:before="100" w:beforeAutospacing="1" w:after="100" w:afterAutospacing="1"/>
    </w:pPr>
    <w:rPr>
      <w:rFonts w:ascii="Times New Roman" w:hAnsi="Times New Roman"/>
      <w:color w:val="000000"/>
      <w:sz w:val="24"/>
      <w:lang w:eastAsia="en-GB"/>
    </w:rPr>
  </w:style>
  <w:style w:type="character" w:customStyle="1" w:styleId="Heading1Char">
    <w:name w:val="Heading 1 Char"/>
    <w:link w:val="Heading1"/>
    <w:rsid w:val="00871EE3"/>
    <w:rPr>
      <w:rFonts w:ascii="Gill Sans" w:hAnsi="Gill Sans" w:cs="Arial"/>
      <w:b/>
      <w:bCs/>
      <w:kern w:val="32"/>
      <w:sz w:val="32"/>
      <w:szCs w:val="32"/>
      <w:lang w:val="en-GB" w:eastAsia="en-US" w:bidi="ar-SA"/>
    </w:rPr>
  </w:style>
  <w:style w:type="character" w:customStyle="1" w:styleId="st1">
    <w:name w:val="st1"/>
    <w:basedOn w:val="DefaultParagraphFont"/>
    <w:rsid w:val="00EF40C3"/>
  </w:style>
  <w:style w:type="paragraph" w:customStyle="1" w:styleId="Default">
    <w:name w:val="Default"/>
    <w:rsid w:val="007A4BBD"/>
    <w:pPr>
      <w:autoSpaceDE w:val="0"/>
      <w:autoSpaceDN w:val="0"/>
      <w:adjustRightInd w:val="0"/>
    </w:pPr>
    <w:rPr>
      <w:rFonts w:ascii="Arial" w:eastAsia="Times New Roman" w:hAnsi="Arial" w:cs="Arial"/>
      <w:color w:val="000000"/>
      <w:sz w:val="24"/>
      <w:szCs w:val="24"/>
      <w:lang w:val="en-GB" w:eastAsia="en-GB"/>
    </w:rPr>
  </w:style>
  <w:style w:type="character" w:customStyle="1" w:styleId="HeaderChar">
    <w:name w:val="Header Char"/>
    <w:basedOn w:val="DefaultParagraphFont"/>
    <w:link w:val="Header"/>
    <w:uiPriority w:val="99"/>
    <w:rsid w:val="00DD3E34"/>
    <w:rPr>
      <w:rFonts w:ascii="Gill Sans" w:eastAsia="Times New Roman" w:hAnsi="Gill Sans"/>
      <w:color w:val="33333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565">
      <w:bodyDiv w:val="1"/>
      <w:marLeft w:val="0"/>
      <w:marRight w:val="0"/>
      <w:marTop w:val="0"/>
      <w:marBottom w:val="0"/>
      <w:divBdr>
        <w:top w:val="none" w:sz="0" w:space="0" w:color="auto"/>
        <w:left w:val="none" w:sz="0" w:space="0" w:color="auto"/>
        <w:bottom w:val="none" w:sz="0" w:space="0" w:color="auto"/>
        <w:right w:val="none" w:sz="0" w:space="0" w:color="auto"/>
      </w:divBdr>
      <w:divsChild>
        <w:div w:id="1241597053">
          <w:marLeft w:val="0"/>
          <w:marRight w:val="0"/>
          <w:marTop w:val="0"/>
          <w:marBottom w:val="0"/>
          <w:divBdr>
            <w:top w:val="none" w:sz="0" w:space="0" w:color="auto"/>
            <w:left w:val="none" w:sz="0" w:space="0" w:color="auto"/>
            <w:bottom w:val="none" w:sz="0" w:space="0" w:color="auto"/>
            <w:right w:val="none" w:sz="0" w:space="0" w:color="auto"/>
          </w:divBdr>
          <w:divsChild>
            <w:div w:id="817041121">
              <w:marLeft w:val="0"/>
              <w:marRight w:val="0"/>
              <w:marTop w:val="0"/>
              <w:marBottom w:val="0"/>
              <w:divBdr>
                <w:top w:val="none" w:sz="0" w:space="0" w:color="auto"/>
                <w:left w:val="none" w:sz="0" w:space="0" w:color="auto"/>
                <w:bottom w:val="none" w:sz="0" w:space="0" w:color="auto"/>
                <w:right w:val="none" w:sz="0" w:space="0" w:color="auto"/>
              </w:divBdr>
            </w:div>
            <w:div w:id="1433162146">
              <w:marLeft w:val="0"/>
              <w:marRight w:val="0"/>
              <w:marTop w:val="0"/>
              <w:marBottom w:val="0"/>
              <w:divBdr>
                <w:top w:val="none" w:sz="0" w:space="0" w:color="auto"/>
                <w:left w:val="none" w:sz="0" w:space="0" w:color="auto"/>
                <w:bottom w:val="none" w:sz="0" w:space="0" w:color="auto"/>
                <w:right w:val="none" w:sz="0" w:space="0" w:color="auto"/>
              </w:divBdr>
            </w:div>
            <w:div w:id="18292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658">
      <w:bodyDiv w:val="1"/>
      <w:marLeft w:val="0"/>
      <w:marRight w:val="0"/>
      <w:marTop w:val="0"/>
      <w:marBottom w:val="0"/>
      <w:divBdr>
        <w:top w:val="none" w:sz="0" w:space="0" w:color="auto"/>
        <w:left w:val="none" w:sz="0" w:space="0" w:color="auto"/>
        <w:bottom w:val="none" w:sz="0" w:space="0" w:color="auto"/>
        <w:right w:val="none" w:sz="0" w:space="0" w:color="auto"/>
      </w:divBdr>
      <w:divsChild>
        <w:div w:id="725877774">
          <w:marLeft w:val="0"/>
          <w:marRight w:val="0"/>
          <w:marTop w:val="0"/>
          <w:marBottom w:val="0"/>
          <w:divBdr>
            <w:top w:val="none" w:sz="0" w:space="0" w:color="auto"/>
            <w:left w:val="none" w:sz="0" w:space="0" w:color="auto"/>
            <w:bottom w:val="none" w:sz="0" w:space="0" w:color="auto"/>
            <w:right w:val="none" w:sz="0" w:space="0" w:color="auto"/>
          </w:divBdr>
          <w:divsChild>
            <w:div w:id="1008404645">
              <w:marLeft w:val="0"/>
              <w:marRight w:val="0"/>
              <w:marTop w:val="0"/>
              <w:marBottom w:val="0"/>
              <w:divBdr>
                <w:top w:val="none" w:sz="0" w:space="0" w:color="auto"/>
                <w:left w:val="none" w:sz="0" w:space="0" w:color="auto"/>
                <w:bottom w:val="none" w:sz="0" w:space="0" w:color="auto"/>
                <w:right w:val="none" w:sz="0" w:space="0" w:color="auto"/>
              </w:divBdr>
              <w:divsChild>
                <w:div w:id="2127893997">
                  <w:marLeft w:val="0"/>
                  <w:marRight w:val="0"/>
                  <w:marTop w:val="0"/>
                  <w:marBottom w:val="0"/>
                  <w:divBdr>
                    <w:top w:val="none" w:sz="0" w:space="0" w:color="auto"/>
                    <w:left w:val="none" w:sz="0" w:space="0" w:color="auto"/>
                    <w:bottom w:val="none" w:sz="0" w:space="0" w:color="auto"/>
                    <w:right w:val="none" w:sz="0" w:space="0" w:color="auto"/>
                  </w:divBdr>
                  <w:divsChild>
                    <w:div w:id="1276600090">
                      <w:marLeft w:val="0"/>
                      <w:marRight w:val="0"/>
                      <w:marTop w:val="0"/>
                      <w:marBottom w:val="0"/>
                      <w:divBdr>
                        <w:top w:val="none" w:sz="0" w:space="0" w:color="auto"/>
                        <w:left w:val="none" w:sz="0" w:space="0" w:color="auto"/>
                        <w:bottom w:val="none" w:sz="0" w:space="0" w:color="auto"/>
                        <w:right w:val="none" w:sz="0" w:space="0" w:color="auto"/>
                      </w:divBdr>
                      <w:divsChild>
                        <w:div w:id="1334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412">
      <w:bodyDiv w:val="1"/>
      <w:marLeft w:val="0"/>
      <w:marRight w:val="0"/>
      <w:marTop w:val="0"/>
      <w:marBottom w:val="0"/>
      <w:divBdr>
        <w:top w:val="none" w:sz="0" w:space="0" w:color="auto"/>
        <w:left w:val="none" w:sz="0" w:space="0" w:color="auto"/>
        <w:bottom w:val="none" w:sz="0" w:space="0" w:color="auto"/>
        <w:right w:val="none" w:sz="0" w:space="0" w:color="auto"/>
      </w:divBdr>
      <w:divsChild>
        <w:div w:id="1706757956">
          <w:marLeft w:val="0"/>
          <w:marRight w:val="0"/>
          <w:marTop w:val="0"/>
          <w:marBottom w:val="0"/>
          <w:divBdr>
            <w:top w:val="none" w:sz="0" w:space="0" w:color="auto"/>
            <w:left w:val="none" w:sz="0" w:space="0" w:color="auto"/>
            <w:bottom w:val="none" w:sz="0" w:space="0" w:color="auto"/>
            <w:right w:val="none" w:sz="0" w:space="0" w:color="auto"/>
          </w:divBdr>
          <w:divsChild>
            <w:div w:id="1213467211">
              <w:marLeft w:val="0"/>
              <w:marRight w:val="0"/>
              <w:marTop w:val="0"/>
              <w:marBottom w:val="0"/>
              <w:divBdr>
                <w:top w:val="none" w:sz="0" w:space="0" w:color="auto"/>
                <w:left w:val="none" w:sz="0" w:space="0" w:color="auto"/>
                <w:bottom w:val="none" w:sz="0" w:space="0" w:color="auto"/>
                <w:right w:val="none" w:sz="0" w:space="0" w:color="auto"/>
              </w:divBdr>
              <w:divsChild>
                <w:div w:id="297296768">
                  <w:marLeft w:val="0"/>
                  <w:marRight w:val="0"/>
                  <w:marTop w:val="0"/>
                  <w:marBottom w:val="0"/>
                  <w:divBdr>
                    <w:top w:val="none" w:sz="0" w:space="0" w:color="auto"/>
                    <w:left w:val="none" w:sz="0" w:space="0" w:color="auto"/>
                    <w:bottom w:val="none" w:sz="0" w:space="0" w:color="auto"/>
                    <w:right w:val="none" w:sz="0" w:space="0" w:color="auto"/>
                  </w:divBdr>
                  <w:divsChild>
                    <w:div w:id="736124428">
                      <w:marLeft w:val="0"/>
                      <w:marRight w:val="0"/>
                      <w:marTop w:val="0"/>
                      <w:marBottom w:val="0"/>
                      <w:divBdr>
                        <w:top w:val="none" w:sz="0" w:space="0" w:color="auto"/>
                        <w:left w:val="none" w:sz="0" w:space="0" w:color="auto"/>
                        <w:bottom w:val="none" w:sz="0" w:space="0" w:color="auto"/>
                        <w:right w:val="none" w:sz="0" w:space="0" w:color="auto"/>
                      </w:divBdr>
                      <w:divsChild>
                        <w:div w:id="1695106564">
                          <w:marLeft w:val="0"/>
                          <w:marRight w:val="0"/>
                          <w:marTop w:val="0"/>
                          <w:marBottom w:val="0"/>
                          <w:divBdr>
                            <w:top w:val="none" w:sz="0" w:space="0" w:color="auto"/>
                            <w:left w:val="none" w:sz="0" w:space="0" w:color="auto"/>
                            <w:bottom w:val="none" w:sz="0" w:space="0" w:color="auto"/>
                            <w:right w:val="none" w:sz="0" w:space="0" w:color="auto"/>
                          </w:divBdr>
                          <w:divsChild>
                            <w:div w:id="1081684044">
                              <w:marLeft w:val="0"/>
                              <w:marRight w:val="0"/>
                              <w:marTop w:val="0"/>
                              <w:marBottom w:val="0"/>
                              <w:divBdr>
                                <w:top w:val="none" w:sz="0" w:space="0" w:color="auto"/>
                                <w:left w:val="none" w:sz="0" w:space="0" w:color="auto"/>
                                <w:bottom w:val="none" w:sz="0" w:space="0" w:color="auto"/>
                                <w:right w:val="none" w:sz="0" w:space="0" w:color="auto"/>
                              </w:divBdr>
                              <w:divsChild>
                                <w:div w:id="695423964">
                                  <w:marLeft w:val="0"/>
                                  <w:marRight w:val="0"/>
                                  <w:marTop w:val="0"/>
                                  <w:marBottom w:val="0"/>
                                  <w:divBdr>
                                    <w:top w:val="none" w:sz="0" w:space="0" w:color="auto"/>
                                    <w:left w:val="none" w:sz="0" w:space="0" w:color="auto"/>
                                    <w:bottom w:val="none" w:sz="0" w:space="0" w:color="auto"/>
                                    <w:right w:val="none" w:sz="0" w:space="0" w:color="auto"/>
                                  </w:divBdr>
                                  <w:divsChild>
                                    <w:div w:id="9991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3556">
      <w:bodyDiv w:val="1"/>
      <w:marLeft w:val="0"/>
      <w:marRight w:val="0"/>
      <w:marTop w:val="0"/>
      <w:marBottom w:val="0"/>
      <w:divBdr>
        <w:top w:val="none" w:sz="0" w:space="0" w:color="auto"/>
        <w:left w:val="none" w:sz="0" w:space="0" w:color="auto"/>
        <w:bottom w:val="none" w:sz="0" w:space="0" w:color="auto"/>
        <w:right w:val="none" w:sz="0" w:space="0" w:color="auto"/>
      </w:divBdr>
      <w:divsChild>
        <w:div w:id="1838114274">
          <w:marLeft w:val="0"/>
          <w:marRight w:val="0"/>
          <w:marTop w:val="0"/>
          <w:marBottom w:val="0"/>
          <w:divBdr>
            <w:top w:val="none" w:sz="0" w:space="0" w:color="auto"/>
            <w:left w:val="none" w:sz="0" w:space="0" w:color="auto"/>
            <w:bottom w:val="none" w:sz="0" w:space="0" w:color="auto"/>
            <w:right w:val="none" w:sz="0" w:space="0" w:color="auto"/>
          </w:divBdr>
          <w:divsChild>
            <w:div w:id="100955143">
              <w:marLeft w:val="0"/>
              <w:marRight w:val="0"/>
              <w:marTop w:val="0"/>
              <w:marBottom w:val="0"/>
              <w:divBdr>
                <w:top w:val="none" w:sz="0" w:space="0" w:color="auto"/>
                <w:left w:val="none" w:sz="0" w:space="0" w:color="auto"/>
                <w:bottom w:val="none" w:sz="0" w:space="0" w:color="auto"/>
                <w:right w:val="none" w:sz="0" w:space="0" w:color="auto"/>
              </w:divBdr>
              <w:divsChild>
                <w:div w:id="17447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9731">
      <w:bodyDiv w:val="1"/>
      <w:marLeft w:val="0"/>
      <w:marRight w:val="0"/>
      <w:marTop w:val="0"/>
      <w:marBottom w:val="0"/>
      <w:divBdr>
        <w:top w:val="none" w:sz="0" w:space="0" w:color="auto"/>
        <w:left w:val="none" w:sz="0" w:space="0" w:color="auto"/>
        <w:bottom w:val="none" w:sz="0" w:space="0" w:color="auto"/>
        <w:right w:val="none" w:sz="0" w:space="0" w:color="auto"/>
      </w:divBdr>
    </w:div>
    <w:div w:id="1142307523">
      <w:bodyDiv w:val="1"/>
      <w:marLeft w:val="0"/>
      <w:marRight w:val="0"/>
      <w:marTop w:val="0"/>
      <w:marBottom w:val="0"/>
      <w:divBdr>
        <w:top w:val="none" w:sz="0" w:space="0" w:color="auto"/>
        <w:left w:val="none" w:sz="0" w:space="0" w:color="auto"/>
        <w:bottom w:val="none" w:sz="0" w:space="0" w:color="auto"/>
        <w:right w:val="none" w:sz="0" w:space="0" w:color="auto"/>
      </w:divBdr>
      <w:divsChild>
        <w:div w:id="1439638202">
          <w:marLeft w:val="0"/>
          <w:marRight w:val="0"/>
          <w:marTop w:val="0"/>
          <w:marBottom w:val="0"/>
          <w:divBdr>
            <w:top w:val="none" w:sz="0" w:space="0" w:color="auto"/>
            <w:left w:val="none" w:sz="0" w:space="0" w:color="auto"/>
            <w:bottom w:val="none" w:sz="0" w:space="0" w:color="auto"/>
            <w:right w:val="none" w:sz="0" w:space="0" w:color="auto"/>
          </w:divBdr>
          <w:divsChild>
            <w:div w:id="210575084">
              <w:marLeft w:val="0"/>
              <w:marRight w:val="0"/>
              <w:marTop w:val="0"/>
              <w:marBottom w:val="0"/>
              <w:divBdr>
                <w:top w:val="none" w:sz="0" w:space="0" w:color="auto"/>
                <w:left w:val="none" w:sz="0" w:space="0" w:color="auto"/>
                <w:bottom w:val="none" w:sz="0" w:space="0" w:color="auto"/>
                <w:right w:val="none" w:sz="0" w:space="0" w:color="auto"/>
              </w:divBdr>
              <w:divsChild>
                <w:div w:id="1807972157">
                  <w:marLeft w:val="0"/>
                  <w:marRight w:val="0"/>
                  <w:marTop w:val="0"/>
                  <w:marBottom w:val="0"/>
                  <w:divBdr>
                    <w:top w:val="none" w:sz="0" w:space="0" w:color="auto"/>
                    <w:left w:val="none" w:sz="0" w:space="0" w:color="auto"/>
                    <w:bottom w:val="none" w:sz="0" w:space="0" w:color="auto"/>
                    <w:right w:val="none" w:sz="0" w:space="0" w:color="auto"/>
                  </w:divBdr>
                  <w:divsChild>
                    <w:div w:id="1132210749">
                      <w:marLeft w:val="0"/>
                      <w:marRight w:val="0"/>
                      <w:marTop w:val="0"/>
                      <w:marBottom w:val="0"/>
                      <w:divBdr>
                        <w:top w:val="none" w:sz="0" w:space="0" w:color="auto"/>
                        <w:left w:val="none" w:sz="0" w:space="0" w:color="auto"/>
                        <w:bottom w:val="none" w:sz="0" w:space="0" w:color="auto"/>
                        <w:right w:val="none" w:sz="0" w:space="0" w:color="auto"/>
                      </w:divBdr>
                      <w:divsChild>
                        <w:div w:id="25101934">
                          <w:marLeft w:val="0"/>
                          <w:marRight w:val="0"/>
                          <w:marTop w:val="0"/>
                          <w:marBottom w:val="0"/>
                          <w:divBdr>
                            <w:top w:val="none" w:sz="0" w:space="0" w:color="auto"/>
                            <w:left w:val="none" w:sz="0" w:space="0" w:color="auto"/>
                            <w:bottom w:val="none" w:sz="0" w:space="0" w:color="auto"/>
                            <w:right w:val="none" w:sz="0" w:space="0" w:color="auto"/>
                          </w:divBdr>
                          <w:divsChild>
                            <w:div w:id="1081827748">
                              <w:marLeft w:val="0"/>
                              <w:marRight w:val="0"/>
                              <w:marTop w:val="0"/>
                              <w:marBottom w:val="0"/>
                              <w:divBdr>
                                <w:top w:val="none" w:sz="0" w:space="0" w:color="auto"/>
                                <w:left w:val="none" w:sz="0" w:space="0" w:color="auto"/>
                                <w:bottom w:val="none" w:sz="0" w:space="0" w:color="auto"/>
                                <w:right w:val="none" w:sz="0" w:space="0" w:color="auto"/>
                              </w:divBdr>
                              <w:divsChild>
                                <w:div w:id="1979337731">
                                  <w:marLeft w:val="0"/>
                                  <w:marRight w:val="0"/>
                                  <w:marTop w:val="0"/>
                                  <w:marBottom w:val="0"/>
                                  <w:divBdr>
                                    <w:top w:val="none" w:sz="0" w:space="0" w:color="auto"/>
                                    <w:left w:val="none" w:sz="0" w:space="0" w:color="auto"/>
                                    <w:bottom w:val="none" w:sz="0" w:space="0" w:color="auto"/>
                                    <w:right w:val="none" w:sz="0" w:space="0" w:color="auto"/>
                                  </w:divBdr>
                                  <w:divsChild>
                                    <w:div w:id="702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836382">
      <w:bodyDiv w:val="1"/>
      <w:marLeft w:val="0"/>
      <w:marRight w:val="0"/>
      <w:marTop w:val="0"/>
      <w:marBottom w:val="0"/>
      <w:divBdr>
        <w:top w:val="none" w:sz="0" w:space="0" w:color="auto"/>
        <w:left w:val="none" w:sz="0" w:space="0" w:color="auto"/>
        <w:bottom w:val="none" w:sz="0" w:space="0" w:color="auto"/>
        <w:right w:val="none" w:sz="0" w:space="0" w:color="auto"/>
      </w:divBdr>
    </w:div>
    <w:div w:id="2106724811">
      <w:bodyDiv w:val="1"/>
      <w:marLeft w:val="0"/>
      <w:marRight w:val="0"/>
      <w:marTop w:val="0"/>
      <w:marBottom w:val="0"/>
      <w:divBdr>
        <w:top w:val="none" w:sz="0" w:space="0" w:color="auto"/>
        <w:left w:val="none" w:sz="0" w:space="0" w:color="auto"/>
        <w:bottom w:val="none" w:sz="0" w:space="0" w:color="auto"/>
        <w:right w:val="none" w:sz="0" w:space="0" w:color="auto"/>
      </w:divBdr>
      <w:divsChild>
        <w:div w:id="19552773">
          <w:marLeft w:val="0"/>
          <w:marRight w:val="0"/>
          <w:marTop w:val="0"/>
          <w:marBottom w:val="0"/>
          <w:divBdr>
            <w:top w:val="none" w:sz="0" w:space="0" w:color="auto"/>
            <w:left w:val="none" w:sz="0" w:space="0" w:color="auto"/>
            <w:bottom w:val="none" w:sz="0" w:space="0" w:color="auto"/>
            <w:right w:val="none" w:sz="0" w:space="0" w:color="auto"/>
          </w:divBdr>
        </w:div>
        <w:div w:id="28800267">
          <w:marLeft w:val="0"/>
          <w:marRight w:val="0"/>
          <w:marTop w:val="0"/>
          <w:marBottom w:val="0"/>
          <w:divBdr>
            <w:top w:val="none" w:sz="0" w:space="0" w:color="auto"/>
            <w:left w:val="none" w:sz="0" w:space="0" w:color="auto"/>
            <w:bottom w:val="none" w:sz="0" w:space="0" w:color="auto"/>
            <w:right w:val="none" w:sz="0" w:space="0" w:color="auto"/>
          </w:divBdr>
        </w:div>
        <w:div w:id="161821873">
          <w:marLeft w:val="0"/>
          <w:marRight w:val="0"/>
          <w:marTop w:val="0"/>
          <w:marBottom w:val="0"/>
          <w:divBdr>
            <w:top w:val="none" w:sz="0" w:space="0" w:color="auto"/>
            <w:left w:val="none" w:sz="0" w:space="0" w:color="auto"/>
            <w:bottom w:val="none" w:sz="0" w:space="0" w:color="auto"/>
            <w:right w:val="none" w:sz="0" w:space="0" w:color="auto"/>
          </w:divBdr>
        </w:div>
        <w:div w:id="215245860">
          <w:marLeft w:val="0"/>
          <w:marRight w:val="0"/>
          <w:marTop w:val="0"/>
          <w:marBottom w:val="0"/>
          <w:divBdr>
            <w:top w:val="none" w:sz="0" w:space="0" w:color="auto"/>
            <w:left w:val="none" w:sz="0" w:space="0" w:color="auto"/>
            <w:bottom w:val="none" w:sz="0" w:space="0" w:color="auto"/>
            <w:right w:val="none" w:sz="0" w:space="0" w:color="auto"/>
          </w:divBdr>
        </w:div>
        <w:div w:id="222134176">
          <w:marLeft w:val="0"/>
          <w:marRight w:val="0"/>
          <w:marTop w:val="0"/>
          <w:marBottom w:val="0"/>
          <w:divBdr>
            <w:top w:val="none" w:sz="0" w:space="0" w:color="auto"/>
            <w:left w:val="none" w:sz="0" w:space="0" w:color="auto"/>
            <w:bottom w:val="none" w:sz="0" w:space="0" w:color="auto"/>
            <w:right w:val="none" w:sz="0" w:space="0" w:color="auto"/>
          </w:divBdr>
        </w:div>
        <w:div w:id="252399831">
          <w:marLeft w:val="0"/>
          <w:marRight w:val="0"/>
          <w:marTop w:val="0"/>
          <w:marBottom w:val="0"/>
          <w:divBdr>
            <w:top w:val="none" w:sz="0" w:space="0" w:color="auto"/>
            <w:left w:val="none" w:sz="0" w:space="0" w:color="auto"/>
            <w:bottom w:val="none" w:sz="0" w:space="0" w:color="auto"/>
            <w:right w:val="none" w:sz="0" w:space="0" w:color="auto"/>
          </w:divBdr>
        </w:div>
        <w:div w:id="282618198">
          <w:marLeft w:val="0"/>
          <w:marRight w:val="0"/>
          <w:marTop w:val="0"/>
          <w:marBottom w:val="0"/>
          <w:divBdr>
            <w:top w:val="none" w:sz="0" w:space="0" w:color="auto"/>
            <w:left w:val="none" w:sz="0" w:space="0" w:color="auto"/>
            <w:bottom w:val="none" w:sz="0" w:space="0" w:color="auto"/>
            <w:right w:val="none" w:sz="0" w:space="0" w:color="auto"/>
          </w:divBdr>
        </w:div>
        <w:div w:id="314342536">
          <w:marLeft w:val="0"/>
          <w:marRight w:val="0"/>
          <w:marTop w:val="0"/>
          <w:marBottom w:val="0"/>
          <w:divBdr>
            <w:top w:val="none" w:sz="0" w:space="0" w:color="auto"/>
            <w:left w:val="none" w:sz="0" w:space="0" w:color="auto"/>
            <w:bottom w:val="none" w:sz="0" w:space="0" w:color="auto"/>
            <w:right w:val="none" w:sz="0" w:space="0" w:color="auto"/>
          </w:divBdr>
        </w:div>
        <w:div w:id="334764271">
          <w:marLeft w:val="0"/>
          <w:marRight w:val="0"/>
          <w:marTop w:val="0"/>
          <w:marBottom w:val="0"/>
          <w:divBdr>
            <w:top w:val="none" w:sz="0" w:space="0" w:color="auto"/>
            <w:left w:val="none" w:sz="0" w:space="0" w:color="auto"/>
            <w:bottom w:val="none" w:sz="0" w:space="0" w:color="auto"/>
            <w:right w:val="none" w:sz="0" w:space="0" w:color="auto"/>
          </w:divBdr>
        </w:div>
        <w:div w:id="348869634">
          <w:marLeft w:val="0"/>
          <w:marRight w:val="0"/>
          <w:marTop w:val="0"/>
          <w:marBottom w:val="0"/>
          <w:divBdr>
            <w:top w:val="none" w:sz="0" w:space="0" w:color="auto"/>
            <w:left w:val="none" w:sz="0" w:space="0" w:color="auto"/>
            <w:bottom w:val="none" w:sz="0" w:space="0" w:color="auto"/>
            <w:right w:val="none" w:sz="0" w:space="0" w:color="auto"/>
          </w:divBdr>
        </w:div>
        <w:div w:id="483281575">
          <w:marLeft w:val="0"/>
          <w:marRight w:val="0"/>
          <w:marTop w:val="0"/>
          <w:marBottom w:val="0"/>
          <w:divBdr>
            <w:top w:val="none" w:sz="0" w:space="0" w:color="auto"/>
            <w:left w:val="none" w:sz="0" w:space="0" w:color="auto"/>
            <w:bottom w:val="none" w:sz="0" w:space="0" w:color="auto"/>
            <w:right w:val="none" w:sz="0" w:space="0" w:color="auto"/>
          </w:divBdr>
        </w:div>
        <w:div w:id="487357291">
          <w:marLeft w:val="0"/>
          <w:marRight w:val="0"/>
          <w:marTop w:val="0"/>
          <w:marBottom w:val="0"/>
          <w:divBdr>
            <w:top w:val="none" w:sz="0" w:space="0" w:color="auto"/>
            <w:left w:val="none" w:sz="0" w:space="0" w:color="auto"/>
            <w:bottom w:val="none" w:sz="0" w:space="0" w:color="auto"/>
            <w:right w:val="none" w:sz="0" w:space="0" w:color="auto"/>
          </w:divBdr>
        </w:div>
        <w:div w:id="507453292">
          <w:marLeft w:val="0"/>
          <w:marRight w:val="0"/>
          <w:marTop w:val="0"/>
          <w:marBottom w:val="0"/>
          <w:divBdr>
            <w:top w:val="none" w:sz="0" w:space="0" w:color="auto"/>
            <w:left w:val="none" w:sz="0" w:space="0" w:color="auto"/>
            <w:bottom w:val="none" w:sz="0" w:space="0" w:color="auto"/>
            <w:right w:val="none" w:sz="0" w:space="0" w:color="auto"/>
          </w:divBdr>
        </w:div>
        <w:div w:id="510490385">
          <w:marLeft w:val="0"/>
          <w:marRight w:val="0"/>
          <w:marTop w:val="0"/>
          <w:marBottom w:val="0"/>
          <w:divBdr>
            <w:top w:val="none" w:sz="0" w:space="0" w:color="auto"/>
            <w:left w:val="none" w:sz="0" w:space="0" w:color="auto"/>
            <w:bottom w:val="none" w:sz="0" w:space="0" w:color="auto"/>
            <w:right w:val="none" w:sz="0" w:space="0" w:color="auto"/>
          </w:divBdr>
        </w:div>
        <w:div w:id="563833862">
          <w:marLeft w:val="0"/>
          <w:marRight w:val="0"/>
          <w:marTop w:val="0"/>
          <w:marBottom w:val="0"/>
          <w:divBdr>
            <w:top w:val="none" w:sz="0" w:space="0" w:color="auto"/>
            <w:left w:val="none" w:sz="0" w:space="0" w:color="auto"/>
            <w:bottom w:val="none" w:sz="0" w:space="0" w:color="auto"/>
            <w:right w:val="none" w:sz="0" w:space="0" w:color="auto"/>
          </w:divBdr>
        </w:div>
        <w:div w:id="612638408">
          <w:marLeft w:val="0"/>
          <w:marRight w:val="0"/>
          <w:marTop w:val="0"/>
          <w:marBottom w:val="0"/>
          <w:divBdr>
            <w:top w:val="none" w:sz="0" w:space="0" w:color="auto"/>
            <w:left w:val="none" w:sz="0" w:space="0" w:color="auto"/>
            <w:bottom w:val="none" w:sz="0" w:space="0" w:color="auto"/>
            <w:right w:val="none" w:sz="0" w:space="0" w:color="auto"/>
          </w:divBdr>
        </w:div>
        <w:div w:id="631520026">
          <w:marLeft w:val="0"/>
          <w:marRight w:val="0"/>
          <w:marTop w:val="0"/>
          <w:marBottom w:val="0"/>
          <w:divBdr>
            <w:top w:val="none" w:sz="0" w:space="0" w:color="auto"/>
            <w:left w:val="none" w:sz="0" w:space="0" w:color="auto"/>
            <w:bottom w:val="none" w:sz="0" w:space="0" w:color="auto"/>
            <w:right w:val="none" w:sz="0" w:space="0" w:color="auto"/>
          </w:divBdr>
        </w:div>
        <w:div w:id="643386804">
          <w:marLeft w:val="0"/>
          <w:marRight w:val="0"/>
          <w:marTop w:val="0"/>
          <w:marBottom w:val="0"/>
          <w:divBdr>
            <w:top w:val="none" w:sz="0" w:space="0" w:color="auto"/>
            <w:left w:val="none" w:sz="0" w:space="0" w:color="auto"/>
            <w:bottom w:val="none" w:sz="0" w:space="0" w:color="auto"/>
            <w:right w:val="none" w:sz="0" w:space="0" w:color="auto"/>
          </w:divBdr>
        </w:div>
        <w:div w:id="670445463">
          <w:marLeft w:val="0"/>
          <w:marRight w:val="0"/>
          <w:marTop w:val="0"/>
          <w:marBottom w:val="0"/>
          <w:divBdr>
            <w:top w:val="none" w:sz="0" w:space="0" w:color="auto"/>
            <w:left w:val="none" w:sz="0" w:space="0" w:color="auto"/>
            <w:bottom w:val="none" w:sz="0" w:space="0" w:color="auto"/>
            <w:right w:val="none" w:sz="0" w:space="0" w:color="auto"/>
          </w:divBdr>
        </w:div>
        <w:div w:id="679893453">
          <w:marLeft w:val="0"/>
          <w:marRight w:val="0"/>
          <w:marTop w:val="0"/>
          <w:marBottom w:val="0"/>
          <w:divBdr>
            <w:top w:val="none" w:sz="0" w:space="0" w:color="auto"/>
            <w:left w:val="none" w:sz="0" w:space="0" w:color="auto"/>
            <w:bottom w:val="none" w:sz="0" w:space="0" w:color="auto"/>
            <w:right w:val="none" w:sz="0" w:space="0" w:color="auto"/>
          </w:divBdr>
        </w:div>
        <w:div w:id="796216321">
          <w:marLeft w:val="0"/>
          <w:marRight w:val="0"/>
          <w:marTop w:val="0"/>
          <w:marBottom w:val="0"/>
          <w:divBdr>
            <w:top w:val="none" w:sz="0" w:space="0" w:color="auto"/>
            <w:left w:val="none" w:sz="0" w:space="0" w:color="auto"/>
            <w:bottom w:val="none" w:sz="0" w:space="0" w:color="auto"/>
            <w:right w:val="none" w:sz="0" w:space="0" w:color="auto"/>
          </w:divBdr>
        </w:div>
        <w:div w:id="821852759">
          <w:marLeft w:val="0"/>
          <w:marRight w:val="0"/>
          <w:marTop w:val="0"/>
          <w:marBottom w:val="0"/>
          <w:divBdr>
            <w:top w:val="none" w:sz="0" w:space="0" w:color="auto"/>
            <w:left w:val="none" w:sz="0" w:space="0" w:color="auto"/>
            <w:bottom w:val="none" w:sz="0" w:space="0" w:color="auto"/>
            <w:right w:val="none" w:sz="0" w:space="0" w:color="auto"/>
          </w:divBdr>
        </w:div>
        <w:div w:id="867763117">
          <w:marLeft w:val="0"/>
          <w:marRight w:val="0"/>
          <w:marTop w:val="0"/>
          <w:marBottom w:val="0"/>
          <w:divBdr>
            <w:top w:val="none" w:sz="0" w:space="0" w:color="auto"/>
            <w:left w:val="none" w:sz="0" w:space="0" w:color="auto"/>
            <w:bottom w:val="none" w:sz="0" w:space="0" w:color="auto"/>
            <w:right w:val="none" w:sz="0" w:space="0" w:color="auto"/>
          </w:divBdr>
        </w:div>
        <w:div w:id="1001003194">
          <w:marLeft w:val="0"/>
          <w:marRight w:val="0"/>
          <w:marTop w:val="0"/>
          <w:marBottom w:val="0"/>
          <w:divBdr>
            <w:top w:val="none" w:sz="0" w:space="0" w:color="auto"/>
            <w:left w:val="none" w:sz="0" w:space="0" w:color="auto"/>
            <w:bottom w:val="none" w:sz="0" w:space="0" w:color="auto"/>
            <w:right w:val="none" w:sz="0" w:space="0" w:color="auto"/>
          </w:divBdr>
        </w:div>
        <w:div w:id="1026904180">
          <w:marLeft w:val="0"/>
          <w:marRight w:val="0"/>
          <w:marTop w:val="0"/>
          <w:marBottom w:val="0"/>
          <w:divBdr>
            <w:top w:val="none" w:sz="0" w:space="0" w:color="auto"/>
            <w:left w:val="none" w:sz="0" w:space="0" w:color="auto"/>
            <w:bottom w:val="none" w:sz="0" w:space="0" w:color="auto"/>
            <w:right w:val="none" w:sz="0" w:space="0" w:color="auto"/>
          </w:divBdr>
        </w:div>
        <w:div w:id="1075005399">
          <w:marLeft w:val="0"/>
          <w:marRight w:val="0"/>
          <w:marTop w:val="0"/>
          <w:marBottom w:val="0"/>
          <w:divBdr>
            <w:top w:val="none" w:sz="0" w:space="0" w:color="auto"/>
            <w:left w:val="none" w:sz="0" w:space="0" w:color="auto"/>
            <w:bottom w:val="none" w:sz="0" w:space="0" w:color="auto"/>
            <w:right w:val="none" w:sz="0" w:space="0" w:color="auto"/>
          </w:divBdr>
        </w:div>
        <w:div w:id="1112045753">
          <w:marLeft w:val="0"/>
          <w:marRight w:val="0"/>
          <w:marTop w:val="0"/>
          <w:marBottom w:val="0"/>
          <w:divBdr>
            <w:top w:val="none" w:sz="0" w:space="0" w:color="auto"/>
            <w:left w:val="none" w:sz="0" w:space="0" w:color="auto"/>
            <w:bottom w:val="none" w:sz="0" w:space="0" w:color="auto"/>
            <w:right w:val="none" w:sz="0" w:space="0" w:color="auto"/>
          </w:divBdr>
        </w:div>
        <w:div w:id="1120223785">
          <w:marLeft w:val="0"/>
          <w:marRight w:val="0"/>
          <w:marTop w:val="0"/>
          <w:marBottom w:val="0"/>
          <w:divBdr>
            <w:top w:val="none" w:sz="0" w:space="0" w:color="auto"/>
            <w:left w:val="none" w:sz="0" w:space="0" w:color="auto"/>
            <w:bottom w:val="none" w:sz="0" w:space="0" w:color="auto"/>
            <w:right w:val="none" w:sz="0" w:space="0" w:color="auto"/>
          </w:divBdr>
        </w:div>
        <w:div w:id="1195075649">
          <w:marLeft w:val="0"/>
          <w:marRight w:val="0"/>
          <w:marTop w:val="0"/>
          <w:marBottom w:val="0"/>
          <w:divBdr>
            <w:top w:val="none" w:sz="0" w:space="0" w:color="auto"/>
            <w:left w:val="none" w:sz="0" w:space="0" w:color="auto"/>
            <w:bottom w:val="none" w:sz="0" w:space="0" w:color="auto"/>
            <w:right w:val="none" w:sz="0" w:space="0" w:color="auto"/>
          </w:divBdr>
        </w:div>
        <w:div w:id="1227106318">
          <w:marLeft w:val="0"/>
          <w:marRight w:val="0"/>
          <w:marTop w:val="0"/>
          <w:marBottom w:val="0"/>
          <w:divBdr>
            <w:top w:val="none" w:sz="0" w:space="0" w:color="auto"/>
            <w:left w:val="none" w:sz="0" w:space="0" w:color="auto"/>
            <w:bottom w:val="none" w:sz="0" w:space="0" w:color="auto"/>
            <w:right w:val="none" w:sz="0" w:space="0" w:color="auto"/>
          </w:divBdr>
        </w:div>
        <w:div w:id="1238974687">
          <w:marLeft w:val="0"/>
          <w:marRight w:val="0"/>
          <w:marTop w:val="0"/>
          <w:marBottom w:val="0"/>
          <w:divBdr>
            <w:top w:val="none" w:sz="0" w:space="0" w:color="auto"/>
            <w:left w:val="none" w:sz="0" w:space="0" w:color="auto"/>
            <w:bottom w:val="none" w:sz="0" w:space="0" w:color="auto"/>
            <w:right w:val="none" w:sz="0" w:space="0" w:color="auto"/>
          </w:divBdr>
        </w:div>
        <w:div w:id="1251504721">
          <w:marLeft w:val="0"/>
          <w:marRight w:val="0"/>
          <w:marTop w:val="0"/>
          <w:marBottom w:val="0"/>
          <w:divBdr>
            <w:top w:val="none" w:sz="0" w:space="0" w:color="auto"/>
            <w:left w:val="none" w:sz="0" w:space="0" w:color="auto"/>
            <w:bottom w:val="none" w:sz="0" w:space="0" w:color="auto"/>
            <w:right w:val="none" w:sz="0" w:space="0" w:color="auto"/>
          </w:divBdr>
        </w:div>
        <w:div w:id="1337221862">
          <w:marLeft w:val="0"/>
          <w:marRight w:val="0"/>
          <w:marTop w:val="0"/>
          <w:marBottom w:val="0"/>
          <w:divBdr>
            <w:top w:val="none" w:sz="0" w:space="0" w:color="auto"/>
            <w:left w:val="none" w:sz="0" w:space="0" w:color="auto"/>
            <w:bottom w:val="none" w:sz="0" w:space="0" w:color="auto"/>
            <w:right w:val="none" w:sz="0" w:space="0" w:color="auto"/>
          </w:divBdr>
        </w:div>
        <w:div w:id="1382751349">
          <w:marLeft w:val="0"/>
          <w:marRight w:val="0"/>
          <w:marTop w:val="0"/>
          <w:marBottom w:val="0"/>
          <w:divBdr>
            <w:top w:val="none" w:sz="0" w:space="0" w:color="auto"/>
            <w:left w:val="none" w:sz="0" w:space="0" w:color="auto"/>
            <w:bottom w:val="none" w:sz="0" w:space="0" w:color="auto"/>
            <w:right w:val="none" w:sz="0" w:space="0" w:color="auto"/>
          </w:divBdr>
        </w:div>
        <w:div w:id="1409309305">
          <w:marLeft w:val="0"/>
          <w:marRight w:val="0"/>
          <w:marTop w:val="0"/>
          <w:marBottom w:val="0"/>
          <w:divBdr>
            <w:top w:val="none" w:sz="0" w:space="0" w:color="auto"/>
            <w:left w:val="none" w:sz="0" w:space="0" w:color="auto"/>
            <w:bottom w:val="none" w:sz="0" w:space="0" w:color="auto"/>
            <w:right w:val="none" w:sz="0" w:space="0" w:color="auto"/>
          </w:divBdr>
        </w:div>
        <w:div w:id="1501121254">
          <w:marLeft w:val="0"/>
          <w:marRight w:val="0"/>
          <w:marTop w:val="0"/>
          <w:marBottom w:val="0"/>
          <w:divBdr>
            <w:top w:val="none" w:sz="0" w:space="0" w:color="auto"/>
            <w:left w:val="none" w:sz="0" w:space="0" w:color="auto"/>
            <w:bottom w:val="none" w:sz="0" w:space="0" w:color="auto"/>
            <w:right w:val="none" w:sz="0" w:space="0" w:color="auto"/>
          </w:divBdr>
        </w:div>
        <w:div w:id="1591154186">
          <w:marLeft w:val="0"/>
          <w:marRight w:val="0"/>
          <w:marTop w:val="0"/>
          <w:marBottom w:val="0"/>
          <w:divBdr>
            <w:top w:val="none" w:sz="0" w:space="0" w:color="auto"/>
            <w:left w:val="none" w:sz="0" w:space="0" w:color="auto"/>
            <w:bottom w:val="none" w:sz="0" w:space="0" w:color="auto"/>
            <w:right w:val="none" w:sz="0" w:space="0" w:color="auto"/>
          </w:divBdr>
        </w:div>
        <w:div w:id="1611425704">
          <w:marLeft w:val="0"/>
          <w:marRight w:val="0"/>
          <w:marTop w:val="0"/>
          <w:marBottom w:val="0"/>
          <w:divBdr>
            <w:top w:val="none" w:sz="0" w:space="0" w:color="auto"/>
            <w:left w:val="none" w:sz="0" w:space="0" w:color="auto"/>
            <w:bottom w:val="none" w:sz="0" w:space="0" w:color="auto"/>
            <w:right w:val="none" w:sz="0" w:space="0" w:color="auto"/>
          </w:divBdr>
        </w:div>
        <w:div w:id="1690528159">
          <w:marLeft w:val="0"/>
          <w:marRight w:val="0"/>
          <w:marTop w:val="0"/>
          <w:marBottom w:val="0"/>
          <w:divBdr>
            <w:top w:val="none" w:sz="0" w:space="0" w:color="auto"/>
            <w:left w:val="none" w:sz="0" w:space="0" w:color="auto"/>
            <w:bottom w:val="none" w:sz="0" w:space="0" w:color="auto"/>
            <w:right w:val="none" w:sz="0" w:space="0" w:color="auto"/>
          </w:divBdr>
        </w:div>
        <w:div w:id="1702128590">
          <w:marLeft w:val="0"/>
          <w:marRight w:val="0"/>
          <w:marTop w:val="0"/>
          <w:marBottom w:val="0"/>
          <w:divBdr>
            <w:top w:val="none" w:sz="0" w:space="0" w:color="auto"/>
            <w:left w:val="none" w:sz="0" w:space="0" w:color="auto"/>
            <w:bottom w:val="none" w:sz="0" w:space="0" w:color="auto"/>
            <w:right w:val="none" w:sz="0" w:space="0" w:color="auto"/>
          </w:divBdr>
        </w:div>
        <w:div w:id="1768110923">
          <w:marLeft w:val="0"/>
          <w:marRight w:val="0"/>
          <w:marTop w:val="0"/>
          <w:marBottom w:val="0"/>
          <w:divBdr>
            <w:top w:val="none" w:sz="0" w:space="0" w:color="auto"/>
            <w:left w:val="none" w:sz="0" w:space="0" w:color="auto"/>
            <w:bottom w:val="none" w:sz="0" w:space="0" w:color="auto"/>
            <w:right w:val="none" w:sz="0" w:space="0" w:color="auto"/>
          </w:divBdr>
        </w:div>
        <w:div w:id="1788894418">
          <w:marLeft w:val="0"/>
          <w:marRight w:val="0"/>
          <w:marTop w:val="0"/>
          <w:marBottom w:val="0"/>
          <w:divBdr>
            <w:top w:val="none" w:sz="0" w:space="0" w:color="auto"/>
            <w:left w:val="none" w:sz="0" w:space="0" w:color="auto"/>
            <w:bottom w:val="none" w:sz="0" w:space="0" w:color="auto"/>
            <w:right w:val="none" w:sz="0" w:space="0" w:color="auto"/>
          </w:divBdr>
        </w:div>
        <w:div w:id="1794716425">
          <w:marLeft w:val="0"/>
          <w:marRight w:val="0"/>
          <w:marTop w:val="0"/>
          <w:marBottom w:val="0"/>
          <w:divBdr>
            <w:top w:val="none" w:sz="0" w:space="0" w:color="auto"/>
            <w:left w:val="none" w:sz="0" w:space="0" w:color="auto"/>
            <w:bottom w:val="none" w:sz="0" w:space="0" w:color="auto"/>
            <w:right w:val="none" w:sz="0" w:space="0" w:color="auto"/>
          </w:divBdr>
        </w:div>
        <w:div w:id="1863519884">
          <w:marLeft w:val="0"/>
          <w:marRight w:val="0"/>
          <w:marTop w:val="0"/>
          <w:marBottom w:val="0"/>
          <w:divBdr>
            <w:top w:val="none" w:sz="0" w:space="0" w:color="auto"/>
            <w:left w:val="none" w:sz="0" w:space="0" w:color="auto"/>
            <w:bottom w:val="none" w:sz="0" w:space="0" w:color="auto"/>
            <w:right w:val="none" w:sz="0" w:space="0" w:color="auto"/>
          </w:divBdr>
        </w:div>
        <w:div w:id="1868366919">
          <w:marLeft w:val="0"/>
          <w:marRight w:val="0"/>
          <w:marTop w:val="0"/>
          <w:marBottom w:val="0"/>
          <w:divBdr>
            <w:top w:val="none" w:sz="0" w:space="0" w:color="auto"/>
            <w:left w:val="none" w:sz="0" w:space="0" w:color="auto"/>
            <w:bottom w:val="none" w:sz="0" w:space="0" w:color="auto"/>
            <w:right w:val="none" w:sz="0" w:space="0" w:color="auto"/>
          </w:divBdr>
        </w:div>
        <w:div w:id="1988588871">
          <w:marLeft w:val="0"/>
          <w:marRight w:val="0"/>
          <w:marTop w:val="0"/>
          <w:marBottom w:val="0"/>
          <w:divBdr>
            <w:top w:val="none" w:sz="0" w:space="0" w:color="auto"/>
            <w:left w:val="none" w:sz="0" w:space="0" w:color="auto"/>
            <w:bottom w:val="none" w:sz="0" w:space="0" w:color="auto"/>
            <w:right w:val="none" w:sz="0" w:space="0" w:color="auto"/>
          </w:divBdr>
        </w:div>
        <w:div w:id="2085369167">
          <w:marLeft w:val="0"/>
          <w:marRight w:val="0"/>
          <w:marTop w:val="0"/>
          <w:marBottom w:val="0"/>
          <w:divBdr>
            <w:top w:val="none" w:sz="0" w:space="0" w:color="auto"/>
            <w:left w:val="none" w:sz="0" w:space="0" w:color="auto"/>
            <w:bottom w:val="none" w:sz="0" w:space="0" w:color="auto"/>
            <w:right w:val="none" w:sz="0" w:space="0" w:color="auto"/>
          </w:divBdr>
        </w:div>
        <w:div w:id="2111663317">
          <w:marLeft w:val="0"/>
          <w:marRight w:val="0"/>
          <w:marTop w:val="0"/>
          <w:marBottom w:val="0"/>
          <w:divBdr>
            <w:top w:val="none" w:sz="0" w:space="0" w:color="auto"/>
            <w:left w:val="none" w:sz="0" w:space="0" w:color="auto"/>
            <w:bottom w:val="none" w:sz="0" w:space="0" w:color="auto"/>
            <w:right w:val="none" w:sz="0" w:space="0" w:color="auto"/>
          </w:divBdr>
        </w:div>
        <w:div w:id="212673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a.ie/cntmgmtnew.nsf/0/8A76108C3F4680E88025795A003BAE74?OpenDocument"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nda.ie/cntmgmtnew.nsf/0/8A76108C3F4680E88025795A003BAE74?OpenDocument" TargetMode="External"/><Relationship Id="rId2" Type="http://schemas.openxmlformats.org/officeDocument/2006/relationships/hyperlink" Target="http://per.gov.ie/wp-content/uploads/ProgrammeforGovernmentFinal.pdf" TargetMode="External"/><Relationship Id="rId1" Type="http://schemas.openxmlformats.org/officeDocument/2006/relationships/hyperlink" Target="http://www.nda.ie/cntmgmtnew.nsf/0/8A76108C3F4680E88025795A003BAE74?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37</TotalTime>
  <Pages>39</Pages>
  <Words>9549</Words>
  <Characters>49762</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National Disability Authority Resource Allocation Feasibility Study Mark 2</vt:lpstr>
    </vt:vector>
  </TitlesOfParts>
  <Company>National Disability Authority</Company>
  <LinksUpToDate>false</LinksUpToDate>
  <CharactersWithSpaces>59193</CharactersWithSpaces>
  <SharedDoc>false</SharedDoc>
  <HLinks>
    <vt:vector size="24" baseType="variant">
      <vt:variant>
        <vt:i4>2424958</vt:i4>
      </vt:variant>
      <vt:variant>
        <vt:i4>0</vt:i4>
      </vt:variant>
      <vt:variant>
        <vt:i4>0</vt:i4>
      </vt:variant>
      <vt:variant>
        <vt:i4>5</vt:i4>
      </vt:variant>
      <vt:variant>
        <vt:lpwstr>http://www.nda.ie/cntmgmtnew.nsf/0/8A76108C3F4680E88025795A003BAE74?OpenDocument</vt:lpwstr>
      </vt:variant>
      <vt:variant>
        <vt:lpwstr>fn1#fn1</vt:lpwstr>
      </vt:variant>
      <vt:variant>
        <vt:i4>393295</vt:i4>
      </vt:variant>
      <vt:variant>
        <vt:i4>6</vt:i4>
      </vt:variant>
      <vt:variant>
        <vt:i4>0</vt:i4>
      </vt:variant>
      <vt:variant>
        <vt:i4>5</vt:i4>
      </vt:variant>
      <vt:variant>
        <vt:lpwstr>http://www.nda.ie/cntmgmtnew.nsf/0/8A76108C3F4680E88025795A003BAE74?OpenDocument</vt:lpwstr>
      </vt:variant>
      <vt:variant>
        <vt:lpwstr/>
      </vt:variant>
      <vt:variant>
        <vt:i4>65544</vt:i4>
      </vt:variant>
      <vt:variant>
        <vt:i4>3</vt:i4>
      </vt:variant>
      <vt:variant>
        <vt:i4>0</vt:i4>
      </vt:variant>
      <vt:variant>
        <vt:i4>5</vt:i4>
      </vt:variant>
      <vt:variant>
        <vt:lpwstr>http://per.gov.ie/wp-content/uploads/ProgrammeforGovernmentFinal.pdf</vt:lpwstr>
      </vt:variant>
      <vt:variant>
        <vt:lpwstr/>
      </vt:variant>
      <vt:variant>
        <vt:i4>393295</vt:i4>
      </vt:variant>
      <vt:variant>
        <vt:i4>0</vt:i4>
      </vt:variant>
      <vt:variant>
        <vt:i4>0</vt:i4>
      </vt:variant>
      <vt:variant>
        <vt:i4>5</vt:i4>
      </vt:variant>
      <vt:variant>
        <vt:lpwstr>http://www.nda.ie/cntmgmtnew.nsf/0/8A76108C3F4680E88025795A003BAE74?OpenDocument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Authority Resource Allocation Feasibility Study Mark 2</dc:title>
  <dc:subject/>
  <dc:creator>collinsgm</dc:creator>
  <cp:keywords/>
  <cp:lastModifiedBy>Heather C. O'Leary</cp:lastModifiedBy>
  <cp:revision>12</cp:revision>
  <cp:lastPrinted>2014-09-03T16:15:00Z</cp:lastPrinted>
  <dcterms:created xsi:type="dcterms:W3CDTF">2023-06-14T14:23:00Z</dcterms:created>
  <dcterms:modified xsi:type="dcterms:W3CDTF">2023-06-14T15:00:00Z</dcterms:modified>
</cp:coreProperties>
</file>