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0EF67" w14:textId="77777777" w:rsidR="00B6001A" w:rsidRDefault="00B6001A" w:rsidP="00B6001A">
      <w:pPr>
        <w:pStyle w:val="Title"/>
        <w:jc w:val="left"/>
      </w:pPr>
      <w:r>
        <w:rPr>
          <w:noProof/>
          <w:lang w:eastAsia="en-IE"/>
        </w:rPr>
        <w:drawing>
          <wp:inline distT="0" distB="0" distL="0" distR="0" wp14:anchorId="52D6AB6C" wp14:editId="107B3903">
            <wp:extent cx="2523490" cy="1799590"/>
            <wp:effectExtent l="0" t="0" r="0" b="0"/>
            <wp:docPr id="3" name="Picture 3" descr="Logo of the National Disability Authority" title="Logo of the National Disability Authority"/>
            <wp:cNvGraphicFramePr/>
            <a:graphic xmlns:a="http://schemas.openxmlformats.org/drawingml/2006/main">
              <a:graphicData uri="http://schemas.openxmlformats.org/drawingml/2006/picture">
                <pic:pic xmlns:pic="http://schemas.openxmlformats.org/drawingml/2006/picture">
                  <pic:nvPicPr>
                    <pic:cNvPr id="1" name="Picture 1" descr="Logo of the National Disability Authority" title="Logo of the National Disability Authority"/>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3490" cy="1799590"/>
                    </a:xfrm>
                    <a:prstGeom prst="rect">
                      <a:avLst/>
                    </a:prstGeom>
                    <a:noFill/>
                    <a:ln>
                      <a:noFill/>
                    </a:ln>
                  </pic:spPr>
                </pic:pic>
              </a:graphicData>
            </a:graphic>
          </wp:inline>
        </w:drawing>
      </w:r>
    </w:p>
    <w:p w14:paraId="0D3CFBBE" w14:textId="593A6501" w:rsidR="00B6001A" w:rsidRPr="00B6001A" w:rsidRDefault="00EC1573" w:rsidP="00B6001A">
      <w:pPr>
        <w:rPr>
          <w:b/>
        </w:rPr>
      </w:pPr>
      <w:r>
        <w:rPr>
          <w:b/>
        </w:rPr>
        <w:t xml:space="preserve">January </w:t>
      </w:r>
      <w:r w:rsidR="007A7836">
        <w:rPr>
          <w:b/>
        </w:rPr>
        <w:t>19th</w:t>
      </w:r>
      <w:r>
        <w:rPr>
          <w:b/>
        </w:rPr>
        <w:t>, 2024</w:t>
      </w:r>
    </w:p>
    <w:p w14:paraId="779259C6" w14:textId="20B640AD" w:rsidR="009C4D62" w:rsidRPr="00AA327B" w:rsidRDefault="00B6001A" w:rsidP="00AA327B">
      <w:pPr>
        <w:pStyle w:val="Title"/>
      </w:pPr>
      <w:r w:rsidRPr="00B6001A">
        <w:rPr>
          <w:color w:val="BF2296"/>
        </w:rPr>
        <w:t>NDA Submission to</w:t>
      </w:r>
      <w:r w:rsidR="006834B3">
        <w:rPr>
          <w:color w:val="BF2296"/>
        </w:rPr>
        <w:t xml:space="preserve"> </w:t>
      </w:r>
      <w:r w:rsidR="00EC1573">
        <w:rPr>
          <w:color w:val="BF2296"/>
        </w:rPr>
        <w:t>the Department of Social Protection on a National Child Poverty Target</w:t>
      </w:r>
      <w:r w:rsidRPr="00B6001A">
        <w:rPr>
          <w:color w:val="BF2296"/>
        </w:rPr>
        <w:t xml:space="preserve"> </w:t>
      </w:r>
    </w:p>
    <w:p w14:paraId="448B0924" w14:textId="04B2D2D6" w:rsidR="009C3BD7" w:rsidRDefault="00105058" w:rsidP="009C3BD7">
      <w:pPr>
        <w:pStyle w:val="Heading1"/>
      </w:pPr>
      <w:r>
        <w:t>Introduction</w:t>
      </w:r>
    </w:p>
    <w:p w14:paraId="260DC614" w14:textId="77777777" w:rsidR="006D4D6C" w:rsidRDefault="006D4D6C" w:rsidP="00105058">
      <w:r w:rsidRPr="006D4D6C">
        <w:t>The National Disability Authority (NDA) is the independent statutory body</w:t>
      </w:r>
      <w:r>
        <w:t xml:space="preserve"> </w:t>
      </w:r>
      <w:r w:rsidRPr="006D4D6C">
        <w:t>providing evidence-based advice and research to Government on disability policy and practice and promoting Universal Desig</w:t>
      </w:r>
      <w:r>
        <w:t>n.</w:t>
      </w:r>
    </w:p>
    <w:p w14:paraId="46536E0F" w14:textId="7E9FC9E1" w:rsidR="00394FA5" w:rsidRDefault="00105058" w:rsidP="00105058">
      <w:r w:rsidRPr="003E5401">
        <w:t xml:space="preserve">The NDA welcomes </w:t>
      </w:r>
      <w:r w:rsidR="003E5401">
        <w:t>the</w:t>
      </w:r>
      <w:r w:rsidRPr="003E5401">
        <w:t xml:space="preserve"> opportunity to</w:t>
      </w:r>
      <w:r w:rsidR="003E5401">
        <w:t xml:space="preserve"> </w:t>
      </w:r>
      <w:r w:rsidR="004133FD">
        <w:t>contribute</w:t>
      </w:r>
      <w:r w:rsidR="003E5401">
        <w:t xml:space="preserve"> a submission on the</w:t>
      </w:r>
      <w:r w:rsidR="004133FD">
        <w:t xml:space="preserve"> </w:t>
      </w:r>
      <w:r w:rsidR="003E5401">
        <w:t>development</w:t>
      </w:r>
      <w:r w:rsidR="004133FD">
        <w:t xml:space="preserve"> of </w:t>
      </w:r>
      <w:r w:rsidR="006D4D6C">
        <w:t xml:space="preserve">a new </w:t>
      </w:r>
      <w:r w:rsidR="004133FD">
        <w:t>child poverty target in Ireland</w:t>
      </w:r>
      <w:r w:rsidR="003E5401">
        <w:t>.</w:t>
      </w:r>
      <w:r w:rsidR="004133FD">
        <w:t xml:space="preserve"> Of particular interest to the NDA is the reduction of poverty among children impacted, directly or indirectly, by disability</w:t>
      </w:r>
      <w:r w:rsidR="006D4D6C">
        <w:t>,</w:t>
      </w:r>
      <w:r w:rsidR="00394FA5">
        <w:t xml:space="preserve"> and</w:t>
      </w:r>
      <w:r w:rsidR="006D4D6C">
        <w:t xml:space="preserve"> so</w:t>
      </w:r>
      <w:r w:rsidR="00394FA5">
        <w:t xml:space="preserve"> this submission </w:t>
      </w:r>
      <w:r w:rsidR="004A664F">
        <w:t>responds to</w:t>
      </w:r>
      <w:r w:rsidR="00394FA5">
        <w:t xml:space="preserve"> the following question in the Consultation Guidance Document:</w:t>
      </w:r>
      <w:r w:rsidR="00394FA5" w:rsidRPr="00394FA5">
        <w:t xml:space="preserve"> </w:t>
      </w:r>
    </w:p>
    <w:p w14:paraId="3D5F9D32" w14:textId="29AB641F" w:rsidR="00513C24" w:rsidRDefault="00394FA5" w:rsidP="00513C24">
      <w:pPr>
        <w:ind w:left="720"/>
      </w:pPr>
      <w:r w:rsidRPr="00394FA5">
        <w:t>Is it feasible to set sub-targets within the child population (e.g.</w:t>
      </w:r>
      <w:r w:rsidR="00DA0A67">
        <w:t>,</w:t>
      </w:r>
      <w:r w:rsidRPr="00394FA5">
        <w:t xml:space="preserve"> for specific cohorts or groups), which can then be monitored? </w:t>
      </w:r>
      <w:r w:rsidR="003E5401">
        <w:t xml:space="preserve"> </w:t>
      </w:r>
    </w:p>
    <w:p w14:paraId="28ECAC7A" w14:textId="3B15CEB2" w:rsidR="003E5401" w:rsidRDefault="00F2094A" w:rsidP="00105058">
      <w:r>
        <w:t>The submission proposes</w:t>
      </w:r>
      <w:r w:rsidR="003E5401">
        <w:t xml:space="preserve"> the inclusion of specific sub-targets aimed at reducing poverty among children impacted</w:t>
      </w:r>
      <w:r w:rsidR="004133FD">
        <w:t xml:space="preserve"> </w:t>
      </w:r>
      <w:r w:rsidR="003E5401">
        <w:t>by disability. The intersection of disability and poverty presents unique challenges that require target</w:t>
      </w:r>
      <w:r w:rsidR="00394FA5">
        <w:t>ed</w:t>
      </w:r>
      <w:r w:rsidR="003E5401">
        <w:t xml:space="preserve"> measures to ensure effective poverty reduction for this</w:t>
      </w:r>
      <w:r w:rsidR="00DA0A67">
        <w:t xml:space="preserve"> at-risk</w:t>
      </w:r>
      <w:r w:rsidR="003E5401">
        <w:t xml:space="preserve"> group.</w:t>
      </w:r>
    </w:p>
    <w:p w14:paraId="61614F85" w14:textId="5310B73F" w:rsidR="00513C24" w:rsidRDefault="00B16BC0" w:rsidP="00105058">
      <w:r>
        <w:t xml:space="preserve">Further, </w:t>
      </w:r>
      <w:proofErr w:type="gramStart"/>
      <w:r w:rsidR="00046B70">
        <w:t>in light of</w:t>
      </w:r>
      <w:proofErr w:type="gramEnd"/>
      <w:r w:rsidR="00046B70">
        <w:t xml:space="preserve"> the</w:t>
      </w:r>
      <w:r>
        <w:t xml:space="preserve"> available evidence of the </w:t>
      </w:r>
      <w:r w:rsidR="00046B70">
        <w:t>burden</w:t>
      </w:r>
      <w:r>
        <w:t xml:space="preserve"> of the cost of disability</w:t>
      </w:r>
      <w:r w:rsidR="00A71B50">
        <w:t xml:space="preserve"> on individuals and households</w:t>
      </w:r>
      <w:r w:rsidR="00046B70">
        <w:t xml:space="preserve"> in Ireland</w:t>
      </w:r>
      <w:r>
        <w:t xml:space="preserve">, </w:t>
      </w:r>
      <w:r w:rsidR="002E5CE4">
        <w:t>c</w:t>
      </w:r>
      <w:r w:rsidR="00513C24">
        <w:t xml:space="preserve">onsideration is </w:t>
      </w:r>
      <w:r>
        <w:t>also</w:t>
      </w:r>
      <w:r w:rsidR="00513C24">
        <w:t xml:space="preserve"> given to the</w:t>
      </w:r>
      <w:r w:rsidR="007D0157">
        <w:t xml:space="preserve"> following</w:t>
      </w:r>
      <w:r w:rsidR="00513C24">
        <w:t xml:space="preserve"> </w:t>
      </w:r>
      <w:r w:rsidR="00F2094A">
        <w:t>consultation question</w:t>
      </w:r>
      <w:r w:rsidR="00513C24">
        <w:t xml:space="preserve">: </w:t>
      </w:r>
    </w:p>
    <w:p w14:paraId="7E74BA7A" w14:textId="5853EAC5" w:rsidR="00046B70" w:rsidRDefault="00513C24" w:rsidP="00046B70">
      <w:pPr>
        <w:ind w:left="720"/>
      </w:pPr>
      <w:r w:rsidRPr="00513C24">
        <w:lastRenderedPageBreak/>
        <w:t>Does consistent poverty remain the most appropriate basis for a national child poverty target or are there other indicators that could be considered?</w:t>
      </w:r>
    </w:p>
    <w:p w14:paraId="5E45D08C" w14:textId="1C2D48C9" w:rsidR="00A742A8" w:rsidRDefault="00A742A8" w:rsidP="00046B70">
      <w:r>
        <w:t>The NDA argues</w:t>
      </w:r>
      <w:r w:rsidR="005E672F">
        <w:t xml:space="preserve"> that consistent poverty is not </w:t>
      </w:r>
      <w:r>
        <w:t>an adequate measure of the</w:t>
      </w:r>
      <w:r w:rsidR="00623A3C">
        <w:t xml:space="preserve"> </w:t>
      </w:r>
      <w:r w:rsidR="00D0717E">
        <w:t xml:space="preserve">prevalence </w:t>
      </w:r>
      <w:r w:rsidR="00623A3C">
        <w:t>of</w:t>
      </w:r>
      <w:r w:rsidR="005E672F">
        <w:t xml:space="preserve"> poverty and low living standards among households impacted by disability in Irelan</w:t>
      </w:r>
      <w:r w:rsidR="00623A3C">
        <w:t>d</w:t>
      </w:r>
      <w:r w:rsidR="00046B70">
        <w:t>.</w:t>
      </w:r>
    </w:p>
    <w:p w14:paraId="6A625743" w14:textId="7EC15956" w:rsidR="00105058" w:rsidRDefault="00D224C1" w:rsidP="003E5401">
      <w:pPr>
        <w:pStyle w:val="Heading1"/>
      </w:pPr>
      <w:r>
        <w:t>Context and significance</w:t>
      </w:r>
    </w:p>
    <w:p w14:paraId="2092C3BA" w14:textId="4FF05B76" w:rsidR="00837476" w:rsidRDefault="003E5401" w:rsidP="003E5401">
      <w:r>
        <w:t>In Ireland, households in which someone has a disability are</w:t>
      </w:r>
      <w:r w:rsidR="00046B70">
        <w:t xml:space="preserve"> </w:t>
      </w:r>
      <w:r w:rsidR="00804066">
        <w:t xml:space="preserve">one of the </w:t>
      </w:r>
      <w:r>
        <w:t>subgroup</w:t>
      </w:r>
      <w:r w:rsidR="00804066">
        <w:t>s</w:t>
      </w:r>
      <w:r>
        <w:t xml:space="preserve"> </w:t>
      </w:r>
      <w:r w:rsidR="004D1262">
        <w:t>in</w:t>
      </w:r>
      <w:r w:rsidR="00804066">
        <w:t xml:space="preserve"> society </w:t>
      </w:r>
      <w:r w:rsidR="00A45CBB">
        <w:t>most at risk</w:t>
      </w:r>
      <w:r>
        <w:t xml:space="preserve"> </w:t>
      </w:r>
      <w:r w:rsidR="00A45CBB">
        <w:t xml:space="preserve">of </w:t>
      </w:r>
      <w:r w:rsidR="00B16BC0">
        <w:t>experiencing poverty. The</w:t>
      </w:r>
      <w:r w:rsidR="00046B70">
        <w:t>se households</w:t>
      </w:r>
      <w:r w:rsidR="00B16BC0">
        <w:t xml:space="preserve"> are more likely to be below income poverty lines and are also at greater risk of experiencing material deprivation</w:t>
      </w:r>
      <w:r w:rsidR="007939B1">
        <w:t xml:space="preserve"> </w:t>
      </w:r>
      <w:r w:rsidR="007939B1">
        <w:fldChar w:fldCharType="begin"/>
      </w:r>
      <w:r w:rsidR="007939B1">
        <w:instrText xml:space="preserve"> ADDIN ZOTERO_ITEM CSL_CITATION {"citationID":"o3cL7J6s","properties":{"formattedCitation":"(1)","plainCitation":"(1)","noteIndex":0},"citationItems":[{"id":89,"uris":["http://zotero.org/users/local/kvLunvBP/items/QUUQR3C5"],"itemData":{"id":89,"type":"article-journal","abstract":"This report is the second from an ESRI research programme funded by The Community Foundation for Ireland, which seeks to address gaps in our knowledge and understanding of poverty, income inequality and living standards in Ireland. It builds on last year’s report, which found that while Ireland had experienced strong and progressive – if volatile – income growth over the past three decades (leaving income inequality in 2019 at its lowest recorded level), levels of income poverty and material deprivation have remained consistently high for certain groups (notably lone parents and those in working-age households where no one is in paid work). However, these findings – in keeping with almost all existing research on income inequality and poverty in Ireland – are based on measures of disposable income after direct taxes paid and benefits received but before housing costs. This report develops consistent new measures of after housing cost (AHC), income growth, inequality and poverty, which provide the following additional insights about the evolution and distribution of material living standards in Ireland. See other Annual Reports in the series","DOI":"10.26504/jr1","language":"en","license":"© 2019 The Economic and Social Research Institute, Whitaker Square, Sir John Rogerson’s Quay, Dublin 2. CC BY This Open Access work is licensed under a Creative Commons Attribution 4.0 International License.","note":"publisher: ESRI and The Community Foundation for Ireland","source":"www.esri.ie","title":"Poverty, income inequality and living standards in Ireland: Second annual report","title-short":"Poverty, income inequality and living standards in Ireland","URL":"https://esri.ie/publications/poverty-income-inequality-and-living-standards-in-ireland-second-annual-report","author":[{"family":"Roantree","given":"Barra"},{"family":"Barrett","given":"Michelle"},{"family":"Redmond","given":"Paul"}],"accessed":{"date-parts":[["2024",1,10]]},"issued":{"date-parts":[["2022",10,28]]}}}],"schema":"https://github.com/citation-style-language/schema/raw/master/csl-citation.json"} </w:instrText>
      </w:r>
      <w:r w:rsidR="007939B1">
        <w:fldChar w:fldCharType="separate"/>
      </w:r>
      <w:r w:rsidR="007939B1" w:rsidRPr="007939B1">
        <w:t>(1)</w:t>
      </w:r>
      <w:r w:rsidR="007939B1">
        <w:fldChar w:fldCharType="end"/>
      </w:r>
      <w:r w:rsidR="007939B1">
        <w:t>.</w:t>
      </w:r>
      <w:r w:rsidR="00A45CBB">
        <w:t xml:space="preserve"> </w:t>
      </w:r>
    </w:p>
    <w:p w14:paraId="3C654B30" w14:textId="5FA1BC8B" w:rsidR="00D224C1" w:rsidRDefault="00837476" w:rsidP="007B25BD">
      <w:r>
        <w:t xml:space="preserve">While an increased risk of poverty among households </w:t>
      </w:r>
      <w:r w:rsidR="007D0157">
        <w:t>impacted by disability</w:t>
      </w:r>
      <w:r>
        <w:t xml:space="preserve"> is not an issue unique to Ireland, </w:t>
      </w:r>
      <w:r w:rsidR="009F44B0">
        <w:t xml:space="preserve">there is evidence that Ireland fares particularly poorly in </w:t>
      </w:r>
      <w:r w:rsidR="00D0413F">
        <w:t xml:space="preserve">this </w:t>
      </w:r>
      <w:r w:rsidR="009F44B0">
        <w:t>regard</w:t>
      </w:r>
      <w:r w:rsidR="00046B70">
        <w:t xml:space="preserve"> relative to other European countries</w:t>
      </w:r>
      <w:r w:rsidR="008C0BAB">
        <w:t xml:space="preserve"> </w:t>
      </w:r>
      <w:r w:rsidR="008C0BAB">
        <w:fldChar w:fldCharType="begin"/>
      </w:r>
      <w:r w:rsidR="008C0BAB">
        <w:instrText xml:space="preserve"> ADDIN ZOTERO_ITEM CSL_CITATION {"citationID":"C0tXHb7s","properties":{"formattedCitation":"(2)","plainCitation":"(2)","noteIndex":0},"citationItems":[{"id":49,"uris":["http://zotero.org/users/local/kvLunvBP/items/8D97TGAK"],"itemData":{"id":49,"type":"report","abstract":"In 2013, the Irish Government published its National Disability Strategy Implementation Plan 2013-2015. As part of this strategy, a number of goals were set around participation, including job access for people with disabilities. This specific objective recommended a number of actions, including the commitment to publish a comprehensive employment strategy (CES) for people with disabilities. This strategy, the Comprehensive Employment Strategy for People with Disabilities, was published in 2015 for the period 2015-2024. The objective of this strategy, which is cross-governmental, is to support people with disabilities in accessing the labour market.  Building on existing actions in the CES, the National Disability Authority (NDA) commissioned the Economic and Social Research Institute (ESRI) to undertake quantitative research into the workplace skills and abilities of persons with disabilities. To undertake this research, a number of nationally representative data sources were utilised to characterise the skills/educational endowments and gaps among persons with disabilities compared to those without. Specifically, data from the Survey on Income and Living Conditions (SILC), the Programme for the International Assessment of Adult Competencies (PIAAC), the Census of Population, and the European Union Statistics on Income and Living Conditions (EU-SILC) were examined. Where the data permitted, we differentiated those with a disability by type, everyday difficulties (e.g. difficulty dressing), and/or severity level. We also examined the employment characteristics of people with disabilities compared to persons without, and investigated the impact of having a disability on an individual’s employment prospects. What follows is a summary of the principal findings from this research, including some discussion on future directions.","language":"en","note":"DOI: 10.26504/sustat107","publisher":"ESRI","source":"DOI.org (Crossref)","title":"Identification Of Skills Gaps Among Persons With Disabilities And Their Employment Prospects","URL":"https://www.esri.ie/publications/identification-of-skills-gaps-among-persons-with-disabilities-and-their-employment","author":[{"family":"Kelly","given":"Elish"},{"family":"Maître","given":"Bertrand"},{"literal":"ESRI"}],"accessed":{"date-parts":[["2023",10,10]]},"issued":{"date-parts":[["2021",9,22]]}}}],"schema":"https://github.com/citation-style-language/schema/raw/master/csl-citation.json"} </w:instrText>
      </w:r>
      <w:r w:rsidR="008C0BAB">
        <w:fldChar w:fldCharType="separate"/>
      </w:r>
      <w:r w:rsidR="008C0BAB" w:rsidRPr="008C0BAB">
        <w:t>(2)</w:t>
      </w:r>
      <w:r w:rsidR="008C0BAB">
        <w:fldChar w:fldCharType="end"/>
      </w:r>
      <w:r w:rsidR="004D1262">
        <w:t>.</w:t>
      </w:r>
      <w:r w:rsidR="007D0157">
        <w:t xml:space="preserve"> </w:t>
      </w:r>
      <w:r>
        <w:t xml:space="preserve">Ireland is among </w:t>
      </w:r>
      <w:r w:rsidR="007D0157">
        <w:t>the lowest-ranked</w:t>
      </w:r>
      <w:r>
        <w:t xml:space="preserve"> </w:t>
      </w:r>
      <w:r w:rsidR="004D1262">
        <w:t>EU</w:t>
      </w:r>
      <w:r>
        <w:t xml:space="preserve"> Member </w:t>
      </w:r>
      <w:r w:rsidR="009F44B0">
        <w:t>S</w:t>
      </w:r>
      <w:r>
        <w:t xml:space="preserve">tates on a range of </w:t>
      </w:r>
      <w:r w:rsidR="00D0413F">
        <w:t xml:space="preserve">poverty and </w:t>
      </w:r>
      <w:r>
        <w:t>social inclusion measures for people with disabilities</w:t>
      </w:r>
      <w:r w:rsidR="0061461F">
        <w:t xml:space="preserve"> </w:t>
      </w:r>
      <w:r w:rsidR="0061461F">
        <w:fldChar w:fldCharType="begin"/>
      </w:r>
      <w:r w:rsidR="008C0BAB">
        <w:instrText xml:space="preserve"> ADDIN ZOTERO_ITEM CSL_CITATION {"citationID":"4G7V20Gz","properties":{"formattedCitation":"(3)","plainCitation":"(3)","noteIndex":0},"citationItems":[{"id":95,"uris":["http://zotero.org/users/local/kvLunvBP/items/2VMT6S4J"],"itemData":{"id":95,"type":"report","language":"en","publisher":"ESRI","source":"Zotero","title":"Thematic Report on Poverty and Social Inclusion Indicators. Poverty and Social Inclusion Indicators in the Roadmap for  Social Inclusion 2020–2025 in Comparative Perspective Covering  2018–2021","title-short":"Thematic Report on Poverty and Social Inclusion Indicators.","URL":"https://www.esri.ie/system/files/publications/BKMNEXT434_0.pdf","author":[{"family":"Sprong","given":"Stefanie"},{"family":"Maître","given":"Bertrand"}],"issued":{"date-parts":[["2023"]]}}}],"schema":"https://github.com/citation-style-language/schema/raw/master/csl-citation.json"} </w:instrText>
      </w:r>
      <w:r w:rsidR="0061461F">
        <w:fldChar w:fldCharType="separate"/>
      </w:r>
      <w:r w:rsidR="008C0BAB" w:rsidRPr="008C0BAB">
        <w:t>(3)</w:t>
      </w:r>
      <w:r w:rsidR="0061461F">
        <w:fldChar w:fldCharType="end"/>
      </w:r>
      <w:r>
        <w:t xml:space="preserve">. For example, </w:t>
      </w:r>
      <w:r w:rsidR="009F44B0">
        <w:t>while Ireland ranks 14</w:t>
      </w:r>
      <w:r w:rsidR="009F44B0" w:rsidRPr="009F44B0">
        <w:rPr>
          <w:vertAlign w:val="superscript"/>
        </w:rPr>
        <w:t>th</w:t>
      </w:r>
      <w:r w:rsidR="009F44B0">
        <w:t xml:space="preserve"> of 27 EU countries overall on the At Risk of Poverty or Social Exclusion (AROPE) measure, </w:t>
      </w:r>
      <w:r w:rsidR="004D1262">
        <w:t>we rank</w:t>
      </w:r>
      <w:r>
        <w:t xml:space="preserve"> 24</w:t>
      </w:r>
      <w:r w:rsidR="009F44B0" w:rsidRPr="009F44B0">
        <w:rPr>
          <w:vertAlign w:val="superscript"/>
        </w:rPr>
        <w:t>th</w:t>
      </w:r>
      <w:r w:rsidR="009F44B0">
        <w:t xml:space="preserve"> </w:t>
      </w:r>
      <w:r w:rsidR="007D0157">
        <w:t xml:space="preserve">of 27 </w:t>
      </w:r>
      <w:r w:rsidR="009F44B0">
        <w:t xml:space="preserve">in </w:t>
      </w:r>
      <w:r w:rsidR="007D0157">
        <w:t>relation to the</w:t>
      </w:r>
      <w:r w:rsidR="009F44B0">
        <w:t xml:space="preserve"> AROPE measure </w:t>
      </w:r>
      <w:r>
        <w:t>for people with disabilitie</w:t>
      </w:r>
      <w:r w:rsidR="009F44B0">
        <w:t>s</w:t>
      </w:r>
      <w:r>
        <w:t>.</w:t>
      </w:r>
      <w:r w:rsidR="009F44B0">
        <w:t xml:space="preserve"> </w:t>
      </w:r>
      <w:r w:rsidR="00D0413F">
        <w:t xml:space="preserve">Similarly, Ireland ranks 14th of 27 </w:t>
      </w:r>
      <w:r w:rsidR="007D0157">
        <w:t>Member States</w:t>
      </w:r>
      <w:r w:rsidR="00D0413F">
        <w:t xml:space="preserve"> in terms of severe material deprivation</w:t>
      </w:r>
      <w:r w:rsidR="00046B70">
        <w:t xml:space="preserve">, </w:t>
      </w:r>
      <w:r w:rsidR="007D0157">
        <w:t xml:space="preserve">while </w:t>
      </w:r>
      <w:r w:rsidR="00D0413F">
        <w:t>rank</w:t>
      </w:r>
      <w:r w:rsidR="007D0157">
        <w:t>ing</w:t>
      </w:r>
      <w:r w:rsidR="00D0413F">
        <w:t xml:space="preserve"> 22</w:t>
      </w:r>
      <w:r w:rsidR="00D0413F" w:rsidRPr="00D0413F">
        <w:rPr>
          <w:vertAlign w:val="superscript"/>
        </w:rPr>
        <w:t>nd</w:t>
      </w:r>
      <w:r w:rsidR="00D0413F">
        <w:t xml:space="preserve"> in terms of severe material deprivation for people with disabilities</w:t>
      </w:r>
      <w:r w:rsidR="0061461F">
        <w:t xml:space="preserve"> </w:t>
      </w:r>
      <w:r w:rsidR="0061461F">
        <w:fldChar w:fldCharType="begin"/>
      </w:r>
      <w:r w:rsidR="008C0BAB">
        <w:instrText xml:space="preserve"> ADDIN ZOTERO_ITEM CSL_CITATION {"citationID":"Esn6WLkM","properties":{"formattedCitation":"(3)","plainCitation":"(3)","noteIndex":0},"citationItems":[{"id":95,"uris":["http://zotero.org/users/local/kvLunvBP/items/2VMT6S4J"],"itemData":{"id":95,"type":"report","language":"en","publisher":"ESRI","source":"Zotero","title":"Thematic Report on Poverty and Social Inclusion Indicators. Poverty and Social Inclusion Indicators in the Roadmap for  Social Inclusion 2020–2025 in Comparative Perspective Covering  2018–2021","title-short":"Thematic Report on Poverty and Social Inclusion Indicators.","URL":"https://www.esri.ie/system/files/publications/BKMNEXT434_0.pdf","author":[{"family":"Sprong","given":"Stefanie"},{"family":"Maître","given":"Bertrand"}],"issued":{"date-parts":[["2023"]]}}}],"schema":"https://github.com/citation-style-language/schema/raw/master/csl-citation.json"} </w:instrText>
      </w:r>
      <w:r w:rsidR="0061461F">
        <w:fldChar w:fldCharType="separate"/>
      </w:r>
      <w:r w:rsidR="008C0BAB" w:rsidRPr="008C0BAB">
        <w:t>(3)</w:t>
      </w:r>
      <w:r w:rsidR="0061461F">
        <w:fldChar w:fldCharType="end"/>
      </w:r>
      <w:r w:rsidR="00D0413F">
        <w:t xml:space="preserve">. </w:t>
      </w:r>
    </w:p>
    <w:p w14:paraId="132AA72F" w14:textId="00D4E04E" w:rsidR="00DD2429" w:rsidRDefault="004D1262" w:rsidP="00DD2429">
      <w:r>
        <w:t>It is also important to recognise that r</w:t>
      </w:r>
      <w:r w:rsidR="00A71B50">
        <w:t xml:space="preserve">elationships between poverty and disability </w:t>
      </w:r>
      <w:r w:rsidR="002A0144">
        <w:t>can be</w:t>
      </w:r>
      <w:r w:rsidR="00A71B50">
        <w:t xml:space="preserve"> bidirectional. </w:t>
      </w:r>
      <w:r w:rsidR="005E320D">
        <w:t xml:space="preserve">For example, mental health difficulties can both impact and be impacted by </w:t>
      </w:r>
      <w:r w:rsidR="00EA0124">
        <w:t xml:space="preserve">income levels, and </w:t>
      </w:r>
      <w:r>
        <w:t xml:space="preserve">these interrelationships </w:t>
      </w:r>
      <w:r w:rsidR="00EA0124">
        <w:t xml:space="preserve">also </w:t>
      </w:r>
      <w:r>
        <w:t xml:space="preserve">have </w:t>
      </w:r>
      <w:r w:rsidR="00EA0124">
        <w:t>intergenerational effects.</w:t>
      </w:r>
      <w:r w:rsidR="005E320D">
        <w:t xml:space="preserve"> </w:t>
      </w:r>
      <w:r w:rsidR="00DD2429">
        <w:t xml:space="preserve">Parental depression is one of the best-established risk factors for child mental health difficulties. </w:t>
      </w:r>
      <w:r w:rsidR="00EA0124">
        <w:t>Research carried out using</w:t>
      </w:r>
      <w:r w:rsidR="00A71B50">
        <w:t xml:space="preserve"> Growing Up in Scotland data ha</w:t>
      </w:r>
      <w:r w:rsidR="00EA0124">
        <w:t xml:space="preserve">s shown that poverty </w:t>
      </w:r>
      <w:r w:rsidR="00DD2429">
        <w:t>has a large effect on</w:t>
      </w:r>
      <w:r w:rsidR="00EA0124">
        <w:t xml:space="preserve"> maternal mental health, which in turn impacts on the mental health and well-being of children</w:t>
      </w:r>
      <w:r w:rsidR="007939B1">
        <w:t xml:space="preserve"> </w:t>
      </w:r>
      <w:r w:rsidR="007939B1">
        <w:fldChar w:fldCharType="begin"/>
      </w:r>
      <w:r w:rsidR="008C0BAB">
        <w:instrText xml:space="preserve"> ADDIN ZOTERO_ITEM CSL_CITATION {"citationID":"Eea2aicL","properties":{"formattedCitation":"(4)","plainCitation":"(4)","noteIndex":0},"citationItems":[{"id":91,"uris":["http://zotero.org/users/local/kvLunvBP/items/3F5KHX4B"],"itemData":{"id":91,"type":"article-journal","abstract":"Purpose\nTo ascertain to what extent parental and children's mental health wellbeing are inter-related over time.\nMethods\nWe used a birth cohort study of 5,217 children in Scotland followed up from birth to adolescence. We fitted a Random Intercept Cross-lagged Panel Model for parental mental health and children's conduct problems and emotional symptoms. We included longitudinal patterns of poverty as the main covariate and some demographic control variables.\nResults\nThe effects of parental mental health and child conduct problems and emotional symptoms on one another are roughly equal in early childhood. At younger ages, parents with poorer mental health tend to negatively affect their children's conduct and the conduct problems of a child seem to impact negatively on their parents' mental health. At older ages, it is children's emotional symptoms, but not conduct problems, that tend to have a reciprocal effect on parental mental health. Regarding structural inequalities, the effect of poverty on parents' and children's mental health is categorically the largest and continues to accrue throughout the whole period, intensifying mental health problems for both parents and children over time.\nDiscussion\nChildren’s and parents' wellbeing is a bidirectional process. This interdependency needs to be acknowledged and addressed in policy. To foster children's wellbeing, we also need to foster parents' wellbeing. Furthermore, all interventions that address mental health and wellbeing in parents and children and that do not also tackle structural inequalities, such as poverty, will have limited success.","container-title":"Journal of Adolescent Health","DOI":"10.1016/j.jadohealth.2023.04.012","ISSN":"1054-139X","issue":"3","journalAbbreviation":"Journal of Adolescent Health","page":"470-477","source":"ScienceDirect","title":"The Indivisibility of Parental and Child Mental Health and Why Poverty Matters","URL":"https://www.sciencedirect.com/science/article/pii/S1054139X23002100","volume":"73","author":[{"family":"Treanor","given":"Morag"},{"family":"Troncoso","given":"Patricio"}],"accessed":{"date-parts":[["2024",1,10]]},"issued":{"date-parts":[["2023",9,1]]}}}],"schema":"https://github.com/citation-style-language/schema/raw/master/csl-citation.json"} </w:instrText>
      </w:r>
      <w:r w:rsidR="007939B1">
        <w:fldChar w:fldCharType="separate"/>
      </w:r>
      <w:r w:rsidR="008C0BAB" w:rsidRPr="008C0BAB">
        <w:t>(4)</w:t>
      </w:r>
      <w:r w:rsidR="007939B1">
        <w:fldChar w:fldCharType="end"/>
      </w:r>
      <w:r w:rsidR="00EA0124">
        <w:t>. Poverty impact</w:t>
      </w:r>
      <w:r w:rsidR="00DD2429">
        <w:t>s</w:t>
      </w:r>
      <w:r w:rsidR="00EA0124">
        <w:t xml:space="preserve"> children both directly</w:t>
      </w:r>
      <w:r w:rsidR="00DD2429">
        <w:t>, by limiting parents’ capacity to invest on their child's development, and indirectly by contributing to parental mental health difficulties</w:t>
      </w:r>
      <w:r w:rsidR="007939B1">
        <w:t xml:space="preserve"> </w:t>
      </w:r>
      <w:r w:rsidR="007939B1">
        <w:fldChar w:fldCharType="begin"/>
      </w:r>
      <w:r w:rsidR="008C0BAB">
        <w:instrText xml:space="preserve"> ADDIN ZOTERO_ITEM CSL_CITATION {"citationID":"pZNT9ule","properties":{"formattedCitation":"(4)","plainCitation":"(4)","noteIndex":0},"citationItems":[{"id":91,"uris":["http://zotero.org/users/local/kvLunvBP/items/3F5KHX4B"],"itemData":{"id":91,"type":"article-journal","abstract":"Purpose\nTo ascertain to what extent parental and children's mental health wellbeing are inter-related over time.\nMethods\nWe used a birth cohort study of 5,217 children in Scotland followed up from birth to adolescence. We fitted a Random Intercept Cross-lagged Panel Model for parental mental health and children's conduct problems and emotional symptoms. We included longitudinal patterns of poverty as the main covariate and some demographic control variables.\nResults\nThe effects of parental mental health and child conduct problems and emotional symptoms on one another are roughly equal in early childhood. At younger ages, parents with poorer mental health tend to negatively affect their children's conduct and the conduct problems of a child seem to impact negatively on their parents' mental health. At older ages, it is children's emotional symptoms, but not conduct problems, that tend to have a reciprocal effect on parental mental health. Regarding structural inequalities, the effect of poverty on parents' and children's mental health is categorically the largest and continues to accrue throughout the whole period, intensifying mental health problems for both parents and children over time.\nDiscussion\nChildren’s and parents' wellbeing is a bidirectional process. This interdependency needs to be acknowledged and addressed in policy. To foster children's wellbeing, we also need to foster parents' wellbeing. Furthermore, all interventions that address mental health and wellbeing in parents and children and that do not also tackle structural inequalities, such as poverty, will have limited success.","container-title":"Journal of Adolescent Health","DOI":"10.1016/j.jadohealth.2023.04.012","ISSN":"1054-139X","issue":"3","journalAbbreviation":"Journal of Adolescent Health","page":"470-477","source":"ScienceDirect","title":"The Indivisibility of Parental and Child Mental Health and Why Poverty Matters","URL":"https://www.sciencedirect.com/science/article/pii/S1054139X23002100","volume":"73","author":[{"family":"Treanor","given":"Morag"},{"family":"Troncoso","given":"Patricio"}],"accessed":{"date-parts":[["2024",1,10]]},"issued":{"date-parts":[["2023",9,1]]}}}],"schema":"https://github.com/citation-style-language/schema/raw/master/csl-citation.json"} </w:instrText>
      </w:r>
      <w:r w:rsidR="007939B1">
        <w:fldChar w:fldCharType="separate"/>
      </w:r>
      <w:r w:rsidR="008C0BAB" w:rsidRPr="008C0BAB">
        <w:t>(4)</w:t>
      </w:r>
      <w:r w:rsidR="007939B1">
        <w:fldChar w:fldCharType="end"/>
      </w:r>
      <w:r w:rsidR="00DD2429">
        <w:t>.</w:t>
      </w:r>
      <w:r w:rsidR="00AD2177">
        <w:t xml:space="preserve"> Evidence from Growing Up in Ireland also indicates that early exposure to economic vulnerability in childhood is associated with</w:t>
      </w:r>
      <w:r w:rsidR="004905E2">
        <w:t xml:space="preserve"> chronic illness or disability at age 9 and at age 17</w:t>
      </w:r>
      <w:r w:rsidR="000F19C7">
        <w:t>.</w:t>
      </w:r>
      <w:r w:rsidR="004905E2">
        <w:t xml:space="preserve"> </w:t>
      </w:r>
      <w:r w:rsidR="000F19C7">
        <w:t xml:space="preserve">The </w:t>
      </w:r>
      <w:r w:rsidR="004905E2">
        <w:t xml:space="preserve">rate of </w:t>
      </w:r>
      <w:r w:rsidR="000F19C7">
        <w:t xml:space="preserve">disability or chronic illness among </w:t>
      </w:r>
      <w:r w:rsidR="004905E2">
        <w:t>children</w:t>
      </w:r>
      <w:r w:rsidR="000F19C7">
        <w:t xml:space="preserve"> aged 9 who</w:t>
      </w:r>
      <w:r w:rsidR="004905E2">
        <w:t xml:space="preserve"> </w:t>
      </w:r>
      <w:r w:rsidR="000F19C7">
        <w:t>have</w:t>
      </w:r>
      <w:r w:rsidR="004905E2">
        <w:t xml:space="preserve"> never experienced economic vulnerability </w:t>
      </w:r>
      <w:r w:rsidR="000F19C7">
        <w:t>(just over 10%) is approximately half that of children who have always been economically vulnerable (21%). The relationship is even stronger for the cohort at age 17</w:t>
      </w:r>
      <w:r w:rsidR="004F673F">
        <w:t xml:space="preserve"> </w:t>
      </w:r>
      <w:r w:rsidR="004F673F">
        <w:fldChar w:fldCharType="begin"/>
      </w:r>
      <w:r w:rsidR="008C0BAB">
        <w:instrText xml:space="preserve"> ADDIN ZOTERO_ITEM CSL_CITATION {"citationID":"rHPHUWUe","properties":{"formattedCitation":"(5)","plainCitation":"(5)","noteIndex":0},"citationItems":[{"id":103,"uris":["http://zotero.org/users/local/kvLunvBP/items/R55VE4JG"],"itemData":{"id":103,"type":"report","language":"en","note":"DOI: 10.26504/rs121","publisher":"ESRI","source":"DOI.org (Crossref)","title":"The dynamics of child poverty in Ireland: Evidence from the Growing Up in Ireland survey","title-short":"The dynamics of child poverty in Ireland","URL":"https://www.esri.ie/publications/the-dynamics-of-child-poverty-in-ireland-evidence-from-the-growing-up-in-ireland","author":[{"literal":"ESRI"},{"family":"Maître","given":"Bertrand"},{"family":"Russell","given":"Helen"},{"literal":"ESRI"},{"family":"Smyth","given":"Emer"},{"literal":"ESRI"}],"accessed":{"date-parts":[["2024",1,15]]},"issued":{"date-parts":[["2021",5,31]]}}}],"schema":"https://github.com/citation-style-language/schema/raw/master/csl-citation.json"} </w:instrText>
      </w:r>
      <w:r w:rsidR="004F673F">
        <w:fldChar w:fldCharType="separate"/>
      </w:r>
      <w:r w:rsidR="008C0BAB" w:rsidRPr="008C0BAB">
        <w:t>(5)</w:t>
      </w:r>
      <w:r w:rsidR="004F673F">
        <w:fldChar w:fldCharType="end"/>
      </w:r>
      <w:r w:rsidR="000F19C7">
        <w:t>.</w:t>
      </w:r>
    </w:p>
    <w:p w14:paraId="122ACB83" w14:textId="4B020214" w:rsidR="00D224C1" w:rsidRDefault="00D224C1" w:rsidP="00D224C1">
      <w:pPr>
        <w:pStyle w:val="Heading1"/>
      </w:pPr>
      <w:r>
        <w:lastRenderedPageBreak/>
        <w:t>The need for</w:t>
      </w:r>
      <w:r w:rsidR="00843070">
        <w:t xml:space="preserve"> child poverty</w:t>
      </w:r>
      <w:r>
        <w:t xml:space="preserve"> sub-targets</w:t>
      </w:r>
    </w:p>
    <w:p w14:paraId="296D9A9C" w14:textId="491F0E9C" w:rsidR="00C375E2" w:rsidRDefault="00C375E2" w:rsidP="007B25BD">
      <w:r>
        <w:t xml:space="preserve">National child poverty targets are important for </w:t>
      </w:r>
      <w:r w:rsidR="008026D1">
        <w:t>many</w:t>
      </w:r>
      <w:r w:rsidR="008E1587">
        <w:t xml:space="preserve"> </w:t>
      </w:r>
      <w:r w:rsidR="0061461F">
        <w:t>reasons</w:t>
      </w:r>
      <w:r>
        <w:t xml:space="preserve">, including focusing policy action and resources, </w:t>
      </w:r>
      <w:r w:rsidR="004D1262">
        <w:t xml:space="preserve">facilitating the </w:t>
      </w:r>
      <w:r w:rsidR="00CC04BF">
        <w:t>measuring</w:t>
      </w:r>
      <w:r>
        <w:t xml:space="preserve"> </w:t>
      </w:r>
      <w:r w:rsidR="004D1262">
        <w:t xml:space="preserve">of </w:t>
      </w:r>
      <w:r>
        <w:t xml:space="preserve">progress, </w:t>
      </w:r>
      <w:r w:rsidR="00CC04BF">
        <w:t xml:space="preserve">and </w:t>
      </w:r>
      <w:r w:rsidR="0061461F">
        <w:t>focusing national attention on</w:t>
      </w:r>
      <w:r w:rsidR="004D1262">
        <w:t xml:space="preserve"> and raising awareness of</w:t>
      </w:r>
      <w:r w:rsidR="0061461F">
        <w:t xml:space="preserve"> </w:t>
      </w:r>
      <w:r>
        <w:t>the issue of child poverty</w:t>
      </w:r>
      <w:r w:rsidR="00CC04BF">
        <w:t>. However,</w:t>
      </w:r>
      <w:r w:rsidR="0061461F">
        <w:t xml:space="preserve"> it is also the case</w:t>
      </w:r>
      <w:r w:rsidR="007E7334">
        <w:t xml:space="preserve"> that </w:t>
      </w:r>
      <w:r w:rsidR="00AE3C14">
        <w:t>the setting and monitoring of headline national targets</w:t>
      </w:r>
      <w:r w:rsidR="00CC04BF">
        <w:t xml:space="preserve"> </w:t>
      </w:r>
      <w:r w:rsidR="007E7334">
        <w:t xml:space="preserve">in isolation </w:t>
      </w:r>
      <w:r w:rsidR="00CC04BF">
        <w:t>can mask the true picture of child poverty for vulnerable subgroups.</w:t>
      </w:r>
    </w:p>
    <w:p w14:paraId="118E9CCC" w14:textId="0378BD7B" w:rsidR="00D224C1" w:rsidRDefault="007B25BD" w:rsidP="007B25BD">
      <w:r>
        <w:t>New Zealand is a country that ha</w:t>
      </w:r>
      <w:r w:rsidR="00AE3C14">
        <w:t>s</w:t>
      </w:r>
      <w:r w:rsidR="004D1262">
        <w:t xml:space="preserve"> in recent years</w:t>
      </w:r>
      <w:r w:rsidR="000A46C9">
        <w:t xml:space="preserve"> </w:t>
      </w:r>
      <w:r>
        <w:t xml:space="preserve">established </w:t>
      </w:r>
      <w:r w:rsidR="004D1262">
        <w:t xml:space="preserve">national </w:t>
      </w:r>
      <w:r>
        <w:t>targets for reducing child poverty</w:t>
      </w:r>
      <w:r w:rsidR="00AE3C14">
        <w:t xml:space="preserve"> </w:t>
      </w:r>
      <w:r w:rsidR="000A46C9">
        <w:t>that</w:t>
      </w:r>
      <w:r w:rsidR="00024A8D">
        <w:t xml:space="preserve"> also</w:t>
      </w:r>
      <w:r>
        <w:t xml:space="preserve"> include consideration of </w:t>
      </w:r>
      <w:r w:rsidR="00D224C1">
        <w:t>poverty among the at-risk subg</w:t>
      </w:r>
      <w:r w:rsidR="003324F2">
        <w:t>r</w:t>
      </w:r>
      <w:r w:rsidR="00D224C1">
        <w:t xml:space="preserve">oups of </w:t>
      </w:r>
      <w:r w:rsidR="00AE3C14">
        <w:t>ethnic minority (</w:t>
      </w:r>
      <w:r w:rsidR="006F6D71" w:rsidRPr="002E5CE4">
        <w:t>M</w:t>
      </w:r>
      <w:r w:rsidR="006F6D71" w:rsidRPr="002E5CE4">
        <w:rPr>
          <w:rFonts w:ascii="Calibri" w:hAnsi="Calibri" w:cs="Calibri"/>
        </w:rPr>
        <w:t>ā</w:t>
      </w:r>
      <w:r w:rsidR="006F6D71" w:rsidRPr="002E5CE4">
        <w:t>ori</w:t>
      </w:r>
      <w:r w:rsidR="00D224C1">
        <w:t xml:space="preserve"> and Pacific</w:t>
      </w:r>
      <w:r w:rsidR="00AE3C14">
        <w:t>)</w:t>
      </w:r>
      <w:r w:rsidR="00D224C1">
        <w:t xml:space="preserve"> children</w:t>
      </w:r>
      <w:r w:rsidR="004D1262">
        <w:t xml:space="preserve"> </w:t>
      </w:r>
      <w:r w:rsidR="00D224C1">
        <w:t>and children impacted by disability</w:t>
      </w:r>
      <w:r>
        <w:t xml:space="preserve">. </w:t>
      </w:r>
    </w:p>
    <w:p w14:paraId="1F97D4ED" w14:textId="6F364299" w:rsidR="00024A8D" w:rsidRDefault="000A46C9" w:rsidP="007B25BD">
      <w:r>
        <w:t>There</w:t>
      </w:r>
      <w:r w:rsidR="007B25BD">
        <w:t xml:space="preserve"> </w:t>
      </w:r>
      <w:r w:rsidR="00024A8D">
        <w:t>has been</w:t>
      </w:r>
      <w:r w:rsidR="007B25BD">
        <w:t xml:space="preserve"> </w:t>
      </w:r>
      <w:r w:rsidR="003324F2">
        <w:t xml:space="preserve">significant </w:t>
      </w:r>
      <w:r w:rsidR="007B25BD">
        <w:t>progress in New Zealand in reducing overall child poverty</w:t>
      </w:r>
      <w:r w:rsidR="00024A8D">
        <w:t xml:space="preserve"> since the establishment of these targets</w:t>
      </w:r>
      <w:r w:rsidR="00A64350">
        <w:t>. For</w:t>
      </w:r>
      <w:r w:rsidR="00024A8D">
        <w:t xml:space="preserve"> example,</w:t>
      </w:r>
      <w:r w:rsidR="00A64350">
        <w:t xml:space="preserve"> there has been</w:t>
      </w:r>
      <w:r w:rsidR="007B25BD">
        <w:t xml:space="preserve"> a 7.4 percentage point </w:t>
      </w:r>
      <w:r w:rsidR="00A64350">
        <w:t>reduction</w:t>
      </w:r>
      <w:r w:rsidR="007B25BD">
        <w:t xml:space="preserve"> in the after-housing cost</w:t>
      </w:r>
      <w:r w:rsidR="00DA427E">
        <w:t xml:space="preserve"> (AHC)</w:t>
      </w:r>
      <w:r w:rsidR="007B25BD">
        <w:t xml:space="preserve"> fixed line </w:t>
      </w:r>
      <w:r w:rsidR="00A64350">
        <w:t>rate of poverty</w:t>
      </w:r>
      <w:r w:rsidR="007B25BD">
        <w:t xml:space="preserve">, a </w:t>
      </w:r>
      <w:r w:rsidR="00024A8D">
        <w:t>4.5-point</w:t>
      </w:r>
      <w:r w:rsidR="007B25BD">
        <w:t xml:space="preserve"> decrease in the before housing</w:t>
      </w:r>
      <w:r w:rsidR="00DA427E">
        <w:t xml:space="preserve"> costs</w:t>
      </w:r>
      <w:r w:rsidR="007B25BD">
        <w:t xml:space="preserve"> </w:t>
      </w:r>
      <w:r w:rsidR="00DA427E">
        <w:t xml:space="preserve">(BHC) </w:t>
      </w:r>
      <w:r w:rsidR="00024A8D">
        <w:t xml:space="preserve">moving line </w:t>
      </w:r>
      <w:r w:rsidR="00A64350">
        <w:t>rate</w:t>
      </w:r>
      <w:r w:rsidR="007B25BD">
        <w:t>, and a three</w:t>
      </w:r>
      <w:r w:rsidR="00024A8D">
        <w:t>-</w:t>
      </w:r>
      <w:r w:rsidR="007B25BD">
        <w:t xml:space="preserve">percentage point decrease in </w:t>
      </w:r>
      <w:r w:rsidR="00A64350">
        <w:t xml:space="preserve">the </w:t>
      </w:r>
      <w:r w:rsidR="007B25BD">
        <w:t xml:space="preserve">material </w:t>
      </w:r>
      <w:r w:rsidR="00024A8D">
        <w:t xml:space="preserve">hardship </w:t>
      </w:r>
      <w:r w:rsidR="00A64350">
        <w:t xml:space="preserve">rate </w:t>
      </w:r>
      <w:r w:rsidR="00024A8D">
        <w:t>in the period from 2017/2018 to 2021/2022</w:t>
      </w:r>
      <w:r w:rsidR="00C947D5">
        <w:t xml:space="preserve"> </w:t>
      </w:r>
      <w:r w:rsidR="00C947D5">
        <w:fldChar w:fldCharType="begin"/>
      </w:r>
      <w:r w:rsidR="008C0BAB">
        <w:instrText xml:space="preserve"> ADDIN ZOTERO_ITEM CSL_CITATION {"citationID":"CLMlIST7","properties":{"formattedCitation":"(6)","plainCitation":"(6)","noteIndex":0},"citationItems":[{"id":108,"uris":["http://zotero.org/users/local/kvLunvBP/items/L3W2KGW8"],"itemData":{"id":108,"type":"webpage","language":"en","title":"Child poverty statistics: Year ended June 2022","URL":"https://www.stats.govt.nz/information-releases/child-poverty-statistics-year-ended-june-2022","author":[{"family":"Stats NZ","given":""}],"accessed":{"date-parts":[["2024",1,16]]},"issued":{"date-parts":[["2023",3]]}}}],"schema":"https://github.com/citation-style-language/schema/raw/master/csl-citation.json"} </w:instrText>
      </w:r>
      <w:r w:rsidR="00C947D5">
        <w:fldChar w:fldCharType="separate"/>
      </w:r>
      <w:r w:rsidR="008C0BAB" w:rsidRPr="008C0BAB">
        <w:t>(6)</w:t>
      </w:r>
      <w:r w:rsidR="00C947D5">
        <w:fldChar w:fldCharType="end"/>
      </w:r>
      <w:r w:rsidR="00024A8D">
        <w:t xml:space="preserve">. </w:t>
      </w:r>
    </w:p>
    <w:p w14:paraId="1B418398" w14:textId="27F1DF3C" w:rsidR="007B25BD" w:rsidRDefault="00FE6104" w:rsidP="007B25BD">
      <w:r>
        <w:t xml:space="preserve">While these </w:t>
      </w:r>
      <w:r w:rsidR="004D1262">
        <w:t xml:space="preserve">headline </w:t>
      </w:r>
      <w:r>
        <w:t>reductions are very welcome</w:t>
      </w:r>
      <w:r w:rsidR="00024A8D">
        <w:t>, because New Zealand made the decision to</w:t>
      </w:r>
      <w:r w:rsidR="004D1262">
        <w:t xml:space="preserve"> also</w:t>
      </w:r>
      <w:r w:rsidR="00024A8D">
        <w:t xml:space="preserve"> monitor poverty levels among</w:t>
      </w:r>
      <w:r w:rsidR="003324F2">
        <w:t xml:space="preserve"> </w:t>
      </w:r>
      <w:r w:rsidR="00024A8D">
        <w:t xml:space="preserve">sub-groups of the population, </w:t>
      </w:r>
      <w:r w:rsidR="003324F2">
        <w:t xml:space="preserve">it is </w:t>
      </w:r>
      <w:r w:rsidR="00024A8D">
        <w:t xml:space="preserve">possible to clearly identify </w:t>
      </w:r>
      <w:r w:rsidR="003324F2">
        <w:t>that</w:t>
      </w:r>
      <w:r w:rsidR="00024A8D">
        <w:t xml:space="preserve"> </w:t>
      </w:r>
      <w:r w:rsidR="007B25BD">
        <w:t>different sub</w:t>
      </w:r>
      <w:r w:rsidR="004D1262">
        <w:t>-</w:t>
      </w:r>
      <w:r w:rsidR="007B25BD">
        <w:t xml:space="preserve">groups </w:t>
      </w:r>
      <w:r w:rsidR="003324F2">
        <w:t xml:space="preserve">have experienced different child poverty trends over </w:t>
      </w:r>
      <w:r w:rsidR="00024A8D">
        <w:t>recent years</w:t>
      </w:r>
      <w:r w:rsidR="00C947D5">
        <w:t xml:space="preserve"> </w:t>
      </w:r>
      <w:r w:rsidR="00C947D5">
        <w:fldChar w:fldCharType="begin"/>
      </w:r>
      <w:r w:rsidR="008C0BAB">
        <w:instrText xml:space="preserve"> ADDIN ZOTERO_ITEM CSL_CITATION {"citationID":"20NkTbWV","properties":{"formattedCitation":"(7)","plainCitation":"(7)","noteIndex":0},"citationItems":[{"id":106,"uris":["http://zotero.org/users/local/kvLunvBP/items/W9JIKMXQ"],"itemData":{"id":106,"type":"webpage","container-title":"NZ 2023 Budget","genre":"Text","language":"en-NZ","title":"There are different child poverty trends across specific population groups - Budget 2023 - 18 May 2023","URL":"https://2023.budget.govt.nz/budget/2023/wellbeing/child-poverty-report/poverty-across-groups.htm#reference-index-10","author":[{"family":"New Zealand Government","given":""}],"accessed":{"date-parts":[["2024",1,16]]},"issued":{"date-parts":[["2023"]]}}}],"schema":"https://github.com/citation-style-language/schema/raw/master/csl-citation.json"} </w:instrText>
      </w:r>
      <w:r w:rsidR="00C947D5">
        <w:fldChar w:fldCharType="separate"/>
      </w:r>
      <w:r w:rsidR="008C0BAB" w:rsidRPr="008C0BAB">
        <w:t>(7)</w:t>
      </w:r>
      <w:r w:rsidR="00C947D5">
        <w:fldChar w:fldCharType="end"/>
      </w:r>
      <w:r w:rsidR="003324F2">
        <w:t xml:space="preserve">. </w:t>
      </w:r>
      <w:r w:rsidR="004D1262">
        <w:t>As shown in Table 1, for example, t</w:t>
      </w:r>
      <w:r w:rsidR="00024A8D">
        <w:t xml:space="preserve">here has been much less progress in reducing child poverty among Pacific children than </w:t>
      </w:r>
      <w:r w:rsidR="006F6D71" w:rsidRPr="002E5CE4">
        <w:t>M</w:t>
      </w:r>
      <w:r w:rsidR="006F6D71" w:rsidRPr="002E5CE4">
        <w:rPr>
          <w:rFonts w:ascii="Calibri" w:hAnsi="Calibri" w:cs="Calibri"/>
        </w:rPr>
        <w:t>ā</w:t>
      </w:r>
      <w:r w:rsidR="006F6D71" w:rsidRPr="002E5CE4">
        <w:t>ori</w:t>
      </w:r>
      <w:r w:rsidR="00024A8D">
        <w:t xml:space="preserve"> children</w:t>
      </w:r>
      <w:r w:rsidR="007B25BD">
        <w:t xml:space="preserve">. For children impacted by disability, there was </w:t>
      </w:r>
      <w:proofErr w:type="gramStart"/>
      <w:r w:rsidR="007B25BD">
        <w:t>actually a</w:t>
      </w:r>
      <w:proofErr w:type="gramEnd"/>
      <w:r w:rsidR="007B25BD">
        <w:t xml:space="preserve"> 1.4 percentage point </w:t>
      </w:r>
      <w:r w:rsidR="007B25BD" w:rsidRPr="00024A8D">
        <w:rPr>
          <w:i/>
          <w:iCs/>
        </w:rPr>
        <w:t>increase</w:t>
      </w:r>
      <w:r w:rsidR="007B25BD">
        <w:t xml:space="preserve"> in</w:t>
      </w:r>
      <w:r w:rsidR="006F6D71">
        <w:t xml:space="preserve"> the share of</w:t>
      </w:r>
      <w:r w:rsidR="007B25BD">
        <w:t xml:space="preserve"> children </w:t>
      </w:r>
      <w:r w:rsidR="004D1262">
        <w:t>below the</w:t>
      </w:r>
      <w:r w:rsidR="007B25BD">
        <w:t xml:space="preserve"> before housing cost</w:t>
      </w:r>
      <w:r w:rsidR="006F6D71">
        <w:t>s</w:t>
      </w:r>
      <w:r w:rsidR="004D1262">
        <w:t xml:space="preserve"> moving poverty line</w:t>
      </w:r>
      <w:r w:rsidR="007B25BD">
        <w:t xml:space="preserve">, and a 0.3 percentage point increase in the proportion </w:t>
      </w:r>
      <w:r w:rsidR="00513C24">
        <w:t>experiencing material deprivation</w:t>
      </w:r>
      <w:r w:rsidR="00024A8D">
        <w:t xml:space="preserve"> over the years since poverty among this group</w:t>
      </w:r>
      <w:r w:rsidR="004D1262">
        <w:t xml:space="preserve"> has been reliably monitored</w:t>
      </w:r>
      <w:r w:rsidR="003324F2">
        <w:t xml:space="preserve">. </w:t>
      </w:r>
    </w:p>
    <w:p w14:paraId="55C543EA" w14:textId="53B636D0" w:rsidR="000A46C9" w:rsidRDefault="00AF1C08" w:rsidP="007B25BD">
      <w:r>
        <w:t xml:space="preserve">The experience in New Zealand </w:t>
      </w:r>
      <w:r w:rsidR="004D1262">
        <w:t>underscores</w:t>
      </w:r>
      <w:r>
        <w:t xml:space="preserve"> </w:t>
      </w:r>
      <w:r w:rsidR="006F6D71">
        <w:t>that it is unwise</w:t>
      </w:r>
      <w:r>
        <w:t xml:space="preserve"> </w:t>
      </w:r>
      <w:r w:rsidR="006F6D71">
        <w:t>to focus</w:t>
      </w:r>
      <w:r>
        <w:t xml:space="preserve"> solely on global targets</w:t>
      </w:r>
      <w:r w:rsidR="004D1262">
        <w:t xml:space="preserve"> in child poverty reduction efforts</w:t>
      </w:r>
      <w:r>
        <w:t xml:space="preserve">. Despite a positive picture at a national level, things </w:t>
      </w:r>
      <w:r w:rsidR="006F6D71">
        <w:t>have</w:t>
      </w:r>
      <w:r>
        <w:t xml:space="preserve"> not </w:t>
      </w:r>
      <w:r w:rsidR="006F6D71">
        <w:t xml:space="preserve">been </w:t>
      </w:r>
      <w:r>
        <w:t xml:space="preserve">improving </w:t>
      </w:r>
      <w:r w:rsidR="001777A9">
        <w:t>to an equal extent</w:t>
      </w:r>
      <w:r>
        <w:t xml:space="preserve">, and by some measures are </w:t>
      </w:r>
      <w:proofErr w:type="gramStart"/>
      <w:r>
        <w:t>actually getting</w:t>
      </w:r>
      <w:proofErr w:type="gramEnd"/>
      <w:r>
        <w:t xml:space="preserve"> worse, for some of the most vulnerable groups of children in that country. </w:t>
      </w:r>
      <w:r w:rsidR="007D13F9">
        <w:t xml:space="preserve">Awareness of this allows a country to </w:t>
      </w:r>
      <w:r w:rsidR="004D1262">
        <w:t>‘</w:t>
      </w:r>
      <w:r w:rsidR="007D13F9">
        <w:t>course correct</w:t>
      </w:r>
      <w:r w:rsidR="004D1262">
        <w:t xml:space="preserve">’, </w:t>
      </w:r>
      <w:r w:rsidR="007D13F9">
        <w:t>and</w:t>
      </w:r>
      <w:r w:rsidR="004D1262">
        <w:t xml:space="preserve"> to</w:t>
      </w:r>
      <w:r w:rsidR="007D13F9">
        <w:t xml:space="preserve"> </w:t>
      </w:r>
      <w:r w:rsidR="004D1262">
        <w:t>allocate</w:t>
      </w:r>
      <w:r w:rsidR="007D13F9">
        <w:t xml:space="preserve"> resources </w:t>
      </w:r>
      <w:r w:rsidR="004D1262">
        <w:t>and</w:t>
      </w:r>
      <w:r w:rsidR="007D13F9">
        <w:t xml:space="preserve"> target policy measures differently.</w:t>
      </w:r>
    </w:p>
    <w:p w14:paraId="5B25E614" w14:textId="57F87ACF" w:rsidR="001777A9" w:rsidRDefault="001777A9" w:rsidP="007B25BD"/>
    <w:p w14:paraId="3BD8C5E5" w14:textId="062CA69B" w:rsidR="001777A9" w:rsidRDefault="001777A9" w:rsidP="007B25BD"/>
    <w:p w14:paraId="7A003590" w14:textId="77777777" w:rsidR="001777A9" w:rsidRDefault="001777A9" w:rsidP="007B25BD"/>
    <w:p w14:paraId="4534FDB6" w14:textId="5681089F" w:rsidR="003324F2" w:rsidRDefault="003324F2" w:rsidP="003324F2">
      <w:pPr>
        <w:pStyle w:val="Caption"/>
      </w:pPr>
      <w:r>
        <w:t xml:space="preserve">Table </w:t>
      </w:r>
      <w:fldSimple w:instr=" SEQ Table \* ARABIC ">
        <w:r>
          <w:rPr>
            <w:noProof/>
          </w:rPr>
          <w:t>1</w:t>
        </w:r>
      </w:fldSimple>
      <w:r>
        <w:t>: Child poverty rates in New Zealand in 2022 by ethnicity (since 2018/2019) and children impacted by disability (since 2019/2020)</w:t>
      </w:r>
    </w:p>
    <w:tbl>
      <w:tblPr>
        <w:tblStyle w:val="TableGrid"/>
        <w:tblW w:w="9067" w:type="dxa"/>
        <w:tblLook w:val="04A0" w:firstRow="1" w:lastRow="0" w:firstColumn="1" w:lastColumn="0" w:noHBand="0" w:noVBand="1"/>
      </w:tblPr>
      <w:tblGrid>
        <w:gridCol w:w="2486"/>
        <w:gridCol w:w="2045"/>
        <w:gridCol w:w="2410"/>
        <w:gridCol w:w="2126"/>
      </w:tblGrid>
      <w:tr w:rsidR="003324F2" w14:paraId="2A328643" w14:textId="46C97B1D" w:rsidTr="006039FE">
        <w:tc>
          <w:tcPr>
            <w:tcW w:w="2486" w:type="dxa"/>
          </w:tcPr>
          <w:p w14:paraId="29255328" w14:textId="77777777" w:rsidR="003324F2" w:rsidRDefault="003324F2" w:rsidP="007B25BD"/>
        </w:tc>
        <w:tc>
          <w:tcPr>
            <w:tcW w:w="2045" w:type="dxa"/>
          </w:tcPr>
          <w:p w14:paraId="17F3E9DE" w14:textId="7FB4C6FF" w:rsidR="003324F2" w:rsidRDefault="003324F2" w:rsidP="003324F2">
            <w:r>
              <w:t>After-housing-costs, fixed-line measure</w:t>
            </w:r>
          </w:p>
        </w:tc>
        <w:tc>
          <w:tcPr>
            <w:tcW w:w="2410" w:type="dxa"/>
          </w:tcPr>
          <w:p w14:paraId="035FB64E" w14:textId="1BB3FC8A" w:rsidR="003324F2" w:rsidRDefault="003324F2" w:rsidP="003324F2">
            <w:r>
              <w:t>Before-housing-costs, moving-line measure</w:t>
            </w:r>
          </w:p>
        </w:tc>
        <w:tc>
          <w:tcPr>
            <w:tcW w:w="2126" w:type="dxa"/>
          </w:tcPr>
          <w:p w14:paraId="09E17AD9" w14:textId="049BE141" w:rsidR="003324F2" w:rsidRDefault="003324F2" w:rsidP="007B25BD">
            <w:r>
              <w:t>Material hardship</w:t>
            </w:r>
          </w:p>
        </w:tc>
      </w:tr>
      <w:tr w:rsidR="003324F2" w14:paraId="451E5116" w14:textId="188D1D1E" w:rsidTr="006039FE">
        <w:tc>
          <w:tcPr>
            <w:tcW w:w="2486" w:type="dxa"/>
          </w:tcPr>
          <w:p w14:paraId="6F55915A" w14:textId="13294505" w:rsidR="003324F2" w:rsidRDefault="003324F2" w:rsidP="007B25BD">
            <w:r>
              <w:t>All NZ children</w:t>
            </w:r>
          </w:p>
        </w:tc>
        <w:tc>
          <w:tcPr>
            <w:tcW w:w="2045" w:type="dxa"/>
          </w:tcPr>
          <w:p w14:paraId="40B621CE" w14:textId="7AE4B3A5" w:rsidR="003324F2" w:rsidRDefault="006039FE" w:rsidP="008026D1">
            <w:pPr>
              <w:jc w:val="right"/>
            </w:pPr>
            <w:r>
              <w:t>15.4%</w:t>
            </w:r>
            <w:r w:rsidR="000A46C9">
              <w:t xml:space="preserve"> </w:t>
            </w:r>
          </w:p>
        </w:tc>
        <w:tc>
          <w:tcPr>
            <w:tcW w:w="2410" w:type="dxa"/>
          </w:tcPr>
          <w:p w14:paraId="263BBC45" w14:textId="097BE823" w:rsidR="003324F2" w:rsidRDefault="006039FE" w:rsidP="008026D1">
            <w:pPr>
              <w:jc w:val="right"/>
            </w:pPr>
            <w:r>
              <w:t>12%</w:t>
            </w:r>
            <w:r w:rsidR="000A46C9">
              <w:t xml:space="preserve"> </w:t>
            </w:r>
          </w:p>
        </w:tc>
        <w:tc>
          <w:tcPr>
            <w:tcW w:w="2126" w:type="dxa"/>
          </w:tcPr>
          <w:p w14:paraId="5CB27423" w14:textId="7185364B" w:rsidR="003324F2" w:rsidRDefault="006039FE" w:rsidP="008026D1">
            <w:pPr>
              <w:jc w:val="right"/>
            </w:pPr>
            <w:r>
              <w:t>10.3%</w:t>
            </w:r>
            <w:r w:rsidR="000A46C9">
              <w:t xml:space="preserve"> </w:t>
            </w:r>
          </w:p>
        </w:tc>
      </w:tr>
      <w:tr w:rsidR="003324F2" w14:paraId="42C9E8D5" w14:textId="16122284" w:rsidTr="006039FE">
        <w:tc>
          <w:tcPr>
            <w:tcW w:w="2486" w:type="dxa"/>
          </w:tcPr>
          <w:p w14:paraId="371981D3" w14:textId="439A63BE" w:rsidR="003324F2" w:rsidRDefault="002E5CE4" w:rsidP="007B25BD">
            <w:r w:rsidRPr="002E5CE4">
              <w:t>M</w:t>
            </w:r>
            <w:r w:rsidRPr="002E5CE4">
              <w:rPr>
                <w:rFonts w:ascii="Calibri" w:hAnsi="Calibri" w:cs="Calibri"/>
              </w:rPr>
              <w:t>ā</w:t>
            </w:r>
            <w:r w:rsidRPr="002E5CE4">
              <w:t>ori</w:t>
            </w:r>
            <w:r>
              <w:t xml:space="preserve"> children</w:t>
            </w:r>
          </w:p>
        </w:tc>
        <w:tc>
          <w:tcPr>
            <w:tcW w:w="2045" w:type="dxa"/>
          </w:tcPr>
          <w:p w14:paraId="7139610E" w14:textId="77777777" w:rsidR="008E1587" w:rsidRDefault="006039FE" w:rsidP="006039FE">
            <w:r>
              <w:t xml:space="preserve">16.8% </w:t>
            </w:r>
          </w:p>
          <w:p w14:paraId="0FD4F763" w14:textId="51B393C9" w:rsidR="006039FE" w:rsidRDefault="006039FE" w:rsidP="006039FE">
            <w:r w:rsidRPr="000A46C9">
              <w:rPr>
                <w:rFonts w:ascii="Arial" w:hAnsi="Arial" w:cs="Arial"/>
                <w:color w:val="00B050"/>
              </w:rPr>
              <w:t>↓</w:t>
            </w:r>
            <w:r>
              <w:t xml:space="preserve"> 5.6 percentage points*</w:t>
            </w:r>
          </w:p>
          <w:p w14:paraId="68964468" w14:textId="78234D5B" w:rsidR="003324F2" w:rsidRDefault="006039FE" w:rsidP="006039FE">
            <w:r>
              <w:t>over the past 3 years</w:t>
            </w:r>
          </w:p>
        </w:tc>
        <w:tc>
          <w:tcPr>
            <w:tcW w:w="2410" w:type="dxa"/>
          </w:tcPr>
          <w:p w14:paraId="5B5CE48D" w14:textId="77777777" w:rsidR="008E1587" w:rsidRDefault="006039FE" w:rsidP="006039FE">
            <w:r>
              <w:t xml:space="preserve">14.5% </w:t>
            </w:r>
          </w:p>
          <w:p w14:paraId="67CB31EE" w14:textId="7F758ADB" w:rsidR="003324F2" w:rsidRDefault="006039FE" w:rsidP="006039FE">
            <w:r w:rsidRPr="000A46C9">
              <w:rPr>
                <w:rFonts w:ascii="Arial" w:hAnsi="Arial" w:cs="Arial"/>
                <w:color w:val="00B050"/>
              </w:rPr>
              <w:t>↓</w:t>
            </w:r>
            <w:r>
              <w:t xml:space="preserve"> 3.4 percentage points</w:t>
            </w:r>
          </w:p>
        </w:tc>
        <w:tc>
          <w:tcPr>
            <w:tcW w:w="2126" w:type="dxa"/>
          </w:tcPr>
          <w:p w14:paraId="79428B0C" w14:textId="77777777" w:rsidR="008E1587" w:rsidRDefault="006039FE" w:rsidP="006039FE">
            <w:r>
              <w:t xml:space="preserve">18.8% </w:t>
            </w:r>
          </w:p>
          <w:p w14:paraId="794763BB" w14:textId="61F1186A" w:rsidR="003324F2" w:rsidRDefault="006039FE" w:rsidP="006039FE">
            <w:r w:rsidRPr="000A46C9">
              <w:rPr>
                <w:rFonts w:ascii="Arial" w:hAnsi="Arial" w:cs="Arial"/>
                <w:color w:val="00B050"/>
              </w:rPr>
              <w:t>↓</w:t>
            </w:r>
            <w:r>
              <w:t xml:space="preserve"> 3.8 percentage points</w:t>
            </w:r>
          </w:p>
        </w:tc>
      </w:tr>
      <w:tr w:rsidR="003324F2" w14:paraId="54CA2EC3" w14:textId="5E4625D6" w:rsidTr="006039FE">
        <w:tc>
          <w:tcPr>
            <w:tcW w:w="2486" w:type="dxa"/>
          </w:tcPr>
          <w:p w14:paraId="56F5FC6F" w14:textId="625445D0" w:rsidR="003324F2" w:rsidRDefault="003324F2" w:rsidP="007B25BD">
            <w:r>
              <w:t>Pacific</w:t>
            </w:r>
            <w:r w:rsidR="002E5CE4">
              <w:t xml:space="preserve"> children</w:t>
            </w:r>
          </w:p>
        </w:tc>
        <w:tc>
          <w:tcPr>
            <w:tcW w:w="2045" w:type="dxa"/>
          </w:tcPr>
          <w:p w14:paraId="340A68D2" w14:textId="77777777" w:rsidR="000A46C9" w:rsidRDefault="000A46C9" w:rsidP="000A46C9">
            <w:r>
              <w:t>19.4%</w:t>
            </w:r>
          </w:p>
          <w:p w14:paraId="0E63FDA9" w14:textId="77777777" w:rsidR="000A46C9" w:rsidRDefault="000A46C9" w:rsidP="000A46C9">
            <w:r w:rsidRPr="000A46C9">
              <w:rPr>
                <w:rFonts w:ascii="Arial" w:hAnsi="Arial" w:cs="Arial"/>
                <w:color w:val="00B050"/>
              </w:rPr>
              <w:t>↓</w:t>
            </w:r>
            <w:r>
              <w:t xml:space="preserve"> 2.1 percentage points</w:t>
            </w:r>
          </w:p>
          <w:p w14:paraId="35E20BFC" w14:textId="465CABD3" w:rsidR="003324F2" w:rsidRDefault="000A46C9" w:rsidP="000A46C9">
            <w:r>
              <w:t>over the past 3 years</w:t>
            </w:r>
          </w:p>
        </w:tc>
        <w:tc>
          <w:tcPr>
            <w:tcW w:w="2410" w:type="dxa"/>
          </w:tcPr>
          <w:p w14:paraId="6E81DB9C" w14:textId="77777777" w:rsidR="000A46C9" w:rsidRDefault="000A46C9" w:rsidP="000A46C9">
            <w:r>
              <w:t>19.5%</w:t>
            </w:r>
          </w:p>
          <w:p w14:paraId="3BF29E56" w14:textId="0FF893A5" w:rsidR="003324F2" w:rsidRDefault="000A46C9" w:rsidP="000A46C9">
            <w:r w:rsidRPr="000A46C9">
              <w:rPr>
                <w:rFonts w:ascii="Arial" w:hAnsi="Arial" w:cs="Arial"/>
                <w:color w:val="00B050"/>
              </w:rPr>
              <w:t>↓</w:t>
            </w:r>
            <w:r>
              <w:t xml:space="preserve"> 0.9 percentage points</w:t>
            </w:r>
          </w:p>
        </w:tc>
        <w:tc>
          <w:tcPr>
            <w:tcW w:w="2126" w:type="dxa"/>
          </w:tcPr>
          <w:p w14:paraId="226B6A92" w14:textId="77777777" w:rsidR="000A46C9" w:rsidRDefault="000A46C9" w:rsidP="000A46C9">
            <w:r>
              <w:t>25.6%</w:t>
            </w:r>
          </w:p>
          <w:p w14:paraId="65B11046" w14:textId="0DE43803" w:rsidR="003324F2" w:rsidRDefault="000A46C9" w:rsidP="000A46C9">
            <w:r w:rsidRPr="000A46C9">
              <w:rPr>
                <w:rFonts w:ascii="Arial" w:hAnsi="Arial" w:cs="Arial"/>
                <w:color w:val="00B050"/>
              </w:rPr>
              <w:t>↓</w:t>
            </w:r>
            <w:r>
              <w:t xml:space="preserve"> 2.6 percentage points</w:t>
            </w:r>
          </w:p>
        </w:tc>
      </w:tr>
      <w:tr w:rsidR="003324F2" w14:paraId="3D77886B" w14:textId="12A8A48A" w:rsidTr="006039FE">
        <w:tc>
          <w:tcPr>
            <w:tcW w:w="2486" w:type="dxa"/>
          </w:tcPr>
          <w:p w14:paraId="6B70C6CE" w14:textId="3A42BFD3" w:rsidR="003324F2" w:rsidRDefault="003324F2" w:rsidP="007B25BD">
            <w:r>
              <w:t>Children impacted by disability</w:t>
            </w:r>
          </w:p>
        </w:tc>
        <w:tc>
          <w:tcPr>
            <w:tcW w:w="2045" w:type="dxa"/>
          </w:tcPr>
          <w:p w14:paraId="434CE515" w14:textId="77777777" w:rsidR="000A46C9" w:rsidRDefault="000A46C9" w:rsidP="000A46C9">
            <w:r>
              <w:t>15.7%</w:t>
            </w:r>
          </w:p>
          <w:p w14:paraId="77FD3A35" w14:textId="77777777" w:rsidR="000A46C9" w:rsidRDefault="000A46C9" w:rsidP="000A46C9">
            <w:r w:rsidRPr="000A46C9">
              <w:rPr>
                <w:rFonts w:ascii="Arial" w:hAnsi="Arial" w:cs="Arial"/>
                <w:color w:val="00B050"/>
              </w:rPr>
              <w:t>↓</w:t>
            </w:r>
            <w:r>
              <w:t xml:space="preserve"> 4.8 percentage points*</w:t>
            </w:r>
          </w:p>
          <w:p w14:paraId="6087B01D" w14:textId="5D3686C9" w:rsidR="003324F2" w:rsidRDefault="000A46C9" w:rsidP="000A46C9">
            <w:r>
              <w:t>over the past 2 years</w:t>
            </w:r>
          </w:p>
        </w:tc>
        <w:tc>
          <w:tcPr>
            <w:tcW w:w="2410" w:type="dxa"/>
          </w:tcPr>
          <w:p w14:paraId="45852BFC" w14:textId="77777777" w:rsidR="000A46C9" w:rsidRDefault="000A46C9" w:rsidP="000A46C9">
            <w:r>
              <w:t>17.9%</w:t>
            </w:r>
          </w:p>
          <w:p w14:paraId="507C3C4C" w14:textId="25D263AD" w:rsidR="003324F2" w:rsidRDefault="000A46C9" w:rsidP="000A46C9">
            <w:r w:rsidRPr="000A46C9">
              <w:rPr>
                <w:rFonts w:ascii="Arial" w:hAnsi="Arial" w:cs="Arial"/>
                <w:color w:val="FF0000"/>
              </w:rPr>
              <w:t>↑</w:t>
            </w:r>
            <w:r>
              <w:t xml:space="preserve"> 1.4 percentage points</w:t>
            </w:r>
          </w:p>
        </w:tc>
        <w:tc>
          <w:tcPr>
            <w:tcW w:w="2126" w:type="dxa"/>
          </w:tcPr>
          <w:p w14:paraId="6C7F19FF" w14:textId="77777777" w:rsidR="000A46C9" w:rsidRDefault="000A46C9" w:rsidP="000A46C9">
            <w:r>
              <w:t>21.1%</w:t>
            </w:r>
          </w:p>
          <w:p w14:paraId="492221CD" w14:textId="63153BA7" w:rsidR="003324F2" w:rsidRDefault="000A46C9" w:rsidP="000A46C9">
            <w:r w:rsidRPr="000A46C9">
              <w:rPr>
                <w:rFonts w:ascii="Arial" w:hAnsi="Arial" w:cs="Arial"/>
                <w:color w:val="FF0000"/>
              </w:rPr>
              <w:t>↑</w:t>
            </w:r>
            <w:r>
              <w:t xml:space="preserve"> 0.3 percentage points</w:t>
            </w:r>
          </w:p>
        </w:tc>
      </w:tr>
    </w:tbl>
    <w:p w14:paraId="0B592C05" w14:textId="2A51C2DE" w:rsidR="00D35055" w:rsidRDefault="00237271" w:rsidP="003E5401">
      <w:r>
        <w:t xml:space="preserve">Use of </w:t>
      </w:r>
      <w:r w:rsidR="000A46C9" w:rsidRPr="000A46C9">
        <w:rPr>
          <w:b/>
          <w:bCs/>
        </w:rPr>
        <w:t>*</w:t>
      </w:r>
      <w:r>
        <w:rPr>
          <w:b/>
          <w:bCs/>
        </w:rPr>
        <w:t xml:space="preserve"> </w:t>
      </w:r>
      <w:r w:rsidR="000A46C9" w:rsidRPr="000A46C9">
        <w:t>indicates a statistically significant difference</w:t>
      </w:r>
      <w:r>
        <w:t xml:space="preserve">. </w:t>
      </w:r>
      <w:r w:rsidRPr="00237271">
        <w:rPr>
          <w:color w:val="767171" w:themeColor="background2" w:themeShade="80"/>
        </w:rPr>
        <w:t>Source: Stats NZ</w:t>
      </w:r>
      <w:r w:rsidR="00C947D5">
        <w:rPr>
          <w:color w:val="767171" w:themeColor="background2" w:themeShade="80"/>
        </w:rPr>
        <w:t xml:space="preserve"> </w:t>
      </w:r>
    </w:p>
    <w:p w14:paraId="5128D3BC" w14:textId="77777777" w:rsidR="00DF6470" w:rsidRDefault="00DF6470" w:rsidP="003E5401"/>
    <w:p w14:paraId="59A669E7" w14:textId="77777777" w:rsidR="00DF6470" w:rsidRDefault="00DF6470" w:rsidP="003E5401"/>
    <w:p w14:paraId="1FA6B47A" w14:textId="77777777" w:rsidR="00DF6470" w:rsidRDefault="00DF6470" w:rsidP="003E5401"/>
    <w:p w14:paraId="4775E6C8" w14:textId="77777777" w:rsidR="00DF6470" w:rsidRDefault="00DF6470" w:rsidP="003E5401"/>
    <w:p w14:paraId="57DF77AD" w14:textId="5D8719C3" w:rsidR="00D35055" w:rsidRDefault="008B4F6E" w:rsidP="003E5401">
      <w:r>
        <w:lastRenderedPageBreak/>
        <w:t>New Zealand is not alone in th</w:t>
      </w:r>
      <w:r w:rsidR="00DF6470">
        <w:t>is</w:t>
      </w:r>
      <w:r>
        <w:t xml:space="preserve"> approach. In recognition that the risk of harm from child poverty is not equal and that children in some types of households are at greater risk, </w:t>
      </w:r>
      <w:r w:rsidR="0081067E">
        <w:t xml:space="preserve">six </w:t>
      </w:r>
      <w:r>
        <w:t>household</w:t>
      </w:r>
      <w:r w:rsidR="0081067E">
        <w:t xml:space="preserve"> types</w:t>
      </w:r>
      <w:r>
        <w:t xml:space="preserve"> have been recognised as </w:t>
      </w:r>
      <w:r w:rsidR="00DF6470">
        <w:t>‘</w:t>
      </w:r>
      <w:r>
        <w:t>priority group households</w:t>
      </w:r>
      <w:r w:rsidR="00DF6470">
        <w:t>’</w:t>
      </w:r>
      <w:r>
        <w:t xml:space="preserve"> in Scotland’s child poverty </w:t>
      </w:r>
      <w:r w:rsidR="00DF6470">
        <w:t>strategy</w:t>
      </w:r>
      <w:r>
        <w:t>. These priority groups are</w:t>
      </w:r>
      <w:r w:rsidR="00DF6470">
        <w:t xml:space="preserve"> </w:t>
      </w:r>
      <w:r>
        <w:t xml:space="preserve">minority ethnic households, lone parent households, households in which the youngest child is </w:t>
      </w:r>
      <w:r w:rsidR="0081067E">
        <w:t>under</w:t>
      </w:r>
      <w:r>
        <w:t xml:space="preserve"> the age of 1, households with three or more children, and households in which at least one member is disabled.</w:t>
      </w:r>
      <w:r w:rsidR="0081067E">
        <w:t xml:space="preserve"> </w:t>
      </w:r>
    </w:p>
    <w:p w14:paraId="0860DB3F" w14:textId="2547B478" w:rsidR="0081067E" w:rsidRDefault="0081067E" w:rsidP="003E5401">
      <w:r>
        <w:t>While New Zealand and Scotland</w:t>
      </w:r>
      <w:r w:rsidR="00DF6470">
        <w:t xml:space="preserve"> have selected different subgroups of focus</w:t>
      </w:r>
      <w:r>
        <w:t xml:space="preserve">, the NDA </w:t>
      </w:r>
      <w:r w:rsidR="00D4356F">
        <w:t xml:space="preserve">emphasises </w:t>
      </w:r>
      <w:r>
        <w:t xml:space="preserve">that households </w:t>
      </w:r>
      <w:r w:rsidR="00D4356F">
        <w:t>impacted by</w:t>
      </w:r>
      <w:r>
        <w:t xml:space="preserve"> disability have been </w:t>
      </w:r>
      <w:r w:rsidR="00DF6470">
        <w:t>selected</w:t>
      </w:r>
      <w:r>
        <w:t xml:space="preserve"> </w:t>
      </w:r>
      <w:r w:rsidR="00DF6470">
        <w:t>in both jurisdictions.</w:t>
      </w:r>
    </w:p>
    <w:p w14:paraId="54DDBF3F" w14:textId="02B73C7A" w:rsidR="00480E8D" w:rsidRDefault="00513C24" w:rsidP="00480E8D">
      <w:pPr>
        <w:pStyle w:val="Heading1"/>
      </w:pPr>
      <w:r>
        <w:t>Child poverty measures</w:t>
      </w:r>
    </w:p>
    <w:p w14:paraId="1093B8F2" w14:textId="32CCB322" w:rsidR="006D4D6C" w:rsidRDefault="00B82869" w:rsidP="003E5401">
      <w:r>
        <w:t>Existing child poverty targets</w:t>
      </w:r>
      <w:r w:rsidR="007D0157">
        <w:t xml:space="preserve"> in Ireland</w:t>
      </w:r>
      <w:r>
        <w:t xml:space="preserve"> relate to </w:t>
      </w:r>
      <w:r w:rsidR="003579FD">
        <w:t xml:space="preserve">reducing the consistent </w:t>
      </w:r>
      <w:r w:rsidR="00066050">
        <w:t xml:space="preserve">child </w:t>
      </w:r>
      <w:r w:rsidR="003579FD">
        <w:t>poverty rate,</w:t>
      </w:r>
      <w:r w:rsidR="00A93422">
        <w:t xml:space="preserve"> </w:t>
      </w:r>
      <w:r w:rsidR="003579FD">
        <w:t xml:space="preserve">defined as </w:t>
      </w:r>
      <w:r w:rsidR="00D32754">
        <w:t>the percentage of children</w:t>
      </w:r>
      <w:r w:rsidR="00853210">
        <w:t xml:space="preserve"> who are both at risk of poverty (</w:t>
      </w:r>
      <w:r w:rsidR="00A93422">
        <w:t xml:space="preserve">AROP; </w:t>
      </w:r>
      <w:r w:rsidR="00853210">
        <w:t xml:space="preserve">having </w:t>
      </w:r>
      <w:r w:rsidR="00D32754">
        <w:t>a household</w:t>
      </w:r>
      <w:r w:rsidR="00853210">
        <w:t xml:space="preserve"> income lower than </w:t>
      </w:r>
      <w:r w:rsidR="00853210" w:rsidRPr="00853210">
        <w:t>60% of the median nominal equivalised disposable income</w:t>
      </w:r>
      <w:r w:rsidR="00853210">
        <w:t xml:space="preserve">) and experiencing </w:t>
      </w:r>
      <w:r w:rsidR="00D32754">
        <w:t xml:space="preserve">material </w:t>
      </w:r>
      <w:r w:rsidR="00853210">
        <w:t>deprivation (d</w:t>
      </w:r>
      <w:r w:rsidR="00853210" w:rsidRPr="00853210">
        <w:t xml:space="preserve">efined as not being able to afford to buy two or more </w:t>
      </w:r>
      <w:r w:rsidR="00853210">
        <w:t>items on a list of</w:t>
      </w:r>
      <w:r w:rsidR="00853210" w:rsidRPr="00853210">
        <w:t xml:space="preserve"> 11 basic deprivation indicator</w:t>
      </w:r>
      <w:r w:rsidR="00853210">
        <w:t>s).</w:t>
      </w:r>
      <w:r w:rsidR="00A93422">
        <w:t xml:space="preserve"> </w:t>
      </w:r>
      <w:r w:rsidR="00AF3CEC">
        <w:t xml:space="preserve">It is the NDA position that such a measure is insufficient to capture the </w:t>
      </w:r>
      <w:r w:rsidR="008E1587">
        <w:t xml:space="preserve">prevalence </w:t>
      </w:r>
      <w:r w:rsidR="00AF3CEC">
        <w:t>of poverty among households affected by disability.</w:t>
      </w:r>
    </w:p>
    <w:p w14:paraId="13EDE0CA" w14:textId="4FA4EF6E" w:rsidR="003D7719" w:rsidRDefault="00D32754" w:rsidP="003D7719">
      <w:r>
        <w:t>A</w:t>
      </w:r>
      <w:r w:rsidR="00A45CBB">
        <w:t>nalysis of</w:t>
      </w:r>
      <w:r>
        <w:t xml:space="preserve"> </w:t>
      </w:r>
      <w:r w:rsidR="00A45CBB">
        <w:t xml:space="preserve">SILC data by the ESRI showed that </w:t>
      </w:r>
      <w:proofErr w:type="gramStart"/>
      <w:r w:rsidR="00A45CBB">
        <w:t xml:space="preserve">a </w:t>
      </w:r>
      <w:r w:rsidR="00480E8D">
        <w:t>majority</w:t>
      </w:r>
      <w:r w:rsidR="00A45CBB">
        <w:t xml:space="preserve"> of</w:t>
      </w:r>
      <w:proofErr w:type="gramEnd"/>
      <w:r w:rsidR="00A45CBB">
        <w:t xml:space="preserve"> people experiencing material deprivation</w:t>
      </w:r>
      <w:r w:rsidR="00480E8D">
        <w:t xml:space="preserve"> </w:t>
      </w:r>
      <w:r w:rsidR="00A93422">
        <w:t xml:space="preserve">in 2021 </w:t>
      </w:r>
      <w:r w:rsidR="00480E8D">
        <w:t>were not deemed at risk of poverty</w:t>
      </w:r>
      <w:r w:rsidR="009F7C2A">
        <w:t xml:space="preserve"> </w:t>
      </w:r>
      <w:r w:rsidR="00A93422">
        <w:t xml:space="preserve">(69% </w:t>
      </w:r>
      <w:r w:rsidR="001F3349">
        <w:t>using</w:t>
      </w:r>
      <w:r w:rsidR="00A93422">
        <w:t xml:space="preserve"> an after</w:t>
      </w:r>
      <w:r w:rsidR="001F3349">
        <w:t>-</w:t>
      </w:r>
      <w:r w:rsidR="00A93422">
        <w:t>housing costs basis and 57% on a before</w:t>
      </w:r>
      <w:r w:rsidR="001F3349">
        <w:t>-</w:t>
      </w:r>
      <w:r w:rsidR="00A93422">
        <w:t>housing costs basis)</w:t>
      </w:r>
      <w:r>
        <w:t>. O</w:t>
      </w:r>
      <w:r w:rsidR="00A45CBB">
        <w:t>f th</w:t>
      </w:r>
      <w:r>
        <w:t>is group</w:t>
      </w:r>
      <w:r w:rsidR="00A93422">
        <w:t xml:space="preserve"> who are not classified as income poor but were experiencing material deprivation</w:t>
      </w:r>
      <w:r w:rsidR="00A45CBB">
        <w:t xml:space="preserve">, </w:t>
      </w:r>
      <w:r w:rsidR="00480E8D">
        <w:t>almost half</w:t>
      </w:r>
      <w:r w:rsidR="00A45CBB">
        <w:t xml:space="preserve"> were in households impacted by disability. </w:t>
      </w:r>
      <w:r w:rsidR="00480E8D">
        <w:t xml:space="preserve">Factors such as </w:t>
      </w:r>
      <w:r w:rsidR="00313143">
        <w:t xml:space="preserve">savings and </w:t>
      </w:r>
      <w:r w:rsidR="00480E8D">
        <w:t>debt</w:t>
      </w:r>
      <w:r w:rsidR="00313143">
        <w:t>, as well</w:t>
      </w:r>
      <w:r w:rsidR="00480E8D">
        <w:t xml:space="preserve"> </w:t>
      </w:r>
      <w:r w:rsidR="00313143">
        <w:t>as</w:t>
      </w:r>
      <w:r w:rsidR="00480E8D">
        <w:t xml:space="preserve"> inescapable costs such as</w:t>
      </w:r>
      <w:r w:rsidR="00313143">
        <w:t xml:space="preserve"> housing, childcare, and</w:t>
      </w:r>
      <w:r w:rsidR="00480E8D">
        <w:t xml:space="preserve"> those incurred by people with disabilities</w:t>
      </w:r>
      <w:r w:rsidR="005430B7">
        <w:t xml:space="preserve"> mean </w:t>
      </w:r>
      <w:r w:rsidR="00480E8D">
        <w:t>that households with equal incomes can vary widely in their ability to make ends meet and can have widely differing living standards</w:t>
      </w:r>
      <w:r w:rsidR="00313143">
        <w:t xml:space="preserve"> </w:t>
      </w:r>
      <w:r w:rsidR="00313143">
        <w:fldChar w:fldCharType="begin"/>
      </w:r>
      <w:r w:rsidR="008C0BAB">
        <w:instrText xml:space="preserve"> ADDIN ZOTERO_ITEM CSL_CITATION {"citationID":"do9RMouY","properties":{"formattedCitation":"(8)","plainCitation":"(8)","noteIndex":0},"citationItems":[{"id":100,"uris":["http://zotero.org/users/local/kvLunvBP/items/3PINK7QW"],"itemData":{"id":100,"type":"report","abstract":"A research report by Indecon International Research Economists about the cost of disability in Ireland.","language":"en","title":"The Cost of Disability in Ireland – Research Report","URL":"https://www.gov.ie/en/publication/1d84e-the-cost-of-disability-in-ireland-research-report/","author":[{"family":"Indecon","given":""}],"accessed":{"date-parts":[["2024",1,10]]},"issued":{"date-parts":[["2021",12,7]]}}}],"schema":"https://github.com/citation-style-language/schema/raw/master/csl-citation.json"} </w:instrText>
      </w:r>
      <w:r w:rsidR="00313143">
        <w:fldChar w:fldCharType="separate"/>
      </w:r>
      <w:r w:rsidR="008C0BAB" w:rsidRPr="008C0BAB">
        <w:t>(8)</w:t>
      </w:r>
      <w:r w:rsidR="00313143">
        <w:fldChar w:fldCharType="end"/>
      </w:r>
      <w:r w:rsidR="00313143">
        <w:t>. With respect to the cost of disability specifically, the authors of this ESRI report conclude:</w:t>
      </w:r>
    </w:p>
    <w:p w14:paraId="408551E6" w14:textId="0431514D" w:rsidR="00313143" w:rsidRDefault="00313143" w:rsidP="007B664F">
      <w:pPr>
        <w:ind w:left="720"/>
      </w:pPr>
      <w:r>
        <w:t xml:space="preserve">Given that the extra costs incurred by households affected by disability are not accounted for by measures of BHC or AHC income, this raises questions about whether the official consistent poverty indicator – being both materially deprived and below the (BHC) income poverty line – is adequately capturing the incidence of very low living standards or poverty among households affected by disability </w:t>
      </w:r>
      <w:r>
        <w:fldChar w:fldCharType="begin"/>
      </w:r>
      <w:r w:rsidR="008C0BAB">
        <w:instrText xml:space="preserve"> ADDIN ZOTERO_ITEM CSL_CITATION {"citationID":"chpwh6hD","properties":{"formattedCitation":"(8)","plainCitation":"(8)","noteIndex":0},"citationItems":[{"id":100,"uris":["http://zotero.org/users/local/kvLunvBP/items/3PINK7QW"],"itemData":{"id":100,"type":"report","abstract":"A research report by Indecon International Research Economists about the cost of disability in Ireland.","language":"en","title":"The Cost of Disability in Ireland – Research Report","URL":"https://www.gov.ie/en/publication/1d84e-the-cost-of-disability-in-ireland-research-report/","author":[{"family":"Indecon","given":""}],"accessed":{"date-parts":[["2024",1,10]]},"issued":{"date-parts":[["2021",12,7]]}}}],"schema":"https://github.com/citation-style-language/schema/raw/master/csl-citation.json"} </w:instrText>
      </w:r>
      <w:r>
        <w:fldChar w:fldCharType="separate"/>
      </w:r>
      <w:r w:rsidR="008C0BAB" w:rsidRPr="008C0BAB">
        <w:t>(8)</w:t>
      </w:r>
      <w:r>
        <w:fldChar w:fldCharType="end"/>
      </w:r>
      <w:r>
        <w:t>(p. 26).</w:t>
      </w:r>
    </w:p>
    <w:p w14:paraId="1BD84175" w14:textId="5D83F099" w:rsidR="003579FD" w:rsidRDefault="00466177" w:rsidP="003D7719">
      <w:r>
        <w:lastRenderedPageBreak/>
        <w:t xml:space="preserve">The NDA urges </w:t>
      </w:r>
      <w:r w:rsidR="004C4605">
        <w:t xml:space="preserve">inclusion </w:t>
      </w:r>
      <w:r>
        <w:t xml:space="preserve">of </w:t>
      </w:r>
      <w:r w:rsidR="00A36029">
        <w:t>separate income and non-income</w:t>
      </w:r>
      <w:r>
        <w:t xml:space="preserve"> measures of child poverty, acknowledging that any single indicator </w:t>
      </w:r>
      <w:r w:rsidR="00A36029">
        <w:t xml:space="preserve">or combined indicator </w:t>
      </w:r>
      <w:r>
        <w:t>will not give the full picture of child poverty</w:t>
      </w:r>
      <w:r w:rsidR="00A36029">
        <w:t xml:space="preserve"> in Ireland</w:t>
      </w:r>
      <w:r>
        <w:t xml:space="preserve">. </w:t>
      </w:r>
      <w:r w:rsidR="003579FD">
        <w:t>We note that New Zealand use nine child poverty indicators</w:t>
      </w:r>
      <w:r w:rsidR="00FB023D">
        <w:t xml:space="preserve"> (three primary and six supplemental measures)</w:t>
      </w:r>
      <w:r w:rsidR="003579FD">
        <w:t>, while Scotland uses four.</w:t>
      </w:r>
      <w:r w:rsidR="00FB023D">
        <w:t xml:space="preserve"> Both countries have recognised the importance of including income and non-income measures of child poverty</w:t>
      </w:r>
      <w:r w:rsidR="004C4605">
        <w:t xml:space="preserve"> separately</w:t>
      </w:r>
      <w:r w:rsidR="00A36029">
        <w:t>, while also</w:t>
      </w:r>
      <w:r w:rsidR="00FB023D">
        <w:t xml:space="preserve"> </w:t>
      </w:r>
      <w:r w:rsidR="00A36029">
        <w:t>combining</w:t>
      </w:r>
      <w:r w:rsidR="00FB023D">
        <w:t xml:space="preserve"> </w:t>
      </w:r>
      <w:r w:rsidR="004C4605">
        <w:t>them</w:t>
      </w:r>
      <w:r w:rsidR="00FB023D">
        <w:t xml:space="preserve"> into a single measure</w:t>
      </w:r>
      <w:r w:rsidR="00A36029">
        <w:t xml:space="preserve"> as is the current approach in Ireland. </w:t>
      </w:r>
      <w:r w:rsidR="00FB023D">
        <w:t xml:space="preserve">The NDA </w:t>
      </w:r>
      <w:r w:rsidR="00A36029">
        <w:t>advises that</w:t>
      </w:r>
      <w:r w:rsidR="004C4605">
        <w:t xml:space="preserve"> the</w:t>
      </w:r>
      <w:r w:rsidR="00A36029">
        <w:t xml:space="preserve"> </w:t>
      </w:r>
      <w:r w:rsidR="004C4605">
        <w:t xml:space="preserve">inclusion of non-income measures </w:t>
      </w:r>
      <w:r w:rsidR="00FB023D">
        <w:t>w</w:t>
      </w:r>
      <w:r w:rsidR="004C4605">
        <w:t>ill</w:t>
      </w:r>
      <w:r w:rsidR="00FB023D">
        <w:t xml:space="preserve"> be particularly important for capturing low living standards among children in households affected by </w:t>
      </w:r>
      <w:r w:rsidR="00831493">
        <w:t>disability</w:t>
      </w:r>
      <w:r w:rsidR="00FB023D">
        <w:t xml:space="preserve">. </w:t>
      </w:r>
    </w:p>
    <w:p w14:paraId="40FDA7BB" w14:textId="1B5EA9A3" w:rsidR="003D7719" w:rsidRDefault="004C4605" w:rsidP="003D7719">
      <w:pPr>
        <w:pStyle w:val="Heading1"/>
      </w:pPr>
      <w:r>
        <w:t xml:space="preserve"> Recommendations</w:t>
      </w:r>
    </w:p>
    <w:p w14:paraId="2F5F2A1C" w14:textId="4CAD7F77" w:rsidR="004C4605" w:rsidRDefault="0064291A" w:rsidP="00FB5E01">
      <w:pPr>
        <w:tabs>
          <w:tab w:val="left" w:pos="1560"/>
        </w:tabs>
      </w:pPr>
      <w:r>
        <w:t xml:space="preserve">Recommendation 1: </w:t>
      </w:r>
      <w:r w:rsidR="001939AC">
        <w:t>The NDA advises that national child poverty targets</w:t>
      </w:r>
      <w:r w:rsidR="001939AC" w:rsidRPr="001939AC">
        <w:t xml:space="preserve"> can mask the true picture of child poverty for vulnerable subgroups.</w:t>
      </w:r>
      <w:r w:rsidR="001939AC">
        <w:t xml:space="preserve"> </w:t>
      </w:r>
      <w:r w:rsidR="004C4605">
        <w:t xml:space="preserve">The NDA recommends setting child poverty </w:t>
      </w:r>
      <w:proofErr w:type="spellStart"/>
      <w:r w:rsidR="008026D1">
        <w:t>sub</w:t>
      </w:r>
      <w:r w:rsidR="004C4605">
        <w:t>targets</w:t>
      </w:r>
      <w:proofErr w:type="spellEnd"/>
      <w:r w:rsidR="004C4605">
        <w:t xml:space="preserve"> for children in households affected by disability.</w:t>
      </w:r>
    </w:p>
    <w:p w14:paraId="24D83082" w14:textId="1FEE5D84" w:rsidR="004C4605" w:rsidRDefault="0064291A" w:rsidP="0064291A">
      <w:pPr>
        <w:tabs>
          <w:tab w:val="left" w:pos="1560"/>
        </w:tabs>
      </w:pPr>
      <w:r>
        <w:t xml:space="preserve">Recommendation 2: </w:t>
      </w:r>
      <w:r w:rsidR="004C4605">
        <w:t>The NDA advises that the current measure of consistent poverty</w:t>
      </w:r>
      <w:r>
        <w:t xml:space="preserve"> in Ireland</w:t>
      </w:r>
      <w:r w:rsidR="004C4605">
        <w:t xml:space="preserve"> </w:t>
      </w:r>
      <w:r>
        <w:t>does not adequately capture poverty among households impacted by disability. The NDA recommends the inclusion of separate income and non-income measures of child poverty</w:t>
      </w:r>
      <w:r w:rsidR="005A4635">
        <w:t xml:space="preserve"> in future</w:t>
      </w:r>
      <w:r>
        <w:t>.</w:t>
      </w:r>
    </w:p>
    <w:p w14:paraId="1686463B" w14:textId="2F803F40" w:rsidR="004F7A49" w:rsidRDefault="004F7A49" w:rsidP="004F7A49">
      <w:pPr>
        <w:pStyle w:val="Heading1"/>
      </w:pPr>
      <w:r>
        <w:t>Conclusion</w:t>
      </w:r>
    </w:p>
    <w:p w14:paraId="4944DBB3" w14:textId="34A6AF61" w:rsidR="004F7A49" w:rsidRPr="00D0446B" w:rsidRDefault="009203BD" w:rsidP="004F7A49">
      <w:pPr>
        <w:pStyle w:val="NormalWeb"/>
        <w:spacing w:before="0" w:beforeAutospacing="0" w:after="0" w:afterAutospacing="0"/>
        <w:rPr>
          <w:rFonts w:ascii="Gill Sans MT" w:hAnsi="Gill Sans MT"/>
          <w:sz w:val="26"/>
          <w:szCs w:val="26"/>
          <w:lang w:eastAsia="en-US"/>
        </w:rPr>
      </w:pPr>
      <w:r>
        <w:rPr>
          <w:rFonts w:ascii="Gill Sans MT" w:hAnsi="Gill Sans MT"/>
          <w:sz w:val="26"/>
          <w:szCs w:val="26"/>
          <w:lang w:eastAsia="en-US"/>
        </w:rPr>
        <w:t>The NDA welcomes this</w:t>
      </w:r>
      <w:r w:rsidR="00D0446B">
        <w:rPr>
          <w:rFonts w:ascii="Gill Sans MT" w:hAnsi="Gill Sans MT"/>
          <w:sz w:val="26"/>
          <w:szCs w:val="26"/>
          <w:lang w:eastAsia="en-US"/>
        </w:rPr>
        <w:t xml:space="preserve"> important</w:t>
      </w:r>
      <w:r>
        <w:rPr>
          <w:rFonts w:ascii="Gill Sans MT" w:hAnsi="Gill Sans MT"/>
          <w:sz w:val="26"/>
          <w:szCs w:val="26"/>
          <w:lang w:eastAsia="en-US"/>
        </w:rPr>
        <w:t xml:space="preserve"> work on </w:t>
      </w:r>
      <w:r w:rsidR="001B3DD1">
        <w:rPr>
          <w:rFonts w:ascii="Gill Sans MT" w:hAnsi="Gill Sans MT"/>
          <w:sz w:val="26"/>
          <w:szCs w:val="26"/>
          <w:lang w:eastAsia="en-US"/>
        </w:rPr>
        <w:t>tackling child poverty</w:t>
      </w:r>
      <w:r>
        <w:rPr>
          <w:rFonts w:ascii="Gill Sans MT" w:hAnsi="Gill Sans MT"/>
          <w:sz w:val="26"/>
          <w:szCs w:val="26"/>
          <w:lang w:eastAsia="en-US"/>
        </w:rPr>
        <w:t>. We</w:t>
      </w:r>
      <w:r w:rsidR="004F7A49" w:rsidRPr="009C1F21">
        <w:rPr>
          <w:rFonts w:ascii="Gill Sans MT" w:hAnsi="Gill Sans MT"/>
          <w:sz w:val="26"/>
          <w:szCs w:val="26"/>
          <w:lang w:eastAsia="en-US"/>
        </w:rPr>
        <w:t xml:space="preserve"> </w:t>
      </w:r>
      <w:r w:rsidR="004F7A49">
        <w:rPr>
          <w:rFonts w:ascii="Gill Sans MT" w:hAnsi="Gill Sans MT"/>
          <w:sz w:val="26"/>
          <w:szCs w:val="26"/>
          <w:lang w:eastAsia="en-US"/>
        </w:rPr>
        <w:t>will</w:t>
      </w:r>
      <w:r w:rsidR="004F7A49" w:rsidRPr="009C1F21">
        <w:rPr>
          <w:rFonts w:ascii="Gill Sans MT" w:hAnsi="Gill Sans MT"/>
          <w:sz w:val="26"/>
          <w:szCs w:val="26"/>
          <w:lang w:eastAsia="en-US"/>
        </w:rPr>
        <w:t xml:space="preserve"> be happy to engage with officials from the Department of </w:t>
      </w:r>
      <w:r w:rsidR="004F7A49">
        <w:rPr>
          <w:rFonts w:ascii="Gill Sans MT" w:hAnsi="Gill Sans MT"/>
          <w:sz w:val="26"/>
          <w:szCs w:val="26"/>
          <w:lang w:eastAsia="en-US"/>
        </w:rPr>
        <w:t>Social Protection</w:t>
      </w:r>
      <w:r w:rsidR="004F7A49" w:rsidRPr="009C1F21">
        <w:rPr>
          <w:rFonts w:ascii="Gill Sans MT" w:hAnsi="Gill Sans MT"/>
          <w:sz w:val="26"/>
          <w:szCs w:val="26"/>
          <w:lang w:eastAsia="en-US"/>
        </w:rPr>
        <w:t xml:space="preserve"> on any of the points raised in this submission. </w:t>
      </w:r>
    </w:p>
    <w:p w14:paraId="5817D598" w14:textId="4085DA73" w:rsidR="0061461F" w:rsidRDefault="0061461F" w:rsidP="0061461F">
      <w:pPr>
        <w:pStyle w:val="Heading1"/>
      </w:pPr>
      <w:r>
        <w:t>References</w:t>
      </w:r>
    </w:p>
    <w:p w14:paraId="20D29B05" w14:textId="77777777" w:rsidR="008C0BAB" w:rsidRPr="008C0BAB" w:rsidRDefault="0061461F" w:rsidP="008C0BAB">
      <w:pPr>
        <w:pStyle w:val="Bibliography"/>
      </w:pPr>
      <w:r w:rsidRPr="0061461F">
        <w:rPr>
          <w:szCs w:val="26"/>
        </w:rPr>
        <w:fldChar w:fldCharType="begin"/>
      </w:r>
      <w:r w:rsidRPr="0061461F">
        <w:rPr>
          <w:szCs w:val="26"/>
        </w:rPr>
        <w:instrText xml:space="preserve"> ADDIN ZOTERO_BIBL {"uncited":[],"omitted":[],"custom":[]} CSL_BIBLIOGRAPHY </w:instrText>
      </w:r>
      <w:r w:rsidRPr="0061461F">
        <w:rPr>
          <w:szCs w:val="26"/>
        </w:rPr>
        <w:fldChar w:fldCharType="separate"/>
      </w:r>
      <w:r w:rsidR="008C0BAB" w:rsidRPr="008C0BAB">
        <w:t>1.</w:t>
      </w:r>
      <w:r w:rsidR="008C0BAB" w:rsidRPr="008C0BAB">
        <w:tab/>
        <w:t>Roantree B, Barrett M, Redmond P. Poverty, income inequality and living standards in Ireland: Second annual report. 2022 Oct 28 [cited 2024 Jan 10]; Available from: https://esri.ie/publications/poverty-income-inequality-and-living-standards-in-ireland-second-annual-report</w:t>
      </w:r>
    </w:p>
    <w:p w14:paraId="4A91DEEA" w14:textId="6A9C23AD" w:rsidR="008C0BAB" w:rsidRPr="008C0BAB" w:rsidRDefault="008C0BAB" w:rsidP="008C0BAB">
      <w:pPr>
        <w:pStyle w:val="Bibliography"/>
      </w:pPr>
      <w:r w:rsidRPr="008C0BAB">
        <w:t>2.</w:t>
      </w:r>
      <w:r w:rsidRPr="008C0BAB">
        <w:tab/>
        <w:t xml:space="preserve">Kelly E, Maître B, ESRI. Identification Of Skills Gaps Among Persons </w:t>
      </w:r>
      <w:r w:rsidR="00644273">
        <w:t>w</w:t>
      </w:r>
      <w:r w:rsidRPr="008C0BAB">
        <w:t xml:space="preserve">ith Disabilities And Their Employment Prospects [Internet]. ESRI; 2021 Sep [cited </w:t>
      </w:r>
      <w:r w:rsidRPr="008C0BAB">
        <w:lastRenderedPageBreak/>
        <w:t>2023 Oct 10]. Available from: https://www.esri.ie/publications/identification-of-skills-gaps-among-persons-with-disabilities-and-their-employment</w:t>
      </w:r>
    </w:p>
    <w:p w14:paraId="59219784" w14:textId="77777777" w:rsidR="008C0BAB" w:rsidRPr="008C0BAB" w:rsidRDefault="008C0BAB" w:rsidP="008C0BAB">
      <w:pPr>
        <w:pStyle w:val="Bibliography"/>
      </w:pPr>
      <w:r w:rsidRPr="008C0BAB">
        <w:t>3.</w:t>
      </w:r>
      <w:r w:rsidRPr="008C0BAB">
        <w:tab/>
        <w:t>Sprong S, Maître B. Thematic Report on Poverty and Social Inclusion Indicators. Poverty and Social Inclusion Indicators in the Roadmap for  Social Inclusion 2020–2025 in Comparative Perspective Covering  2018–2021 [Internet]. ESRI; 2023. Available from: https://www.esri.ie/system/files/publications/BKMNEXT434_0.pdf</w:t>
      </w:r>
    </w:p>
    <w:p w14:paraId="78BE7AFE" w14:textId="77777777" w:rsidR="008C0BAB" w:rsidRPr="008C0BAB" w:rsidRDefault="008C0BAB" w:rsidP="008C0BAB">
      <w:pPr>
        <w:pStyle w:val="Bibliography"/>
      </w:pPr>
      <w:r w:rsidRPr="008C0BAB">
        <w:t>4.</w:t>
      </w:r>
      <w:r w:rsidRPr="008C0BAB">
        <w:tab/>
        <w:t>Treanor M, Troncoso P. The Indivisibility of Parental and Child Mental Health and Why Poverty Matters. J Adolesc Health [Internet]. 2023 Sep 1 [cited 2024 Jan 10];73(3):470–7. Available from: https://www.sciencedirect.com/science/article/pii/S1054139X23002100</w:t>
      </w:r>
    </w:p>
    <w:p w14:paraId="3E814C86" w14:textId="77777777" w:rsidR="008C0BAB" w:rsidRPr="008C0BAB" w:rsidRDefault="008C0BAB" w:rsidP="008C0BAB">
      <w:pPr>
        <w:pStyle w:val="Bibliography"/>
      </w:pPr>
      <w:r w:rsidRPr="008C0BAB">
        <w:t>5.</w:t>
      </w:r>
      <w:r w:rsidRPr="008C0BAB">
        <w:tab/>
        <w:t>ESRI, Maître B, Russell H, ESRI, Smyth E, ESRI. The dynamics of child poverty in Ireland: Evidence from the Growing Up in Ireland survey [Internet]. ESRI; 2021 May [cited 2024 Jan 15]. Available from: https://www.esri.ie/publications/the-dynamics-of-child-poverty-in-ireland-evidence-from-the-growing-up-in-ireland</w:t>
      </w:r>
    </w:p>
    <w:p w14:paraId="01617A0A" w14:textId="77777777" w:rsidR="008C0BAB" w:rsidRPr="008C0BAB" w:rsidRDefault="008C0BAB" w:rsidP="008C0BAB">
      <w:pPr>
        <w:pStyle w:val="Bibliography"/>
      </w:pPr>
      <w:r w:rsidRPr="008C0BAB">
        <w:t>6.</w:t>
      </w:r>
      <w:r w:rsidRPr="008C0BAB">
        <w:tab/>
        <w:t>Stats NZ. Child poverty statistics: Year ended June 2022 [Internet]. 2023 [cited 2024 Jan 16]. Available from: https://www.stats.govt.nz/information-releases/child-poverty-statistics-year-ended-june-2022</w:t>
      </w:r>
    </w:p>
    <w:p w14:paraId="13937E71" w14:textId="77777777" w:rsidR="008C0BAB" w:rsidRPr="008C0BAB" w:rsidRDefault="008C0BAB" w:rsidP="008C0BAB">
      <w:pPr>
        <w:pStyle w:val="Bibliography"/>
      </w:pPr>
      <w:r w:rsidRPr="008C0BAB">
        <w:t>7.</w:t>
      </w:r>
      <w:r w:rsidRPr="008C0BAB">
        <w:tab/>
        <w:t>New Zealand Government. NZ 2023 Budget. 2023 [cited 2024 Jan 16]. There are different child poverty trends across specific population groups - Budget 2023 - 18 May 2023. Available from: https://2023.budget.govt.nz/budget/2023/wellbeing/child-poverty-report/poverty-across-groups.htm#reference-index-10</w:t>
      </w:r>
    </w:p>
    <w:p w14:paraId="1C66805B" w14:textId="77777777" w:rsidR="008C0BAB" w:rsidRPr="008C0BAB" w:rsidRDefault="008C0BAB" w:rsidP="008C0BAB">
      <w:pPr>
        <w:pStyle w:val="Bibliography"/>
      </w:pPr>
      <w:r w:rsidRPr="008C0BAB">
        <w:t>8.</w:t>
      </w:r>
      <w:r w:rsidRPr="008C0BAB">
        <w:tab/>
        <w:t>Indecon. The Cost of Disability in Ireland – Research Report [Internet]. 2021 Dec [cited 2024 Jan 10]. Available from: https://www.gov.ie/en/publication/1d84e-the-cost-of-disability-in-ireland-research-report/</w:t>
      </w:r>
    </w:p>
    <w:p w14:paraId="1B4C451E" w14:textId="191FDCF0" w:rsidR="0061461F" w:rsidRPr="0061461F" w:rsidRDefault="0061461F" w:rsidP="0061461F">
      <w:pPr>
        <w:pStyle w:val="Bibliography"/>
        <w:rPr>
          <w:sz w:val="28"/>
        </w:rPr>
      </w:pPr>
      <w:r w:rsidRPr="0061461F">
        <w:rPr>
          <w:szCs w:val="26"/>
        </w:rPr>
        <w:fldChar w:fldCharType="end"/>
      </w:r>
    </w:p>
    <w:p w14:paraId="5BD646A6" w14:textId="16750D60" w:rsidR="007939B1" w:rsidRPr="007939B1" w:rsidRDefault="007939B1" w:rsidP="0061461F">
      <w:pPr>
        <w:pStyle w:val="Bibliography"/>
        <w:ind w:left="0" w:firstLine="0"/>
      </w:pPr>
    </w:p>
    <w:sectPr w:rsidR="007939B1" w:rsidRPr="007939B1">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B1459" w14:textId="77777777" w:rsidR="00C073A6" w:rsidRDefault="00C073A6">
      <w:r>
        <w:separator/>
      </w:r>
    </w:p>
  </w:endnote>
  <w:endnote w:type="continuationSeparator" w:id="0">
    <w:p w14:paraId="245F5590" w14:textId="77777777" w:rsidR="00C073A6" w:rsidRDefault="00C0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62FD1" w14:textId="28C38899" w:rsidR="00064C53" w:rsidRDefault="00B6001A">
    <w:pPr>
      <w:pStyle w:val="Footer"/>
    </w:pPr>
    <w:r>
      <w:rPr>
        <w:color w:val="BF2296"/>
      </w:rPr>
      <w:t xml:space="preserve">NDA Submission to </w:t>
    </w:r>
    <w:r w:rsidR="006B2184">
      <w:rPr>
        <w:color w:val="BF2296"/>
      </w:rPr>
      <w:t>the Department of Social Protection</w:t>
    </w:r>
    <w:r w:rsidR="00064C53">
      <w:t xml:space="preserve">   </w:t>
    </w:r>
    <w:hyperlink r:id="rId1" w:anchor="page=null" w:history="1">
      <w:r w:rsidR="00064C53" w:rsidRPr="00C46AF2">
        <w:rPr>
          <w:rStyle w:val="Hyperlink"/>
        </w:rPr>
        <w:t>https://www.gov.ie/pdf/?file=https://assets.gov.ie/277109/4f22e88e-686c-48cd-90a2-69df261a2796.pdf#page=null</w:t>
      </w:r>
    </w:hyperlink>
  </w:p>
  <w:p w14:paraId="4BC80EA3" w14:textId="244E9CE8" w:rsidR="009C4D62" w:rsidRDefault="009C4D62">
    <w:pPr>
      <w:pStyle w:val="Footer"/>
    </w:pPr>
    <w:r>
      <w:tab/>
    </w:r>
    <w:r>
      <w:fldChar w:fldCharType="begin"/>
    </w:r>
    <w:r>
      <w:instrText xml:space="preserve"> PAGE  \* Arabic  \* MERGEFORMAT </w:instrText>
    </w:r>
    <w:r>
      <w:fldChar w:fldCharType="separate"/>
    </w:r>
    <w:r w:rsidR="00AA327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100D8" w14:textId="77777777" w:rsidR="00C073A6" w:rsidRDefault="00C073A6">
      <w:r>
        <w:separator/>
      </w:r>
    </w:p>
  </w:footnote>
  <w:footnote w:type="continuationSeparator" w:id="0">
    <w:p w14:paraId="240F7086" w14:textId="77777777" w:rsidR="00C073A6" w:rsidRDefault="00C07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1567DA5"/>
    <w:multiLevelType w:val="hybridMultilevel"/>
    <w:tmpl w:val="2DB6F06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3013C53"/>
    <w:multiLevelType w:val="hybridMultilevel"/>
    <w:tmpl w:val="EDD482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256525290">
    <w:abstractNumId w:val="9"/>
  </w:num>
  <w:num w:numId="2" w16cid:durableId="1344893156">
    <w:abstractNumId w:val="9"/>
  </w:num>
  <w:num w:numId="3" w16cid:durableId="1419788596">
    <w:abstractNumId w:val="7"/>
  </w:num>
  <w:num w:numId="4" w16cid:durableId="305206785">
    <w:abstractNumId w:val="7"/>
  </w:num>
  <w:num w:numId="5" w16cid:durableId="2089036360">
    <w:abstractNumId w:val="6"/>
  </w:num>
  <w:num w:numId="6" w16cid:durableId="170026884">
    <w:abstractNumId w:val="6"/>
  </w:num>
  <w:num w:numId="7" w16cid:durableId="1123037605">
    <w:abstractNumId w:val="8"/>
  </w:num>
  <w:num w:numId="8" w16cid:durableId="776415482">
    <w:abstractNumId w:val="8"/>
  </w:num>
  <w:num w:numId="9" w16cid:durableId="166949733">
    <w:abstractNumId w:val="3"/>
  </w:num>
  <w:num w:numId="10" w16cid:durableId="206647214">
    <w:abstractNumId w:val="3"/>
  </w:num>
  <w:num w:numId="11" w16cid:durableId="712392114">
    <w:abstractNumId w:val="2"/>
  </w:num>
  <w:num w:numId="12" w16cid:durableId="685063405">
    <w:abstractNumId w:val="2"/>
  </w:num>
  <w:num w:numId="13" w16cid:durableId="934635600">
    <w:abstractNumId w:val="5"/>
  </w:num>
  <w:num w:numId="14" w16cid:durableId="999576836">
    <w:abstractNumId w:val="4"/>
  </w:num>
  <w:num w:numId="15" w16cid:durableId="189954344">
    <w:abstractNumId w:val="1"/>
  </w:num>
  <w:num w:numId="16" w16cid:durableId="641345507">
    <w:abstractNumId w:val="0"/>
  </w:num>
  <w:num w:numId="17" w16cid:durableId="1943144707">
    <w:abstractNumId w:val="11"/>
  </w:num>
  <w:num w:numId="18" w16cid:durableId="9437334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1D6"/>
    <w:rsid w:val="00024A8D"/>
    <w:rsid w:val="00046B70"/>
    <w:rsid w:val="00064C53"/>
    <w:rsid w:val="00066050"/>
    <w:rsid w:val="000A46C9"/>
    <w:rsid w:val="000A7E84"/>
    <w:rsid w:val="000C4FDF"/>
    <w:rsid w:val="000F19C7"/>
    <w:rsid w:val="00100BCE"/>
    <w:rsid w:val="00105058"/>
    <w:rsid w:val="001777A9"/>
    <w:rsid w:val="00181FE6"/>
    <w:rsid w:val="0018472E"/>
    <w:rsid w:val="001939AC"/>
    <w:rsid w:val="001B3DD1"/>
    <w:rsid w:val="001F3349"/>
    <w:rsid w:val="002000DF"/>
    <w:rsid w:val="00237271"/>
    <w:rsid w:val="00252187"/>
    <w:rsid w:val="00287B8E"/>
    <w:rsid w:val="002A0144"/>
    <w:rsid w:val="002B4737"/>
    <w:rsid w:val="002E5CE4"/>
    <w:rsid w:val="00313143"/>
    <w:rsid w:val="00316F96"/>
    <w:rsid w:val="003324F2"/>
    <w:rsid w:val="00355BE4"/>
    <w:rsid w:val="003579FD"/>
    <w:rsid w:val="00394FA5"/>
    <w:rsid w:val="003A44C8"/>
    <w:rsid w:val="003B10EC"/>
    <w:rsid w:val="003D7719"/>
    <w:rsid w:val="003E5401"/>
    <w:rsid w:val="004133FD"/>
    <w:rsid w:val="00466177"/>
    <w:rsid w:val="00480E8D"/>
    <w:rsid w:val="004905E2"/>
    <w:rsid w:val="004934C9"/>
    <w:rsid w:val="004A664F"/>
    <w:rsid w:val="004C4605"/>
    <w:rsid w:val="004C5836"/>
    <w:rsid w:val="004D1262"/>
    <w:rsid w:val="004F038E"/>
    <w:rsid w:val="004F673F"/>
    <w:rsid w:val="004F7A49"/>
    <w:rsid w:val="005128FF"/>
    <w:rsid w:val="00513C24"/>
    <w:rsid w:val="005430B7"/>
    <w:rsid w:val="00586807"/>
    <w:rsid w:val="005A4635"/>
    <w:rsid w:val="005E320D"/>
    <w:rsid w:val="005E672F"/>
    <w:rsid w:val="006039FE"/>
    <w:rsid w:val="0061461F"/>
    <w:rsid w:val="00621C52"/>
    <w:rsid w:val="00623A3C"/>
    <w:rsid w:val="006349ED"/>
    <w:rsid w:val="0064291A"/>
    <w:rsid w:val="00644273"/>
    <w:rsid w:val="006834B3"/>
    <w:rsid w:val="006B2184"/>
    <w:rsid w:val="006D4D6C"/>
    <w:rsid w:val="006F6D71"/>
    <w:rsid w:val="007939B1"/>
    <w:rsid w:val="007A7836"/>
    <w:rsid w:val="007B25BD"/>
    <w:rsid w:val="007B664F"/>
    <w:rsid w:val="007C1D90"/>
    <w:rsid w:val="007D0157"/>
    <w:rsid w:val="007D13F9"/>
    <w:rsid w:val="007D4D09"/>
    <w:rsid w:val="007E7334"/>
    <w:rsid w:val="008026D1"/>
    <w:rsid w:val="00804066"/>
    <w:rsid w:val="0080641B"/>
    <w:rsid w:val="0081067E"/>
    <w:rsid w:val="00831493"/>
    <w:rsid w:val="00831FA1"/>
    <w:rsid w:val="00832FE5"/>
    <w:rsid w:val="00837476"/>
    <w:rsid w:val="00843070"/>
    <w:rsid w:val="00853210"/>
    <w:rsid w:val="008541D6"/>
    <w:rsid w:val="008B4E9B"/>
    <w:rsid w:val="008B4F6E"/>
    <w:rsid w:val="008C0BAB"/>
    <w:rsid w:val="008C2AE1"/>
    <w:rsid w:val="008E01D6"/>
    <w:rsid w:val="008E1023"/>
    <w:rsid w:val="008E1587"/>
    <w:rsid w:val="008F29EC"/>
    <w:rsid w:val="009203BD"/>
    <w:rsid w:val="009C3BD7"/>
    <w:rsid w:val="009C4D62"/>
    <w:rsid w:val="009D3EF1"/>
    <w:rsid w:val="009F44B0"/>
    <w:rsid w:val="009F7C2A"/>
    <w:rsid w:val="00A05270"/>
    <w:rsid w:val="00A268FD"/>
    <w:rsid w:val="00A36029"/>
    <w:rsid w:val="00A45CBB"/>
    <w:rsid w:val="00A64350"/>
    <w:rsid w:val="00A71B50"/>
    <w:rsid w:val="00A742A8"/>
    <w:rsid w:val="00A93422"/>
    <w:rsid w:val="00AA327B"/>
    <w:rsid w:val="00AD2177"/>
    <w:rsid w:val="00AE3C14"/>
    <w:rsid w:val="00AF1C08"/>
    <w:rsid w:val="00AF3CEC"/>
    <w:rsid w:val="00B14618"/>
    <w:rsid w:val="00B16BC0"/>
    <w:rsid w:val="00B44E37"/>
    <w:rsid w:val="00B53B26"/>
    <w:rsid w:val="00B6001A"/>
    <w:rsid w:val="00B76547"/>
    <w:rsid w:val="00B82869"/>
    <w:rsid w:val="00BA2579"/>
    <w:rsid w:val="00BC74C2"/>
    <w:rsid w:val="00BE3DCC"/>
    <w:rsid w:val="00C073A6"/>
    <w:rsid w:val="00C154AE"/>
    <w:rsid w:val="00C375E2"/>
    <w:rsid w:val="00C629EB"/>
    <w:rsid w:val="00C77826"/>
    <w:rsid w:val="00C867C9"/>
    <w:rsid w:val="00C947D5"/>
    <w:rsid w:val="00CC04BF"/>
    <w:rsid w:val="00CF285B"/>
    <w:rsid w:val="00D0413F"/>
    <w:rsid w:val="00D0446B"/>
    <w:rsid w:val="00D0717E"/>
    <w:rsid w:val="00D21289"/>
    <w:rsid w:val="00D224C1"/>
    <w:rsid w:val="00D32754"/>
    <w:rsid w:val="00D35055"/>
    <w:rsid w:val="00D42171"/>
    <w:rsid w:val="00D4356F"/>
    <w:rsid w:val="00D62569"/>
    <w:rsid w:val="00D70522"/>
    <w:rsid w:val="00D91633"/>
    <w:rsid w:val="00DA0A67"/>
    <w:rsid w:val="00DA427E"/>
    <w:rsid w:val="00DD2429"/>
    <w:rsid w:val="00DD25F5"/>
    <w:rsid w:val="00DF00F3"/>
    <w:rsid w:val="00DF6470"/>
    <w:rsid w:val="00E24924"/>
    <w:rsid w:val="00E251C1"/>
    <w:rsid w:val="00E56A32"/>
    <w:rsid w:val="00EA0124"/>
    <w:rsid w:val="00EC1573"/>
    <w:rsid w:val="00F2094A"/>
    <w:rsid w:val="00F351D6"/>
    <w:rsid w:val="00FB023D"/>
    <w:rsid w:val="00FB5E01"/>
    <w:rsid w:val="00FE61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EE97C"/>
  <w15:chartTrackingRefBased/>
  <w15:docId w15:val="{04BF39A6-9833-4EF0-9606-5CE746E84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character" w:styleId="CommentReference">
    <w:name w:val="annotation reference"/>
    <w:basedOn w:val="DefaultParagraphFont"/>
    <w:rsid w:val="00B6001A"/>
    <w:rPr>
      <w:sz w:val="16"/>
      <w:szCs w:val="16"/>
    </w:rPr>
  </w:style>
  <w:style w:type="paragraph" w:styleId="CommentSubject">
    <w:name w:val="annotation subject"/>
    <w:basedOn w:val="CommentText"/>
    <w:next w:val="CommentText"/>
    <w:link w:val="CommentSubjectChar"/>
    <w:rsid w:val="00B6001A"/>
    <w:rPr>
      <w:rFonts w:ascii="Gill Sans MT" w:hAnsi="Gill Sans MT"/>
      <w:b/>
      <w:bCs/>
      <w:szCs w:val="20"/>
      <w:lang w:val="en-IE"/>
    </w:rPr>
  </w:style>
  <w:style w:type="character" w:customStyle="1" w:styleId="CommentSubjectChar">
    <w:name w:val="Comment Subject Char"/>
    <w:basedOn w:val="CommentTextChar"/>
    <w:link w:val="CommentSubject"/>
    <w:rsid w:val="00B6001A"/>
    <w:rPr>
      <w:rFonts w:ascii="Gill Sans MT" w:eastAsia="Times New Roman" w:hAnsi="Gill Sans MT"/>
      <w:b/>
      <w:bCs/>
      <w:szCs w:val="24"/>
      <w:lang w:eastAsia="en-US"/>
    </w:rPr>
  </w:style>
  <w:style w:type="paragraph" w:styleId="BalloonText">
    <w:name w:val="Balloon Text"/>
    <w:basedOn w:val="Normal"/>
    <w:link w:val="BalloonTextChar"/>
    <w:rsid w:val="00B6001A"/>
    <w:pPr>
      <w:spacing w:after="0"/>
    </w:pPr>
    <w:rPr>
      <w:rFonts w:ascii="Segoe UI" w:hAnsi="Segoe UI" w:cs="Segoe UI"/>
      <w:sz w:val="18"/>
      <w:szCs w:val="18"/>
    </w:rPr>
  </w:style>
  <w:style w:type="character" w:customStyle="1" w:styleId="BalloonTextChar">
    <w:name w:val="Balloon Text Char"/>
    <w:basedOn w:val="DefaultParagraphFont"/>
    <w:link w:val="BalloonText"/>
    <w:rsid w:val="00B6001A"/>
    <w:rPr>
      <w:rFonts w:ascii="Segoe UI" w:eastAsia="Times New Roman" w:hAnsi="Segoe UI" w:cs="Segoe UI"/>
      <w:sz w:val="18"/>
      <w:szCs w:val="18"/>
      <w:lang w:eastAsia="en-US"/>
    </w:rPr>
  </w:style>
  <w:style w:type="character" w:styleId="UnresolvedMention">
    <w:name w:val="Unresolved Mention"/>
    <w:basedOn w:val="DefaultParagraphFont"/>
    <w:uiPriority w:val="99"/>
    <w:semiHidden/>
    <w:unhideWhenUsed/>
    <w:rsid w:val="00064C53"/>
    <w:rPr>
      <w:color w:val="605E5C"/>
      <w:shd w:val="clear" w:color="auto" w:fill="E1DFDD"/>
    </w:rPr>
  </w:style>
  <w:style w:type="paragraph" w:styleId="EndnoteText">
    <w:name w:val="endnote text"/>
    <w:basedOn w:val="Normal"/>
    <w:link w:val="EndnoteTextChar"/>
    <w:rsid w:val="00A45CBB"/>
    <w:pPr>
      <w:spacing w:after="0"/>
    </w:pPr>
    <w:rPr>
      <w:sz w:val="20"/>
      <w:szCs w:val="20"/>
    </w:rPr>
  </w:style>
  <w:style w:type="character" w:customStyle="1" w:styleId="EndnoteTextChar">
    <w:name w:val="Endnote Text Char"/>
    <w:basedOn w:val="DefaultParagraphFont"/>
    <w:link w:val="EndnoteText"/>
    <w:rsid w:val="00A45CBB"/>
    <w:rPr>
      <w:rFonts w:ascii="Gill Sans MT" w:eastAsia="Times New Roman" w:hAnsi="Gill Sans MT"/>
      <w:lang w:eastAsia="en-US"/>
    </w:rPr>
  </w:style>
  <w:style w:type="character" w:styleId="EndnoteReference">
    <w:name w:val="endnote reference"/>
    <w:basedOn w:val="DefaultParagraphFont"/>
    <w:rsid w:val="00A45CBB"/>
    <w:rPr>
      <w:vertAlign w:val="superscript"/>
    </w:rPr>
  </w:style>
  <w:style w:type="table" w:styleId="TableGrid">
    <w:name w:val="Table Grid"/>
    <w:basedOn w:val="TableNormal"/>
    <w:rsid w:val="00332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B44E37"/>
    <w:pPr>
      <w:tabs>
        <w:tab w:val="left" w:pos="264"/>
      </w:tabs>
      <w:ind w:left="264" w:hanging="264"/>
    </w:pPr>
  </w:style>
  <w:style w:type="paragraph" w:styleId="Revision">
    <w:name w:val="Revision"/>
    <w:hidden/>
    <w:uiPriority w:val="99"/>
    <w:semiHidden/>
    <w:rsid w:val="00FB023D"/>
    <w:rPr>
      <w:rFonts w:ascii="Gill Sans MT" w:eastAsia="Times New Roman" w:hAnsi="Gill Sans MT"/>
      <w:sz w:val="26"/>
      <w:szCs w:val="24"/>
      <w:lang w:eastAsia="en-US"/>
    </w:rPr>
  </w:style>
  <w:style w:type="paragraph" w:styleId="ListParagraph">
    <w:name w:val="List Paragraph"/>
    <w:basedOn w:val="Normal"/>
    <w:uiPriority w:val="34"/>
    <w:qFormat/>
    <w:rsid w:val="00FB023D"/>
    <w:pPr>
      <w:ind w:left="720"/>
      <w:contextualSpacing/>
    </w:pPr>
  </w:style>
  <w:style w:type="paragraph" w:styleId="NormalWeb">
    <w:name w:val="Normal (Web)"/>
    <w:basedOn w:val="Normal"/>
    <w:uiPriority w:val="99"/>
    <w:unhideWhenUsed/>
    <w:rsid w:val="004F7A49"/>
    <w:pPr>
      <w:spacing w:before="100" w:beforeAutospacing="1" w:after="100" w:afterAutospacing="1"/>
    </w:pPr>
    <w:rPr>
      <w:rFonts w:ascii="Times New Roman" w:hAnsi="Times New Roman"/>
      <w:sz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07784">
      <w:bodyDiv w:val="1"/>
      <w:marLeft w:val="0"/>
      <w:marRight w:val="0"/>
      <w:marTop w:val="0"/>
      <w:marBottom w:val="0"/>
      <w:divBdr>
        <w:top w:val="none" w:sz="0" w:space="0" w:color="auto"/>
        <w:left w:val="none" w:sz="0" w:space="0" w:color="auto"/>
        <w:bottom w:val="none" w:sz="0" w:space="0" w:color="auto"/>
        <w:right w:val="none" w:sz="0" w:space="0" w:color="auto"/>
      </w:divBdr>
      <w:divsChild>
        <w:div w:id="302807256">
          <w:marLeft w:val="0"/>
          <w:marRight w:val="0"/>
          <w:marTop w:val="0"/>
          <w:marBottom w:val="0"/>
          <w:divBdr>
            <w:top w:val="none" w:sz="0" w:space="0" w:color="auto"/>
            <w:left w:val="none" w:sz="0" w:space="0" w:color="auto"/>
            <w:bottom w:val="none" w:sz="0" w:space="0" w:color="auto"/>
            <w:right w:val="none" w:sz="0" w:space="0" w:color="auto"/>
          </w:divBdr>
        </w:div>
        <w:div w:id="764499535">
          <w:marLeft w:val="0"/>
          <w:marRight w:val="0"/>
          <w:marTop w:val="0"/>
          <w:marBottom w:val="0"/>
          <w:divBdr>
            <w:top w:val="none" w:sz="0" w:space="0" w:color="auto"/>
            <w:left w:val="none" w:sz="0" w:space="0" w:color="auto"/>
            <w:bottom w:val="none" w:sz="0" w:space="0" w:color="auto"/>
            <w:right w:val="none" w:sz="0" w:space="0" w:color="auto"/>
          </w:divBdr>
        </w:div>
        <w:div w:id="840123450">
          <w:marLeft w:val="0"/>
          <w:marRight w:val="0"/>
          <w:marTop w:val="0"/>
          <w:marBottom w:val="0"/>
          <w:divBdr>
            <w:top w:val="none" w:sz="0" w:space="0" w:color="auto"/>
            <w:left w:val="none" w:sz="0" w:space="0" w:color="auto"/>
            <w:bottom w:val="none" w:sz="0" w:space="0" w:color="auto"/>
            <w:right w:val="none" w:sz="0" w:space="0" w:color="auto"/>
          </w:divBdr>
        </w:div>
        <w:div w:id="1859008117">
          <w:marLeft w:val="0"/>
          <w:marRight w:val="0"/>
          <w:marTop w:val="0"/>
          <w:marBottom w:val="0"/>
          <w:divBdr>
            <w:top w:val="none" w:sz="0" w:space="0" w:color="auto"/>
            <w:left w:val="none" w:sz="0" w:space="0" w:color="auto"/>
            <w:bottom w:val="none" w:sz="0" w:space="0" w:color="auto"/>
            <w:right w:val="none" w:sz="0" w:space="0" w:color="auto"/>
          </w:divBdr>
        </w:div>
        <w:div w:id="1196385276">
          <w:marLeft w:val="0"/>
          <w:marRight w:val="0"/>
          <w:marTop w:val="0"/>
          <w:marBottom w:val="0"/>
          <w:divBdr>
            <w:top w:val="none" w:sz="0" w:space="0" w:color="auto"/>
            <w:left w:val="none" w:sz="0" w:space="0" w:color="auto"/>
            <w:bottom w:val="none" w:sz="0" w:space="0" w:color="auto"/>
            <w:right w:val="none" w:sz="0" w:space="0" w:color="auto"/>
          </w:divBdr>
        </w:div>
        <w:div w:id="1729842544">
          <w:marLeft w:val="0"/>
          <w:marRight w:val="0"/>
          <w:marTop w:val="0"/>
          <w:marBottom w:val="0"/>
          <w:divBdr>
            <w:top w:val="none" w:sz="0" w:space="0" w:color="auto"/>
            <w:left w:val="none" w:sz="0" w:space="0" w:color="auto"/>
            <w:bottom w:val="none" w:sz="0" w:space="0" w:color="auto"/>
            <w:right w:val="none" w:sz="0" w:space="0" w:color="auto"/>
          </w:divBdr>
        </w:div>
        <w:div w:id="1408728933">
          <w:marLeft w:val="0"/>
          <w:marRight w:val="0"/>
          <w:marTop w:val="0"/>
          <w:marBottom w:val="0"/>
          <w:divBdr>
            <w:top w:val="none" w:sz="0" w:space="0" w:color="auto"/>
            <w:left w:val="none" w:sz="0" w:space="0" w:color="auto"/>
            <w:bottom w:val="none" w:sz="0" w:space="0" w:color="auto"/>
            <w:right w:val="none" w:sz="0" w:space="0" w:color="auto"/>
          </w:divBdr>
        </w:div>
        <w:div w:id="1691443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gov.ie/pdf/?file=https://assets.gov.ie/277109/4f22e88e-686c-48cd-90a2-69df261a279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7AB22-B2FB-4EF5-9666-A4EAEA812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1911</Words>
  <Characters>27367</Characters>
  <Application>Microsoft Office Word</Application>
  <DocSecurity>0</DocSecurity>
  <Lines>228</Lines>
  <Paragraphs>58</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29220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Damhnait M. O' Malley</dc:creator>
  <cp:keywords/>
  <cp:lastModifiedBy>Rosalyn Tamming (NDA)</cp:lastModifiedBy>
  <cp:revision>2</cp:revision>
  <dcterms:created xsi:type="dcterms:W3CDTF">2024-04-17T15:53:00Z</dcterms:created>
  <dcterms:modified xsi:type="dcterms:W3CDTF">2024-04-17T15:53:00Z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id="Hya0aLbh"/&gt;&lt;style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