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A44E" w14:textId="77777777" w:rsidR="00E457C6" w:rsidRDefault="00E457C6" w:rsidP="00E457C6">
      <w:pPr>
        <w:spacing w:after="840"/>
      </w:pPr>
      <w:r>
        <w:rPr>
          <w:noProof/>
          <w:lang w:eastAsia="en-IE"/>
        </w:rPr>
        <w:drawing>
          <wp:inline distT="0" distB="0" distL="0" distR="0" wp14:anchorId="2B333CBF" wp14:editId="5C66929D">
            <wp:extent cx="2523490" cy="1799590"/>
            <wp:effectExtent l="0" t="0" r="0" b="0"/>
            <wp:docPr id="3" name="Picture 3" descr="Logo of the National Disability Authority"/>
            <wp:cNvGraphicFramePr/>
            <a:graphic xmlns:a="http://schemas.openxmlformats.org/drawingml/2006/main">
              <a:graphicData uri="http://schemas.openxmlformats.org/drawingml/2006/picture">
                <pic:pic xmlns:pic="http://schemas.openxmlformats.org/drawingml/2006/picture">
                  <pic:nvPicPr>
                    <pic:cNvPr id="3" name="Picture 3" descr="Logo of the National Disability Authorit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490" cy="1799590"/>
                    </a:xfrm>
                    <a:prstGeom prst="rect">
                      <a:avLst/>
                    </a:prstGeom>
                    <a:noFill/>
                    <a:ln>
                      <a:noFill/>
                    </a:ln>
                  </pic:spPr>
                </pic:pic>
              </a:graphicData>
            </a:graphic>
          </wp:inline>
        </w:drawing>
      </w:r>
    </w:p>
    <w:p w14:paraId="66E9EA02" w14:textId="3E17C14B" w:rsidR="004F3697" w:rsidRDefault="007C6BE4" w:rsidP="004F3697">
      <w:pPr>
        <w:pStyle w:val="Title"/>
        <w:spacing w:before="1440"/>
      </w:pPr>
      <w:r>
        <w:t xml:space="preserve">NDA submission on </w:t>
      </w:r>
      <w:r w:rsidR="0055687C" w:rsidRPr="0055687C">
        <w:t>the development of Ireland's third Sustainable Development Goals (SDGs) National Implementation Plan</w:t>
      </w:r>
    </w:p>
    <w:p w14:paraId="1FDC9B1B" w14:textId="6B6CC37D" w:rsidR="00E457C6" w:rsidRDefault="009351CC" w:rsidP="004F3697">
      <w:pPr>
        <w:pStyle w:val="Title"/>
        <w:spacing w:before="1440"/>
        <w:rPr>
          <w:bCs/>
        </w:rPr>
      </w:pPr>
      <w:r>
        <w:rPr>
          <w:bCs/>
        </w:rPr>
        <w:t>January</w:t>
      </w:r>
      <w:r w:rsidR="0055687C">
        <w:rPr>
          <w:bCs/>
        </w:rPr>
        <w:t xml:space="preserve"> 202</w:t>
      </w:r>
      <w:r>
        <w:rPr>
          <w:bCs/>
        </w:rPr>
        <w:t xml:space="preserve">6 </w:t>
      </w:r>
    </w:p>
    <w:p w14:paraId="3F3EEC81" w14:textId="77777777" w:rsidR="00A336B8" w:rsidRDefault="00A336B8" w:rsidP="00A336B8"/>
    <w:p w14:paraId="6C3339DD" w14:textId="77777777" w:rsidR="00A336B8" w:rsidRDefault="00A336B8" w:rsidP="00A336B8"/>
    <w:p w14:paraId="1D794CFD" w14:textId="77777777" w:rsidR="00A336B8" w:rsidRDefault="00A336B8" w:rsidP="00A336B8"/>
    <w:p w14:paraId="69B74800" w14:textId="77777777" w:rsidR="00A336B8" w:rsidRDefault="00A336B8" w:rsidP="00A336B8"/>
    <w:p w14:paraId="61A7350F" w14:textId="77777777" w:rsidR="00A336B8" w:rsidRDefault="00A336B8" w:rsidP="00A336B8"/>
    <w:p w14:paraId="58432894" w14:textId="77777777" w:rsidR="00A336B8" w:rsidRDefault="00A336B8" w:rsidP="00A336B8"/>
    <w:p w14:paraId="637D5B3A" w14:textId="77777777" w:rsidR="00A336B8" w:rsidRDefault="00A336B8" w:rsidP="00A336B8"/>
    <w:p w14:paraId="381F3782" w14:textId="77777777" w:rsidR="00A336B8" w:rsidRDefault="00A336B8" w:rsidP="00A336B8"/>
    <w:p w14:paraId="675E4FC9" w14:textId="77777777" w:rsidR="00A336B8" w:rsidRDefault="00A336B8" w:rsidP="00A336B8"/>
    <w:p w14:paraId="186B60E5" w14:textId="77777777" w:rsidR="00A336B8" w:rsidRDefault="00A336B8" w:rsidP="00A336B8"/>
    <w:p w14:paraId="080FA526" w14:textId="77777777" w:rsidR="00A336B8" w:rsidRDefault="00A336B8" w:rsidP="00A336B8"/>
    <w:p w14:paraId="2A75DBF5" w14:textId="77777777" w:rsidR="00A336B8" w:rsidRDefault="00A336B8" w:rsidP="00A336B8"/>
    <w:sdt>
      <w:sdtPr>
        <w:rPr>
          <w:rFonts w:eastAsiaTheme="minorHAnsi" w:cstheme="minorBidi"/>
          <w:b w:val="0"/>
          <w:kern w:val="2"/>
          <w:sz w:val="24"/>
          <w:szCs w:val="22"/>
          <w:lang w:val="en-GB" w:eastAsia="en-US"/>
          <w14:ligatures w14:val="standardContextual"/>
        </w:rPr>
        <w:id w:val="240226585"/>
        <w:docPartObj>
          <w:docPartGallery w:val="Table of Contents"/>
          <w:docPartUnique/>
        </w:docPartObj>
      </w:sdtPr>
      <w:sdtEndPr>
        <w:rPr>
          <w:bCs/>
        </w:rPr>
      </w:sdtEndPr>
      <w:sdtContent>
        <w:p w14:paraId="34BA0295" w14:textId="15DE2B1F" w:rsidR="00A336B8" w:rsidRDefault="00A336B8">
          <w:pPr>
            <w:pStyle w:val="TOCHeading"/>
          </w:pPr>
          <w:r>
            <w:rPr>
              <w:lang w:val="en-GB"/>
            </w:rPr>
            <w:t>Contents</w:t>
          </w:r>
        </w:p>
        <w:p w14:paraId="3ACA6AEB" w14:textId="07018B1A" w:rsidR="002C275F" w:rsidRDefault="00A336B8">
          <w:pPr>
            <w:pStyle w:val="TOC1"/>
            <w:tabs>
              <w:tab w:val="right" w:leader="dot" w:pos="9016"/>
            </w:tabs>
            <w:rPr>
              <w:rFonts w:asciiTheme="minorHAnsi" w:eastAsiaTheme="minorEastAsia" w:hAnsiTheme="minorHAnsi"/>
              <w:noProof/>
              <w:szCs w:val="24"/>
              <w:lang w:eastAsia="en-IE"/>
            </w:rPr>
          </w:pPr>
          <w:r>
            <w:fldChar w:fldCharType="begin"/>
          </w:r>
          <w:r>
            <w:instrText xml:space="preserve"> TOC \o "1-3" \h \z \u </w:instrText>
          </w:r>
          <w:r>
            <w:fldChar w:fldCharType="separate"/>
          </w:r>
          <w:hyperlink w:anchor="_Toc219294597" w:history="1">
            <w:r w:rsidR="002C275F" w:rsidRPr="0062032E">
              <w:rPr>
                <w:rStyle w:val="Hyperlink"/>
                <w:noProof/>
              </w:rPr>
              <w:t>Introduction</w:t>
            </w:r>
            <w:r w:rsidR="002C275F">
              <w:rPr>
                <w:noProof/>
                <w:webHidden/>
              </w:rPr>
              <w:tab/>
            </w:r>
            <w:r w:rsidR="002C275F">
              <w:rPr>
                <w:noProof/>
                <w:webHidden/>
              </w:rPr>
              <w:fldChar w:fldCharType="begin"/>
            </w:r>
            <w:r w:rsidR="002C275F">
              <w:rPr>
                <w:noProof/>
                <w:webHidden/>
              </w:rPr>
              <w:instrText xml:space="preserve"> PAGEREF _Toc219294597 \h </w:instrText>
            </w:r>
            <w:r w:rsidR="002C275F">
              <w:rPr>
                <w:noProof/>
                <w:webHidden/>
              </w:rPr>
            </w:r>
            <w:r w:rsidR="002C275F">
              <w:rPr>
                <w:noProof/>
                <w:webHidden/>
              </w:rPr>
              <w:fldChar w:fldCharType="separate"/>
            </w:r>
            <w:r w:rsidR="002C275F">
              <w:rPr>
                <w:noProof/>
                <w:webHidden/>
              </w:rPr>
              <w:t>3</w:t>
            </w:r>
            <w:r w:rsidR="002C275F">
              <w:rPr>
                <w:noProof/>
                <w:webHidden/>
              </w:rPr>
              <w:fldChar w:fldCharType="end"/>
            </w:r>
          </w:hyperlink>
        </w:p>
        <w:p w14:paraId="02748D98" w14:textId="2C32E16A" w:rsidR="002C275F" w:rsidRDefault="002C275F">
          <w:pPr>
            <w:pStyle w:val="TOC1"/>
            <w:tabs>
              <w:tab w:val="right" w:leader="dot" w:pos="9016"/>
            </w:tabs>
            <w:rPr>
              <w:rFonts w:asciiTheme="minorHAnsi" w:eastAsiaTheme="minorEastAsia" w:hAnsiTheme="minorHAnsi"/>
              <w:noProof/>
              <w:szCs w:val="24"/>
              <w:lang w:eastAsia="en-IE"/>
            </w:rPr>
          </w:pPr>
          <w:hyperlink w:anchor="_Toc219294598" w:history="1">
            <w:r w:rsidRPr="0062032E">
              <w:rPr>
                <w:rStyle w:val="Hyperlink"/>
                <w:noProof/>
              </w:rPr>
              <w:t>Policy coherence and partnerships for implementation</w:t>
            </w:r>
            <w:r>
              <w:rPr>
                <w:noProof/>
                <w:webHidden/>
              </w:rPr>
              <w:tab/>
            </w:r>
            <w:r>
              <w:rPr>
                <w:noProof/>
                <w:webHidden/>
              </w:rPr>
              <w:fldChar w:fldCharType="begin"/>
            </w:r>
            <w:r>
              <w:rPr>
                <w:noProof/>
                <w:webHidden/>
              </w:rPr>
              <w:instrText xml:space="preserve"> PAGEREF _Toc219294598 \h </w:instrText>
            </w:r>
            <w:r>
              <w:rPr>
                <w:noProof/>
                <w:webHidden/>
              </w:rPr>
            </w:r>
            <w:r>
              <w:rPr>
                <w:noProof/>
                <w:webHidden/>
              </w:rPr>
              <w:fldChar w:fldCharType="separate"/>
            </w:r>
            <w:r>
              <w:rPr>
                <w:noProof/>
                <w:webHidden/>
              </w:rPr>
              <w:t>3</w:t>
            </w:r>
            <w:r>
              <w:rPr>
                <w:noProof/>
                <w:webHidden/>
              </w:rPr>
              <w:fldChar w:fldCharType="end"/>
            </w:r>
          </w:hyperlink>
        </w:p>
        <w:p w14:paraId="4C68B9FD" w14:textId="67036CDE" w:rsidR="002C275F" w:rsidRDefault="002C275F">
          <w:pPr>
            <w:pStyle w:val="TOC1"/>
            <w:tabs>
              <w:tab w:val="right" w:leader="dot" w:pos="9016"/>
            </w:tabs>
            <w:rPr>
              <w:rFonts w:asciiTheme="minorHAnsi" w:eastAsiaTheme="minorEastAsia" w:hAnsiTheme="minorHAnsi"/>
              <w:noProof/>
              <w:szCs w:val="24"/>
              <w:lang w:eastAsia="en-IE"/>
            </w:rPr>
          </w:pPr>
          <w:hyperlink w:anchor="_Toc219294599" w:history="1">
            <w:r w:rsidRPr="0062032E">
              <w:rPr>
                <w:rStyle w:val="Hyperlink"/>
                <w:noProof/>
              </w:rPr>
              <w:t>Current objectives and new actions in the context of existing progress and challenges</w:t>
            </w:r>
            <w:r>
              <w:rPr>
                <w:noProof/>
                <w:webHidden/>
              </w:rPr>
              <w:tab/>
            </w:r>
            <w:r>
              <w:rPr>
                <w:noProof/>
                <w:webHidden/>
              </w:rPr>
              <w:fldChar w:fldCharType="begin"/>
            </w:r>
            <w:r>
              <w:rPr>
                <w:noProof/>
                <w:webHidden/>
              </w:rPr>
              <w:instrText xml:space="preserve"> PAGEREF _Toc219294599 \h </w:instrText>
            </w:r>
            <w:r>
              <w:rPr>
                <w:noProof/>
                <w:webHidden/>
              </w:rPr>
            </w:r>
            <w:r>
              <w:rPr>
                <w:noProof/>
                <w:webHidden/>
              </w:rPr>
              <w:fldChar w:fldCharType="separate"/>
            </w:r>
            <w:r>
              <w:rPr>
                <w:noProof/>
                <w:webHidden/>
              </w:rPr>
              <w:t>5</w:t>
            </w:r>
            <w:r>
              <w:rPr>
                <w:noProof/>
                <w:webHidden/>
              </w:rPr>
              <w:fldChar w:fldCharType="end"/>
            </w:r>
          </w:hyperlink>
        </w:p>
        <w:p w14:paraId="68B3FA79" w14:textId="320D919E" w:rsidR="002C275F" w:rsidRDefault="002C275F">
          <w:pPr>
            <w:pStyle w:val="TOC2"/>
            <w:tabs>
              <w:tab w:val="right" w:leader="dot" w:pos="9016"/>
            </w:tabs>
            <w:rPr>
              <w:rFonts w:asciiTheme="minorHAnsi" w:eastAsiaTheme="minorEastAsia" w:hAnsiTheme="minorHAnsi"/>
              <w:noProof/>
              <w:szCs w:val="24"/>
              <w:lang w:eastAsia="en-IE"/>
            </w:rPr>
          </w:pPr>
          <w:hyperlink w:anchor="_Toc219294600" w:history="1">
            <w:r w:rsidRPr="0062032E">
              <w:rPr>
                <w:rStyle w:val="Hyperlink"/>
                <w:noProof/>
              </w:rPr>
              <w:t>Education</w:t>
            </w:r>
            <w:r>
              <w:rPr>
                <w:noProof/>
                <w:webHidden/>
              </w:rPr>
              <w:tab/>
            </w:r>
            <w:r>
              <w:rPr>
                <w:noProof/>
                <w:webHidden/>
              </w:rPr>
              <w:fldChar w:fldCharType="begin"/>
            </w:r>
            <w:r>
              <w:rPr>
                <w:noProof/>
                <w:webHidden/>
              </w:rPr>
              <w:instrText xml:space="preserve"> PAGEREF _Toc219294600 \h </w:instrText>
            </w:r>
            <w:r>
              <w:rPr>
                <w:noProof/>
                <w:webHidden/>
              </w:rPr>
            </w:r>
            <w:r>
              <w:rPr>
                <w:noProof/>
                <w:webHidden/>
              </w:rPr>
              <w:fldChar w:fldCharType="separate"/>
            </w:r>
            <w:r>
              <w:rPr>
                <w:noProof/>
                <w:webHidden/>
              </w:rPr>
              <w:t>5</w:t>
            </w:r>
            <w:r>
              <w:rPr>
                <w:noProof/>
                <w:webHidden/>
              </w:rPr>
              <w:fldChar w:fldCharType="end"/>
            </w:r>
          </w:hyperlink>
        </w:p>
        <w:p w14:paraId="5B9CE373" w14:textId="2EA40299" w:rsidR="002C275F" w:rsidRDefault="002C275F">
          <w:pPr>
            <w:pStyle w:val="TOC2"/>
            <w:tabs>
              <w:tab w:val="right" w:leader="dot" w:pos="9016"/>
            </w:tabs>
            <w:rPr>
              <w:rFonts w:asciiTheme="minorHAnsi" w:eastAsiaTheme="minorEastAsia" w:hAnsiTheme="minorHAnsi"/>
              <w:noProof/>
              <w:szCs w:val="24"/>
              <w:lang w:eastAsia="en-IE"/>
            </w:rPr>
          </w:pPr>
          <w:hyperlink w:anchor="_Toc219294601" w:history="1">
            <w:r w:rsidRPr="0062032E">
              <w:rPr>
                <w:rStyle w:val="Hyperlink"/>
                <w:noProof/>
              </w:rPr>
              <w:t>Employment</w:t>
            </w:r>
            <w:r>
              <w:rPr>
                <w:noProof/>
                <w:webHidden/>
              </w:rPr>
              <w:tab/>
            </w:r>
            <w:r>
              <w:rPr>
                <w:noProof/>
                <w:webHidden/>
              </w:rPr>
              <w:fldChar w:fldCharType="begin"/>
            </w:r>
            <w:r>
              <w:rPr>
                <w:noProof/>
                <w:webHidden/>
              </w:rPr>
              <w:instrText xml:space="preserve"> PAGEREF _Toc219294601 \h </w:instrText>
            </w:r>
            <w:r>
              <w:rPr>
                <w:noProof/>
                <w:webHidden/>
              </w:rPr>
            </w:r>
            <w:r>
              <w:rPr>
                <w:noProof/>
                <w:webHidden/>
              </w:rPr>
              <w:fldChar w:fldCharType="separate"/>
            </w:r>
            <w:r>
              <w:rPr>
                <w:noProof/>
                <w:webHidden/>
              </w:rPr>
              <w:t>6</w:t>
            </w:r>
            <w:r>
              <w:rPr>
                <w:noProof/>
                <w:webHidden/>
              </w:rPr>
              <w:fldChar w:fldCharType="end"/>
            </w:r>
          </w:hyperlink>
        </w:p>
        <w:p w14:paraId="2CCE9768" w14:textId="044FF5D7" w:rsidR="002C275F" w:rsidRDefault="002C275F">
          <w:pPr>
            <w:pStyle w:val="TOC2"/>
            <w:tabs>
              <w:tab w:val="right" w:leader="dot" w:pos="9016"/>
            </w:tabs>
            <w:rPr>
              <w:rFonts w:asciiTheme="minorHAnsi" w:eastAsiaTheme="minorEastAsia" w:hAnsiTheme="minorHAnsi"/>
              <w:noProof/>
              <w:szCs w:val="24"/>
              <w:lang w:eastAsia="en-IE"/>
            </w:rPr>
          </w:pPr>
          <w:hyperlink w:anchor="_Toc219294602" w:history="1">
            <w:r w:rsidRPr="0062032E">
              <w:rPr>
                <w:rStyle w:val="Hyperlink"/>
                <w:noProof/>
              </w:rPr>
              <w:t>Health and Wellbeing</w:t>
            </w:r>
            <w:r>
              <w:rPr>
                <w:noProof/>
                <w:webHidden/>
              </w:rPr>
              <w:tab/>
            </w:r>
            <w:r>
              <w:rPr>
                <w:noProof/>
                <w:webHidden/>
              </w:rPr>
              <w:fldChar w:fldCharType="begin"/>
            </w:r>
            <w:r>
              <w:rPr>
                <w:noProof/>
                <w:webHidden/>
              </w:rPr>
              <w:instrText xml:space="preserve"> PAGEREF _Toc219294602 \h </w:instrText>
            </w:r>
            <w:r>
              <w:rPr>
                <w:noProof/>
                <w:webHidden/>
              </w:rPr>
            </w:r>
            <w:r>
              <w:rPr>
                <w:noProof/>
                <w:webHidden/>
              </w:rPr>
              <w:fldChar w:fldCharType="separate"/>
            </w:r>
            <w:r>
              <w:rPr>
                <w:noProof/>
                <w:webHidden/>
              </w:rPr>
              <w:t>7</w:t>
            </w:r>
            <w:r>
              <w:rPr>
                <w:noProof/>
                <w:webHidden/>
              </w:rPr>
              <w:fldChar w:fldCharType="end"/>
            </w:r>
          </w:hyperlink>
        </w:p>
        <w:p w14:paraId="0C934873" w14:textId="2E440DAE" w:rsidR="002C275F" w:rsidRDefault="002C275F">
          <w:pPr>
            <w:pStyle w:val="TOC2"/>
            <w:tabs>
              <w:tab w:val="right" w:leader="dot" w:pos="9016"/>
            </w:tabs>
            <w:rPr>
              <w:rFonts w:asciiTheme="minorHAnsi" w:eastAsiaTheme="minorEastAsia" w:hAnsiTheme="minorHAnsi"/>
              <w:noProof/>
              <w:szCs w:val="24"/>
              <w:lang w:eastAsia="en-IE"/>
            </w:rPr>
          </w:pPr>
          <w:hyperlink w:anchor="_Toc219294603" w:history="1">
            <w:r w:rsidRPr="0062032E">
              <w:rPr>
                <w:rStyle w:val="Hyperlink"/>
                <w:noProof/>
              </w:rPr>
              <w:t>Sustainable cities and communities</w:t>
            </w:r>
            <w:r>
              <w:rPr>
                <w:noProof/>
                <w:webHidden/>
              </w:rPr>
              <w:tab/>
            </w:r>
            <w:r>
              <w:rPr>
                <w:noProof/>
                <w:webHidden/>
              </w:rPr>
              <w:fldChar w:fldCharType="begin"/>
            </w:r>
            <w:r>
              <w:rPr>
                <w:noProof/>
                <w:webHidden/>
              </w:rPr>
              <w:instrText xml:space="preserve"> PAGEREF _Toc219294603 \h </w:instrText>
            </w:r>
            <w:r>
              <w:rPr>
                <w:noProof/>
                <w:webHidden/>
              </w:rPr>
            </w:r>
            <w:r>
              <w:rPr>
                <w:noProof/>
                <w:webHidden/>
              </w:rPr>
              <w:fldChar w:fldCharType="separate"/>
            </w:r>
            <w:r>
              <w:rPr>
                <w:noProof/>
                <w:webHidden/>
              </w:rPr>
              <w:t>8</w:t>
            </w:r>
            <w:r>
              <w:rPr>
                <w:noProof/>
                <w:webHidden/>
              </w:rPr>
              <w:fldChar w:fldCharType="end"/>
            </w:r>
          </w:hyperlink>
        </w:p>
        <w:p w14:paraId="094F2B30" w14:textId="64A65B16" w:rsidR="002C275F" w:rsidRDefault="002C275F">
          <w:pPr>
            <w:pStyle w:val="TOC2"/>
            <w:tabs>
              <w:tab w:val="right" w:leader="dot" w:pos="9016"/>
            </w:tabs>
            <w:rPr>
              <w:rFonts w:asciiTheme="minorHAnsi" w:eastAsiaTheme="minorEastAsia" w:hAnsiTheme="minorHAnsi"/>
              <w:noProof/>
              <w:szCs w:val="24"/>
              <w:lang w:eastAsia="en-IE"/>
            </w:rPr>
          </w:pPr>
          <w:hyperlink w:anchor="_Toc219294604" w:history="1">
            <w:r w:rsidRPr="0062032E">
              <w:rPr>
                <w:rStyle w:val="Hyperlink"/>
                <w:noProof/>
              </w:rPr>
              <w:t>Access to Justice</w:t>
            </w:r>
            <w:r>
              <w:rPr>
                <w:noProof/>
                <w:webHidden/>
              </w:rPr>
              <w:tab/>
            </w:r>
            <w:r>
              <w:rPr>
                <w:noProof/>
                <w:webHidden/>
              </w:rPr>
              <w:fldChar w:fldCharType="begin"/>
            </w:r>
            <w:r>
              <w:rPr>
                <w:noProof/>
                <w:webHidden/>
              </w:rPr>
              <w:instrText xml:space="preserve"> PAGEREF _Toc219294604 \h </w:instrText>
            </w:r>
            <w:r>
              <w:rPr>
                <w:noProof/>
                <w:webHidden/>
              </w:rPr>
            </w:r>
            <w:r>
              <w:rPr>
                <w:noProof/>
                <w:webHidden/>
              </w:rPr>
              <w:fldChar w:fldCharType="separate"/>
            </w:r>
            <w:r>
              <w:rPr>
                <w:noProof/>
                <w:webHidden/>
              </w:rPr>
              <w:t>10</w:t>
            </w:r>
            <w:r>
              <w:rPr>
                <w:noProof/>
                <w:webHidden/>
              </w:rPr>
              <w:fldChar w:fldCharType="end"/>
            </w:r>
          </w:hyperlink>
        </w:p>
        <w:p w14:paraId="3D3887E3" w14:textId="3993795D" w:rsidR="002C275F" w:rsidRDefault="002C275F">
          <w:pPr>
            <w:pStyle w:val="TOC1"/>
            <w:tabs>
              <w:tab w:val="right" w:leader="dot" w:pos="9016"/>
            </w:tabs>
            <w:rPr>
              <w:rFonts w:asciiTheme="minorHAnsi" w:eastAsiaTheme="minorEastAsia" w:hAnsiTheme="minorHAnsi"/>
              <w:noProof/>
              <w:szCs w:val="24"/>
              <w:lang w:eastAsia="en-IE"/>
            </w:rPr>
          </w:pPr>
          <w:hyperlink w:anchor="_Toc219294605" w:history="1">
            <w:r w:rsidRPr="0062032E">
              <w:rPr>
                <w:rStyle w:val="Hyperlink"/>
                <w:noProof/>
              </w:rPr>
              <w:t>Stakeholder engagement and leaving no one behind</w:t>
            </w:r>
            <w:r>
              <w:rPr>
                <w:noProof/>
                <w:webHidden/>
              </w:rPr>
              <w:tab/>
            </w:r>
            <w:r>
              <w:rPr>
                <w:noProof/>
                <w:webHidden/>
              </w:rPr>
              <w:fldChar w:fldCharType="begin"/>
            </w:r>
            <w:r>
              <w:rPr>
                <w:noProof/>
                <w:webHidden/>
              </w:rPr>
              <w:instrText xml:space="preserve"> PAGEREF _Toc219294605 \h </w:instrText>
            </w:r>
            <w:r>
              <w:rPr>
                <w:noProof/>
                <w:webHidden/>
              </w:rPr>
            </w:r>
            <w:r>
              <w:rPr>
                <w:noProof/>
                <w:webHidden/>
              </w:rPr>
              <w:fldChar w:fldCharType="separate"/>
            </w:r>
            <w:r>
              <w:rPr>
                <w:noProof/>
                <w:webHidden/>
              </w:rPr>
              <w:t>10</w:t>
            </w:r>
            <w:r>
              <w:rPr>
                <w:noProof/>
                <w:webHidden/>
              </w:rPr>
              <w:fldChar w:fldCharType="end"/>
            </w:r>
          </w:hyperlink>
        </w:p>
        <w:p w14:paraId="3CC1D2D3" w14:textId="187F29FF" w:rsidR="002C275F" w:rsidRDefault="002C275F">
          <w:pPr>
            <w:pStyle w:val="TOC1"/>
            <w:tabs>
              <w:tab w:val="right" w:leader="dot" w:pos="9016"/>
            </w:tabs>
            <w:rPr>
              <w:rFonts w:asciiTheme="minorHAnsi" w:eastAsiaTheme="minorEastAsia" w:hAnsiTheme="minorHAnsi"/>
              <w:noProof/>
              <w:szCs w:val="24"/>
              <w:lang w:eastAsia="en-IE"/>
            </w:rPr>
          </w:pPr>
          <w:hyperlink w:anchor="_Toc219294606" w:history="1">
            <w:r w:rsidRPr="0062032E">
              <w:rPr>
                <w:rStyle w:val="Hyperlink"/>
                <w:noProof/>
              </w:rPr>
              <w:t>Universal Design</w:t>
            </w:r>
            <w:r>
              <w:rPr>
                <w:noProof/>
                <w:webHidden/>
              </w:rPr>
              <w:tab/>
            </w:r>
            <w:r>
              <w:rPr>
                <w:noProof/>
                <w:webHidden/>
              </w:rPr>
              <w:fldChar w:fldCharType="begin"/>
            </w:r>
            <w:r>
              <w:rPr>
                <w:noProof/>
                <w:webHidden/>
              </w:rPr>
              <w:instrText xml:space="preserve"> PAGEREF _Toc219294606 \h </w:instrText>
            </w:r>
            <w:r>
              <w:rPr>
                <w:noProof/>
                <w:webHidden/>
              </w:rPr>
            </w:r>
            <w:r>
              <w:rPr>
                <w:noProof/>
                <w:webHidden/>
              </w:rPr>
              <w:fldChar w:fldCharType="separate"/>
            </w:r>
            <w:r>
              <w:rPr>
                <w:noProof/>
                <w:webHidden/>
              </w:rPr>
              <w:t>11</w:t>
            </w:r>
            <w:r>
              <w:rPr>
                <w:noProof/>
                <w:webHidden/>
              </w:rPr>
              <w:fldChar w:fldCharType="end"/>
            </w:r>
          </w:hyperlink>
        </w:p>
        <w:p w14:paraId="72C1CDCE" w14:textId="5AC71E19" w:rsidR="002C275F" w:rsidRDefault="002C275F">
          <w:pPr>
            <w:pStyle w:val="TOC2"/>
            <w:tabs>
              <w:tab w:val="right" w:leader="dot" w:pos="9016"/>
            </w:tabs>
            <w:rPr>
              <w:rFonts w:asciiTheme="minorHAnsi" w:eastAsiaTheme="minorEastAsia" w:hAnsiTheme="minorHAnsi"/>
              <w:noProof/>
              <w:szCs w:val="24"/>
              <w:lang w:eastAsia="en-IE"/>
            </w:rPr>
          </w:pPr>
          <w:hyperlink w:anchor="_Toc219294607" w:history="1">
            <w:r w:rsidRPr="0062032E">
              <w:rPr>
                <w:rStyle w:val="Hyperlink"/>
                <w:noProof/>
              </w:rPr>
              <w:t>Accessibility Legislation</w:t>
            </w:r>
            <w:r>
              <w:rPr>
                <w:noProof/>
                <w:webHidden/>
              </w:rPr>
              <w:tab/>
            </w:r>
            <w:r>
              <w:rPr>
                <w:noProof/>
                <w:webHidden/>
              </w:rPr>
              <w:fldChar w:fldCharType="begin"/>
            </w:r>
            <w:r>
              <w:rPr>
                <w:noProof/>
                <w:webHidden/>
              </w:rPr>
              <w:instrText xml:space="preserve"> PAGEREF _Toc219294607 \h </w:instrText>
            </w:r>
            <w:r>
              <w:rPr>
                <w:noProof/>
                <w:webHidden/>
              </w:rPr>
            </w:r>
            <w:r>
              <w:rPr>
                <w:noProof/>
                <w:webHidden/>
              </w:rPr>
              <w:fldChar w:fldCharType="separate"/>
            </w:r>
            <w:r>
              <w:rPr>
                <w:noProof/>
                <w:webHidden/>
              </w:rPr>
              <w:t>12</w:t>
            </w:r>
            <w:r>
              <w:rPr>
                <w:noProof/>
                <w:webHidden/>
              </w:rPr>
              <w:fldChar w:fldCharType="end"/>
            </w:r>
          </w:hyperlink>
        </w:p>
        <w:p w14:paraId="100139EC" w14:textId="726D0765" w:rsidR="002C275F" w:rsidRDefault="002C275F">
          <w:pPr>
            <w:pStyle w:val="TOC1"/>
            <w:tabs>
              <w:tab w:val="right" w:leader="dot" w:pos="9016"/>
            </w:tabs>
            <w:rPr>
              <w:rFonts w:asciiTheme="minorHAnsi" w:eastAsiaTheme="minorEastAsia" w:hAnsiTheme="minorHAnsi"/>
              <w:noProof/>
              <w:szCs w:val="24"/>
              <w:lang w:eastAsia="en-IE"/>
            </w:rPr>
          </w:pPr>
          <w:hyperlink w:anchor="_Toc219294608" w:history="1">
            <w:r w:rsidRPr="0062032E">
              <w:rPr>
                <w:rStyle w:val="Hyperlink"/>
                <w:noProof/>
              </w:rPr>
              <w:t>Improvement of monitoring and reporting framework including the National Voluntary Review</w:t>
            </w:r>
            <w:r>
              <w:rPr>
                <w:noProof/>
                <w:webHidden/>
              </w:rPr>
              <w:tab/>
            </w:r>
            <w:r>
              <w:rPr>
                <w:noProof/>
                <w:webHidden/>
              </w:rPr>
              <w:fldChar w:fldCharType="begin"/>
            </w:r>
            <w:r>
              <w:rPr>
                <w:noProof/>
                <w:webHidden/>
              </w:rPr>
              <w:instrText xml:space="preserve"> PAGEREF _Toc219294608 \h </w:instrText>
            </w:r>
            <w:r>
              <w:rPr>
                <w:noProof/>
                <w:webHidden/>
              </w:rPr>
            </w:r>
            <w:r>
              <w:rPr>
                <w:noProof/>
                <w:webHidden/>
              </w:rPr>
              <w:fldChar w:fldCharType="separate"/>
            </w:r>
            <w:r>
              <w:rPr>
                <w:noProof/>
                <w:webHidden/>
              </w:rPr>
              <w:t>13</w:t>
            </w:r>
            <w:r>
              <w:rPr>
                <w:noProof/>
                <w:webHidden/>
              </w:rPr>
              <w:fldChar w:fldCharType="end"/>
            </w:r>
          </w:hyperlink>
        </w:p>
        <w:p w14:paraId="1A17BD5F" w14:textId="702C2D74" w:rsidR="002C275F" w:rsidRDefault="002C275F">
          <w:pPr>
            <w:pStyle w:val="TOC1"/>
            <w:tabs>
              <w:tab w:val="right" w:leader="dot" w:pos="9016"/>
            </w:tabs>
            <w:rPr>
              <w:rFonts w:asciiTheme="minorHAnsi" w:eastAsiaTheme="minorEastAsia" w:hAnsiTheme="minorHAnsi"/>
              <w:noProof/>
              <w:szCs w:val="24"/>
              <w:lang w:eastAsia="en-IE"/>
            </w:rPr>
          </w:pPr>
          <w:hyperlink w:anchor="_Toc219294609" w:history="1">
            <w:r w:rsidRPr="0062032E">
              <w:rPr>
                <w:rStyle w:val="Hyperlink"/>
                <w:noProof/>
              </w:rPr>
              <w:t>Conclusion</w:t>
            </w:r>
            <w:r>
              <w:rPr>
                <w:noProof/>
                <w:webHidden/>
              </w:rPr>
              <w:tab/>
            </w:r>
            <w:r>
              <w:rPr>
                <w:noProof/>
                <w:webHidden/>
              </w:rPr>
              <w:fldChar w:fldCharType="begin"/>
            </w:r>
            <w:r>
              <w:rPr>
                <w:noProof/>
                <w:webHidden/>
              </w:rPr>
              <w:instrText xml:space="preserve"> PAGEREF _Toc219294609 \h </w:instrText>
            </w:r>
            <w:r>
              <w:rPr>
                <w:noProof/>
                <w:webHidden/>
              </w:rPr>
            </w:r>
            <w:r>
              <w:rPr>
                <w:noProof/>
                <w:webHidden/>
              </w:rPr>
              <w:fldChar w:fldCharType="separate"/>
            </w:r>
            <w:r>
              <w:rPr>
                <w:noProof/>
                <w:webHidden/>
              </w:rPr>
              <w:t>14</w:t>
            </w:r>
            <w:r>
              <w:rPr>
                <w:noProof/>
                <w:webHidden/>
              </w:rPr>
              <w:fldChar w:fldCharType="end"/>
            </w:r>
          </w:hyperlink>
        </w:p>
        <w:p w14:paraId="5F01E8B7" w14:textId="5977D302" w:rsidR="00A336B8" w:rsidRDefault="00A336B8">
          <w:r>
            <w:rPr>
              <w:b/>
              <w:bCs/>
              <w:lang w:val="en-GB"/>
            </w:rPr>
            <w:fldChar w:fldCharType="end"/>
          </w:r>
        </w:p>
      </w:sdtContent>
    </w:sdt>
    <w:p w14:paraId="110689D9" w14:textId="77777777" w:rsidR="00A336B8" w:rsidRDefault="00A336B8" w:rsidP="00A336B8"/>
    <w:p w14:paraId="1B92150D" w14:textId="77777777" w:rsidR="00A336B8" w:rsidRDefault="00A336B8" w:rsidP="00A336B8"/>
    <w:p w14:paraId="48E7828C" w14:textId="77777777" w:rsidR="00A336B8" w:rsidRDefault="00A336B8" w:rsidP="00A336B8"/>
    <w:p w14:paraId="25B3B7A7" w14:textId="77777777" w:rsidR="00A336B8" w:rsidRDefault="00A336B8" w:rsidP="00A336B8"/>
    <w:p w14:paraId="67A623EA" w14:textId="77777777" w:rsidR="00A336B8" w:rsidRPr="00A336B8" w:rsidRDefault="00A336B8" w:rsidP="00A336B8"/>
    <w:p w14:paraId="11F922B1" w14:textId="77777777" w:rsidR="00A336B8" w:rsidRPr="00A336B8" w:rsidRDefault="00A336B8" w:rsidP="00A336B8">
      <w:pPr>
        <w:sectPr w:rsidR="00A336B8" w:rsidRPr="00A336B8" w:rsidSect="0038799A">
          <w:headerReference w:type="default" r:id="rId9"/>
          <w:footerReference w:type="default" r:id="rId10"/>
          <w:pgSz w:w="11906" w:h="16838"/>
          <w:pgMar w:top="1440" w:right="1440" w:bottom="1440" w:left="1440" w:header="708" w:footer="708" w:gutter="0"/>
          <w:pgNumType w:start="0"/>
          <w:cols w:space="708"/>
          <w:titlePg/>
          <w:docGrid w:linePitch="360"/>
        </w:sectPr>
      </w:pPr>
    </w:p>
    <w:p w14:paraId="7D4BA635" w14:textId="52E2A05F" w:rsidR="00D748B3" w:rsidRDefault="00016DE6" w:rsidP="00D748B3">
      <w:pPr>
        <w:pStyle w:val="Heading1"/>
      </w:pPr>
      <w:bookmarkStart w:id="0" w:name="_Toc219294597"/>
      <w:r>
        <w:lastRenderedPageBreak/>
        <w:t>Introduction</w:t>
      </w:r>
      <w:bookmarkEnd w:id="0"/>
    </w:p>
    <w:p w14:paraId="3F8781BE" w14:textId="32D6A688" w:rsidR="006A66C6" w:rsidRDefault="006A66C6" w:rsidP="006A66C6">
      <w:r>
        <w:t xml:space="preserve">The National Disability Authority (NDA) welcomes the opportunity to share its views on </w:t>
      </w:r>
      <w:r w:rsidR="00CC50E4">
        <w:t xml:space="preserve">Ireland’s </w:t>
      </w:r>
      <w:r w:rsidR="00A443BE">
        <w:t>third</w:t>
      </w:r>
      <w:r>
        <w:t xml:space="preserve"> Sustainable Development Goals National Implementation Plan.</w:t>
      </w:r>
      <w:r w:rsidR="00CC3062">
        <w:rPr>
          <w:rStyle w:val="FootnoteReference"/>
        </w:rPr>
        <w:footnoteReference w:id="1"/>
      </w:r>
    </w:p>
    <w:p w14:paraId="4C892466" w14:textId="7D014F08" w:rsidR="006A66C6" w:rsidRDefault="006A66C6" w:rsidP="00442711">
      <w:pPr>
        <w:rPr>
          <w:szCs w:val="26"/>
        </w:rPr>
      </w:pPr>
      <w:r>
        <w:t xml:space="preserve">The NDA is the </w:t>
      </w:r>
      <w:r w:rsidRPr="00B747C8">
        <w:rPr>
          <w:szCs w:val="26"/>
        </w:rPr>
        <w:t xml:space="preserve">independent statutory body with a duty to provide </w:t>
      </w:r>
      <w:r w:rsidR="00073460">
        <w:rPr>
          <w:szCs w:val="26"/>
        </w:rPr>
        <w:t xml:space="preserve">evidence-informed </w:t>
      </w:r>
      <w:r w:rsidRPr="00B747C8">
        <w:rPr>
          <w:szCs w:val="26"/>
        </w:rPr>
        <w:t xml:space="preserve">information and advice to </w:t>
      </w:r>
      <w:r w:rsidR="005A7A2F">
        <w:rPr>
          <w:szCs w:val="26"/>
        </w:rPr>
        <w:t>g</w:t>
      </w:r>
      <w:r w:rsidRPr="00B747C8">
        <w:rPr>
          <w:szCs w:val="26"/>
        </w:rPr>
        <w:t>overnment on</w:t>
      </w:r>
      <w:r w:rsidR="005A7A2F">
        <w:rPr>
          <w:szCs w:val="26"/>
        </w:rPr>
        <w:t xml:space="preserve"> disability</w:t>
      </w:r>
      <w:r w:rsidRPr="00B747C8">
        <w:rPr>
          <w:szCs w:val="26"/>
        </w:rPr>
        <w:t xml:space="preserve"> policy </w:t>
      </w:r>
      <w:r w:rsidR="005E4E35">
        <w:rPr>
          <w:szCs w:val="26"/>
        </w:rPr>
        <w:t>and practice</w:t>
      </w:r>
      <w:r w:rsidRPr="00B747C8">
        <w:rPr>
          <w:szCs w:val="26"/>
        </w:rPr>
        <w:t xml:space="preserve">, and to promote </w:t>
      </w:r>
      <w:r w:rsidR="00B962DC">
        <w:rPr>
          <w:szCs w:val="26"/>
        </w:rPr>
        <w:t>the</w:t>
      </w:r>
      <w:r w:rsidR="00442711" w:rsidRPr="00442711">
        <w:rPr>
          <w:szCs w:val="26"/>
        </w:rPr>
        <w:t xml:space="preserve"> adoption and application of a Universal</w:t>
      </w:r>
      <w:r w:rsidR="00442711">
        <w:rPr>
          <w:szCs w:val="26"/>
        </w:rPr>
        <w:t xml:space="preserve"> </w:t>
      </w:r>
      <w:r w:rsidR="00442711" w:rsidRPr="00442711">
        <w:rPr>
          <w:szCs w:val="26"/>
        </w:rPr>
        <w:t>Design approach across all sectors</w:t>
      </w:r>
      <w:r>
        <w:rPr>
          <w:szCs w:val="26"/>
        </w:rPr>
        <w:t>.</w:t>
      </w:r>
      <w:r w:rsidR="00CC50E4" w:rsidRPr="00CC50E4">
        <w:rPr>
          <w:szCs w:val="26"/>
        </w:rPr>
        <w:t xml:space="preserve"> </w:t>
      </w:r>
      <w:r w:rsidR="00CC50E4">
        <w:rPr>
          <w:szCs w:val="26"/>
        </w:rPr>
        <w:t>The NDA carries out work in several areas relevant to the Sustainable Development Goals (SDGs) and we recognise the importance of putting in place a collaborative approach to their implementation.</w:t>
      </w:r>
    </w:p>
    <w:p w14:paraId="22204477" w14:textId="3A31DD52" w:rsidR="00955FCD" w:rsidRDefault="0076186E" w:rsidP="006A66C6">
      <w:pPr>
        <w:rPr>
          <w:szCs w:val="26"/>
        </w:rPr>
      </w:pPr>
      <w:r>
        <w:rPr>
          <w:szCs w:val="26"/>
        </w:rPr>
        <w:t>It is important to note that a</w:t>
      </w:r>
      <w:r w:rsidR="00955FCD">
        <w:rPr>
          <w:szCs w:val="26"/>
        </w:rPr>
        <w:t xml:space="preserve">ll Sustainable Development Goals (SDGs) and targets are applicable and relevant for people with disabilities, so it is </w:t>
      </w:r>
      <w:r>
        <w:rPr>
          <w:szCs w:val="26"/>
        </w:rPr>
        <w:t xml:space="preserve">therefore </w:t>
      </w:r>
      <w:r w:rsidR="00955FCD">
        <w:rPr>
          <w:szCs w:val="26"/>
        </w:rPr>
        <w:t>crucial that Ireland’s new National implementation Plan aligns with other national and international strategies and policies and promotes the rights of disabled people. Currently, there are 7 explicit references to persons with disabilities within the SDG targets</w:t>
      </w:r>
      <w:r w:rsidR="00CC50E4">
        <w:rPr>
          <w:szCs w:val="26"/>
        </w:rPr>
        <w:t>. These are</w:t>
      </w:r>
      <w:r w:rsidR="00955FCD">
        <w:rPr>
          <w:szCs w:val="26"/>
        </w:rPr>
        <w:t xml:space="preserve"> in relation to:</w:t>
      </w:r>
    </w:p>
    <w:p w14:paraId="1D937667" w14:textId="2B5019F2" w:rsidR="00955FCD" w:rsidRPr="00955FCD" w:rsidRDefault="00955FCD" w:rsidP="00861EC5">
      <w:pPr>
        <w:pStyle w:val="ListParagraph"/>
        <w:numPr>
          <w:ilvl w:val="0"/>
          <w:numId w:val="12"/>
        </w:numPr>
        <w:rPr>
          <w:szCs w:val="26"/>
        </w:rPr>
      </w:pPr>
      <w:r w:rsidRPr="00955FCD">
        <w:rPr>
          <w:szCs w:val="26"/>
        </w:rPr>
        <w:t>SDG 4 Quality Education</w:t>
      </w:r>
    </w:p>
    <w:p w14:paraId="4007DA70" w14:textId="2A705B5D" w:rsidR="00955FCD" w:rsidRPr="00955FCD" w:rsidRDefault="00955FCD" w:rsidP="00861EC5">
      <w:pPr>
        <w:pStyle w:val="ListParagraph"/>
        <w:numPr>
          <w:ilvl w:val="0"/>
          <w:numId w:val="12"/>
        </w:numPr>
        <w:rPr>
          <w:szCs w:val="26"/>
        </w:rPr>
      </w:pPr>
      <w:r w:rsidRPr="00955FCD">
        <w:rPr>
          <w:szCs w:val="26"/>
        </w:rPr>
        <w:t>SDG 8 Decent Work and Economic Growth</w:t>
      </w:r>
    </w:p>
    <w:p w14:paraId="771D0746" w14:textId="4180F955" w:rsidR="00955FCD" w:rsidRPr="00955FCD" w:rsidRDefault="00955FCD" w:rsidP="00861EC5">
      <w:pPr>
        <w:pStyle w:val="ListParagraph"/>
        <w:numPr>
          <w:ilvl w:val="0"/>
          <w:numId w:val="12"/>
        </w:numPr>
        <w:rPr>
          <w:szCs w:val="26"/>
        </w:rPr>
      </w:pPr>
      <w:r w:rsidRPr="00955FCD">
        <w:rPr>
          <w:szCs w:val="26"/>
        </w:rPr>
        <w:t>SDG 10 Reduced Inequalities</w:t>
      </w:r>
    </w:p>
    <w:p w14:paraId="2FEA5040" w14:textId="306E245C" w:rsidR="00955FCD" w:rsidRPr="00955FCD" w:rsidRDefault="00955FCD" w:rsidP="00861EC5">
      <w:pPr>
        <w:pStyle w:val="ListParagraph"/>
        <w:numPr>
          <w:ilvl w:val="0"/>
          <w:numId w:val="12"/>
        </w:numPr>
        <w:rPr>
          <w:szCs w:val="26"/>
        </w:rPr>
      </w:pPr>
      <w:r w:rsidRPr="00955FCD">
        <w:rPr>
          <w:szCs w:val="26"/>
        </w:rPr>
        <w:t>SDG 11 Sustainable Cities and Communities</w:t>
      </w:r>
    </w:p>
    <w:p w14:paraId="28024DD7" w14:textId="1E6D73FF" w:rsidR="00955FCD" w:rsidRPr="00955FCD" w:rsidRDefault="00955FCD" w:rsidP="00861EC5">
      <w:pPr>
        <w:pStyle w:val="ListParagraph"/>
        <w:numPr>
          <w:ilvl w:val="0"/>
          <w:numId w:val="12"/>
        </w:numPr>
        <w:rPr>
          <w:szCs w:val="26"/>
        </w:rPr>
      </w:pPr>
      <w:r w:rsidRPr="00955FCD">
        <w:rPr>
          <w:szCs w:val="26"/>
        </w:rPr>
        <w:t>SDG 17 Partnership for the Goals</w:t>
      </w:r>
    </w:p>
    <w:p w14:paraId="444636BE" w14:textId="229B84C0" w:rsidR="006A66C6" w:rsidRDefault="00CC50E4" w:rsidP="00CC50E4">
      <w:pPr>
        <w:rPr>
          <w:szCs w:val="26"/>
        </w:rPr>
      </w:pPr>
      <w:r>
        <w:rPr>
          <w:szCs w:val="26"/>
        </w:rPr>
        <w:t xml:space="preserve">The new Implementation Plan has the opportunity to further progress the above areas in relation to people with disabilities, while also considering ways to ensure that all SDGs can be inclusive of disabled people in </w:t>
      </w:r>
      <w:r w:rsidR="0076186E">
        <w:rPr>
          <w:szCs w:val="26"/>
        </w:rPr>
        <w:t>their</w:t>
      </w:r>
      <w:r>
        <w:rPr>
          <w:szCs w:val="26"/>
        </w:rPr>
        <w:t xml:space="preserve"> implementation.</w:t>
      </w:r>
    </w:p>
    <w:p w14:paraId="10A58A7B" w14:textId="77777777" w:rsidR="004124B9" w:rsidRPr="0065291A" w:rsidRDefault="004124B9" w:rsidP="004124B9">
      <w:pPr>
        <w:pStyle w:val="Heading1"/>
        <w:rPr>
          <w:rStyle w:val="Heading1Char"/>
        </w:rPr>
      </w:pPr>
      <w:bookmarkStart w:id="1" w:name="_Toc219294598"/>
      <w:r w:rsidRPr="00532C28">
        <w:t>Policy coherence and partnerships for implementation</w:t>
      </w:r>
      <w:bookmarkEnd w:id="1"/>
      <w:r w:rsidRPr="00532C28">
        <w:t xml:space="preserve"> </w:t>
      </w:r>
    </w:p>
    <w:p w14:paraId="39BE50AC" w14:textId="08F8C446" w:rsidR="004124B9" w:rsidRPr="006A66C6" w:rsidRDefault="004124B9" w:rsidP="004124B9">
      <w:pPr>
        <w:rPr>
          <w:szCs w:val="26"/>
        </w:rPr>
      </w:pPr>
      <w:r>
        <w:rPr>
          <w:szCs w:val="26"/>
        </w:rPr>
        <w:t xml:space="preserve">Ireland ratified the UN Convention on the Rights of Persons with Disabilities (UNCRPD) in March 2018, and the State has since submitted its initial State Report on the progressive realisation of the Convention to the </w:t>
      </w:r>
      <w:r w:rsidR="005A7A2F">
        <w:rPr>
          <w:szCs w:val="26"/>
        </w:rPr>
        <w:t xml:space="preserve">UN </w:t>
      </w:r>
      <w:r>
        <w:rPr>
          <w:szCs w:val="26"/>
        </w:rPr>
        <w:t xml:space="preserve">Committee on the Rights of Persons with Disabilities (the Committee). In recent years, the Committee has frequently referred to </w:t>
      </w:r>
      <w:r>
        <w:rPr>
          <w:szCs w:val="26"/>
        </w:rPr>
        <w:lastRenderedPageBreak/>
        <w:t xml:space="preserve">the SDGs in </w:t>
      </w:r>
      <w:r w:rsidR="00B00383">
        <w:rPr>
          <w:szCs w:val="26"/>
        </w:rPr>
        <w:t>its</w:t>
      </w:r>
      <w:r>
        <w:rPr>
          <w:szCs w:val="26"/>
        </w:rPr>
        <w:t xml:space="preserve"> recommendations to Members States, advising that countries link the SDGs and their respective UNCRPD Article(s), and implement them together. </w:t>
      </w:r>
    </w:p>
    <w:p w14:paraId="41465EC3" w14:textId="1CE34164" w:rsidR="007B7BE8" w:rsidRPr="00532C28" w:rsidRDefault="004124B9" w:rsidP="007B7BE8">
      <w:pPr>
        <w:rPr>
          <w:szCs w:val="26"/>
        </w:rPr>
      </w:pPr>
      <w:r>
        <w:rPr>
          <w:szCs w:val="26"/>
        </w:rPr>
        <w:t>This highlights the importance of promoting a holistic approach to implementing the SDGs and aligning them with national and international policy. Such a</w:t>
      </w:r>
      <w:r w:rsidRPr="00532C28">
        <w:rPr>
          <w:szCs w:val="26"/>
        </w:rPr>
        <w:t xml:space="preserve"> whole-of-government approach can be seen in the newly-published National Human Rights Strategy for Disabled People</w:t>
      </w:r>
      <w:r w:rsidR="005A7A2F">
        <w:rPr>
          <w:szCs w:val="26"/>
        </w:rPr>
        <w:t xml:space="preserve"> (</w:t>
      </w:r>
      <w:r w:rsidR="005A7A2F" w:rsidRPr="005A7A2F">
        <w:rPr>
          <w:szCs w:val="26"/>
        </w:rPr>
        <w:t>NHRSDP</w:t>
      </w:r>
      <w:r w:rsidR="005A7A2F">
        <w:rPr>
          <w:szCs w:val="26"/>
        </w:rPr>
        <w:t>)</w:t>
      </w:r>
      <w:r w:rsidRPr="00532C28">
        <w:rPr>
          <w:szCs w:val="26"/>
        </w:rPr>
        <w:t>, which contains a commitment to alignment with the Sustainable Development Goals and the 2030 Agenda.</w:t>
      </w:r>
      <w:r w:rsidR="00182AFC">
        <w:rPr>
          <w:rStyle w:val="FootnoteReference"/>
          <w:szCs w:val="26"/>
        </w:rPr>
        <w:footnoteReference w:id="2"/>
      </w:r>
      <w:r w:rsidRPr="00532C28">
        <w:rPr>
          <w:szCs w:val="26"/>
        </w:rPr>
        <w:t xml:space="preserve"> </w:t>
      </w:r>
      <w:r w:rsidR="007B7BE8" w:rsidRPr="00532C28">
        <w:rPr>
          <w:szCs w:val="26"/>
        </w:rPr>
        <w:t xml:space="preserve">The </w:t>
      </w:r>
      <w:r w:rsidR="00A952EA">
        <w:rPr>
          <w:szCs w:val="26"/>
        </w:rPr>
        <w:t>NHRSDP</w:t>
      </w:r>
      <w:r w:rsidR="007B7BE8" w:rsidRPr="00532C28">
        <w:rPr>
          <w:szCs w:val="26"/>
        </w:rPr>
        <w:t xml:space="preserve"> specifically names</w:t>
      </w:r>
      <w:r w:rsidR="007B7BE8">
        <w:rPr>
          <w:szCs w:val="26"/>
        </w:rPr>
        <w:t xml:space="preserve"> Agenda 2030 </w:t>
      </w:r>
      <w:r w:rsidR="007B7BE8" w:rsidRPr="00532C28">
        <w:rPr>
          <w:szCs w:val="26"/>
        </w:rPr>
        <w:t>target 11.2</w:t>
      </w:r>
      <w:r w:rsidR="002F5553">
        <w:rPr>
          <w:szCs w:val="26"/>
        </w:rPr>
        <w:t xml:space="preserve"> under the transport pillar</w:t>
      </w:r>
      <w:r w:rsidR="007B7BE8" w:rsidRPr="00532C28">
        <w:rPr>
          <w:szCs w:val="26"/>
        </w:rPr>
        <w:t xml:space="preserve">, which references access to safe, sustainable affordable transportation for all. </w:t>
      </w:r>
    </w:p>
    <w:p w14:paraId="5529B4F8" w14:textId="43AE2D5D" w:rsidR="004124B9" w:rsidRDefault="004124B9" w:rsidP="004124B9">
      <w:pPr>
        <w:rPr>
          <w:szCs w:val="26"/>
        </w:rPr>
      </w:pPr>
      <w:r>
        <w:rPr>
          <w:szCs w:val="26"/>
        </w:rPr>
        <w:t>In addition to the NHRSDP, a number of other strategies should be considered and aligned with the implementation of the new plan, including:</w:t>
      </w:r>
    </w:p>
    <w:p w14:paraId="3C1069CE" w14:textId="7798755F" w:rsidR="004124B9" w:rsidRDefault="004124B9" w:rsidP="004124B9">
      <w:pPr>
        <w:pStyle w:val="ListParagraph"/>
        <w:numPr>
          <w:ilvl w:val="0"/>
          <w:numId w:val="13"/>
        </w:numPr>
        <w:rPr>
          <w:szCs w:val="26"/>
        </w:rPr>
      </w:pPr>
      <w:r>
        <w:rPr>
          <w:szCs w:val="26"/>
        </w:rPr>
        <w:t xml:space="preserve">The </w:t>
      </w:r>
      <w:r w:rsidRPr="00A53C6D">
        <w:rPr>
          <w:szCs w:val="26"/>
        </w:rPr>
        <w:t>Public Sector</w:t>
      </w:r>
      <w:r w:rsidR="005A7A2F">
        <w:rPr>
          <w:szCs w:val="26"/>
        </w:rPr>
        <w:t xml:space="preserve"> Human Rights and Equality</w:t>
      </w:r>
      <w:r w:rsidRPr="00A53C6D">
        <w:rPr>
          <w:szCs w:val="26"/>
        </w:rPr>
        <w:t xml:space="preserve"> Duty</w:t>
      </w:r>
    </w:p>
    <w:p w14:paraId="303644B7" w14:textId="632D639F" w:rsidR="004B08AA" w:rsidRDefault="004B08AA" w:rsidP="004124B9">
      <w:pPr>
        <w:pStyle w:val="ListParagraph"/>
        <w:numPr>
          <w:ilvl w:val="0"/>
          <w:numId w:val="13"/>
        </w:numPr>
        <w:rPr>
          <w:szCs w:val="26"/>
        </w:rPr>
      </w:pPr>
      <w:r>
        <w:rPr>
          <w:szCs w:val="26"/>
        </w:rPr>
        <w:t>The National Housing Strategy for Disabled People 2022-2027</w:t>
      </w:r>
    </w:p>
    <w:p w14:paraId="76617A31" w14:textId="34777AF7" w:rsidR="005A7A2F" w:rsidRPr="00A53C6D" w:rsidRDefault="005A7A2F" w:rsidP="004124B9">
      <w:pPr>
        <w:pStyle w:val="ListParagraph"/>
        <w:numPr>
          <w:ilvl w:val="0"/>
          <w:numId w:val="13"/>
        </w:numPr>
        <w:rPr>
          <w:szCs w:val="26"/>
        </w:rPr>
      </w:pPr>
      <w:r>
        <w:rPr>
          <w:szCs w:val="26"/>
        </w:rPr>
        <w:t>The Autism Innovation Strategy</w:t>
      </w:r>
    </w:p>
    <w:p w14:paraId="5CB7EA43" w14:textId="77777777" w:rsidR="004124B9" w:rsidRPr="00A53C6D" w:rsidRDefault="004124B9" w:rsidP="004124B9">
      <w:pPr>
        <w:pStyle w:val="ListParagraph"/>
        <w:numPr>
          <w:ilvl w:val="0"/>
          <w:numId w:val="13"/>
        </w:numPr>
        <w:rPr>
          <w:szCs w:val="26"/>
        </w:rPr>
      </w:pPr>
      <w:r>
        <w:rPr>
          <w:szCs w:val="26"/>
        </w:rPr>
        <w:t xml:space="preserve">The new </w:t>
      </w:r>
      <w:r w:rsidRPr="00A53C6D">
        <w:rPr>
          <w:szCs w:val="26"/>
        </w:rPr>
        <w:t>Pathways to Work</w:t>
      </w:r>
      <w:r>
        <w:rPr>
          <w:szCs w:val="26"/>
        </w:rPr>
        <w:t xml:space="preserve"> Strategy </w:t>
      </w:r>
    </w:p>
    <w:p w14:paraId="16A2F1CC" w14:textId="77777777" w:rsidR="004124B9" w:rsidRDefault="004124B9" w:rsidP="004124B9">
      <w:pPr>
        <w:pStyle w:val="ListParagraph"/>
        <w:numPr>
          <w:ilvl w:val="0"/>
          <w:numId w:val="13"/>
        </w:numPr>
        <w:rPr>
          <w:szCs w:val="26"/>
        </w:rPr>
      </w:pPr>
      <w:r>
        <w:rPr>
          <w:szCs w:val="26"/>
        </w:rPr>
        <w:t xml:space="preserve">The new </w:t>
      </w:r>
      <w:r w:rsidRPr="00A53C6D">
        <w:rPr>
          <w:szCs w:val="26"/>
        </w:rPr>
        <w:t>Roadmap to Social Inclusion</w:t>
      </w:r>
    </w:p>
    <w:p w14:paraId="6A4E39ED" w14:textId="454071AD" w:rsidR="004124B9" w:rsidRDefault="00610659" w:rsidP="004124B9">
      <w:pPr>
        <w:rPr>
          <w:szCs w:val="26"/>
        </w:rPr>
      </w:pPr>
      <w:r>
        <w:rPr>
          <w:szCs w:val="26"/>
        </w:rPr>
        <w:t>The</w:t>
      </w:r>
      <w:r w:rsidR="004124B9">
        <w:rPr>
          <w:szCs w:val="26"/>
        </w:rPr>
        <w:t xml:space="preserve"> NDA </w:t>
      </w:r>
      <w:r w:rsidR="004124B9" w:rsidRPr="00532C28">
        <w:rPr>
          <w:szCs w:val="26"/>
        </w:rPr>
        <w:t>encourage</w:t>
      </w:r>
      <w:r w:rsidR="00DE1942">
        <w:rPr>
          <w:szCs w:val="26"/>
        </w:rPr>
        <w:t>s</w:t>
      </w:r>
      <w:r w:rsidR="004124B9" w:rsidRPr="00532C28">
        <w:rPr>
          <w:szCs w:val="26"/>
        </w:rPr>
        <w:t xml:space="preserve"> officials in the Department of Climate, Energy and the Environment to engage with counterparts in the Department of Children, Equality and Disability and ensure joined-up working </w:t>
      </w:r>
      <w:r w:rsidR="004124B9">
        <w:rPr>
          <w:szCs w:val="26"/>
        </w:rPr>
        <w:t>across the 17 SDGs.</w:t>
      </w:r>
    </w:p>
    <w:p w14:paraId="56112272" w14:textId="0451A05F" w:rsidR="004124B9" w:rsidRDefault="004124B9" w:rsidP="004124B9">
      <w:pPr>
        <w:rPr>
          <w:szCs w:val="26"/>
        </w:rPr>
      </w:pPr>
      <w:r>
        <w:rPr>
          <w:szCs w:val="26"/>
        </w:rPr>
        <w:t>The recent OECD coherence scan</w:t>
      </w:r>
      <w:r w:rsidR="00DE1942">
        <w:rPr>
          <w:szCs w:val="26"/>
        </w:rPr>
        <w:t xml:space="preserve"> </w:t>
      </w:r>
      <w:r w:rsidR="00841F29">
        <w:rPr>
          <w:szCs w:val="26"/>
        </w:rPr>
        <w:t>of Ireland</w:t>
      </w:r>
      <w:r w:rsidR="00FB76BE">
        <w:rPr>
          <w:rStyle w:val="FootnoteReference"/>
          <w:szCs w:val="26"/>
        </w:rPr>
        <w:footnoteReference w:id="3"/>
      </w:r>
      <w:r>
        <w:rPr>
          <w:szCs w:val="26"/>
        </w:rPr>
        <w:t xml:space="preserve"> called for additional oversight and accountability from parliamentary committees. In terms of maximising cross-governmental efficiency, it may be useful to consider the appointment of  parliamentary rapporteurs for existing committees, to spearhead work on the SDGs under Standing Order 100(4). </w:t>
      </w:r>
    </w:p>
    <w:p w14:paraId="1D48B21A" w14:textId="0EBDFE59" w:rsidR="004124B9" w:rsidRDefault="004124B9" w:rsidP="00CC50E4">
      <w:pPr>
        <w:rPr>
          <w:szCs w:val="26"/>
        </w:rPr>
      </w:pPr>
      <w:r>
        <w:rPr>
          <w:szCs w:val="26"/>
        </w:rPr>
        <w:t xml:space="preserve">While </w:t>
      </w:r>
      <w:r w:rsidR="007B7BE8">
        <w:rPr>
          <w:szCs w:val="26"/>
        </w:rPr>
        <w:t xml:space="preserve">the </w:t>
      </w:r>
      <w:r>
        <w:rPr>
          <w:szCs w:val="26"/>
        </w:rPr>
        <w:t>OECD praised progress with regard to performance budgeting, there remains no way to track financial resources against the SDGs. As such, the NDA calls for action with regard to a policy coherence sustainable development (PCSD) lens within subsequent budgeting cycles.</w:t>
      </w:r>
    </w:p>
    <w:p w14:paraId="53E1F784" w14:textId="1B6F91A5" w:rsidR="00E93DB6" w:rsidRDefault="00E93DB6" w:rsidP="00CC50E4">
      <w:pPr>
        <w:rPr>
          <w:szCs w:val="26"/>
        </w:rPr>
      </w:pPr>
      <w:r>
        <w:rPr>
          <w:szCs w:val="26"/>
        </w:rPr>
        <w:t>It is important to consider how policy coherence can be operationalised</w:t>
      </w:r>
      <w:r w:rsidR="003B6F6C">
        <w:rPr>
          <w:szCs w:val="26"/>
        </w:rPr>
        <w:t>;</w:t>
      </w:r>
      <w:r>
        <w:rPr>
          <w:szCs w:val="26"/>
        </w:rPr>
        <w:t xml:space="preserve"> initiatives such as cross-departmental</w:t>
      </w:r>
      <w:r w:rsidR="00F74287">
        <w:rPr>
          <w:szCs w:val="26"/>
        </w:rPr>
        <w:t xml:space="preserve"> design</w:t>
      </w:r>
      <w:r>
        <w:rPr>
          <w:szCs w:val="26"/>
        </w:rPr>
        <w:t xml:space="preserve"> </w:t>
      </w:r>
      <w:r w:rsidR="001A02F3">
        <w:rPr>
          <w:szCs w:val="26"/>
        </w:rPr>
        <w:t>reviews</w:t>
      </w:r>
      <w:r w:rsidR="003B6F6C">
        <w:rPr>
          <w:szCs w:val="26"/>
        </w:rPr>
        <w:t xml:space="preserve"> could be </w:t>
      </w:r>
      <w:r w:rsidR="007D7D7A">
        <w:rPr>
          <w:szCs w:val="26"/>
        </w:rPr>
        <w:t xml:space="preserve">overseen by the </w:t>
      </w:r>
      <w:r w:rsidR="00F74287">
        <w:rPr>
          <w:szCs w:val="26"/>
        </w:rPr>
        <w:t>Interdepartmental Working Group (IDWG).</w:t>
      </w:r>
      <w:r w:rsidR="007D7D7A">
        <w:rPr>
          <w:szCs w:val="26"/>
        </w:rPr>
        <w:t xml:space="preserve"> </w:t>
      </w:r>
      <w:r w:rsidR="001A02F3">
        <w:rPr>
          <w:szCs w:val="26"/>
        </w:rPr>
        <w:t xml:space="preserve">As discussed below, </w:t>
      </w:r>
      <w:r w:rsidR="001A02F3">
        <w:rPr>
          <w:szCs w:val="26"/>
        </w:rPr>
        <w:lastRenderedPageBreak/>
        <w:t xml:space="preserve">there is also scope for shared SDG-CRPD indicators and </w:t>
      </w:r>
      <w:r w:rsidR="00F74287">
        <w:rPr>
          <w:szCs w:val="26"/>
        </w:rPr>
        <w:t>joint Disability Impact Assessments</w:t>
      </w:r>
      <w:r w:rsidR="00C36A7F">
        <w:rPr>
          <w:szCs w:val="26"/>
        </w:rPr>
        <w:t xml:space="preserve">. </w:t>
      </w:r>
    </w:p>
    <w:p w14:paraId="0D7FAD2A" w14:textId="0B2517A3" w:rsidR="00532C28" w:rsidRPr="00532C28" w:rsidRDefault="00532C28" w:rsidP="004124B9">
      <w:pPr>
        <w:pStyle w:val="Heading1"/>
      </w:pPr>
      <w:bookmarkStart w:id="2" w:name="_Toc219294599"/>
      <w:r w:rsidRPr="00532C28">
        <w:t>Current objectives</w:t>
      </w:r>
      <w:r>
        <w:t xml:space="preserve"> and new actions</w:t>
      </w:r>
      <w:r w:rsidRPr="00532C28">
        <w:t xml:space="preserve"> in the context of existing progress and challenges</w:t>
      </w:r>
      <w:bookmarkEnd w:id="2"/>
      <w:r w:rsidRPr="00532C28">
        <w:t xml:space="preserve"> </w:t>
      </w:r>
    </w:p>
    <w:p w14:paraId="32BAED76" w14:textId="7AFDB66F" w:rsidR="00532C28" w:rsidRPr="00532C28" w:rsidRDefault="00532C28" w:rsidP="00532C28">
      <w:pPr>
        <w:rPr>
          <w:szCs w:val="26"/>
        </w:rPr>
      </w:pPr>
      <w:r w:rsidRPr="00532C28">
        <w:rPr>
          <w:szCs w:val="26"/>
        </w:rPr>
        <w:t xml:space="preserve">The NDA suggests that the existing </w:t>
      </w:r>
      <w:r w:rsidR="00CC50E4">
        <w:rPr>
          <w:szCs w:val="26"/>
        </w:rPr>
        <w:t xml:space="preserve">strategic </w:t>
      </w:r>
      <w:r w:rsidRPr="00532C28">
        <w:rPr>
          <w:szCs w:val="26"/>
        </w:rPr>
        <w:t>objectives remain highly relevant.</w:t>
      </w:r>
      <w:r w:rsidR="00CC50E4">
        <w:rPr>
          <w:szCs w:val="26"/>
        </w:rPr>
        <w:t xml:space="preserve"> As outlined in the current objectives,</w:t>
      </w:r>
      <w:r w:rsidRPr="00532C28">
        <w:rPr>
          <w:szCs w:val="26"/>
        </w:rPr>
        <w:t xml:space="preserve"> it is essential to prioritise policy coherence, local implementation, greater partnerships and strong reporting mechanisms, with a focus on Leave No One Behind</w:t>
      </w:r>
      <w:r w:rsidR="00CC50E4">
        <w:rPr>
          <w:szCs w:val="26"/>
        </w:rPr>
        <w:t>.</w:t>
      </w:r>
    </w:p>
    <w:p w14:paraId="22E51431" w14:textId="16028B83" w:rsidR="00532C28" w:rsidRPr="00532C28" w:rsidRDefault="00532C28" w:rsidP="00532C28">
      <w:pPr>
        <w:rPr>
          <w:szCs w:val="26"/>
        </w:rPr>
      </w:pPr>
      <w:r w:rsidRPr="00532C28">
        <w:rPr>
          <w:szCs w:val="26"/>
        </w:rPr>
        <w:t>With regard to specific actions, on-going efforts to create a synergy between the UNCRPD and the SDGs (Action 49) have been very positive and should continue as a priority</w:t>
      </w:r>
      <w:r w:rsidR="00037336">
        <w:rPr>
          <w:szCs w:val="26"/>
        </w:rPr>
        <w:t xml:space="preserve">, </w:t>
      </w:r>
      <w:r w:rsidR="00861EC5">
        <w:rPr>
          <w:szCs w:val="26"/>
        </w:rPr>
        <w:t xml:space="preserve">and </w:t>
      </w:r>
      <w:r w:rsidR="00861EC5" w:rsidRPr="00532C28">
        <w:rPr>
          <w:szCs w:val="26"/>
        </w:rPr>
        <w:t>the</w:t>
      </w:r>
      <w:r w:rsidRPr="00532C28">
        <w:rPr>
          <w:szCs w:val="26"/>
        </w:rPr>
        <w:t xml:space="preserve"> on-going engagement with persons with disabilities through national stakeholder mechanisms (Action 50) remains</w:t>
      </w:r>
      <w:r w:rsidR="00DE1942">
        <w:rPr>
          <w:szCs w:val="26"/>
        </w:rPr>
        <w:t xml:space="preserve"> an</w:t>
      </w:r>
      <w:r w:rsidRPr="00532C28">
        <w:rPr>
          <w:szCs w:val="26"/>
        </w:rPr>
        <w:t xml:space="preserve"> essential as part of the government’s commitment to leave no one behind and by extension, to help the furthest behind first.</w:t>
      </w:r>
    </w:p>
    <w:p w14:paraId="0707A611" w14:textId="5062A20A" w:rsidR="001407BF" w:rsidRDefault="002855A8" w:rsidP="00532C28">
      <w:pPr>
        <w:rPr>
          <w:szCs w:val="26"/>
        </w:rPr>
      </w:pPr>
      <w:r>
        <w:rPr>
          <w:szCs w:val="26"/>
        </w:rPr>
        <w:t>Continuing</w:t>
      </w:r>
      <w:r w:rsidR="002036E2">
        <w:rPr>
          <w:szCs w:val="26"/>
        </w:rPr>
        <w:t xml:space="preserve"> work with PPNs (Action 41) </w:t>
      </w:r>
      <w:r>
        <w:rPr>
          <w:szCs w:val="26"/>
        </w:rPr>
        <w:t xml:space="preserve">will provide further capacity-building opportunities for members, including local or regional </w:t>
      </w:r>
      <w:r w:rsidR="00DE1942">
        <w:rPr>
          <w:szCs w:val="26"/>
        </w:rPr>
        <w:t>Disabled Persons’ Organisation (</w:t>
      </w:r>
      <w:r>
        <w:rPr>
          <w:szCs w:val="26"/>
        </w:rPr>
        <w:t>DPOs</w:t>
      </w:r>
      <w:r w:rsidR="00DE1942">
        <w:rPr>
          <w:szCs w:val="26"/>
        </w:rPr>
        <w:t>)</w:t>
      </w:r>
      <w:r>
        <w:rPr>
          <w:szCs w:val="26"/>
        </w:rPr>
        <w:t>, to implement the SDGs at a community level.</w:t>
      </w:r>
    </w:p>
    <w:p w14:paraId="791ECEF0" w14:textId="11583B3B" w:rsidR="002F5553" w:rsidRDefault="00D50FEC" w:rsidP="00532C28">
      <w:pPr>
        <w:rPr>
          <w:szCs w:val="26"/>
        </w:rPr>
      </w:pPr>
      <w:r w:rsidRPr="00A524C4">
        <w:rPr>
          <w:szCs w:val="26"/>
        </w:rPr>
        <w:t xml:space="preserve">Work should continue on the proofing of programmes and plans against the SDGs (Action 8). </w:t>
      </w:r>
      <w:r w:rsidR="003E26BB" w:rsidRPr="00A524C4">
        <w:rPr>
          <w:szCs w:val="26"/>
        </w:rPr>
        <w:t>Furthermore, any “substantive proposals requiring government approval” must also be disability proofed according to the Government’s Disability Impact Assessment Guidelines.</w:t>
      </w:r>
      <w:r w:rsidR="003E26BB" w:rsidRPr="00A524C4">
        <w:rPr>
          <w:rStyle w:val="FootnoteReference"/>
          <w:szCs w:val="26"/>
        </w:rPr>
        <w:footnoteReference w:id="4"/>
      </w:r>
      <w:r w:rsidR="00B34239" w:rsidRPr="00A524C4">
        <w:rPr>
          <w:szCs w:val="26"/>
        </w:rPr>
        <w:t xml:space="preserve"> This includes joint assessments between collaborating Departments, where relevant.</w:t>
      </w:r>
      <w:r w:rsidR="00B34239">
        <w:rPr>
          <w:szCs w:val="26"/>
        </w:rPr>
        <w:t xml:space="preserve"> </w:t>
      </w:r>
    </w:p>
    <w:p w14:paraId="76D70B94" w14:textId="7946FCF8" w:rsidR="00037336" w:rsidRDefault="00037336" w:rsidP="00532C28">
      <w:pPr>
        <w:rPr>
          <w:szCs w:val="26"/>
        </w:rPr>
      </w:pPr>
      <w:r>
        <w:rPr>
          <w:szCs w:val="26"/>
        </w:rPr>
        <w:t xml:space="preserve">In addition to the current </w:t>
      </w:r>
      <w:r w:rsidR="00EE0B67">
        <w:rPr>
          <w:szCs w:val="26"/>
        </w:rPr>
        <w:t>a</w:t>
      </w:r>
      <w:r>
        <w:rPr>
          <w:szCs w:val="26"/>
        </w:rPr>
        <w:t xml:space="preserve">ctions, the NDA advises that consideration  should be given to the addition of further </w:t>
      </w:r>
      <w:r w:rsidR="00EE0B67">
        <w:rPr>
          <w:szCs w:val="26"/>
        </w:rPr>
        <w:t>a</w:t>
      </w:r>
      <w:r>
        <w:rPr>
          <w:szCs w:val="26"/>
        </w:rPr>
        <w:t>ctions in the following areas.</w:t>
      </w:r>
    </w:p>
    <w:p w14:paraId="1BB2F54E" w14:textId="5894002C" w:rsidR="00037336" w:rsidRDefault="00037336" w:rsidP="0065291A">
      <w:pPr>
        <w:pStyle w:val="Heading2"/>
      </w:pPr>
      <w:bookmarkStart w:id="3" w:name="_Toc219294600"/>
      <w:r>
        <w:t>Education</w:t>
      </w:r>
      <w:bookmarkEnd w:id="3"/>
    </w:p>
    <w:p w14:paraId="707F0374" w14:textId="47C688F7" w:rsidR="00FB76BE" w:rsidRDefault="00A942F7" w:rsidP="00A942F7">
      <w:r>
        <w:t>Inclusive education for all must be a priority, in line with the Second National Strategy on Education for Sustainable Development.</w:t>
      </w:r>
      <w:r w:rsidR="003E26BB">
        <w:rPr>
          <w:rStyle w:val="FootnoteReference"/>
        </w:rPr>
        <w:footnoteReference w:id="5"/>
      </w:r>
      <w:r>
        <w:t xml:space="preserve"> </w:t>
      </w:r>
      <w:r w:rsidR="00FB76BE">
        <w:t xml:space="preserve">This means reducing the </w:t>
      </w:r>
      <w:r w:rsidR="00FB76BE" w:rsidRPr="00FB76BE">
        <w:t>segregated education provision currently in the system through special schools and classes and providing sufficient resources to mainstream education to support.</w:t>
      </w:r>
    </w:p>
    <w:p w14:paraId="6ABCE4BF" w14:textId="35AAB218" w:rsidR="0063501F" w:rsidRDefault="00D03492" w:rsidP="00A942F7">
      <w:r>
        <w:t xml:space="preserve">Persons with disabilities have some of the lowest levels of educational attainment on average. According to Census 2022, 19.3% of persons with a disability to any extent had primary education only, compared with </w:t>
      </w:r>
      <w:r>
        <w:lastRenderedPageBreak/>
        <w:t>6.5% of the population without a disability.</w:t>
      </w:r>
      <w:r w:rsidR="00752986">
        <w:rPr>
          <w:rStyle w:val="FootnoteReference"/>
        </w:rPr>
        <w:footnoteReference w:id="6"/>
      </w:r>
      <w:r>
        <w:t xml:space="preserve"> </w:t>
      </w:r>
      <w:r w:rsidR="00752986">
        <w:t xml:space="preserve">This underscores the need to promote opportunities for lifelong learning at a local level within the community. </w:t>
      </w:r>
    </w:p>
    <w:p w14:paraId="68576A1F" w14:textId="35DDE77F" w:rsidR="00FB76BE" w:rsidRDefault="00FB76BE" w:rsidP="00A942F7">
      <w:r>
        <w:t xml:space="preserve">Under the inclusive education and learning pillar, the </w:t>
      </w:r>
      <w:r w:rsidR="00A952EA">
        <w:t>NHRSDP</w:t>
      </w:r>
      <w:r w:rsidR="00182AFC">
        <w:rPr>
          <w:rStyle w:val="FootnoteReference"/>
        </w:rPr>
        <w:footnoteReference w:id="7"/>
      </w:r>
      <w:r>
        <w:t xml:space="preserve"> commits to </w:t>
      </w:r>
      <w:r w:rsidRPr="00FB76BE">
        <w:t>create a more inclusive education system for disabled children and young people that will respect the rights of everyone to choose and access the learning environments that meet their unique needs.</w:t>
      </w:r>
      <w:r>
        <w:t xml:space="preserve"> The</w:t>
      </w:r>
      <w:r w:rsidR="00182AFC">
        <w:t xml:space="preserve"> strategy also</w:t>
      </w:r>
      <w:r>
        <w:t xml:space="preserve"> commit to improve retention rates and progression for disabled children and young people as they deal with transitions within education. Furthermore, </w:t>
      </w:r>
      <w:r w:rsidR="00182AFC">
        <w:t xml:space="preserve">it </w:t>
      </w:r>
      <w:r w:rsidR="00B00383">
        <w:t>aims</w:t>
      </w:r>
      <w:r>
        <w:t xml:space="preserve"> to support inclusion by helping</w:t>
      </w:r>
      <w:r w:rsidRPr="00FB76BE">
        <w:t xml:space="preserve"> educators and staff to create learning spaces that are friendly and supportive of all disabled children and young people.</w:t>
      </w:r>
    </w:p>
    <w:p w14:paraId="04D15962" w14:textId="0CC69082" w:rsidR="00752986" w:rsidRDefault="0063501F" w:rsidP="00D03492">
      <w:r>
        <w:t xml:space="preserve">Ensuring that persons with disabilities can progress within the education system requires improving the capacity of educators to incorporate the principles of Universal Design </w:t>
      </w:r>
      <w:r w:rsidR="00442711">
        <w:t xml:space="preserve">in </w:t>
      </w:r>
      <w:r w:rsidR="00752986">
        <w:t>Education</w:t>
      </w:r>
      <w:r w:rsidR="00523144">
        <w:rPr>
          <w:rStyle w:val="FootnoteReference"/>
        </w:rPr>
        <w:footnoteReference w:id="8"/>
      </w:r>
      <w:r>
        <w:t xml:space="preserve"> (UD</w:t>
      </w:r>
      <w:r w:rsidR="00752986">
        <w:t xml:space="preserve">E) </w:t>
      </w:r>
      <w:r>
        <w:t>into curricula</w:t>
      </w:r>
      <w:r w:rsidR="00752986">
        <w:t xml:space="preserve"> through on-going professional development. </w:t>
      </w:r>
    </w:p>
    <w:p w14:paraId="7900D00D" w14:textId="622DCD9F" w:rsidR="00D03492" w:rsidRDefault="00752986" w:rsidP="00D03492">
      <w:r>
        <w:t xml:space="preserve">This is a whole-systems approach which cultivates belonging and conditions which allow every learner to thrive by looking at: </w:t>
      </w:r>
    </w:p>
    <w:p w14:paraId="5C2F327B" w14:textId="77777777" w:rsidR="00752986" w:rsidRDefault="00752986" w:rsidP="00752986">
      <w:pPr>
        <w:pStyle w:val="ListParagraph"/>
        <w:numPr>
          <w:ilvl w:val="0"/>
          <w:numId w:val="14"/>
        </w:numPr>
      </w:pPr>
      <w:r>
        <w:t>the whole educational environment – this includes all levels of educational institutions, including the community and wider public</w:t>
      </w:r>
    </w:p>
    <w:p w14:paraId="19B073E0" w14:textId="77777777" w:rsidR="00752986" w:rsidRDefault="00752986" w:rsidP="00752986">
      <w:pPr>
        <w:pStyle w:val="ListParagraph"/>
        <w:numPr>
          <w:ilvl w:val="0"/>
          <w:numId w:val="14"/>
        </w:numPr>
      </w:pPr>
      <w:r>
        <w:t xml:space="preserve">the whole person </w:t>
      </w:r>
    </w:p>
    <w:p w14:paraId="215A2507" w14:textId="77777777" w:rsidR="00752986" w:rsidRDefault="00752986" w:rsidP="00752986">
      <w:pPr>
        <w:pStyle w:val="ListParagraph"/>
        <w:numPr>
          <w:ilvl w:val="0"/>
          <w:numId w:val="14"/>
        </w:numPr>
      </w:pPr>
      <w:r>
        <w:t>learning-friendly environments</w:t>
      </w:r>
    </w:p>
    <w:p w14:paraId="1A4B506B" w14:textId="77777777" w:rsidR="00752986" w:rsidRDefault="00752986" w:rsidP="00752986">
      <w:r>
        <w:t>It follows an educational ecosystem comprised of:</w:t>
      </w:r>
    </w:p>
    <w:p w14:paraId="5658C84D" w14:textId="77777777" w:rsidR="00752986" w:rsidRDefault="00752986" w:rsidP="00752986">
      <w:pPr>
        <w:pStyle w:val="ListParagraph"/>
        <w:numPr>
          <w:ilvl w:val="0"/>
          <w:numId w:val="16"/>
        </w:numPr>
      </w:pPr>
      <w:r>
        <w:t>The macro level, where directives, legislation and standards are set</w:t>
      </w:r>
    </w:p>
    <w:p w14:paraId="27090AFD" w14:textId="77777777" w:rsidR="00752986" w:rsidRDefault="00752986" w:rsidP="00752986">
      <w:pPr>
        <w:pStyle w:val="ListParagraph"/>
        <w:numPr>
          <w:ilvl w:val="0"/>
          <w:numId w:val="16"/>
        </w:numPr>
      </w:pPr>
      <w:r>
        <w:t>The meso level - this is the institutional level, which covers policies and governance, linking also to family and community</w:t>
      </w:r>
    </w:p>
    <w:p w14:paraId="04E98CFF" w14:textId="1A92DDFC" w:rsidR="00752986" w:rsidRPr="00752986" w:rsidRDefault="00752986" w:rsidP="00752986">
      <w:pPr>
        <w:pStyle w:val="ListParagraph"/>
        <w:numPr>
          <w:ilvl w:val="0"/>
          <w:numId w:val="15"/>
        </w:numPr>
      </w:pPr>
      <w:r>
        <w:t>The micro level, attending to individual needs and abilities</w:t>
      </w:r>
    </w:p>
    <w:p w14:paraId="456F86CE" w14:textId="69D3E4C3" w:rsidR="00037336" w:rsidRDefault="00037336" w:rsidP="00037336">
      <w:pPr>
        <w:pStyle w:val="Heading2"/>
      </w:pPr>
      <w:bookmarkStart w:id="4" w:name="_Toc219294601"/>
      <w:r>
        <w:t>Employment</w:t>
      </w:r>
      <w:bookmarkEnd w:id="4"/>
    </w:p>
    <w:p w14:paraId="118E4FD4" w14:textId="524FA842" w:rsidR="004255D7" w:rsidRDefault="009351CC" w:rsidP="004255D7">
      <w:r>
        <w:t>Promoting economic growth, productive employment and decent work for all requires a coordinated approach, aligned with the forthcoming Pathways to Work Strategy 2026-2030. Sustainable development is a key aspect of tackling Ireland’s disability employment gap, which is one of the largest in Europe</w:t>
      </w:r>
      <w:r w:rsidR="00B37E87">
        <w:t xml:space="preserve"> at </w:t>
      </w:r>
      <w:r w:rsidR="009C2450">
        <w:t>21.5 percentage points.</w:t>
      </w:r>
      <w:r w:rsidR="009C2450">
        <w:rPr>
          <w:rStyle w:val="FootnoteReference"/>
        </w:rPr>
        <w:footnoteReference w:id="9"/>
      </w:r>
    </w:p>
    <w:p w14:paraId="7BBC9DBD" w14:textId="38A277CF" w:rsidR="00C248F2" w:rsidRDefault="00C248F2" w:rsidP="004255D7">
      <w:r>
        <w:lastRenderedPageBreak/>
        <w:t xml:space="preserve">It is important that the National Implementation Plan (NIP) aligns with key commitments under the </w:t>
      </w:r>
      <w:r w:rsidR="00A952EA">
        <w:t>NHRSDP</w:t>
      </w:r>
      <w:r>
        <w:rPr>
          <w:rStyle w:val="FootnoteReference"/>
        </w:rPr>
        <w:footnoteReference w:id="10"/>
      </w:r>
      <w:r>
        <w:t xml:space="preserve"> in relation to employment. These include maximising </w:t>
      </w:r>
      <w:r w:rsidRPr="00C248F2">
        <w:t>opportunities and access for disabled people to get meaningful work in the civil and public sector</w:t>
      </w:r>
      <w:r>
        <w:t xml:space="preserve"> and actively promoting the hiring and career advancement of disabled people across the private sector. Furthermore, providing the rights supports at the right time for disabled people to access or return to work. </w:t>
      </w:r>
    </w:p>
    <w:p w14:paraId="2E209C3E" w14:textId="6462A005" w:rsidR="00075CE2" w:rsidRDefault="006C7A12" w:rsidP="00037336">
      <w:r>
        <w:t xml:space="preserve">Improving employment outcomes for persons with disabilities requires the exploration of how Supported Employment services can be provided effectively. </w:t>
      </w:r>
      <w:r w:rsidR="005551BF">
        <w:t xml:space="preserve">A coordinated approach to the delivery of information and advice </w:t>
      </w:r>
      <w:r w:rsidR="00075CE2">
        <w:t>services to employers may also help to strengthen understanding and give practical supports for those seeking to employ persons with disabilities.</w:t>
      </w:r>
      <w:r w:rsidR="005B2EF0">
        <w:t xml:space="preserve"> Target supports for self-employment may also help to improve accessibility for disabled people. </w:t>
      </w:r>
    </w:p>
    <w:p w14:paraId="4A411525" w14:textId="33E58FC5" w:rsidR="00037336" w:rsidRDefault="00075CE2" w:rsidP="00037336">
      <w:r>
        <w:t xml:space="preserve">Youth unemployment is a concern, with </w:t>
      </w:r>
      <w:r w:rsidR="00047E25">
        <w:t>23% of those</w:t>
      </w:r>
      <w:r w:rsidR="003F2DB5">
        <w:t xml:space="preserve"> Not in Employment, Education or Training (NEET) being persons with disabilities.</w:t>
      </w:r>
      <w:r w:rsidR="00047E25">
        <w:rPr>
          <w:rStyle w:val="FootnoteReference"/>
        </w:rPr>
        <w:footnoteReference w:id="11"/>
      </w:r>
      <w:r>
        <w:t xml:space="preserve"> As such, </w:t>
      </w:r>
      <w:r w:rsidR="004D106B">
        <w:t xml:space="preserve">it is important to </w:t>
      </w:r>
      <w:r w:rsidR="00EE4A13">
        <w:t xml:space="preserve">facilitate pathways from education to employment, by providing more options and opportunities for </w:t>
      </w:r>
      <w:r w:rsidR="003F2DB5">
        <w:t xml:space="preserve">persons with </w:t>
      </w:r>
      <w:r w:rsidR="00EE4A13">
        <w:t xml:space="preserve">disabilities at key transition points. </w:t>
      </w:r>
      <w:r w:rsidR="003F2DB5">
        <w:t xml:space="preserve">There is also a need for early engagement with this age group to stop the transition to long-term benefits. </w:t>
      </w:r>
    </w:p>
    <w:p w14:paraId="6E9722E1" w14:textId="1CF0066B" w:rsidR="003F2DB5" w:rsidRPr="00037336" w:rsidRDefault="003F2DB5" w:rsidP="00037336">
      <w:r>
        <w:t xml:space="preserve">Further work should also be done to incentivise employment by </w:t>
      </w:r>
      <w:r w:rsidR="0034777D">
        <w:t>addressing</w:t>
      </w:r>
      <w:r>
        <w:t xml:space="preserve"> barrier</w:t>
      </w:r>
      <w:r w:rsidR="005B2EF0">
        <w:t>s</w:t>
      </w:r>
      <w:r>
        <w:t xml:space="preserve">, such as Cost of Disability and </w:t>
      </w:r>
      <w:r w:rsidR="00E4660E">
        <w:t xml:space="preserve">enabling access to Personal Assistance (PAs) for those who require support in the workplace. </w:t>
      </w:r>
    </w:p>
    <w:p w14:paraId="3F476151" w14:textId="7DDA3C90" w:rsidR="00037336" w:rsidRDefault="00037336" w:rsidP="00037336">
      <w:pPr>
        <w:pStyle w:val="Heading2"/>
      </w:pPr>
      <w:bookmarkStart w:id="5" w:name="_Toc219294602"/>
      <w:r>
        <w:t>Health and Wellbeing</w:t>
      </w:r>
      <w:bookmarkEnd w:id="5"/>
    </w:p>
    <w:p w14:paraId="2B87F480" w14:textId="1034CD5D" w:rsidR="00697F83" w:rsidRDefault="005B2EF0" w:rsidP="00697F83">
      <w:r>
        <w:t xml:space="preserve">Persons with disabilities </w:t>
      </w:r>
      <w:r w:rsidR="00697F83">
        <w:t xml:space="preserve">have poorer health compared with non-disabled people. Latest Census figures show that only 61% of persons with disabilities rated their general health as good or very good, in contrast with 88% of </w:t>
      </w:r>
      <w:r w:rsidR="0034777D">
        <w:t>the general population.</w:t>
      </w:r>
      <w:r w:rsidR="0034777D">
        <w:rPr>
          <w:rStyle w:val="FootnoteReference"/>
        </w:rPr>
        <w:footnoteReference w:id="12"/>
      </w:r>
      <w:r w:rsidR="0034777D">
        <w:t xml:space="preserve"> </w:t>
      </w:r>
    </w:p>
    <w:p w14:paraId="2BB3B253" w14:textId="5C90E086" w:rsidR="003867E7" w:rsidRDefault="003867E7" w:rsidP="00037336">
      <w:r>
        <w:t>Tackling the</w:t>
      </w:r>
      <w:r w:rsidR="0034777D">
        <w:t xml:space="preserve"> health inequalities experienced by persons with disabilities</w:t>
      </w:r>
      <w:r>
        <w:t xml:space="preserve"> requires coordination with existing policy, such as the Healthy Ireland Framework 2019-2025.</w:t>
      </w:r>
    </w:p>
    <w:p w14:paraId="76C40617" w14:textId="1DD18B9C" w:rsidR="003F16F9" w:rsidRDefault="00F0285B" w:rsidP="00037336">
      <w:r>
        <w:t>It is important that any sustainable development initiatives for health and wellbeing take a life course approach, accounting for t</w:t>
      </w:r>
      <w:r w:rsidR="003867E7">
        <w:t xml:space="preserve">he individual, changing needs of different cohorts within the community. </w:t>
      </w:r>
      <w:r w:rsidR="00511FCD">
        <w:t xml:space="preserve">This includes </w:t>
      </w:r>
      <w:r w:rsidR="001B7AFF">
        <w:t xml:space="preserve"> disabled </w:t>
      </w:r>
      <w:r w:rsidR="003867E7">
        <w:t xml:space="preserve"> children, older persons, women and members of the LGBT</w:t>
      </w:r>
      <w:r w:rsidR="00E153B2">
        <w:t>I</w:t>
      </w:r>
      <w:r w:rsidR="003867E7">
        <w:t xml:space="preserve">Q+ community. </w:t>
      </w:r>
    </w:p>
    <w:p w14:paraId="78BEC453" w14:textId="13458277" w:rsidR="00365A4F" w:rsidRDefault="00365A4F" w:rsidP="00037336">
      <w:r>
        <w:lastRenderedPageBreak/>
        <w:t xml:space="preserve">The </w:t>
      </w:r>
      <w:r w:rsidR="00A952EA">
        <w:t>NHRSDP</w:t>
      </w:r>
      <w:r w:rsidR="00B33865">
        <w:rPr>
          <w:rStyle w:val="FootnoteReference"/>
        </w:rPr>
        <w:footnoteReference w:id="13"/>
      </w:r>
      <w:r>
        <w:t xml:space="preserve"> makes a series of commitments in relation to providing a more inclusive and accessible mainstream health service for disabled people. It aims to ensure </w:t>
      </w:r>
      <w:r w:rsidRPr="00365A4F">
        <w:t>that disabled people are treated with respect and dignity, have their welfare promoted and receive support in an environment in which every effort is made to promote welfare and prevent abuse.</w:t>
      </w:r>
      <w:r>
        <w:t xml:space="preserve"> Other priorities include enhancing disabled people’s overall health and wellbeing, ensuring that all disabled children and young people are supported to access the mental health services they need, achieving a quality, accessible, equitable and timely service </w:t>
      </w:r>
      <w:r w:rsidR="00B33865">
        <w:t xml:space="preserve">for all disabled children and their families based on their needs. Commitments are also made in relation to oral health, screening services and audiology services. </w:t>
      </w:r>
      <w:r>
        <w:t xml:space="preserve">It is important that </w:t>
      </w:r>
      <w:r w:rsidR="00B33865">
        <w:t xml:space="preserve">any NIP actions in relation to health and wellbeing reflect these priorities. </w:t>
      </w:r>
    </w:p>
    <w:p w14:paraId="564214BC" w14:textId="2215DA02" w:rsidR="003F16F9" w:rsidRDefault="0038799A" w:rsidP="00037336">
      <w:r>
        <w:t>Ireland continues to take steps towards universal healthcare through Sláinte Care. However, further work must be undertaken to safeguard the mental and physical health of disabled people, including through</w:t>
      </w:r>
      <w:r w:rsidR="006C6690">
        <w:t xml:space="preserve"> inclusive</w:t>
      </w:r>
      <w:r>
        <w:t xml:space="preserve"> health promotion programmes and prevention strategies for chronic diseases</w:t>
      </w:r>
      <w:r w:rsidR="003867E7">
        <w:t xml:space="preserve">. </w:t>
      </w:r>
    </w:p>
    <w:p w14:paraId="2B703AD3" w14:textId="25A286ED" w:rsidR="00037336" w:rsidRPr="00037336" w:rsidRDefault="00675349" w:rsidP="00037336">
      <w:r>
        <w:t xml:space="preserve">Previous work by the NDA has highlighted the challenges experienced by disabled people in the context of </w:t>
      </w:r>
      <w:r w:rsidR="003867E7">
        <w:t xml:space="preserve">the </w:t>
      </w:r>
      <w:r>
        <w:t xml:space="preserve">Covid-19 </w:t>
      </w:r>
      <w:r w:rsidR="0038799A">
        <w:t>pandemic.</w:t>
      </w:r>
      <w:r w:rsidR="00441FAC">
        <w:rPr>
          <w:rStyle w:val="FootnoteReference"/>
        </w:rPr>
        <w:footnoteReference w:id="14"/>
      </w:r>
      <w:r w:rsidR="0038799A">
        <w:t xml:space="preserve"> This </w:t>
      </w:r>
      <w:r w:rsidR="003F16F9">
        <w:t xml:space="preserve">also highlighted the benefits of </w:t>
      </w:r>
      <w:r w:rsidR="00BA5916">
        <w:t xml:space="preserve">innovations like telehealth as standard. Alongside improving existing services, these learnings should </w:t>
      </w:r>
      <w:r w:rsidR="003867E7">
        <w:t xml:space="preserve">be utilised to </w:t>
      </w:r>
      <w:r w:rsidR="006C6690">
        <w:t xml:space="preserve">prepare for future global health emergencies. </w:t>
      </w:r>
    </w:p>
    <w:p w14:paraId="69BCBA79" w14:textId="2DF12483" w:rsidR="00037336" w:rsidRDefault="00037336" w:rsidP="00037336">
      <w:pPr>
        <w:pStyle w:val="Heading2"/>
      </w:pPr>
      <w:bookmarkStart w:id="7" w:name="_Toc219294603"/>
      <w:r>
        <w:t>Sustainable cities and communities</w:t>
      </w:r>
      <w:bookmarkEnd w:id="7"/>
    </w:p>
    <w:p w14:paraId="3BF3EF80" w14:textId="49D2F7C6" w:rsidR="00FD6B44" w:rsidRDefault="00FD6B44" w:rsidP="00A53C6D">
      <w:r>
        <w:t xml:space="preserve">Persons with disabilities face particular challenges in the context of </w:t>
      </w:r>
      <w:r w:rsidR="00047E25">
        <w:t>community inclusion.</w:t>
      </w:r>
      <w:r w:rsidR="00486BA1">
        <w:t xml:space="preserve"> </w:t>
      </w:r>
      <w:r w:rsidR="00047E25">
        <w:t xml:space="preserve">Actions for urban and rural sustainable development must </w:t>
      </w:r>
      <w:r w:rsidR="006162E1">
        <w:t xml:space="preserve">be mindful of challenges in </w:t>
      </w:r>
      <w:r w:rsidR="00047E25">
        <w:t>relation to</w:t>
      </w:r>
      <w:r w:rsidR="00E97FC5">
        <w:t xml:space="preserve"> independent living, transport and housing. </w:t>
      </w:r>
    </w:p>
    <w:p w14:paraId="7C26015F" w14:textId="18BA68C4" w:rsidR="00E97FC5" w:rsidRDefault="00E97FC5" w:rsidP="00A53C6D">
      <w:r>
        <w:t>The NDA’s</w:t>
      </w:r>
      <w:r w:rsidR="00BA5916">
        <w:t xml:space="preserve"> 2023</w:t>
      </w:r>
      <w:r>
        <w:t xml:space="preserve"> Wellbeing and Social Inclusion </w:t>
      </w:r>
      <w:r w:rsidR="0034777D">
        <w:t>Survey</w:t>
      </w:r>
      <w:r w:rsidR="00BA5916">
        <w:rPr>
          <w:rStyle w:val="FootnoteReference"/>
        </w:rPr>
        <w:footnoteReference w:id="15"/>
      </w:r>
      <w:r w:rsidR="0034777D">
        <w:t xml:space="preserve"> </w:t>
      </w:r>
      <w:r>
        <w:t xml:space="preserve">previously </w:t>
      </w:r>
      <w:r w:rsidR="0034777D">
        <w:t>reported</w:t>
      </w:r>
      <w:r>
        <w:t xml:space="preserve"> that </w:t>
      </w:r>
      <w:r w:rsidR="0034777D">
        <w:t xml:space="preserve">persons with disabilities </w:t>
      </w:r>
      <w:r>
        <w:t>enjoy lower levels of social inclusion compared with others. For example, 16% disagreed strongly when asked if they felt part of their community, compared with 5% of non-disabled people</w:t>
      </w:r>
      <w:r w:rsidR="00D466EE">
        <w:t xml:space="preserve">. </w:t>
      </w:r>
      <w:r w:rsidR="00302E36">
        <w:t>Further action</w:t>
      </w:r>
      <w:r w:rsidR="00BA5916">
        <w:t xml:space="preserve"> </w:t>
      </w:r>
      <w:r w:rsidR="00302E36">
        <w:t xml:space="preserve">must be taken to combat social isolation by promoting accessible public spaces for employment, education and recreation. </w:t>
      </w:r>
    </w:p>
    <w:p w14:paraId="3F1B7620" w14:textId="6CAAC5B3" w:rsidR="00BA5916" w:rsidRDefault="00AE3CA5" w:rsidP="00A53C6D">
      <w:r>
        <w:t xml:space="preserve">The </w:t>
      </w:r>
      <w:r w:rsidR="00A952EA">
        <w:t>NHRSDP</w:t>
      </w:r>
      <w:r>
        <w:t xml:space="preserve"> pillar on independent living and active participation in society</w:t>
      </w:r>
      <w:r w:rsidR="00B0216B">
        <w:rPr>
          <w:rStyle w:val="FootnoteReference"/>
        </w:rPr>
        <w:footnoteReference w:id="16"/>
      </w:r>
      <w:r>
        <w:t xml:space="preserve"> contains a commitment to</w:t>
      </w:r>
      <w:r w:rsidRPr="00AE3CA5">
        <w:t xml:space="preserve"> deliver the right individual supports at the right time so that disabled people using disability services can </w:t>
      </w:r>
      <w:r w:rsidRPr="00AE3CA5">
        <w:lastRenderedPageBreak/>
        <w:t>maximise their opportunities to live independently and choose to be an active part of their local communities.</w:t>
      </w:r>
      <w:r>
        <w:t xml:space="preserve"> It also aims to increase accessibility across arts, cultural and sporting events. The strategy also commits to enabling disabled people to actively engage in elections on an equitable basis as citizens. </w:t>
      </w:r>
      <w:r w:rsidR="00B0216B">
        <w:t xml:space="preserve">Another key priority includes improving </w:t>
      </w:r>
      <w:r w:rsidRPr="00AE3CA5">
        <w:t>access to supports and enable disabled people, particularly those with more complex disabilities, to live a full life in the community</w:t>
      </w:r>
      <w:r w:rsidR="00B0216B">
        <w:t xml:space="preserve">. Furthermore, to </w:t>
      </w:r>
      <w:r w:rsidR="00B0216B" w:rsidRPr="00B0216B">
        <w:t>support the inclusion of disabled people in their local communities by continuing to improve our services and by creating accessible environments where all disabled people can live independently and participate fully in all aspects of community life.</w:t>
      </w:r>
    </w:p>
    <w:p w14:paraId="020D8590" w14:textId="482AD368" w:rsidR="00E97FC5" w:rsidRDefault="00E97FC5" w:rsidP="00A53C6D">
      <w:r>
        <w:t xml:space="preserve">Mainstream community-based supports are required for disabled people to participate in society </w:t>
      </w:r>
      <w:r w:rsidR="00913E0B">
        <w:t>and access public services on an equal basis with others. Access to Personal Assistance is of fundamental importance, as it helps disabled people to live independently, exercising choice and control over their daily activitie</w:t>
      </w:r>
      <w:r w:rsidR="008B1B08">
        <w:t xml:space="preserve">s. </w:t>
      </w:r>
    </w:p>
    <w:p w14:paraId="01313688" w14:textId="6E6F6640" w:rsidR="00B0216B" w:rsidRDefault="00FD6B44" w:rsidP="00A53C6D">
      <w:r>
        <w:t>As hi</w:t>
      </w:r>
      <w:r w:rsidR="00047E25">
        <w:t>ghlighted above, accessible and affor</w:t>
      </w:r>
      <w:r w:rsidR="00A70A62">
        <w:t xml:space="preserve">dable transport is a key </w:t>
      </w:r>
      <w:r w:rsidR="0083644F">
        <w:t xml:space="preserve">priority for the </w:t>
      </w:r>
      <w:r w:rsidR="003D0F79">
        <w:t>government</w:t>
      </w:r>
      <w:r w:rsidR="00302E36">
        <w:t xml:space="preserve"> in terms of the SDGs.</w:t>
      </w:r>
      <w:r w:rsidR="00B0216B">
        <w:t xml:space="preserve"> The </w:t>
      </w:r>
      <w:r w:rsidR="00A952EA">
        <w:t>NHRSDP</w:t>
      </w:r>
      <w:r w:rsidR="00B0216B">
        <w:t xml:space="preserve"> transport and personal mobility pillar</w:t>
      </w:r>
      <w:r w:rsidR="00B0216B">
        <w:rPr>
          <w:rStyle w:val="FootnoteReference"/>
        </w:rPr>
        <w:footnoteReference w:id="17"/>
      </w:r>
      <w:r w:rsidR="00B0216B">
        <w:t xml:space="preserve"> commits to taking </w:t>
      </w:r>
      <w:r w:rsidR="00B0216B" w:rsidRPr="00B0216B">
        <w:t xml:space="preserve"> a “whole-of-journey” approach applying Universal Design principles in the development of infrastructure and services to improve the accessibility of our transport system across the country.</w:t>
      </w:r>
      <w:r w:rsidR="003D0F79">
        <w:t xml:space="preserve"> </w:t>
      </w:r>
      <w:r w:rsidR="00B0216B">
        <w:t xml:space="preserve">It also aims to </w:t>
      </w:r>
      <w:r w:rsidR="00B0216B" w:rsidRPr="00B0216B">
        <w:t>support those who cannot use or access any public transport, or who may need private transport to get to and from public transport, by providing disabled people with enhanced personal mobility options.</w:t>
      </w:r>
    </w:p>
    <w:p w14:paraId="543B3921" w14:textId="585648BC" w:rsidR="006D262E" w:rsidRDefault="003D0F79" w:rsidP="00A53C6D">
      <w:r>
        <w:t>The</w:t>
      </w:r>
      <w:r w:rsidR="006525B5">
        <w:t xml:space="preserve"> infrequency, unreliability or inaccessibility of public transport can force a reliance on </w:t>
      </w:r>
      <w:r w:rsidR="006D262E">
        <w:t xml:space="preserve">costly </w:t>
      </w:r>
      <w:r w:rsidR="006525B5">
        <w:t>private options, such as taxis or car ownership</w:t>
      </w:r>
      <w:r w:rsidR="006D262E">
        <w:t>. The uptake of environmentally-friendly alternatives</w:t>
      </w:r>
      <w:r w:rsidR="006162E1">
        <w:t xml:space="preserve"> </w:t>
      </w:r>
      <w:r w:rsidR="006D262E">
        <w:t xml:space="preserve">can be limited, due to barriers in the built environment leading to safety </w:t>
      </w:r>
      <w:r w:rsidR="006162E1">
        <w:t xml:space="preserve">concerns around active travel. </w:t>
      </w:r>
    </w:p>
    <w:p w14:paraId="44A9F8F9" w14:textId="59463455" w:rsidR="007D57BA" w:rsidRDefault="00B91EAE" w:rsidP="00A53C6D">
      <w:r>
        <w:t>Persons with disabilities must be supported to find accessible, affordable homes in the community, as part of sustainable development.</w:t>
      </w:r>
      <w:r w:rsidR="00897FFB">
        <w:t xml:space="preserve"> </w:t>
      </w:r>
      <w:r w:rsidR="007D57BA">
        <w:t xml:space="preserve">This requires alignment with existing efforts under the National Housing Strategy for Disabled People 2022-2027. </w:t>
      </w:r>
    </w:p>
    <w:p w14:paraId="430E6049" w14:textId="1E106678" w:rsidR="00E97FC5" w:rsidRDefault="007D57BA" w:rsidP="00A53C6D">
      <w:r>
        <w:t xml:space="preserve">The NHSFDP contains a commitment to the delivery of Universally-Designed homes. The building of suitable homes is an essential part of ensuring that individuals </w:t>
      </w:r>
      <w:r w:rsidR="00151C2D">
        <w:t>can access housing which meets their needs</w:t>
      </w:r>
      <w:r w:rsidR="0034777D">
        <w:t xml:space="preserve"> as they age and/or acquire disabilities.</w:t>
      </w:r>
      <w:r w:rsidR="00151C2D">
        <w:t xml:space="preserve"> Thus, </w:t>
      </w:r>
      <w:r w:rsidR="00BB46DB">
        <w:t xml:space="preserve">this allows </w:t>
      </w:r>
      <w:r w:rsidR="00151C2D">
        <w:t xml:space="preserve">them to remain in place, rather than </w:t>
      </w:r>
      <w:r w:rsidR="00B32045">
        <w:t>receiving support within a congregated setting.</w:t>
      </w:r>
      <w:r w:rsidR="00B76B11">
        <w:t xml:space="preserve"> This also avoids the need for costly retro-fitting which is in line with climate sustainability concerns</w:t>
      </w:r>
      <w:r w:rsidR="00C36A7F">
        <w:t xml:space="preserve">. </w:t>
      </w:r>
    </w:p>
    <w:p w14:paraId="4E86E1BA" w14:textId="6BFB9B1C" w:rsidR="00B02742" w:rsidRDefault="00F56B3D" w:rsidP="00A53C6D">
      <w:r>
        <w:lastRenderedPageBreak/>
        <w:t>Research funded</w:t>
      </w:r>
      <w:r w:rsidR="00B32045">
        <w:t xml:space="preserve"> by the NDA</w:t>
      </w:r>
      <w:r w:rsidR="00BB46DB">
        <w:t xml:space="preserve"> published in 2025</w:t>
      </w:r>
      <w:r w:rsidR="00897FFB">
        <w:t xml:space="preserve"> indicates that </w:t>
      </w:r>
      <w:r w:rsidR="007D57BA">
        <w:t>almost a quarter</w:t>
      </w:r>
      <w:r w:rsidR="00897FFB">
        <w:t xml:space="preserve"> </w:t>
      </w:r>
      <w:r w:rsidR="00BB46DB">
        <w:t>of homeless people using</w:t>
      </w:r>
      <w:r w:rsidR="00897FFB">
        <w:t xml:space="preserve"> emergency accommodation </w:t>
      </w:r>
      <w:r w:rsidR="00BB46DB">
        <w:t xml:space="preserve">had </w:t>
      </w:r>
      <w:r w:rsidR="00897FFB">
        <w:t>limited mobility.</w:t>
      </w:r>
      <w:r w:rsidR="00B32045">
        <w:rPr>
          <w:rStyle w:val="FootnoteReference"/>
        </w:rPr>
        <w:footnoteReference w:id="18"/>
      </w:r>
      <w:r w:rsidR="006F2998">
        <w:t xml:space="preserve"> As such, there is a need to </w:t>
      </w:r>
      <w:r w:rsidR="006F2998" w:rsidRPr="006F2998">
        <w:rPr>
          <w:lang w:val="en-GB"/>
        </w:rPr>
        <w:t xml:space="preserve">ensure the needs of people who are homeless with a disability are considered in national homeless strategies. </w:t>
      </w:r>
    </w:p>
    <w:p w14:paraId="702E2608" w14:textId="2F6D167E" w:rsidR="00602CD5" w:rsidRDefault="00A53C6D" w:rsidP="00602CD5">
      <w:pPr>
        <w:pStyle w:val="Heading2"/>
      </w:pPr>
      <w:bookmarkStart w:id="9" w:name="_Toc219294604"/>
      <w:r>
        <w:t>Access to Justice</w:t>
      </w:r>
      <w:bookmarkEnd w:id="9"/>
    </w:p>
    <w:p w14:paraId="4EB1AD7E" w14:textId="1E980240" w:rsidR="00A70685" w:rsidRDefault="00A70685" w:rsidP="00532C28">
      <w:pPr>
        <w:rPr>
          <w:szCs w:val="26"/>
        </w:rPr>
      </w:pPr>
      <w:r>
        <w:rPr>
          <w:szCs w:val="26"/>
        </w:rPr>
        <w:t xml:space="preserve">Justice in the context of sustainable development </w:t>
      </w:r>
      <w:r w:rsidR="003875F0">
        <w:rPr>
          <w:szCs w:val="26"/>
        </w:rPr>
        <w:t xml:space="preserve">requires strong institutions, which operate in harmony with human rights standards. </w:t>
      </w:r>
    </w:p>
    <w:p w14:paraId="032438F1" w14:textId="14DAA633" w:rsidR="00E96C8B" w:rsidRDefault="00A70685" w:rsidP="00532C28">
      <w:pPr>
        <w:rPr>
          <w:szCs w:val="26"/>
        </w:rPr>
      </w:pPr>
      <w:r>
        <w:rPr>
          <w:szCs w:val="26"/>
        </w:rPr>
        <w:t xml:space="preserve">According to the Irish Penal Reform Trust, </w:t>
      </w:r>
      <w:r w:rsidR="001A6EEF">
        <w:rPr>
          <w:szCs w:val="26"/>
        </w:rPr>
        <w:t>p</w:t>
      </w:r>
      <w:r>
        <w:rPr>
          <w:szCs w:val="26"/>
        </w:rPr>
        <w:t>ersons with intellectual disabilities are over-represented in all aspects of the criminal justice system, including police custody.</w:t>
      </w:r>
      <w:r w:rsidR="00E96C8B">
        <w:rPr>
          <w:rStyle w:val="FootnoteReference"/>
          <w:szCs w:val="26"/>
        </w:rPr>
        <w:footnoteReference w:id="19"/>
      </w:r>
      <w:r>
        <w:rPr>
          <w:szCs w:val="26"/>
        </w:rPr>
        <w:t xml:space="preserve"> </w:t>
      </w:r>
      <w:r w:rsidR="00302E36">
        <w:rPr>
          <w:szCs w:val="26"/>
        </w:rPr>
        <w:t xml:space="preserve">A </w:t>
      </w:r>
      <w:r w:rsidR="005E7DB1">
        <w:rPr>
          <w:szCs w:val="26"/>
        </w:rPr>
        <w:t xml:space="preserve">government task force also highlighted the issues faced by those with mental health and/or addiction challenges within the sector. </w:t>
      </w:r>
      <w:r w:rsidR="00A3085A">
        <w:rPr>
          <w:szCs w:val="26"/>
        </w:rPr>
        <w:t>In addition, a</w:t>
      </w:r>
      <w:r w:rsidR="001A6EEF">
        <w:rPr>
          <w:szCs w:val="26"/>
        </w:rPr>
        <w:t xml:space="preserve">utistic people can face particular challenges when engaging with the justice system, with the NDA publishing guidelines for </w:t>
      </w:r>
      <w:r w:rsidR="001A6EEF" w:rsidRPr="001A6EEF">
        <w:rPr>
          <w:szCs w:val="26"/>
        </w:rPr>
        <w:t>justice professionals on communicating effectively with autistic people</w:t>
      </w:r>
      <w:r w:rsidR="001A6EEF">
        <w:rPr>
          <w:szCs w:val="26"/>
        </w:rPr>
        <w:t xml:space="preserve"> in mid-2025.</w:t>
      </w:r>
      <w:r w:rsidR="001A6EEF">
        <w:rPr>
          <w:rStyle w:val="FootnoteReference"/>
          <w:szCs w:val="26"/>
        </w:rPr>
        <w:footnoteReference w:id="20"/>
      </w:r>
    </w:p>
    <w:p w14:paraId="7FE3D7AD" w14:textId="7A6922E0" w:rsidR="002D6B08" w:rsidRDefault="00A70685" w:rsidP="00532C28">
      <w:pPr>
        <w:rPr>
          <w:szCs w:val="26"/>
        </w:rPr>
      </w:pPr>
      <w:r>
        <w:rPr>
          <w:szCs w:val="26"/>
        </w:rPr>
        <w:t xml:space="preserve">Barriers also exist for Deaf persons with regard to </w:t>
      </w:r>
      <w:r w:rsidR="00E96C8B">
        <w:rPr>
          <w:szCs w:val="26"/>
        </w:rPr>
        <w:t>the consistent provision of Irish Sign Language (ISL) within civil proceedings.</w:t>
      </w:r>
      <w:r w:rsidR="005E7DB1">
        <w:rPr>
          <w:rStyle w:val="FootnoteReference"/>
          <w:szCs w:val="26"/>
        </w:rPr>
        <w:footnoteReference w:id="21"/>
      </w:r>
      <w:r w:rsidR="00E96C8B">
        <w:rPr>
          <w:szCs w:val="26"/>
        </w:rPr>
        <w:t xml:space="preserve"> The physical accessibility of court buildings is an on-going concern, </w:t>
      </w:r>
      <w:r w:rsidR="00B32045">
        <w:rPr>
          <w:szCs w:val="26"/>
        </w:rPr>
        <w:t>currently being addressed through a strategic plan for</w:t>
      </w:r>
      <w:r w:rsidR="00302E36">
        <w:rPr>
          <w:szCs w:val="26"/>
        </w:rPr>
        <w:t xml:space="preserve"> Court Service modernisation. </w:t>
      </w:r>
    </w:p>
    <w:p w14:paraId="60512F54" w14:textId="5D6A21EB" w:rsidR="008B1B08" w:rsidRPr="00532C28" w:rsidRDefault="00A70685" w:rsidP="00532C28">
      <w:pPr>
        <w:rPr>
          <w:szCs w:val="26"/>
        </w:rPr>
      </w:pPr>
      <w:r>
        <w:rPr>
          <w:szCs w:val="26"/>
        </w:rPr>
        <w:t>Since the commencement of the Assisted Decision-Making Capacity Act 2015</w:t>
      </w:r>
      <w:r w:rsidR="001A6EEF">
        <w:rPr>
          <w:szCs w:val="26"/>
        </w:rPr>
        <w:t xml:space="preserve"> (as amended)</w:t>
      </w:r>
      <w:r>
        <w:rPr>
          <w:szCs w:val="26"/>
        </w:rPr>
        <w:t xml:space="preserve">, </w:t>
      </w:r>
      <w:r w:rsidR="002D6B08">
        <w:rPr>
          <w:szCs w:val="26"/>
        </w:rPr>
        <w:t xml:space="preserve">a </w:t>
      </w:r>
      <w:r w:rsidR="00A3085A">
        <w:rPr>
          <w:szCs w:val="26"/>
        </w:rPr>
        <w:t xml:space="preserve">three-year </w:t>
      </w:r>
      <w:r w:rsidR="002D6B08">
        <w:rPr>
          <w:szCs w:val="26"/>
        </w:rPr>
        <w:t xml:space="preserve">phased process of removal from wardship has begun, with </w:t>
      </w:r>
      <w:r w:rsidR="001A6EEF">
        <w:rPr>
          <w:szCs w:val="26"/>
        </w:rPr>
        <w:t xml:space="preserve">250 people discharged up until the end of November 2015. While some have been discharged without any decision-making supports, others are availing of different tiers of support available under </w:t>
      </w:r>
      <w:r w:rsidR="00E96C8B">
        <w:rPr>
          <w:szCs w:val="26"/>
        </w:rPr>
        <w:t xml:space="preserve">the new system of supported decision-making. </w:t>
      </w:r>
      <w:r w:rsidR="00A3085A">
        <w:rPr>
          <w:szCs w:val="26"/>
        </w:rPr>
        <w:t>However, progress in terms of discharging people from wardship has been much slower than anticipated.</w:t>
      </w:r>
    </w:p>
    <w:p w14:paraId="101E2CF1" w14:textId="7653D7D9" w:rsidR="00532C28" w:rsidRPr="00532C28" w:rsidRDefault="00532C28" w:rsidP="00037336">
      <w:pPr>
        <w:pStyle w:val="Heading1"/>
      </w:pPr>
      <w:bookmarkStart w:id="10" w:name="_Toc219294605"/>
      <w:r>
        <w:t>Stakeholder engagement and leaving no one behind</w:t>
      </w:r>
      <w:bookmarkEnd w:id="10"/>
      <w:r>
        <w:t xml:space="preserve"> </w:t>
      </w:r>
    </w:p>
    <w:p w14:paraId="61DD0FE8" w14:textId="7B4BF0A9" w:rsidR="008E4426" w:rsidRDefault="008E4426" w:rsidP="00532C28">
      <w:pPr>
        <w:rPr>
          <w:szCs w:val="26"/>
        </w:rPr>
      </w:pPr>
      <w:r>
        <w:rPr>
          <w:szCs w:val="26"/>
        </w:rPr>
        <w:t>I</w:t>
      </w:r>
      <w:r w:rsidR="00532C28" w:rsidRPr="00532C28">
        <w:rPr>
          <w:szCs w:val="26"/>
        </w:rPr>
        <w:t xml:space="preserve">t is important  that any new or existing engagement structures continue to seek out and promote the </w:t>
      </w:r>
      <w:r>
        <w:rPr>
          <w:szCs w:val="26"/>
        </w:rPr>
        <w:t xml:space="preserve">inclusion </w:t>
      </w:r>
      <w:r w:rsidR="00532C28" w:rsidRPr="00532C28">
        <w:rPr>
          <w:szCs w:val="26"/>
        </w:rPr>
        <w:t>of diverse l</w:t>
      </w:r>
      <w:r>
        <w:rPr>
          <w:szCs w:val="26"/>
        </w:rPr>
        <w:t>i</w:t>
      </w:r>
      <w:r w:rsidR="00532C28" w:rsidRPr="00532C28">
        <w:rPr>
          <w:szCs w:val="26"/>
        </w:rPr>
        <w:t xml:space="preserve">ved experiences, </w:t>
      </w:r>
      <w:r>
        <w:rPr>
          <w:szCs w:val="26"/>
        </w:rPr>
        <w:t xml:space="preserve">including persons with disabilities through inclusive recruitment campaigns. </w:t>
      </w:r>
    </w:p>
    <w:p w14:paraId="4759C7BE" w14:textId="1373F71A" w:rsidR="000B43D8" w:rsidRDefault="008E4426" w:rsidP="00532C28">
      <w:pPr>
        <w:rPr>
          <w:szCs w:val="26"/>
        </w:rPr>
      </w:pPr>
      <w:r>
        <w:rPr>
          <w:szCs w:val="26"/>
        </w:rPr>
        <w:lastRenderedPageBreak/>
        <w:t>In the context of leave no one behind, it is essential t</w:t>
      </w:r>
      <w:r w:rsidR="007A71C9">
        <w:rPr>
          <w:szCs w:val="26"/>
        </w:rPr>
        <w:t>o engage with disabled people</w:t>
      </w:r>
      <w:r w:rsidR="00BB46DB">
        <w:rPr>
          <w:szCs w:val="26"/>
        </w:rPr>
        <w:t>, preferably through their representative organisation (DPOs)</w:t>
      </w:r>
      <w:r w:rsidR="007A71C9">
        <w:rPr>
          <w:szCs w:val="26"/>
        </w:rPr>
        <w:t xml:space="preserve"> who </w:t>
      </w:r>
      <w:r w:rsidR="00A3085A">
        <w:rPr>
          <w:szCs w:val="26"/>
        </w:rPr>
        <w:t xml:space="preserve">may also be able to </w:t>
      </w:r>
      <w:r w:rsidR="007A71C9">
        <w:rPr>
          <w:szCs w:val="26"/>
        </w:rPr>
        <w:t>offer an intersectional perspective on the government’s approach to the SDGs. For example, women,</w:t>
      </w:r>
      <w:r w:rsidR="00532C28" w:rsidRPr="00532C28">
        <w:rPr>
          <w:szCs w:val="26"/>
        </w:rPr>
        <w:t xml:space="preserve"> members of the LGBT</w:t>
      </w:r>
      <w:r w:rsidR="00E16C97">
        <w:rPr>
          <w:szCs w:val="26"/>
        </w:rPr>
        <w:t>I</w:t>
      </w:r>
      <w:r w:rsidR="000B43D8">
        <w:rPr>
          <w:szCs w:val="26"/>
        </w:rPr>
        <w:t>Q+</w:t>
      </w:r>
      <w:r w:rsidR="00532C28" w:rsidRPr="00532C28">
        <w:rPr>
          <w:szCs w:val="26"/>
        </w:rPr>
        <w:t xml:space="preserve"> community, members of different ethnic groups, including members of the Traveller or Roma community.</w:t>
      </w:r>
    </w:p>
    <w:p w14:paraId="7144D1AD" w14:textId="1F67B66A" w:rsidR="00727A6B" w:rsidRDefault="00727A6B" w:rsidP="00532C28">
      <w:pPr>
        <w:rPr>
          <w:szCs w:val="26"/>
        </w:rPr>
      </w:pPr>
      <w:r>
        <w:rPr>
          <w:szCs w:val="26"/>
        </w:rPr>
        <w:t>The NDA notes the representation of</w:t>
      </w:r>
      <w:r w:rsidR="00571A1B">
        <w:rPr>
          <w:szCs w:val="26"/>
        </w:rPr>
        <w:t xml:space="preserve"> an intersectional DPO, Disabled Women Ireland, as part of the National Stakeholder Forum 2022-2023</w:t>
      </w:r>
      <w:r w:rsidR="00BB46DB">
        <w:rPr>
          <w:szCs w:val="26"/>
        </w:rPr>
        <w:t xml:space="preserve"> and recommend that a representative from a DPO is always included in the National Stakeholder Forum</w:t>
      </w:r>
      <w:r w:rsidR="00571A1B">
        <w:rPr>
          <w:szCs w:val="26"/>
        </w:rPr>
        <w:t xml:space="preserve">. </w:t>
      </w:r>
    </w:p>
    <w:p w14:paraId="1DFFBDC8" w14:textId="77777777" w:rsidR="00727A6B" w:rsidRDefault="000B43D8" w:rsidP="00532C28">
      <w:pPr>
        <w:rPr>
          <w:szCs w:val="26"/>
        </w:rPr>
      </w:pPr>
      <w:r>
        <w:rPr>
          <w:szCs w:val="26"/>
        </w:rPr>
        <w:t>The NDA’s Participation Matters guidelines</w:t>
      </w:r>
      <w:r w:rsidR="001407BF">
        <w:rPr>
          <w:rStyle w:val="FootnoteReference"/>
          <w:szCs w:val="26"/>
        </w:rPr>
        <w:footnoteReference w:id="22"/>
      </w:r>
      <w:r>
        <w:rPr>
          <w:szCs w:val="26"/>
        </w:rPr>
        <w:t xml:space="preserve"> highlight that in order for participation to be meaningful, it must be </w:t>
      </w:r>
      <w:r w:rsidR="008E4426">
        <w:rPr>
          <w:szCs w:val="26"/>
        </w:rPr>
        <w:t xml:space="preserve">genuine, timely, accessible, on-going, and transparent. </w:t>
      </w:r>
    </w:p>
    <w:p w14:paraId="188C124B" w14:textId="225BFA20" w:rsidR="00532C28" w:rsidRPr="00532C28" w:rsidRDefault="008E4426" w:rsidP="00532C28">
      <w:pPr>
        <w:rPr>
          <w:szCs w:val="26"/>
        </w:rPr>
      </w:pPr>
      <w:r>
        <w:rPr>
          <w:szCs w:val="26"/>
        </w:rPr>
        <w:t>A</w:t>
      </w:r>
      <w:r w:rsidR="00532C28" w:rsidRPr="00532C28">
        <w:rPr>
          <w:szCs w:val="26"/>
        </w:rPr>
        <w:t>ccessibility must be a</w:t>
      </w:r>
      <w:r>
        <w:rPr>
          <w:szCs w:val="26"/>
        </w:rPr>
        <w:t xml:space="preserve"> chief concern</w:t>
      </w:r>
      <w:r w:rsidR="00532C28" w:rsidRPr="00532C28">
        <w:rPr>
          <w:szCs w:val="26"/>
        </w:rPr>
        <w:t xml:space="preserve"> for relevant </w:t>
      </w:r>
      <w:r w:rsidR="00BB46DB">
        <w:rPr>
          <w:szCs w:val="26"/>
        </w:rPr>
        <w:t>meetings and events</w:t>
      </w:r>
      <w:r w:rsidR="00532C28" w:rsidRPr="00532C28">
        <w:rPr>
          <w:szCs w:val="26"/>
        </w:rPr>
        <w:t>. For example,</w:t>
      </w:r>
      <w:r w:rsidR="000B43D8">
        <w:rPr>
          <w:szCs w:val="26"/>
        </w:rPr>
        <w:t xml:space="preserve"> when </w:t>
      </w:r>
      <w:r w:rsidR="00532C28" w:rsidRPr="00532C28">
        <w:rPr>
          <w:szCs w:val="26"/>
        </w:rPr>
        <w:t>preparing suitable materials, choosing potential venues (in-person or online) and welcoming reasonable accommodation requests, such as closed captioning</w:t>
      </w:r>
      <w:r w:rsidR="00B76B11">
        <w:rPr>
          <w:szCs w:val="26"/>
        </w:rPr>
        <w:t xml:space="preserve">, alternative formats, </w:t>
      </w:r>
      <w:r w:rsidR="00532C28" w:rsidRPr="00532C28">
        <w:rPr>
          <w:szCs w:val="26"/>
        </w:rPr>
        <w:t xml:space="preserve"> or Irish Sign Language (ISL).</w:t>
      </w:r>
    </w:p>
    <w:p w14:paraId="50A6873C" w14:textId="59F38E16" w:rsidR="00532C28" w:rsidRDefault="00532C28" w:rsidP="00532C28">
      <w:pPr>
        <w:rPr>
          <w:szCs w:val="26"/>
        </w:rPr>
      </w:pPr>
      <w:r w:rsidRPr="00532C28">
        <w:rPr>
          <w:szCs w:val="26"/>
        </w:rPr>
        <w:t xml:space="preserve">The participation of youth with disabilities is another key aspect of stakeholder </w:t>
      </w:r>
      <w:r w:rsidR="00A7452B" w:rsidRPr="00532C28">
        <w:rPr>
          <w:szCs w:val="26"/>
        </w:rPr>
        <w:t>engagement.</w:t>
      </w:r>
      <w:r w:rsidR="00635CB3">
        <w:rPr>
          <w:szCs w:val="26"/>
        </w:rPr>
        <w:t xml:space="preserve"> Hub na nÓg</w:t>
      </w:r>
      <w:r w:rsidR="00635CB3">
        <w:rPr>
          <w:rStyle w:val="FootnoteReference"/>
          <w:szCs w:val="26"/>
        </w:rPr>
        <w:footnoteReference w:id="23"/>
      </w:r>
      <w:r w:rsidR="00635CB3">
        <w:rPr>
          <w:szCs w:val="26"/>
        </w:rPr>
        <w:t xml:space="preserve"> has created many useful resources, including guidance for child-friendly communication at events.</w:t>
      </w:r>
      <w:r w:rsidR="00A7452B" w:rsidRPr="00532C28">
        <w:rPr>
          <w:szCs w:val="26"/>
        </w:rPr>
        <w:t xml:space="preserve"> </w:t>
      </w:r>
      <w:r w:rsidR="00A7452B">
        <w:rPr>
          <w:szCs w:val="26"/>
        </w:rPr>
        <w:t>There</w:t>
      </w:r>
      <w:r w:rsidR="007A71C9">
        <w:rPr>
          <w:szCs w:val="26"/>
        </w:rPr>
        <w:t xml:space="preserve"> may be scope to consider new and innovati</w:t>
      </w:r>
      <w:r w:rsidR="00D05818">
        <w:rPr>
          <w:szCs w:val="26"/>
        </w:rPr>
        <w:t>ve</w:t>
      </w:r>
      <w:r w:rsidR="007A71C9">
        <w:rPr>
          <w:szCs w:val="26"/>
        </w:rPr>
        <w:t xml:space="preserve"> strategies </w:t>
      </w:r>
      <w:r w:rsidRPr="00532C28">
        <w:rPr>
          <w:szCs w:val="26"/>
        </w:rPr>
        <w:t>to gather the views of harder-to-reach or seldom heard from young people with a disability. These are individuals who might find it more difficult to participate in roundtable  events, but who may benefit from specialist facilitation, or the opportunity to contribute</w:t>
      </w:r>
      <w:r w:rsidR="00661DA4">
        <w:rPr>
          <w:szCs w:val="26"/>
        </w:rPr>
        <w:t xml:space="preserve"> to </w:t>
      </w:r>
      <w:r w:rsidR="00727A6B">
        <w:rPr>
          <w:szCs w:val="26"/>
        </w:rPr>
        <w:t xml:space="preserve">future </w:t>
      </w:r>
      <w:r w:rsidR="00661DA4">
        <w:rPr>
          <w:szCs w:val="26"/>
        </w:rPr>
        <w:t>consultations</w:t>
      </w:r>
      <w:r w:rsidRPr="00532C28">
        <w:rPr>
          <w:szCs w:val="26"/>
        </w:rPr>
        <w:t xml:space="preserve"> in a multi-media format. </w:t>
      </w:r>
      <w:r w:rsidR="003771C4">
        <w:rPr>
          <w:szCs w:val="26"/>
        </w:rPr>
        <w:t xml:space="preserve">The NDA has developed </w:t>
      </w:r>
      <w:r w:rsidR="003771C4" w:rsidRPr="003771C4">
        <w:rPr>
          <w:szCs w:val="26"/>
        </w:rPr>
        <w:t>Guidance for public sector staff to support non-speaking and minimally speaking people to access public services</w:t>
      </w:r>
      <w:r w:rsidR="003771C4">
        <w:rPr>
          <w:szCs w:val="26"/>
        </w:rPr>
        <w:t>, which will be published shortly.</w:t>
      </w:r>
    </w:p>
    <w:p w14:paraId="46F23991" w14:textId="39EC75B8" w:rsidR="007B1225" w:rsidRDefault="007B1225" w:rsidP="0021737F">
      <w:pPr>
        <w:pStyle w:val="Heading1"/>
      </w:pPr>
      <w:bookmarkStart w:id="11" w:name="_Toc219294606"/>
      <w:r>
        <w:t>Universal Design</w:t>
      </w:r>
      <w:bookmarkEnd w:id="11"/>
    </w:p>
    <w:p w14:paraId="41ADF5D8" w14:textId="6D54EA62" w:rsidR="006A66C6" w:rsidRDefault="00770FEE" w:rsidP="00770FEE">
      <w:pPr>
        <w:rPr>
          <w:szCs w:val="26"/>
        </w:rPr>
      </w:pPr>
      <w:r>
        <w:rPr>
          <w:szCs w:val="26"/>
        </w:rPr>
        <w:t xml:space="preserve">Universal Design </w:t>
      </w:r>
      <w:r w:rsidR="00A3085A">
        <w:rPr>
          <w:szCs w:val="26"/>
        </w:rPr>
        <w:t xml:space="preserve">(UD) </w:t>
      </w:r>
      <w:r>
        <w:rPr>
          <w:szCs w:val="26"/>
        </w:rPr>
        <w:t>refers to designing</w:t>
      </w:r>
      <w:r w:rsidR="00523144">
        <w:rPr>
          <w:szCs w:val="26"/>
        </w:rPr>
        <w:t xml:space="preserve"> physical and digital</w:t>
      </w:r>
      <w:r>
        <w:rPr>
          <w:szCs w:val="26"/>
        </w:rPr>
        <w:t xml:space="preserve"> environments</w:t>
      </w:r>
      <w:r w:rsidR="00523144">
        <w:rPr>
          <w:szCs w:val="26"/>
        </w:rPr>
        <w:t>, services and systems</w:t>
      </w:r>
      <w:r>
        <w:rPr>
          <w:szCs w:val="26"/>
        </w:rPr>
        <w:t xml:space="preserve"> which can be accessed, used, and understood by everyone, regardless of their age, size, ability or disability. </w:t>
      </w:r>
    </w:p>
    <w:p w14:paraId="3ED5C6CE" w14:textId="77777777" w:rsidR="00912F27" w:rsidRDefault="00770FEE" w:rsidP="00770FEE">
      <w:pPr>
        <w:rPr>
          <w:szCs w:val="26"/>
        </w:rPr>
      </w:pPr>
      <w:r>
        <w:rPr>
          <w:szCs w:val="26"/>
        </w:rPr>
        <w:t>The NDA’s Centre for Excellence in Universal Design</w:t>
      </w:r>
      <w:r w:rsidR="00A3085A">
        <w:rPr>
          <w:szCs w:val="26"/>
        </w:rPr>
        <w:t xml:space="preserve"> (CEUD)</w:t>
      </w:r>
      <w:r>
        <w:rPr>
          <w:szCs w:val="26"/>
        </w:rPr>
        <w:t xml:space="preserve"> considers social </w:t>
      </w:r>
      <w:r w:rsidR="007F21A3">
        <w:rPr>
          <w:szCs w:val="26"/>
        </w:rPr>
        <w:t xml:space="preserve"> justice and </w:t>
      </w:r>
      <w:r>
        <w:rPr>
          <w:szCs w:val="26"/>
        </w:rPr>
        <w:t>sustainability a key pillar of sustainable development</w:t>
      </w:r>
      <w:r w:rsidR="00A443BE">
        <w:rPr>
          <w:szCs w:val="26"/>
        </w:rPr>
        <w:t xml:space="preserve">. This is because good design should work for </w:t>
      </w:r>
      <w:r w:rsidR="009922A4">
        <w:rPr>
          <w:szCs w:val="26"/>
        </w:rPr>
        <w:t xml:space="preserve">all of </w:t>
      </w:r>
      <w:r w:rsidR="00A443BE">
        <w:rPr>
          <w:szCs w:val="26"/>
        </w:rPr>
        <w:t xml:space="preserve">society and the people </w:t>
      </w:r>
      <w:r w:rsidR="00A443BE">
        <w:rPr>
          <w:szCs w:val="26"/>
        </w:rPr>
        <w:lastRenderedPageBreak/>
        <w:t>in it.</w:t>
      </w:r>
      <w:r w:rsidR="004124B9">
        <w:rPr>
          <w:szCs w:val="26"/>
        </w:rPr>
        <w:t xml:space="preserve"> UD is an overarching principle which should be considered across all the SDGs. </w:t>
      </w:r>
    </w:p>
    <w:p w14:paraId="35FD7161" w14:textId="6C19B754" w:rsidR="00912F27" w:rsidRDefault="00912F27" w:rsidP="00770FEE">
      <w:pPr>
        <w:rPr>
          <w:szCs w:val="26"/>
        </w:rPr>
      </w:pPr>
      <w:r>
        <w:rPr>
          <w:szCs w:val="26"/>
        </w:rPr>
        <w:t xml:space="preserve">As a systemic enabler of sustainable development, UD should be embedded </w:t>
      </w:r>
      <w:r w:rsidR="00C36A7F">
        <w:rPr>
          <w:szCs w:val="26"/>
        </w:rPr>
        <w:t>throughout</w:t>
      </w:r>
      <w:r>
        <w:rPr>
          <w:szCs w:val="26"/>
        </w:rPr>
        <w:t xml:space="preserve"> the new National Implementation Plan. Th</w:t>
      </w:r>
      <w:r w:rsidR="008512C1">
        <w:rPr>
          <w:szCs w:val="26"/>
        </w:rPr>
        <w:t xml:space="preserve">e principles of UD should be applied at every stage, including </w:t>
      </w:r>
      <w:r>
        <w:rPr>
          <w:szCs w:val="26"/>
        </w:rPr>
        <w:t>policy formation, procurement, commissioning and evaluation</w:t>
      </w:r>
      <w:r w:rsidR="008512C1">
        <w:rPr>
          <w:szCs w:val="26"/>
        </w:rPr>
        <w:t xml:space="preserve"> processes. </w:t>
      </w:r>
    </w:p>
    <w:p w14:paraId="6FF839A4" w14:textId="7615D693" w:rsidR="003771C4" w:rsidRDefault="004124B9" w:rsidP="00770FEE">
      <w:pPr>
        <w:rPr>
          <w:szCs w:val="26"/>
        </w:rPr>
      </w:pPr>
      <w:r>
        <w:rPr>
          <w:szCs w:val="26"/>
        </w:rPr>
        <w:t xml:space="preserve">This includes </w:t>
      </w:r>
      <w:r w:rsidR="00892FE9">
        <w:rPr>
          <w:szCs w:val="26"/>
        </w:rPr>
        <w:t>UD</w:t>
      </w:r>
      <w:r>
        <w:rPr>
          <w:szCs w:val="26"/>
        </w:rPr>
        <w:t xml:space="preserve"> as it relates to communication and stakeholder engagement under the new National Implementation Plan.</w:t>
      </w:r>
      <w:r w:rsidR="003771C4">
        <w:rPr>
          <w:szCs w:val="26"/>
        </w:rPr>
        <w:t xml:space="preserve"> In this regard, </w:t>
      </w:r>
      <w:r w:rsidR="00B50248">
        <w:rPr>
          <w:szCs w:val="26"/>
        </w:rPr>
        <w:t>it may be useful to refer to the NDA’s Customer Communications Toolkit.</w:t>
      </w:r>
      <w:r w:rsidR="00B50248">
        <w:rPr>
          <w:rStyle w:val="FootnoteReference"/>
          <w:szCs w:val="26"/>
        </w:rPr>
        <w:footnoteReference w:id="24"/>
      </w:r>
      <w:r w:rsidR="00B50248">
        <w:rPr>
          <w:szCs w:val="26"/>
        </w:rPr>
        <w:t xml:space="preserve"> This document takes a Universal Design approach to written, digital, spoken and signed communication. </w:t>
      </w:r>
    </w:p>
    <w:p w14:paraId="509E5DD0" w14:textId="7F8A5E1B" w:rsidR="0021737F" w:rsidRDefault="0021737F" w:rsidP="00C36A7F">
      <w:pPr>
        <w:pStyle w:val="Heading2"/>
      </w:pPr>
      <w:bookmarkStart w:id="12" w:name="_Toc219294607"/>
      <w:r>
        <w:t>Accessibility Legislation</w:t>
      </w:r>
      <w:bookmarkEnd w:id="12"/>
    </w:p>
    <w:p w14:paraId="1F9EE749" w14:textId="72BD73E3" w:rsidR="00532C28" w:rsidRPr="00532C28" w:rsidRDefault="00532C28" w:rsidP="00532C28">
      <w:pPr>
        <w:rPr>
          <w:szCs w:val="26"/>
        </w:rPr>
      </w:pPr>
      <w:r w:rsidRPr="00532C28">
        <w:rPr>
          <w:szCs w:val="26"/>
        </w:rPr>
        <w:t>It is also essential tha</w:t>
      </w:r>
      <w:r w:rsidR="00E153B2">
        <w:rPr>
          <w:szCs w:val="26"/>
        </w:rPr>
        <w:t xml:space="preserve">t the new </w:t>
      </w:r>
      <w:r w:rsidRPr="00532C28">
        <w:rPr>
          <w:szCs w:val="26"/>
        </w:rPr>
        <w:t>NIP accounts for legal obligations under the Web Accessibility Directive (WAD).</w:t>
      </w:r>
      <w:r w:rsidR="007A71C9">
        <w:rPr>
          <w:rStyle w:val="FootnoteReference"/>
          <w:szCs w:val="26"/>
        </w:rPr>
        <w:footnoteReference w:id="25"/>
      </w:r>
      <w:r w:rsidR="007A71C9" w:rsidRPr="00532C28">
        <w:rPr>
          <w:szCs w:val="26"/>
        </w:rPr>
        <w:t xml:space="preserve"> </w:t>
      </w:r>
      <w:r w:rsidRPr="00532C28">
        <w:rPr>
          <w:szCs w:val="26"/>
        </w:rPr>
        <w:t>This requires that public bodies provide accessible websites and mobile apps, The regulations  apply to most types of content including:</w:t>
      </w:r>
    </w:p>
    <w:p w14:paraId="2E1B90DF" w14:textId="77777777" w:rsidR="00532C28" w:rsidRPr="00532C28" w:rsidRDefault="00532C28" w:rsidP="00532C28">
      <w:pPr>
        <w:numPr>
          <w:ilvl w:val="0"/>
          <w:numId w:val="10"/>
        </w:numPr>
        <w:rPr>
          <w:szCs w:val="26"/>
        </w:rPr>
      </w:pPr>
      <w:r w:rsidRPr="00532C28">
        <w:rPr>
          <w:szCs w:val="26"/>
        </w:rPr>
        <w:t>Office file formats (Word, PowerPoint and PDF documents)</w:t>
      </w:r>
    </w:p>
    <w:p w14:paraId="72917B13" w14:textId="77777777" w:rsidR="00532C28" w:rsidRPr="00532C28" w:rsidRDefault="00532C28" w:rsidP="00532C28">
      <w:pPr>
        <w:numPr>
          <w:ilvl w:val="0"/>
          <w:numId w:val="10"/>
        </w:numPr>
        <w:rPr>
          <w:szCs w:val="26"/>
        </w:rPr>
      </w:pPr>
      <w:r w:rsidRPr="00532C28">
        <w:rPr>
          <w:szCs w:val="26"/>
        </w:rPr>
        <w:t>Videos</w:t>
      </w:r>
    </w:p>
    <w:p w14:paraId="522B6D5B" w14:textId="77777777" w:rsidR="00532C28" w:rsidRPr="00532C28" w:rsidRDefault="00532C28" w:rsidP="00532C28">
      <w:pPr>
        <w:numPr>
          <w:ilvl w:val="0"/>
          <w:numId w:val="10"/>
        </w:numPr>
        <w:rPr>
          <w:szCs w:val="26"/>
        </w:rPr>
      </w:pPr>
      <w:r w:rsidRPr="00532C28">
        <w:rPr>
          <w:szCs w:val="26"/>
        </w:rPr>
        <w:t>Forms</w:t>
      </w:r>
    </w:p>
    <w:p w14:paraId="670F13CC" w14:textId="77777777" w:rsidR="00532C28" w:rsidRPr="00532C28" w:rsidRDefault="00532C28" w:rsidP="00532C28">
      <w:pPr>
        <w:numPr>
          <w:ilvl w:val="0"/>
          <w:numId w:val="10"/>
        </w:numPr>
        <w:rPr>
          <w:szCs w:val="26"/>
        </w:rPr>
      </w:pPr>
      <w:r w:rsidRPr="00532C28">
        <w:rPr>
          <w:szCs w:val="26"/>
        </w:rPr>
        <w:t>Intranets, extranets and their contents</w:t>
      </w:r>
    </w:p>
    <w:p w14:paraId="48776DD9" w14:textId="533B7657" w:rsidR="00532C28" w:rsidRPr="00532C28" w:rsidRDefault="00532C28" w:rsidP="00532C28">
      <w:pPr>
        <w:rPr>
          <w:szCs w:val="26"/>
        </w:rPr>
      </w:pPr>
      <w:r w:rsidRPr="00532C28">
        <w:rPr>
          <w:szCs w:val="26"/>
        </w:rPr>
        <w:t xml:space="preserve">WAD requirements should continue to be central to every digital aspect of the NIP, including the </w:t>
      </w:r>
      <w:r w:rsidR="00F27E83">
        <w:rPr>
          <w:szCs w:val="26"/>
        </w:rPr>
        <w:t>g</w:t>
      </w:r>
      <w:r w:rsidRPr="00532C28">
        <w:rPr>
          <w:szCs w:val="26"/>
        </w:rPr>
        <w:t>eo-hive. Furthermore, the European Accessibility Act (EAA)</w:t>
      </w:r>
      <w:r w:rsidR="00A7452B">
        <w:rPr>
          <w:rStyle w:val="FootnoteReference"/>
          <w:szCs w:val="26"/>
        </w:rPr>
        <w:footnoteReference w:id="26"/>
      </w:r>
      <w:r w:rsidRPr="00532C28">
        <w:rPr>
          <w:szCs w:val="26"/>
        </w:rPr>
        <w:t xml:space="preserve"> came into force as of June 2025, requiring common accessibility features for certain products and services including: </w:t>
      </w:r>
    </w:p>
    <w:p w14:paraId="28BDF786" w14:textId="77777777" w:rsidR="00532C28" w:rsidRPr="00532C28" w:rsidRDefault="00532C28" w:rsidP="00532C28">
      <w:pPr>
        <w:numPr>
          <w:ilvl w:val="0"/>
          <w:numId w:val="11"/>
        </w:numPr>
        <w:rPr>
          <w:szCs w:val="26"/>
        </w:rPr>
      </w:pPr>
      <w:r w:rsidRPr="00532C28">
        <w:rPr>
          <w:szCs w:val="26"/>
        </w:rPr>
        <w:t>Computers and operating systems</w:t>
      </w:r>
    </w:p>
    <w:p w14:paraId="1ACD936B" w14:textId="77777777" w:rsidR="00532C28" w:rsidRPr="00532C28" w:rsidRDefault="00532C28" w:rsidP="00532C28">
      <w:pPr>
        <w:numPr>
          <w:ilvl w:val="0"/>
          <w:numId w:val="11"/>
        </w:numPr>
        <w:rPr>
          <w:szCs w:val="26"/>
        </w:rPr>
      </w:pPr>
      <w:r w:rsidRPr="00532C28">
        <w:rPr>
          <w:szCs w:val="26"/>
        </w:rPr>
        <w:t>ATMs, ticketing and check-in machines</w:t>
      </w:r>
    </w:p>
    <w:p w14:paraId="5B9D2B23" w14:textId="77777777" w:rsidR="00532C28" w:rsidRPr="00532C28" w:rsidRDefault="00532C28" w:rsidP="00532C28">
      <w:pPr>
        <w:numPr>
          <w:ilvl w:val="0"/>
          <w:numId w:val="11"/>
        </w:numPr>
        <w:rPr>
          <w:szCs w:val="26"/>
        </w:rPr>
      </w:pPr>
      <w:r w:rsidRPr="00532C28">
        <w:rPr>
          <w:szCs w:val="26"/>
        </w:rPr>
        <w:t>smartphones</w:t>
      </w:r>
    </w:p>
    <w:p w14:paraId="378CD18E" w14:textId="77777777" w:rsidR="00532C28" w:rsidRPr="00532C28" w:rsidRDefault="00532C28" w:rsidP="00532C28">
      <w:pPr>
        <w:numPr>
          <w:ilvl w:val="0"/>
          <w:numId w:val="11"/>
        </w:numPr>
        <w:rPr>
          <w:szCs w:val="26"/>
        </w:rPr>
      </w:pPr>
      <w:r w:rsidRPr="00532C28">
        <w:rPr>
          <w:szCs w:val="26"/>
        </w:rPr>
        <w:t>TV equipment related to digital television services</w:t>
      </w:r>
    </w:p>
    <w:p w14:paraId="30500762" w14:textId="77777777" w:rsidR="00532C28" w:rsidRPr="00532C28" w:rsidRDefault="00532C28" w:rsidP="00532C28">
      <w:pPr>
        <w:numPr>
          <w:ilvl w:val="0"/>
          <w:numId w:val="11"/>
        </w:numPr>
        <w:rPr>
          <w:szCs w:val="26"/>
        </w:rPr>
      </w:pPr>
      <w:r w:rsidRPr="00532C28">
        <w:rPr>
          <w:szCs w:val="26"/>
        </w:rPr>
        <w:t>Telephony services and related equipment</w:t>
      </w:r>
    </w:p>
    <w:p w14:paraId="0938096E" w14:textId="77777777" w:rsidR="00532C28" w:rsidRPr="00532C28" w:rsidRDefault="00532C28" w:rsidP="00532C28">
      <w:pPr>
        <w:numPr>
          <w:ilvl w:val="0"/>
          <w:numId w:val="11"/>
        </w:numPr>
        <w:rPr>
          <w:szCs w:val="26"/>
        </w:rPr>
      </w:pPr>
      <w:r w:rsidRPr="00532C28">
        <w:rPr>
          <w:szCs w:val="26"/>
        </w:rPr>
        <w:t>Access to audio-visual media services such as television broadcast and related consumer equipment</w:t>
      </w:r>
    </w:p>
    <w:p w14:paraId="45CE77BC" w14:textId="77777777" w:rsidR="00532C28" w:rsidRPr="00532C28" w:rsidRDefault="00532C28" w:rsidP="00532C28">
      <w:pPr>
        <w:numPr>
          <w:ilvl w:val="0"/>
          <w:numId w:val="11"/>
        </w:numPr>
        <w:rPr>
          <w:szCs w:val="26"/>
        </w:rPr>
      </w:pPr>
      <w:r w:rsidRPr="00532C28">
        <w:rPr>
          <w:szCs w:val="26"/>
        </w:rPr>
        <w:lastRenderedPageBreak/>
        <w:t>Services related to air, bus, rail and waterborne passenger transport</w:t>
      </w:r>
    </w:p>
    <w:p w14:paraId="1CD438AC" w14:textId="77777777" w:rsidR="00532C28" w:rsidRPr="00532C28" w:rsidRDefault="00532C28" w:rsidP="00532C28">
      <w:pPr>
        <w:numPr>
          <w:ilvl w:val="0"/>
          <w:numId w:val="11"/>
        </w:numPr>
        <w:rPr>
          <w:szCs w:val="26"/>
        </w:rPr>
      </w:pPr>
      <w:r w:rsidRPr="00532C28">
        <w:rPr>
          <w:szCs w:val="26"/>
        </w:rPr>
        <w:t>Banking services</w:t>
      </w:r>
    </w:p>
    <w:p w14:paraId="148EDC01" w14:textId="77777777" w:rsidR="00532C28" w:rsidRPr="00532C28" w:rsidRDefault="00532C28" w:rsidP="00532C28">
      <w:pPr>
        <w:numPr>
          <w:ilvl w:val="0"/>
          <w:numId w:val="11"/>
        </w:numPr>
        <w:rPr>
          <w:szCs w:val="26"/>
        </w:rPr>
      </w:pPr>
      <w:r w:rsidRPr="00532C28">
        <w:rPr>
          <w:szCs w:val="26"/>
        </w:rPr>
        <w:t>E-books</w:t>
      </w:r>
    </w:p>
    <w:p w14:paraId="479ACAB6" w14:textId="77777777" w:rsidR="00532C28" w:rsidRPr="00532C28" w:rsidRDefault="00532C28" w:rsidP="00532C28">
      <w:pPr>
        <w:numPr>
          <w:ilvl w:val="0"/>
          <w:numId w:val="11"/>
        </w:numPr>
        <w:rPr>
          <w:szCs w:val="26"/>
        </w:rPr>
      </w:pPr>
      <w:r w:rsidRPr="00532C28">
        <w:rPr>
          <w:szCs w:val="26"/>
        </w:rPr>
        <w:t>E-commerce</w:t>
      </w:r>
    </w:p>
    <w:p w14:paraId="20B38094" w14:textId="46E6772F" w:rsidR="00532C28" w:rsidRPr="00532C28" w:rsidRDefault="00532C28" w:rsidP="00532C28">
      <w:pPr>
        <w:rPr>
          <w:szCs w:val="26"/>
        </w:rPr>
      </w:pPr>
      <w:r w:rsidRPr="00532C28">
        <w:rPr>
          <w:szCs w:val="26"/>
        </w:rPr>
        <w:t xml:space="preserve">As such, </w:t>
      </w:r>
      <w:r w:rsidR="008512C1">
        <w:rPr>
          <w:szCs w:val="26"/>
        </w:rPr>
        <w:t xml:space="preserve">legal requirements under the EAA must be accounted for within the new NIP. </w:t>
      </w:r>
      <w:r w:rsidR="00841F29">
        <w:rPr>
          <w:szCs w:val="26"/>
        </w:rPr>
        <w:t>The</w:t>
      </w:r>
      <w:r w:rsidRPr="00532C28">
        <w:rPr>
          <w:szCs w:val="26"/>
        </w:rPr>
        <w:t xml:space="preserve"> NDA is happy to provide further guidance in this area. </w:t>
      </w:r>
    </w:p>
    <w:p w14:paraId="21586DFB" w14:textId="48834204" w:rsidR="00532C28" w:rsidRPr="00532C28" w:rsidRDefault="00532C28" w:rsidP="00037336">
      <w:pPr>
        <w:pStyle w:val="Heading1"/>
      </w:pPr>
      <w:bookmarkStart w:id="13" w:name="_Toc219294608"/>
      <w:r w:rsidRPr="00532C28">
        <w:t>Improvement of monitoring and reporting framework</w:t>
      </w:r>
      <w:r w:rsidR="00E16C97">
        <w:t xml:space="preserve"> including the National Voluntary Review</w:t>
      </w:r>
      <w:bookmarkEnd w:id="13"/>
      <w:r w:rsidR="00E16C97">
        <w:t xml:space="preserve"> </w:t>
      </w:r>
    </w:p>
    <w:p w14:paraId="58800335" w14:textId="7637BABE" w:rsidR="00532C28" w:rsidRPr="00532C28" w:rsidRDefault="00532C28" w:rsidP="00532C28">
      <w:pPr>
        <w:rPr>
          <w:szCs w:val="26"/>
        </w:rPr>
      </w:pPr>
      <w:r w:rsidRPr="00532C28">
        <w:rPr>
          <w:szCs w:val="26"/>
        </w:rPr>
        <w:t>The NDA acknowledges the positive impact of the previous National Voluntary Review, particularly the key role of young people in examining Ireland’s progress</w:t>
      </w:r>
      <w:r w:rsidR="00C36A7F" w:rsidRPr="00532C28">
        <w:rPr>
          <w:szCs w:val="26"/>
        </w:rPr>
        <w:t xml:space="preserve">. </w:t>
      </w:r>
    </w:p>
    <w:p w14:paraId="4207FDF7" w14:textId="77777777" w:rsidR="00532C28" w:rsidRPr="00532C28" w:rsidRDefault="00532C28" w:rsidP="00532C28">
      <w:pPr>
        <w:rPr>
          <w:szCs w:val="26"/>
        </w:rPr>
      </w:pPr>
      <w:r w:rsidRPr="00532C28">
        <w:rPr>
          <w:szCs w:val="26"/>
        </w:rPr>
        <w:t>It is vital that any subsequent reviews continue to take a multi-stakeholder approach, prioritising the participation of persons with disabilities through their representative organisations.</w:t>
      </w:r>
    </w:p>
    <w:p w14:paraId="47A6D448" w14:textId="77777777" w:rsidR="00532C28" w:rsidRPr="00532C28" w:rsidRDefault="00532C28" w:rsidP="00532C28">
      <w:pPr>
        <w:rPr>
          <w:szCs w:val="26"/>
        </w:rPr>
      </w:pPr>
      <w:r w:rsidRPr="00532C28">
        <w:rPr>
          <w:szCs w:val="26"/>
        </w:rPr>
        <w:t>It is also important that progress reports are available in accessible formats, so that they can be viewed and used by stakeholders with a disability on an equal basis with others.</w:t>
      </w:r>
    </w:p>
    <w:p w14:paraId="662AA90B" w14:textId="40F45F42" w:rsidR="00532C28" w:rsidRPr="00532C28" w:rsidRDefault="00532C28" w:rsidP="00532C28">
      <w:pPr>
        <w:rPr>
          <w:szCs w:val="26"/>
        </w:rPr>
      </w:pPr>
      <w:r w:rsidRPr="00532C28">
        <w:rPr>
          <w:szCs w:val="26"/>
        </w:rPr>
        <w:t>Access to and availability of disaggregated data  remains a core component of measuring and reporting on the SDG</w:t>
      </w:r>
      <w:r w:rsidR="00727A6B">
        <w:rPr>
          <w:szCs w:val="26"/>
        </w:rPr>
        <w:t>s. This also links strongly with UNCRPD Article 31.</w:t>
      </w:r>
      <w:r w:rsidRPr="00532C28">
        <w:rPr>
          <w:szCs w:val="26"/>
        </w:rPr>
        <w:t xml:space="preserve"> Therefore, the NDA calls for a renewed commitment to the accessibility of the geo-hive within this new NIP.</w:t>
      </w:r>
    </w:p>
    <w:p w14:paraId="52FBA111" w14:textId="54A4D0A4" w:rsidR="00AF1DFE" w:rsidRDefault="00A63B6A" w:rsidP="00532C28">
      <w:pPr>
        <w:rPr>
          <w:szCs w:val="26"/>
        </w:rPr>
      </w:pPr>
      <w:r w:rsidRPr="00A524C4">
        <w:rPr>
          <w:szCs w:val="26"/>
        </w:rPr>
        <w:t>The NDA has previously highlighted some further resources</w:t>
      </w:r>
      <w:r w:rsidR="00661DA4" w:rsidRPr="00A524C4">
        <w:rPr>
          <w:szCs w:val="26"/>
        </w:rPr>
        <w:t xml:space="preserve"> which remain relevant</w:t>
      </w:r>
      <w:r w:rsidR="0043717D" w:rsidRPr="00A524C4">
        <w:rPr>
          <w:szCs w:val="26"/>
        </w:rPr>
        <w:t xml:space="preserve">. </w:t>
      </w:r>
      <w:r w:rsidR="00661DA4" w:rsidRPr="00A524C4">
        <w:rPr>
          <w:szCs w:val="26"/>
        </w:rPr>
        <w:t>Please see the CRPD-SDG resource pack</w:t>
      </w:r>
      <w:r w:rsidR="00D50FEC" w:rsidRPr="00A524C4">
        <w:rPr>
          <w:rStyle w:val="FootnoteReference"/>
          <w:szCs w:val="26"/>
        </w:rPr>
        <w:footnoteReference w:id="27"/>
      </w:r>
      <w:r w:rsidR="00661DA4" w:rsidRPr="00A524C4">
        <w:rPr>
          <w:szCs w:val="26"/>
        </w:rPr>
        <w:t xml:space="preserve"> published by the Office of the High Commissioner for Human Rights (OHCHR) in 2020. </w:t>
      </w:r>
      <w:r w:rsidRPr="00A524C4">
        <w:rPr>
          <w:szCs w:val="26"/>
        </w:rPr>
        <w:t xml:space="preserve">This </w:t>
      </w:r>
      <w:r w:rsidR="00AF1DFE" w:rsidRPr="00A524C4">
        <w:rPr>
          <w:szCs w:val="26"/>
        </w:rPr>
        <w:t>cont</w:t>
      </w:r>
      <w:r w:rsidR="00822113" w:rsidRPr="00A524C4">
        <w:rPr>
          <w:szCs w:val="26"/>
        </w:rPr>
        <w:t>ains indicators aimed at promoting disability-inclusive</w:t>
      </w:r>
      <w:r w:rsidR="00A3085A" w:rsidRPr="00A524C4">
        <w:rPr>
          <w:szCs w:val="26"/>
        </w:rPr>
        <w:t xml:space="preserve"> SDG</w:t>
      </w:r>
      <w:r w:rsidR="00822113" w:rsidRPr="00A524C4">
        <w:rPr>
          <w:szCs w:val="26"/>
        </w:rPr>
        <w:t xml:space="preserve"> implementation and monitoring</w:t>
      </w:r>
      <w:r w:rsidR="00661DA4" w:rsidRPr="00A524C4">
        <w:rPr>
          <w:szCs w:val="26"/>
        </w:rPr>
        <w:t>.</w:t>
      </w:r>
      <w:r w:rsidR="00661DA4">
        <w:rPr>
          <w:szCs w:val="26"/>
        </w:rPr>
        <w:t xml:space="preserve"> </w:t>
      </w:r>
    </w:p>
    <w:p w14:paraId="732F6E2A" w14:textId="1E4562D9" w:rsidR="00016DE6" w:rsidRDefault="00892FE9" w:rsidP="00532C28">
      <w:pPr>
        <w:rPr>
          <w:szCs w:val="26"/>
        </w:rPr>
      </w:pPr>
      <w:r>
        <w:rPr>
          <w:szCs w:val="26"/>
        </w:rPr>
        <w:t xml:space="preserve">The NDA would </w:t>
      </w:r>
      <w:r w:rsidR="00E153B2">
        <w:rPr>
          <w:szCs w:val="26"/>
        </w:rPr>
        <w:t xml:space="preserve">also </w:t>
      </w:r>
      <w:r>
        <w:rPr>
          <w:szCs w:val="26"/>
        </w:rPr>
        <w:t xml:space="preserve">like to highlight </w:t>
      </w:r>
      <w:r w:rsidR="00822113">
        <w:rPr>
          <w:szCs w:val="26"/>
        </w:rPr>
        <w:t>the mapping exercise completed by the European Committee for Standardisation (CEN) an</w:t>
      </w:r>
      <w:r w:rsidR="00A63B6A">
        <w:rPr>
          <w:szCs w:val="26"/>
        </w:rPr>
        <w:t>d the European Committee for Electrotechnical Standardisation (CENELEC)</w:t>
      </w:r>
      <w:r w:rsidR="00D50FEC">
        <w:rPr>
          <w:rStyle w:val="FootnoteReference"/>
          <w:szCs w:val="26"/>
        </w:rPr>
        <w:footnoteReference w:id="28"/>
      </w:r>
      <w:r w:rsidR="00A63B6A">
        <w:rPr>
          <w:szCs w:val="26"/>
        </w:rPr>
        <w:t xml:space="preserve"> in 2022. </w:t>
      </w:r>
      <w:r w:rsidR="00661DA4">
        <w:rPr>
          <w:szCs w:val="26"/>
        </w:rPr>
        <w:t>This</w:t>
      </w:r>
      <w:r w:rsidR="004010CB">
        <w:rPr>
          <w:szCs w:val="26"/>
        </w:rPr>
        <w:t xml:space="preserve"> living document</w:t>
      </w:r>
      <w:r w:rsidR="00661DA4">
        <w:rPr>
          <w:szCs w:val="26"/>
        </w:rPr>
        <w:t xml:space="preserve"> </w:t>
      </w:r>
      <w:r w:rsidR="00532C28" w:rsidRPr="00532C28">
        <w:rPr>
          <w:szCs w:val="26"/>
        </w:rPr>
        <w:t>outlines the European standards which make the biggest impact in terms of the SDGs. These standards may provide useful information for monitoring purposes.</w:t>
      </w:r>
    </w:p>
    <w:p w14:paraId="0DA3F180" w14:textId="51DB7F04" w:rsidR="00532C28" w:rsidRDefault="00016DE6" w:rsidP="000A5B47">
      <w:pPr>
        <w:pStyle w:val="Heading1"/>
      </w:pPr>
      <w:bookmarkStart w:id="14" w:name="_Toc219294609"/>
      <w:r>
        <w:lastRenderedPageBreak/>
        <w:t>Conclusion</w:t>
      </w:r>
      <w:bookmarkEnd w:id="14"/>
      <w:r w:rsidR="00532C28" w:rsidRPr="00532C28">
        <w:t xml:space="preserve"> </w:t>
      </w:r>
    </w:p>
    <w:p w14:paraId="01DD8D99" w14:textId="7397BCA4" w:rsidR="007B7BE8" w:rsidRDefault="000A5B47" w:rsidP="00532C28">
      <w:pPr>
        <w:rPr>
          <w:szCs w:val="26"/>
        </w:rPr>
      </w:pPr>
      <w:r>
        <w:rPr>
          <w:szCs w:val="26"/>
        </w:rPr>
        <w:t xml:space="preserve">The third Sustainable Development Goals National Implementation Plan presents an opportunity to </w:t>
      </w:r>
      <w:r w:rsidR="00A3085A">
        <w:rPr>
          <w:szCs w:val="26"/>
        </w:rPr>
        <w:t xml:space="preserve">further </w:t>
      </w:r>
      <w:r>
        <w:rPr>
          <w:szCs w:val="26"/>
        </w:rPr>
        <w:t xml:space="preserve">progress the 2030 Agenda in Ireland. As described above, the inclusion of persons with </w:t>
      </w:r>
      <w:r w:rsidR="006C54BE">
        <w:rPr>
          <w:szCs w:val="26"/>
        </w:rPr>
        <w:t>disabilities</w:t>
      </w:r>
      <w:r>
        <w:rPr>
          <w:szCs w:val="26"/>
        </w:rPr>
        <w:t xml:space="preserve"> requires a </w:t>
      </w:r>
      <w:r w:rsidR="006C54BE">
        <w:rPr>
          <w:szCs w:val="26"/>
        </w:rPr>
        <w:t xml:space="preserve">renewed commitment to multi-stakeholder engagement through accessible fora, as well as a whole-of-government approach to tackling key objectives. </w:t>
      </w:r>
    </w:p>
    <w:p w14:paraId="4401483C" w14:textId="67B5434A" w:rsidR="007B7BE8" w:rsidRDefault="007B7BE8" w:rsidP="00532C28">
      <w:pPr>
        <w:rPr>
          <w:szCs w:val="26"/>
        </w:rPr>
      </w:pPr>
      <w:r>
        <w:rPr>
          <w:szCs w:val="26"/>
        </w:rPr>
        <w:t>It is important that the new</w:t>
      </w:r>
      <w:r w:rsidR="003771C4">
        <w:rPr>
          <w:szCs w:val="26"/>
        </w:rPr>
        <w:t xml:space="preserve"> National</w:t>
      </w:r>
      <w:r>
        <w:rPr>
          <w:szCs w:val="26"/>
        </w:rPr>
        <w:t xml:space="preserve"> Implementation Plan aligns with other national strategies in relation to people with disabilities across areas such as education, employment, health and wellbeing, sustainable cities and communities and access to justice. </w:t>
      </w:r>
      <w:r w:rsidR="006C54BE">
        <w:rPr>
          <w:szCs w:val="26"/>
        </w:rPr>
        <w:t xml:space="preserve">In developing the new plan, DCEE should </w:t>
      </w:r>
      <w:r>
        <w:rPr>
          <w:szCs w:val="26"/>
        </w:rPr>
        <w:t xml:space="preserve">also </w:t>
      </w:r>
      <w:r w:rsidR="00D05818">
        <w:rPr>
          <w:szCs w:val="26"/>
        </w:rPr>
        <w:t xml:space="preserve">be mindful of </w:t>
      </w:r>
      <w:r w:rsidR="00B00383">
        <w:rPr>
          <w:szCs w:val="26"/>
        </w:rPr>
        <w:t>its</w:t>
      </w:r>
      <w:r w:rsidR="00D05818">
        <w:rPr>
          <w:szCs w:val="26"/>
        </w:rPr>
        <w:t xml:space="preserve"> legal obligations with regard to digital accessibility and the principles of Universal Design. </w:t>
      </w:r>
    </w:p>
    <w:p w14:paraId="6CD73286" w14:textId="6CF314A3" w:rsidR="00647485" w:rsidRDefault="006C54BE" w:rsidP="00647485">
      <w:r>
        <w:rPr>
          <w:szCs w:val="26"/>
        </w:rPr>
        <w:t xml:space="preserve">The NDA remains happy to engage with the Department on any of the points raised </w:t>
      </w:r>
      <w:r w:rsidR="00C638C6">
        <w:rPr>
          <w:szCs w:val="26"/>
        </w:rPr>
        <w:t>in this submission</w:t>
      </w:r>
      <w:r w:rsidR="00D05818">
        <w:rPr>
          <w:szCs w:val="26"/>
        </w:rPr>
        <w:t xml:space="preserve">, including in the context of the next National Voluntary Review. </w:t>
      </w:r>
    </w:p>
    <w:sectPr w:rsidR="0064748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FEF1B" w14:textId="77777777" w:rsidR="0063069C" w:rsidRDefault="0063069C" w:rsidP="00917FAC">
      <w:pPr>
        <w:spacing w:after="0"/>
      </w:pPr>
      <w:r>
        <w:separator/>
      </w:r>
    </w:p>
  </w:endnote>
  <w:endnote w:type="continuationSeparator" w:id="0">
    <w:p w14:paraId="233E3B2E" w14:textId="77777777" w:rsidR="0063069C" w:rsidRDefault="0063069C" w:rsidP="00917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CAC4" w14:textId="7A34513F" w:rsidR="00917FAC" w:rsidRDefault="00B962DC" w:rsidP="00E457C6">
    <w:pPr>
      <w:pStyle w:val="Footer"/>
    </w:pPr>
    <w:r>
      <w:t xml:space="preserve">NDA submission to the Department of Climate, Energy and the Environment </w:t>
    </w:r>
    <w:r w:rsidR="0053013B">
      <w:t xml:space="preserve">                              </w:t>
    </w:r>
    <w:sdt>
      <w:sdtPr>
        <w:id w:val="-724988138"/>
        <w:docPartObj>
          <w:docPartGallery w:val="Page Numbers (Bottom of Page)"/>
          <w:docPartUnique/>
        </w:docPartObj>
      </w:sdtPr>
      <w:sdtEndPr/>
      <w:sdtContent>
        <w:r w:rsidR="001538BD">
          <w:fldChar w:fldCharType="begin"/>
        </w:r>
        <w:r w:rsidR="001538BD">
          <w:instrText>PAGE   \* MERGEFORMAT</w:instrText>
        </w:r>
        <w:r w:rsidR="001538BD">
          <w:fldChar w:fldCharType="separate"/>
        </w:r>
        <w:r w:rsidR="001538BD">
          <w:t>1</w:t>
        </w:r>
        <w:r w:rsidR="001538BD">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CF227" w14:textId="77777777" w:rsidR="0063069C" w:rsidRDefault="0063069C" w:rsidP="00917FAC">
      <w:pPr>
        <w:spacing w:after="0"/>
      </w:pPr>
      <w:r>
        <w:separator/>
      </w:r>
    </w:p>
  </w:footnote>
  <w:footnote w:type="continuationSeparator" w:id="0">
    <w:p w14:paraId="7DABFA0B" w14:textId="77777777" w:rsidR="0063069C" w:rsidRDefault="0063069C" w:rsidP="00917FAC">
      <w:pPr>
        <w:spacing w:after="0"/>
      </w:pPr>
      <w:r>
        <w:continuationSeparator/>
      </w:r>
    </w:p>
  </w:footnote>
  <w:footnote w:id="1">
    <w:p w14:paraId="6FBF863F" w14:textId="5C439EC3" w:rsidR="00CC3062" w:rsidRDefault="00CC3062">
      <w:pPr>
        <w:pStyle w:val="FootnoteText"/>
      </w:pPr>
      <w:r>
        <w:rPr>
          <w:rStyle w:val="FootnoteReference"/>
        </w:rPr>
        <w:footnoteRef/>
      </w:r>
      <w:r>
        <w:t xml:space="preserve"> </w:t>
      </w:r>
      <w:hyperlink r:id="rId1" w:history="1">
        <w:r w:rsidRPr="00CC3062">
          <w:rPr>
            <w:rStyle w:val="Hyperlink"/>
          </w:rPr>
          <w:t>Public Consultation on the development of Ireland's third Sustainable Development Goals (SDGs) National Implementation Plan</w:t>
        </w:r>
      </w:hyperlink>
    </w:p>
  </w:footnote>
  <w:footnote w:id="2">
    <w:p w14:paraId="467B384E" w14:textId="15CB240B" w:rsidR="00182AFC" w:rsidRDefault="00182AFC">
      <w:pPr>
        <w:pStyle w:val="FootnoteText"/>
      </w:pPr>
      <w:r>
        <w:rPr>
          <w:rStyle w:val="FootnoteReference"/>
        </w:rPr>
        <w:footnoteRef/>
      </w:r>
      <w:hyperlink r:id="rId2" w:history="1">
        <w:r w:rsidRPr="00182AFC">
          <w:rPr>
            <w:rStyle w:val="Hyperlink"/>
          </w:rPr>
          <w:t>The National Human Rights Strategy for Disabled People 2025-2030</w:t>
        </w:r>
      </w:hyperlink>
    </w:p>
  </w:footnote>
  <w:footnote w:id="3">
    <w:p w14:paraId="4A821741" w14:textId="57A3C33E" w:rsidR="00FB76BE" w:rsidRDefault="00FB76BE">
      <w:pPr>
        <w:pStyle w:val="FootnoteText"/>
      </w:pPr>
      <w:r>
        <w:rPr>
          <w:rStyle w:val="FootnoteReference"/>
        </w:rPr>
        <w:footnoteRef/>
      </w:r>
      <w:r>
        <w:t xml:space="preserve"> </w:t>
      </w:r>
      <w:hyperlink r:id="rId3" w:history="1">
        <w:r w:rsidRPr="00FB76BE">
          <w:rPr>
            <w:rStyle w:val="Hyperlink"/>
          </w:rPr>
          <w:t>OECD Policy Coherence Scan of Ireland: Strengthening Institutional Mechanisms for Sustainable Development</w:t>
        </w:r>
      </w:hyperlink>
    </w:p>
  </w:footnote>
  <w:footnote w:id="4">
    <w:p w14:paraId="7FD12C2B" w14:textId="27428B21" w:rsidR="003E26BB" w:rsidRDefault="003E26BB">
      <w:pPr>
        <w:pStyle w:val="FootnoteText"/>
      </w:pPr>
      <w:r>
        <w:rPr>
          <w:rStyle w:val="FootnoteReference"/>
        </w:rPr>
        <w:footnoteRef/>
      </w:r>
      <w:r>
        <w:t xml:space="preserve"> </w:t>
      </w:r>
      <w:hyperlink r:id="rId4" w:history="1">
        <w:r w:rsidRPr="003E26BB">
          <w:rPr>
            <w:rStyle w:val="Hyperlink"/>
          </w:rPr>
          <w:t>Guidelines for Government Departments: How to conduct a Disability Impact Assessment</w:t>
        </w:r>
      </w:hyperlink>
    </w:p>
  </w:footnote>
  <w:footnote w:id="5">
    <w:p w14:paraId="1AFB1742" w14:textId="08941A31" w:rsidR="003E26BB" w:rsidRDefault="003E26BB">
      <w:pPr>
        <w:pStyle w:val="FootnoteText"/>
      </w:pPr>
      <w:r>
        <w:rPr>
          <w:rStyle w:val="FootnoteReference"/>
        </w:rPr>
        <w:footnoteRef/>
      </w:r>
      <w:r>
        <w:t xml:space="preserve"> </w:t>
      </w:r>
      <w:hyperlink r:id="rId5" w:history="1">
        <w:r w:rsidRPr="003E26BB">
          <w:rPr>
            <w:rStyle w:val="Hyperlink"/>
          </w:rPr>
          <w:t>National Strategy on Education for Sustainable Development in Ireland</w:t>
        </w:r>
      </w:hyperlink>
    </w:p>
  </w:footnote>
  <w:footnote w:id="6">
    <w:p w14:paraId="534B7F9C" w14:textId="6E5808B1" w:rsidR="00752986" w:rsidRDefault="00752986">
      <w:pPr>
        <w:pStyle w:val="FootnoteText"/>
      </w:pPr>
      <w:r>
        <w:rPr>
          <w:rStyle w:val="FootnoteReference"/>
        </w:rPr>
        <w:footnoteRef/>
      </w:r>
      <w:r>
        <w:t xml:space="preserve"> </w:t>
      </w:r>
      <w:hyperlink r:id="rId6" w:history="1">
        <w:r w:rsidR="004255D7" w:rsidRPr="00B37E87">
          <w:rPr>
            <w:rStyle w:val="Hyperlink"/>
          </w:rPr>
          <w:t>Briefing Report on NDA Factsheet: Disability Statistics</w:t>
        </w:r>
      </w:hyperlink>
      <w:r w:rsidR="004255D7" w:rsidRPr="004255D7">
        <w:t xml:space="preserve"> </w:t>
      </w:r>
    </w:p>
  </w:footnote>
  <w:footnote w:id="7">
    <w:p w14:paraId="2F4C61B2" w14:textId="4767374D" w:rsidR="00182AFC" w:rsidRDefault="00182AFC">
      <w:pPr>
        <w:pStyle w:val="FootnoteText"/>
      </w:pPr>
      <w:r>
        <w:rPr>
          <w:rStyle w:val="FootnoteReference"/>
        </w:rPr>
        <w:footnoteRef/>
      </w:r>
      <w:r>
        <w:t xml:space="preserve"> </w:t>
      </w:r>
      <w:hyperlink r:id="rId7" w:history="1">
        <w:r>
          <w:rPr>
            <w:rStyle w:val="Hyperlink"/>
          </w:rPr>
          <w:t>Key Commitments Under the National Human Rights Strategy for Disabled People</w:t>
        </w:r>
      </w:hyperlink>
    </w:p>
  </w:footnote>
  <w:footnote w:id="8">
    <w:p w14:paraId="1E432BF0" w14:textId="0D87530E" w:rsidR="00523144" w:rsidRDefault="00523144">
      <w:pPr>
        <w:pStyle w:val="FootnoteText"/>
      </w:pPr>
      <w:r>
        <w:rPr>
          <w:rStyle w:val="FootnoteReference"/>
        </w:rPr>
        <w:footnoteRef/>
      </w:r>
      <w:r>
        <w:t xml:space="preserve"> </w:t>
      </w:r>
      <w:hyperlink r:id="rId8" w:history="1">
        <w:r w:rsidRPr="00523144">
          <w:rPr>
            <w:rStyle w:val="Hyperlink"/>
          </w:rPr>
          <w:t>Universal Design in Education and Training- policy Landscape in Ireland</w:t>
        </w:r>
      </w:hyperlink>
    </w:p>
  </w:footnote>
  <w:footnote w:id="9">
    <w:p w14:paraId="54F6C0B8" w14:textId="743F11CA" w:rsidR="009C2450" w:rsidRDefault="009C2450">
      <w:pPr>
        <w:pStyle w:val="FootnoteText"/>
      </w:pPr>
      <w:r>
        <w:rPr>
          <w:rStyle w:val="FootnoteReference"/>
        </w:rPr>
        <w:footnoteRef/>
      </w:r>
      <w:r>
        <w:t xml:space="preserve"> </w:t>
      </w:r>
      <w:hyperlink r:id="rId9" w:history="1">
        <w:r w:rsidRPr="009C2450">
          <w:rPr>
            <w:rStyle w:val="Hyperlink"/>
          </w:rPr>
          <w:t>NDA Briefing Report on Factsheet: Employment &amp; Disability</w:t>
        </w:r>
      </w:hyperlink>
      <w:r>
        <w:t xml:space="preserve"> </w:t>
      </w:r>
    </w:p>
  </w:footnote>
  <w:footnote w:id="10">
    <w:p w14:paraId="71B5535C" w14:textId="2FF662F0" w:rsidR="00C248F2" w:rsidRDefault="00C248F2">
      <w:pPr>
        <w:pStyle w:val="FootnoteText"/>
      </w:pPr>
      <w:r>
        <w:rPr>
          <w:rStyle w:val="FootnoteReference"/>
        </w:rPr>
        <w:footnoteRef/>
      </w:r>
      <w:r>
        <w:t xml:space="preserve"> </w:t>
      </w:r>
      <w:hyperlink r:id="rId10" w:history="1">
        <w:r w:rsidR="001B7AFF">
          <w:rPr>
            <w:rStyle w:val="Hyperlink"/>
          </w:rPr>
          <w:t>Key Commitments Under the National Human Rights Strategy for Disabled People</w:t>
        </w:r>
      </w:hyperlink>
    </w:p>
  </w:footnote>
  <w:footnote w:id="11">
    <w:p w14:paraId="6EDED2B9" w14:textId="69E58290" w:rsidR="00047E25" w:rsidRDefault="00047E25">
      <w:pPr>
        <w:pStyle w:val="FootnoteText"/>
      </w:pPr>
      <w:r>
        <w:rPr>
          <w:rStyle w:val="FootnoteReference"/>
        </w:rPr>
        <w:footnoteRef/>
      </w:r>
      <w:r>
        <w:t xml:space="preserve"> </w:t>
      </w:r>
      <w:hyperlink r:id="rId11" w:history="1">
        <w:r w:rsidRPr="001B7AFF">
          <w:rPr>
            <w:rStyle w:val="Hyperlink"/>
          </w:rPr>
          <w:t>NDA Factsheet Young People Not in Education, Employment or Training</w:t>
        </w:r>
      </w:hyperlink>
      <w:r>
        <w:t xml:space="preserve"> </w:t>
      </w:r>
    </w:p>
  </w:footnote>
  <w:footnote w:id="12">
    <w:p w14:paraId="54B732AA" w14:textId="459F6C8D" w:rsidR="0034777D" w:rsidRDefault="0034777D">
      <w:pPr>
        <w:pStyle w:val="FootnoteText"/>
      </w:pPr>
      <w:r>
        <w:rPr>
          <w:rStyle w:val="FootnoteReference"/>
        </w:rPr>
        <w:footnoteRef/>
      </w:r>
      <w:r>
        <w:t xml:space="preserve"> </w:t>
      </w:r>
      <w:hyperlink r:id="rId12" w:history="1">
        <w:r w:rsidRPr="00365A4F">
          <w:rPr>
            <w:rStyle w:val="Hyperlink"/>
          </w:rPr>
          <w:t>NDA Factsheet Disability Statistics</w:t>
        </w:r>
      </w:hyperlink>
      <w:r>
        <w:t xml:space="preserve">  </w:t>
      </w:r>
    </w:p>
  </w:footnote>
  <w:footnote w:id="13">
    <w:p w14:paraId="557ED3A2" w14:textId="7723824F" w:rsidR="00B33865" w:rsidRDefault="00B33865">
      <w:pPr>
        <w:pStyle w:val="FootnoteText"/>
      </w:pPr>
      <w:r>
        <w:rPr>
          <w:rStyle w:val="FootnoteReference"/>
        </w:rPr>
        <w:footnoteRef/>
      </w:r>
      <w:r>
        <w:t xml:space="preserve"> </w:t>
      </w:r>
      <w:bookmarkStart w:id="6" w:name="_Hlk219109100"/>
      <w:r>
        <w:fldChar w:fldCharType="begin"/>
      </w:r>
      <w:r>
        <w:instrText>HYPERLINK "https://www.gov.ie/en/department-of-children-disability-and-equality/publications/key-commitments-under-the-strategy/"</w:instrText>
      </w:r>
      <w:r>
        <w:fldChar w:fldCharType="separate"/>
      </w:r>
      <w:r>
        <w:rPr>
          <w:rStyle w:val="Hyperlink"/>
        </w:rPr>
        <w:t>Key Commitments Under the National Human Rights Strategy for Disabled People</w:t>
      </w:r>
      <w:r>
        <w:fldChar w:fldCharType="end"/>
      </w:r>
      <w:bookmarkEnd w:id="6"/>
    </w:p>
  </w:footnote>
  <w:footnote w:id="14">
    <w:p w14:paraId="671EEDAA" w14:textId="6EF4B028" w:rsidR="00441FAC" w:rsidRDefault="00441FAC">
      <w:pPr>
        <w:pStyle w:val="FootnoteText"/>
      </w:pPr>
      <w:r>
        <w:rPr>
          <w:rStyle w:val="FootnoteReference"/>
        </w:rPr>
        <w:footnoteRef/>
      </w:r>
      <w:r>
        <w:t xml:space="preserve"> </w:t>
      </w:r>
      <w:hyperlink r:id="rId13" w:history="1">
        <w:r w:rsidRPr="00B76B11">
          <w:rPr>
            <w:rStyle w:val="Hyperlink"/>
          </w:rPr>
          <w:t>Lockdowns Unlock Innovations</w:t>
        </w:r>
      </w:hyperlink>
    </w:p>
  </w:footnote>
  <w:footnote w:id="15">
    <w:p w14:paraId="4251EFE2" w14:textId="7AC2C2AF" w:rsidR="00BA5916" w:rsidRDefault="00BA5916">
      <w:pPr>
        <w:pStyle w:val="FootnoteText"/>
      </w:pPr>
      <w:r>
        <w:rPr>
          <w:rStyle w:val="FootnoteReference"/>
        </w:rPr>
        <w:footnoteRef/>
      </w:r>
      <w:r>
        <w:t xml:space="preserve"> </w:t>
      </w:r>
      <w:hyperlink r:id="rId14" w:history="1">
        <w:r w:rsidRPr="00BA5916">
          <w:rPr>
            <w:rStyle w:val="Hyperlink"/>
          </w:rPr>
          <w:t>'How's It Going?' National Wellbeing and Social Inclusion Survey</w:t>
        </w:r>
      </w:hyperlink>
    </w:p>
  </w:footnote>
  <w:footnote w:id="16">
    <w:p w14:paraId="0072C241" w14:textId="5759D3B6" w:rsidR="00B0216B" w:rsidRDefault="00B0216B">
      <w:pPr>
        <w:pStyle w:val="FootnoteText"/>
      </w:pPr>
      <w:r>
        <w:rPr>
          <w:rStyle w:val="FootnoteReference"/>
        </w:rPr>
        <w:footnoteRef/>
      </w:r>
      <w:r>
        <w:t xml:space="preserve"> </w:t>
      </w:r>
      <w:bookmarkStart w:id="8" w:name="_Hlk219109527"/>
      <w:r w:rsidRPr="00B0216B">
        <w:fldChar w:fldCharType="begin"/>
      </w:r>
      <w:r w:rsidRPr="00B0216B">
        <w:instrText>HYPERLINK "https://www.gov.ie/en/department-of-children-disability-and-equality/publications/key-commitments-under-the-strategy/"</w:instrText>
      </w:r>
      <w:r w:rsidRPr="00B0216B">
        <w:fldChar w:fldCharType="separate"/>
      </w:r>
      <w:r w:rsidRPr="00B0216B">
        <w:rPr>
          <w:rStyle w:val="Hyperlink"/>
        </w:rPr>
        <w:t>Key Commitments Under the National Human Rights Strategy for Disabled People</w:t>
      </w:r>
      <w:r w:rsidRPr="00B0216B">
        <w:fldChar w:fldCharType="end"/>
      </w:r>
      <w:bookmarkEnd w:id="8"/>
    </w:p>
  </w:footnote>
  <w:footnote w:id="17">
    <w:p w14:paraId="517F9CDF" w14:textId="24D39FD0" w:rsidR="00B0216B" w:rsidRDefault="00B0216B">
      <w:pPr>
        <w:pStyle w:val="FootnoteText"/>
      </w:pPr>
      <w:r>
        <w:rPr>
          <w:rStyle w:val="FootnoteReference"/>
        </w:rPr>
        <w:footnoteRef/>
      </w:r>
      <w:r>
        <w:t xml:space="preserve"> </w:t>
      </w:r>
      <w:hyperlink r:id="rId15" w:anchor="pillar-3-independent-living-and-active-participation-in-society" w:history="1">
        <w:r w:rsidR="00C92CDF" w:rsidRPr="00C92CDF">
          <w:rPr>
            <w:rStyle w:val="Hyperlink"/>
          </w:rPr>
          <w:t>Key Commitments Under the National Human Rights Strategy for Disabled People</w:t>
        </w:r>
      </w:hyperlink>
    </w:p>
  </w:footnote>
  <w:footnote w:id="18">
    <w:p w14:paraId="5C448FFF" w14:textId="7E0FDC44" w:rsidR="00B32045" w:rsidRDefault="00B32045">
      <w:pPr>
        <w:pStyle w:val="FootnoteText"/>
      </w:pPr>
      <w:r>
        <w:rPr>
          <w:rStyle w:val="FootnoteReference"/>
        </w:rPr>
        <w:footnoteRef/>
      </w:r>
      <w:r>
        <w:t xml:space="preserve"> </w:t>
      </w:r>
      <w:hyperlink r:id="rId16" w:history="1">
        <w:r w:rsidR="006F2998" w:rsidRPr="006F2998">
          <w:rPr>
            <w:rStyle w:val="Hyperlink"/>
          </w:rPr>
          <w:t>An Exploration of the Scale and Impact of Physical Disability in People Experiencing Homelessness in Ireland</w:t>
        </w:r>
      </w:hyperlink>
    </w:p>
  </w:footnote>
  <w:footnote w:id="19">
    <w:p w14:paraId="3289795B" w14:textId="344277ED" w:rsidR="00E96C8B" w:rsidRDefault="00E96C8B">
      <w:pPr>
        <w:pStyle w:val="FootnoteText"/>
      </w:pPr>
      <w:r>
        <w:rPr>
          <w:rStyle w:val="FootnoteReference"/>
        </w:rPr>
        <w:footnoteRef/>
      </w:r>
      <w:r>
        <w:t xml:space="preserve"> </w:t>
      </w:r>
      <w:hyperlink r:id="rId17" w:history="1">
        <w:r w:rsidRPr="00C92CDF">
          <w:rPr>
            <w:rStyle w:val="Hyperlink"/>
          </w:rPr>
          <w:t>Making Rights Real for Persons with Disabilities in Prison</w:t>
        </w:r>
      </w:hyperlink>
      <w:r>
        <w:t xml:space="preserve"> </w:t>
      </w:r>
    </w:p>
  </w:footnote>
  <w:footnote w:id="20">
    <w:p w14:paraId="7816C6BE" w14:textId="7A46AAE7" w:rsidR="001A6EEF" w:rsidRDefault="001A6EEF">
      <w:pPr>
        <w:pStyle w:val="FootnoteText"/>
      </w:pPr>
      <w:r>
        <w:rPr>
          <w:rStyle w:val="FootnoteReference"/>
        </w:rPr>
        <w:footnoteRef/>
      </w:r>
      <w:r>
        <w:t xml:space="preserve"> </w:t>
      </w:r>
      <w:hyperlink r:id="rId18" w:history="1">
        <w:r w:rsidRPr="00C92CDF">
          <w:rPr>
            <w:rStyle w:val="Hyperlink"/>
          </w:rPr>
          <w:t>Guidance for justice professionals on communicating effectively with autistic people</w:t>
        </w:r>
      </w:hyperlink>
      <w:r>
        <w:t xml:space="preserve"> </w:t>
      </w:r>
    </w:p>
  </w:footnote>
  <w:footnote w:id="21">
    <w:p w14:paraId="2E6BD999" w14:textId="5A79E107" w:rsidR="005E7DB1" w:rsidRDefault="005E7DB1">
      <w:pPr>
        <w:pStyle w:val="FootnoteText"/>
      </w:pPr>
      <w:r>
        <w:rPr>
          <w:rStyle w:val="FootnoteReference"/>
        </w:rPr>
        <w:footnoteRef/>
      </w:r>
      <w:r>
        <w:t xml:space="preserve"> </w:t>
      </w:r>
      <w:hyperlink r:id="rId19" w:history="1">
        <w:r w:rsidRPr="006F2998">
          <w:rPr>
            <w:rStyle w:val="Hyperlink"/>
          </w:rPr>
          <w:t>NDA Report on the Operation of the Irish Sign Language Act 2017</w:t>
        </w:r>
      </w:hyperlink>
      <w:r>
        <w:t xml:space="preserve"> </w:t>
      </w:r>
    </w:p>
  </w:footnote>
  <w:footnote w:id="22">
    <w:p w14:paraId="196B9454" w14:textId="6FCB766C" w:rsidR="001407BF" w:rsidRDefault="001407BF">
      <w:pPr>
        <w:pStyle w:val="FootnoteText"/>
      </w:pPr>
      <w:r>
        <w:rPr>
          <w:rStyle w:val="FootnoteReference"/>
        </w:rPr>
        <w:footnoteRef/>
      </w:r>
      <w:hyperlink r:id="rId20" w:history="1">
        <w:r w:rsidR="009C62CB" w:rsidRPr="003771C4">
          <w:rPr>
            <w:rStyle w:val="Hyperlink"/>
          </w:rPr>
          <w:t>NDA Participation Matters Guidelines</w:t>
        </w:r>
      </w:hyperlink>
      <w:r w:rsidR="009C62CB">
        <w:t xml:space="preserve"> </w:t>
      </w:r>
    </w:p>
  </w:footnote>
  <w:footnote w:id="23">
    <w:p w14:paraId="3E72003A" w14:textId="0E37D493" w:rsidR="00635CB3" w:rsidRDefault="00635CB3">
      <w:pPr>
        <w:pStyle w:val="FootnoteText"/>
      </w:pPr>
      <w:r>
        <w:rPr>
          <w:rStyle w:val="FootnoteReference"/>
        </w:rPr>
        <w:footnoteRef/>
      </w:r>
      <w:r>
        <w:t xml:space="preserve"> </w:t>
      </w:r>
      <w:hyperlink r:id="rId21" w:history="1">
        <w:r w:rsidRPr="00635CB3">
          <w:rPr>
            <w:rStyle w:val="Hyperlink"/>
          </w:rPr>
          <w:t>Hub na nÓg Toolkits and Guidance</w:t>
        </w:r>
      </w:hyperlink>
      <w:r>
        <w:t xml:space="preserve"> </w:t>
      </w:r>
    </w:p>
  </w:footnote>
  <w:footnote w:id="24">
    <w:p w14:paraId="4D2AE641" w14:textId="2406719E" w:rsidR="00B50248" w:rsidRDefault="00B50248">
      <w:pPr>
        <w:pStyle w:val="FootnoteText"/>
      </w:pPr>
      <w:r>
        <w:rPr>
          <w:rStyle w:val="FootnoteReference"/>
        </w:rPr>
        <w:footnoteRef/>
      </w:r>
      <w:r>
        <w:t xml:space="preserve"> </w:t>
      </w:r>
      <w:hyperlink r:id="rId22" w:history="1">
        <w:r w:rsidRPr="00B50248">
          <w:rPr>
            <w:rStyle w:val="Hyperlink"/>
          </w:rPr>
          <w:t>Customer Communications Toolkit for Services to the Public</w:t>
        </w:r>
      </w:hyperlink>
      <w:r>
        <w:t xml:space="preserve"> </w:t>
      </w:r>
    </w:p>
  </w:footnote>
  <w:footnote w:id="25">
    <w:p w14:paraId="151CF4D6" w14:textId="5CCFB03D" w:rsidR="007A71C9" w:rsidRDefault="007A71C9">
      <w:pPr>
        <w:pStyle w:val="FootnoteText"/>
      </w:pPr>
      <w:r>
        <w:rPr>
          <w:rStyle w:val="FootnoteReference"/>
        </w:rPr>
        <w:footnoteRef/>
      </w:r>
      <w:r>
        <w:t xml:space="preserve"> </w:t>
      </w:r>
      <w:hyperlink r:id="rId23" w:history="1">
        <w:r w:rsidR="003771C4" w:rsidRPr="003771C4">
          <w:rPr>
            <w:rStyle w:val="Hyperlink"/>
          </w:rPr>
          <w:t>EU Web Accessibility Directive</w:t>
        </w:r>
      </w:hyperlink>
      <w:r w:rsidR="003771C4">
        <w:t xml:space="preserve"> </w:t>
      </w:r>
    </w:p>
  </w:footnote>
  <w:footnote w:id="26">
    <w:p w14:paraId="1AAE8CED" w14:textId="2F9D836E" w:rsidR="00A7452B" w:rsidRDefault="00A7452B">
      <w:pPr>
        <w:pStyle w:val="FootnoteText"/>
      </w:pPr>
      <w:r>
        <w:rPr>
          <w:rStyle w:val="FootnoteReference"/>
        </w:rPr>
        <w:footnoteRef/>
      </w:r>
      <w:r>
        <w:t xml:space="preserve"> </w:t>
      </w:r>
      <w:hyperlink r:id="rId24" w:history="1">
        <w:r w:rsidR="00B50248" w:rsidRPr="00B50248">
          <w:rPr>
            <w:rStyle w:val="Hyperlink"/>
          </w:rPr>
          <w:t>European Accessibility Act</w:t>
        </w:r>
      </w:hyperlink>
      <w:r w:rsidR="00B50248">
        <w:t xml:space="preserve"> </w:t>
      </w:r>
    </w:p>
  </w:footnote>
  <w:footnote w:id="27">
    <w:p w14:paraId="7826C6A0" w14:textId="4FD48BAF" w:rsidR="00D50FEC" w:rsidRDefault="00D50FEC">
      <w:pPr>
        <w:pStyle w:val="FootnoteText"/>
      </w:pPr>
      <w:r>
        <w:rPr>
          <w:rStyle w:val="FootnoteReference"/>
        </w:rPr>
        <w:footnoteRef/>
      </w:r>
      <w:hyperlink r:id="rId25" w:history="1">
        <w:r w:rsidR="009C62CB" w:rsidRPr="00B128A2">
          <w:rPr>
            <w:rStyle w:val="Hyperlink"/>
          </w:rPr>
          <w:t>OHCHR SDG-CRPD Resource Package</w:t>
        </w:r>
      </w:hyperlink>
      <w:r w:rsidR="009C62CB">
        <w:t xml:space="preserve"> </w:t>
      </w:r>
    </w:p>
  </w:footnote>
  <w:footnote w:id="28">
    <w:p w14:paraId="75E2EE2E" w14:textId="53D31E5A" w:rsidR="00D50FEC" w:rsidRDefault="00D50FEC">
      <w:pPr>
        <w:pStyle w:val="FootnoteText"/>
      </w:pPr>
      <w:r>
        <w:rPr>
          <w:rStyle w:val="FootnoteReference"/>
        </w:rPr>
        <w:footnoteRef/>
      </w:r>
      <w:r>
        <w:t xml:space="preserve"> </w:t>
      </w:r>
      <w:hyperlink r:id="rId26" w:history="1">
        <w:r w:rsidR="009C62CB" w:rsidRPr="00B128A2">
          <w:rPr>
            <w:rStyle w:val="Hyperlink"/>
          </w:rPr>
          <w:t>CEN-CENELEC SDG Toolbox</w:t>
        </w:r>
      </w:hyperlink>
      <w:r w:rsidR="009C62C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2658" w14:textId="5A22D76B" w:rsidR="00917FAC" w:rsidRDefault="0055687C">
    <w:pPr>
      <w:pStyle w:val="Header"/>
    </w:pPr>
    <w:r>
      <w:t xml:space="preserve">Sustainable Development Goals National Implementation Plan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10A"/>
    <w:multiLevelType w:val="hybridMultilevel"/>
    <w:tmpl w:val="1B46CE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8579E2"/>
    <w:multiLevelType w:val="hybridMultilevel"/>
    <w:tmpl w:val="F4ECAC02"/>
    <w:lvl w:ilvl="0" w:tplc="40905D92">
      <w:start w:val="1"/>
      <w:numFmt w:val="bullet"/>
      <w:pStyle w:val="NDA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32B16D3"/>
    <w:multiLevelType w:val="multilevel"/>
    <w:tmpl w:val="A7B41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09084F"/>
    <w:multiLevelType w:val="hybridMultilevel"/>
    <w:tmpl w:val="EF60E8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FD977D6"/>
    <w:multiLevelType w:val="hybridMultilevel"/>
    <w:tmpl w:val="1AA470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4352F1E"/>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26DA21A0"/>
    <w:multiLevelType w:val="hybridMultilevel"/>
    <w:tmpl w:val="4CBC31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88A6307"/>
    <w:multiLevelType w:val="hybridMultilevel"/>
    <w:tmpl w:val="B0CAEB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A7622CE"/>
    <w:multiLevelType w:val="multilevel"/>
    <w:tmpl w:val="E778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BF6550"/>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2FCB4145"/>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35856EE7"/>
    <w:multiLevelType w:val="hybridMultilevel"/>
    <w:tmpl w:val="CB6C6A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3F264791"/>
    <w:multiLevelType w:val="hybridMultilevel"/>
    <w:tmpl w:val="9DD6C3D8"/>
    <w:lvl w:ilvl="0" w:tplc="2420542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1341A06"/>
    <w:multiLevelType w:val="hybridMultilevel"/>
    <w:tmpl w:val="FEE4F6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CDC27CF"/>
    <w:multiLevelType w:val="multilevel"/>
    <w:tmpl w:val="C93E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434EBF"/>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7950537D"/>
    <w:multiLevelType w:val="hybridMultilevel"/>
    <w:tmpl w:val="57304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98230211">
    <w:abstractNumId w:val="1"/>
  </w:num>
  <w:num w:numId="2" w16cid:durableId="1208221761">
    <w:abstractNumId w:val="16"/>
  </w:num>
  <w:num w:numId="3" w16cid:durableId="323360036">
    <w:abstractNumId w:val="12"/>
  </w:num>
  <w:num w:numId="4" w16cid:durableId="1675497173">
    <w:abstractNumId w:val="9"/>
  </w:num>
  <w:num w:numId="5" w16cid:durableId="572157237">
    <w:abstractNumId w:val="10"/>
  </w:num>
  <w:num w:numId="6" w16cid:durableId="1523394075">
    <w:abstractNumId w:val="5"/>
  </w:num>
  <w:num w:numId="7" w16cid:durableId="912929873">
    <w:abstractNumId w:val="15"/>
  </w:num>
  <w:num w:numId="8" w16cid:durableId="2092584205">
    <w:abstractNumId w:val="2"/>
  </w:num>
  <w:num w:numId="9" w16cid:durableId="1162702269">
    <w:abstractNumId w:val="0"/>
  </w:num>
  <w:num w:numId="10" w16cid:durableId="18821854">
    <w:abstractNumId w:val="14"/>
  </w:num>
  <w:num w:numId="11" w16cid:durableId="478617058">
    <w:abstractNumId w:val="8"/>
  </w:num>
  <w:num w:numId="12" w16cid:durableId="1939634371">
    <w:abstractNumId w:val="7"/>
  </w:num>
  <w:num w:numId="13" w16cid:durableId="1699618584">
    <w:abstractNumId w:val="4"/>
  </w:num>
  <w:num w:numId="14" w16cid:durableId="1150444522">
    <w:abstractNumId w:val="13"/>
  </w:num>
  <w:num w:numId="15" w16cid:durableId="234047870">
    <w:abstractNumId w:val="3"/>
  </w:num>
  <w:num w:numId="16" w16cid:durableId="1120219860">
    <w:abstractNumId w:val="6"/>
  </w:num>
  <w:num w:numId="17" w16cid:durableId="403714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C6"/>
    <w:rsid w:val="0001011C"/>
    <w:rsid w:val="000123BB"/>
    <w:rsid w:val="00016DE6"/>
    <w:rsid w:val="00034AE6"/>
    <w:rsid w:val="00037336"/>
    <w:rsid w:val="00047E25"/>
    <w:rsid w:val="00055494"/>
    <w:rsid w:val="0006646C"/>
    <w:rsid w:val="00073460"/>
    <w:rsid w:val="00075CE2"/>
    <w:rsid w:val="000767DC"/>
    <w:rsid w:val="000779D8"/>
    <w:rsid w:val="00077BE4"/>
    <w:rsid w:val="000A562E"/>
    <w:rsid w:val="000A5B47"/>
    <w:rsid w:val="000B43D8"/>
    <w:rsid w:val="000D61AB"/>
    <w:rsid w:val="000E5D7C"/>
    <w:rsid w:val="0010419F"/>
    <w:rsid w:val="0012339E"/>
    <w:rsid w:val="00127F6D"/>
    <w:rsid w:val="00130160"/>
    <w:rsid w:val="001407BF"/>
    <w:rsid w:val="001409DE"/>
    <w:rsid w:val="001438E0"/>
    <w:rsid w:val="001439D3"/>
    <w:rsid w:val="00151C2D"/>
    <w:rsid w:val="001538BD"/>
    <w:rsid w:val="00165A5A"/>
    <w:rsid w:val="00182AFC"/>
    <w:rsid w:val="00187C6C"/>
    <w:rsid w:val="00190607"/>
    <w:rsid w:val="00192CAE"/>
    <w:rsid w:val="001A02F3"/>
    <w:rsid w:val="001A6EEF"/>
    <w:rsid w:val="001B7AFF"/>
    <w:rsid w:val="001C3184"/>
    <w:rsid w:val="001D1868"/>
    <w:rsid w:val="001F7633"/>
    <w:rsid w:val="002036E2"/>
    <w:rsid w:val="002075E1"/>
    <w:rsid w:val="00207B3F"/>
    <w:rsid w:val="0021737F"/>
    <w:rsid w:val="00224B98"/>
    <w:rsid w:val="0024628D"/>
    <w:rsid w:val="00260F4F"/>
    <w:rsid w:val="0027551A"/>
    <w:rsid w:val="00284FE5"/>
    <w:rsid w:val="002855A8"/>
    <w:rsid w:val="0028705D"/>
    <w:rsid w:val="002C275F"/>
    <w:rsid w:val="002C7DA3"/>
    <w:rsid w:val="002D6B08"/>
    <w:rsid w:val="002F44B3"/>
    <w:rsid w:val="002F5423"/>
    <w:rsid w:val="002F5553"/>
    <w:rsid w:val="00302E36"/>
    <w:rsid w:val="00306C4D"/>
    <w:rsid w:val="0031069F"/>
    <w:rsid w:val="00324F12"/>
    <w:rsid w:val="0034777D"/>
    <w:rsid w:val="003617ED"/>
    <w:rsid w:val="00365A4F"/>
    <w:rsid w:val="003714B0"/>
    <w:rsid w:val="003771C4"/>
    <w:rsid w:val="003867E7"/>
    <w:rsid w:val="003875F0"/>
    <w:rsid w:val="0038799A"/>
    <w:rsid w:val="00396352"/>
    <w:rsid w:val="003B156B"/>
    <w:rsid w:val="003B6F6C"/>
    <w:rsid w:val="003D0F79"/>
    <w:rsid w:val="003E26BB"/>
    <w:rsid w:val="003E3FB8"/>
    <w:rsid w:val="003F054C"/>
    <w:rsid w:val="003F16F9"/>
    <w:rsid w:val="003F2DB5"/>
    <w:rsid w:val="004010CB"/>
    <w:rsid w:val="00405BDE"/>
    <w:rsid w:val="004124B9"/>
    <w:rsid w:val="004255D7"/>
    <w:rsid w:val="0043717D"/>
    <w:rsid w:val="00437AFD"/>
    <w:rsid w:val="00441FAC"/>
    <w:rsid w:val="00442711"/>
    <w:rsid w:val="00452009"/>
    <w:rsid w:val="00464CE1"/>
    <w:rsid w:val="004838F4"/>
    <w:rsid w:val="00486BA1"/>
    <w:rsid w:val="00497871"/>
    <w:rsid w:val="004A2771"/>
    <w:rsid w:val="004B08AA"/>
    <w:rsid w:val="004B3F03"/>
    <w:rsid w:val="004D106B"/>
    <w:rsid w:val="004D70E4"/>
    <w:rsid w:val="004E4E8E"/>
    <w:rsid w:val="004F3141"/>
    <w:rsid w:val="004F3697"/>
    <w:rsid w:val="00500B6A"/>
    <w:rsid w:val="00504D40"/>
    <w:rsid w:val="00511FCD"/>
    <w:rsid w:val="005221DC"/>
    <w:rsid w:val="00523144"/>
    <w:rsid w:val="005244CF"/>
    <w:rsid w:val="00526679"/>
    <w:rsid w:val="005276E2"/>
    <w:rsid w:val="0053013B"/>
    <w:rsid w:val="00532C28"/>
    <w:rsid w:val="005551BF"/>
    <w:rsid w:val="0055687C"/>
    <w:rsid w:val="00556AA1"/>
    <w:rsid w:val="00571787"/>
    <w:rsid w:val="00571A1B"/>
    <w:rsid w:val="0057353C"/>
    <w:rsid w:val="0058266F"/>
    <w:rsid w:val="005842BB"/>
    <w:rsid w:val="005979A7"/>
    <w:rsid w:val="00597A09"/>
    <w:rsid w:val="005A394E"/>
    <w:rsid w:val="005A7A2F"/>
    <w:rsid w:val="005B0B25"/>
    <w:rsid w:val="005B2EF0"/>
    <w:rsid w:val="005B396B"/>
    <w:rsid w:val="005C56A4"/>
    <w:rsid w:val="005D068E"/>
    <w:rsid w:val="005E4E35"/>
    <w:rsid w:val="005E56EC"/>
    <w:rsid w:val="005E7DB1"/>
    <w:rsid w:val="005F2EE3"/>
    <w:rsid w:val="00602CD5"/>
    <w:rsid w:val="00610659"/>
    <w:rsid w:val="00610919"/>
    <w:rsid w:val="006162E1"/>
    <w:rsid w:val="006257D5"/>
    <w:rsid w:val="006265EE"/>
    <w:rsid w:val="0063069C"/>
    <w:rsid w:val="00631E9B"/>
    <w:rsid w:val="0063501F"/>
    <w:rsid w:val="00635CB3"/>
    <w:rsid w:val="00642886"/>
    <w:rsid w:val="00647485"/>
    <w:rsid w:val="00650E7A"/>
    <w:rsid w:val="006525B5"/>
    <w:rsid w:val="0065291A"/>
    <w:rsid w:val="006544B6"/>
    <w:rsid w:val="006557C4"/>
    <w:rsid w:val="00661DA4"/>
    <w:rsid w:val="00664A4E"/>
    <w:rsid w:val="00671A13"/>
    <w:rsid w:val="00675349"/>
    <w:rsid w:val="00694A58"/>
    <w:rsid w:val="00697F83"/>
    <w:rsid w:val="006A5844"/>
    <w:rsid w:val="006A66C6"/>
    <w:rsid w:val="006B5119"/>
    <w:rsid w:val="006B5B4C"/>
    <w:rsid w:val="006C1CFB"/>
    <w:rsid w:val="006C54BE"/>
    <w:rsid w:val="006C6690"/>
    <w:rsid w:val="006C7A12"/>
    <w:rsid w:val="006D262E"/>
    <w:rsid w:val="006F2998"/>
    <w:rsid w:val="006F507A"/>
    <w:rsid w:val="006F6ACF"/>
    <w:rsid w:val="00700946"/>
    <w:rsid w:val="007078DC"/>
    <w:rsid w:val="007229FB"/>
    <w:rsid w:val="00727A6B"/>
    <w:rsid w:val="00745B19"/>
    <w:rsid w:val="00752986"/>
    <w:rsid w:val="0076186E"/>
    <w:rsid w:val="00770FEE"/>
    <w:rsid w:val="00776FAE"/>
    <w:rsid w:val="00793562"/>
    <w:rsid w:val="007A71C9"/>
    <w:rsid w:val="007B1225"/>
    <w:rsid w:val="007B30B4"/>
    <w:rsid w:val="007B7A4B"/>
    <w:rsid w:val="007B7BE8"/>
    <w:rsid w:val="007C36E0"/>
    <w:rsid w:val="007C66D0"/>
    <w:rsid w:val="007C6BE4"/>
    <w:rsid w:val="007D57BA"/>
    <w:rsid w:val="007D7D7A"/>
    <w:rsid w:val="007F21A3"/>
    <w:rsid w:val="00822113"/>
    <w:rsid w:val="0083415A"/>
    <w:rsid w:val="0083644F"/>
    <w:rsid w:val="00841F29"/>
    <w:rsid w:val="008429F4"/>
    <w:rsid w:val="008512C1"/>
    <w:rsid w:val="00861EC5"/>
    <w:rsid w:val="00892FE9"/>
    <w:rsid w:val="00896B5C"/>
    <w:rsid w:val="00897FFB"/>
    <w:rsid w:val="008B1B08"/>
    <w:rsid w:val="008B41F7"/>
    <w:rsid w:val="008E4426"/>
    <w:rsid w:val="008F72FB"/>
    <w:rsid w:val="00912F27"/>
    <w:rsid w:val="00913E0B"/>
    <w:rsid w:val="00917FAC"/>
    <w:rsid w:val="00920097"/>
    <w:rsid w:val="009244CB"/>
    <w:rsid w:val="009351CC"/>
    <w:rsid w:val="00946A69"/>
    <w:rsid w:val="00955FCD"/>
    <w:rsid w:val="009611DC"/>
    <w:rsid w:val="009658EC"/>
    <w:rsid w:val="009679C9"/>
    <w:rsid w:val="00967C0F"/>
    <w:rsid w:val="00971F0D"/>
    <w:rsid w:val="00977A04"/>
    <w:rsid w:val="0099081D"/>
    <w:rsid w:val="009922A4"/>
    <w:rsid w:val="00997437"/>
    <w:rsid w:val="009A27BB"/>
    <w:rsid w:val="009A6DB0"/>
    <w:rsid w:val="009B2485"/>
    <w:rsid w:val="009B2D05"/>
    <w:rsid w:val="009B6C28"/>
    <w:rsid w:val="009C2450"/>
    <w:rsid w:val="009C4645"/>
    <w:rsid w:val="009C62CB"/>
    <w:rsid w:val="009C7BED"/>
    <w:rsid w:val="009D1084"/>
    <w:rsid w:val="009E7076"/>
    <w:rsid w:val="009F4396"/>
    <w:rsid w:val="00A0543E"/>
    <w:rsid w:val="00A15B73"/>
    <w:rsid w:val="00A2131F"/>
    <w:rsid w:val="00A239C8"/>
    <w:rsid w:val="00A3085A"/>
    <w:rsid w:val="00A336B8"/>
    <w:rsid w:val="00A37F73"/>
    <w:rsid w:val="00A443BE"/>
    <w:rsid w:val="00A524C4"/>
    <w:rsid w:val="00A53C6D"/>
    <w:rsid w:val="00A63B6A"/>
    <w:rsid w:val="00A70685"/>
    <w:rsid w:val="00A70A62"/>
    <w:rsid w:val="00A733E5"/>
    <w:rsid w:val="00A7452B"/>
    <w:rsid w:val="00A76168"/>
    <w:rsid w:val="00A810A3"/>
    <w:rsid w:val="00A87D9C"/>
    <w:rsid w:val="00A942F7"/>
    <w:rsid w:val="00A952EA"/>
    <w:rsid w:val="00A97619"/>
    <w:rsid w:val="00AE308C"/>
    <w:rsid w:val="00AE3CA5"/>
    <w:rsid w:val="00AF1DFE"/>
    <w:rsid w:val="00AF4F16"/>
    <w:rsid w:val="00B00383"/>
    <w:rsid w:val="00B0216B"/>
    <w:rsid w:val="00B02742"/>
    <w:rsid w:val="00B02D44"/>
    <w:rsid w:val="00B122FC"/>
    <w:rsid w:val="00B128A2"/>
    <w:rsid w:val="00B17EF3"/>
    <w:rsid w:val="00B23C3E"/>
    <w:rsid w:val="00B266A9"/>
    <w:rsid w:val="00B27A71"/>
    <w:rsid w:val="00B32045"/>
    <w:rsid w:val="00B321B3"/>
    <w:rsid w:val="00B33865"/>
    <w:rsid w:val="00B34239"/>
    <w:rsid w:val="00B350DE"/>
    <w:rsid w:val="00B37E87"/>
    <w:rsid w:val="00B46777"/>
    <w:rsid w:val="00B50248"/>
    <w:rsid w:val="00B53A64"/>
    <w:rsid w:val="00B60283"/>
    <w:rsid w:val="00B76B11"/>
    <w:rsid w:val="00B81FF1"/>
    <w:rsid w:val="00B8382B"/>
    <w:rsid w:val="00B870ED"/>
    <w:rsid w:val="00B91EAE"/>
    <w:rsid w:val="00B95DCA"/>
    <w:rsid w:val="00B962DC"/>
    <w:rsid w:val="00BA0A36"/>
    <w:rsid w:val="00BA5916"/>
    <w:rsid w:val="00BB46DB"/>
    <w:rsid w:val="00BB6DED"/>
    <w:rsid w:val="00BD52B2"/>
    <w:rsid w:val="00BE26C6"/>
    <w:rsid w:val="00BF4CA1"/>
    <w:rsid w:val="00C02C4F"/>
    <w:rsid w:val="00C15849"/>
    <w:rsid w:val="00C22E77"/>
    <w:rsid w:val="00C248F2"/>
    <w:rsid w:val="00C36A7F"/>
    <w:rsid w:val="00C44E0C"/>
    <w:rsid w:val="00C6030E"/>
    <w:rsid w:val="00C638C6"/>
    <w:rsid w:val="00C83786"/>
    <w:rsid w:val="00C857AB"/>
    <w:rsid w:val="00C86F8E"/>
    <w:rsid w:val="00C92CDF"/>
    <w:rsid w:val="00C97F21"/>
    <w:rsid w:val="00CB2A4A"/>
    <w:rsid w:val="00CB568F"/>
    <w:rsid w:val="00CB77A1"/>
    <w:rsid w:val="00CC3062"/>
    <w:rsid w:val="00CC50E4"/>
    <w:rsid w:val="00CF1487"/>
    <w:rsid w:val="00D03492"/>
    <w:rsid w:val="00D05818"/>
    <w:rsid w:val="00D12B6D"/>
    <w:rsid w:val="00D13A43"/>
    <w:rsid w:val="00D33874"/>
    <w:rsid w:val="00D466EE"/>
    <w:rsid w:val="00D50FEC"/>
    <w:rsid w:val="00D52AEB"/>
    <w:rsid w:val="00D748B3"/>
    <w:rsid w:val="00DE1942"/>
    <w:rsid w:val="00DE5AA2"/>
    <w:rsid w:val="00DE7E32"/>
    <w:rsid w:val="00DF178A"/>
    <w:rsid w:val="00DF4932"/>
    <w:rsid w:val="00E034C3"/>
    <w:rsid w:val="00E0371B"/>
    <w:rsid w:val="00E03D28"/>
    <w:rsid w:val="00E05610"/>
    <w:rsid w:val="00E153B2"/>
    <w:rsid w:val="00E16C97"/>
    <w:rsid w:val="00E33FAA"/>
    <w:rsid w:val="00E353E4"/>
    <w:rsid w:val="00E37C34"/>
    <w:rsid w:val="00E42E78"/>
    <w:rsid w:val="00E457C6"/>
    <w:rsid w:val="00E4660E"/>
    <w:rsid w:val="00E823B9"/>
    <w:rsid w:val="00E84870"/>
    <w:rsid w:val="00E85F90"/>
    <w:rsid w:val="00E93DB6"/>
    <w:rsid w:val="00E96C8B"/>
    <w:rsid w:val="00E97A63"/>
    <w:rsid w:val="00E97FC5"/>
    <w:rsid w:val="00EA59EA"/>
    <w:rsid w:val="00EA69CB"/>
    <w:rsid w:val="00EB27BF"/>
    <w:rsid w:val="00EC01AF"/>
    <w:rsid w:val="00EC20EA"/>
    <w:rsid w:val="00EC30B3"/>
    <w:rsid w:val="00EE0B67"/>
    <w:rsid w:val="00EE41C0"/>
    <w:rsid w:val="00EE4A13"/>
    <w:rsid w:val="00EE639D"/>
    <w:rsid w:val="00EE7F60"/>
    <w:rsid w:val="00EF6B03"/>
    <w:rsid w:val="00F01FD4"/>
    <w:rsid w:val="00F0285B"/>
    <w:rsid w:val="00F27E83"/>
    <w:rsid w:val="00F4020C"/>
    <w:rsid w:val="00F43852"/>
    <w:rsid w:val="00F45DE2"/>
    <w:rsid w:val="00F50AA0"/>
    <w:rsid w:val="00F54118"/>
    <w:rsid w:val="00F54438"/>
    <w:rsid w:val="00F56B3D"/>
    <w:rsid w:val="00F74287"/>
    <w:rsid w:val="00F932B1"/>
    <w:rsid w:val="00F9581D"/>
    <w:rsid w:val="00FB76BE"/>
    <w:rsid w:val="00FC09EC"/>
    <w:rsid w:val="00FC6B59"/>
    <w:rsid w:val="00FD6B44"/>
    <w:rsid w:val="00FD6D08"/>
    <w:rsid w:val="00FE63B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E53B4"/>
  <w15:chartTrackingRefBased/>
  <w15:docId w15:val="{86FFE63E-4CB0-43FB-BDE5-DDFFA527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4"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iPriority="31" w:unhideWhenUsed="1" w:qFormat="1"/>
    <w:lsdException w:name="Intense Reference" w:semiHidden="1" w:uiPriority="32"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82B"/>
    <w:rPr>
      <w:rFonts w:ascii="Verdana" w:hAnsi="Verdana"/>
      <w:sz w:val="24"/>
    </w:rPr>
  </w:style>
  <w:style w:type="paragraph" w:styleId="Heading1">
    <w:name w:val="heading 1"/>
    <w:basedOn w:val="Normal"/>
    <w:next w:val="Normal"/>
    <w:link w:val="Heading1Char"/>
    <w:uiPriority w:val="9"/>
    <w:qFormat/>
    <w:rsid w:val="00077BE4"/>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9"/>
    <w:qFormat/>
    <w:rsid w:val="00664A4E"/>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06646C"/>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06646C"/>
    <w:pPr>
      <w:keepNext/>
      <w:keepLines/>
      <w:spacing w:after="0"/>
      <w:outlineLvl w:val="3"/>
    </w:pPr>
    <w:rPr>
      <w:rFonts w:eastAsiaTheme="majorEastAsia" w:cstheme="majorBidi"/>
      <w:b/>
      <w:iCs/>
      <w:color w:val="5A5A5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9A6DB0"/>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rsid w:val="0057353C"/>
    <w:rPr>
      <w:rFonts w:ascii="Verdana" w:eastAsiaTheme="majorEastAsia" w:hAnsi="Verdana" w:cstheme="majorBidi"/>
      <w:b/>
      <w:spacing w:val="-10"/>
      <w:kern w:val="28"/>
      <w:sz w:val="36"/>
      <w:szCs w:val="56"/>
    </w:rPr>
  </w:style>
  <w:style w:type="paragraph" w:styleId="Subtitle">
    <w:name w:val="Subtitle"/>
    <w:basedOn w:val="Normal"/>
    <w:next w:val="Normal"/>
    <w:link w:val="SubtitleChar"/>
    <w:uiPriority w:val="6"/>
    <w:qFormat/>
    <w:rsid w:val="009A6DB0"/>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rsid w:val="0057353C"/>
    <w:rPr>
      <w:rFonts w:ascii="Verdana" w:eastAsiaTheme="minorEastAsia" w:hAnsi="Verdana"/>
      <w:b/>
      <w:sz w:val="32"/>
    </w:rPr>
  </w:style>
  <w:style w:type="character" w:customStyle="1" w:styleId="Heading1Char">
    <w:name w:val="Heading 1 Char"/>
    <w:basedOn w:val="DefaultParagraphFont"/>
    <w:link w:val="Heading1"/>
    <w:uiPriority w:val="9"/>
    <w:rsid w:val="00077BE4"/>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57353C"/>
    <w:rPr>
      <w:rFonts w:ascii="Verdana" w:eastAsiaTheme="majorEastAsia" w:hAnsi="Verdana" w:cstheme="majorBidi"/>
      <w:b/>
      <w:sz w:val="28"/>
      <w:szCs w:val="26"/>
    </w:rPr>
  </w:style>
  <w:style w:type="character" w:customStyle="1" w:styleId="Heading3Char">
    <w:name w:val="Heading 3 Char"/>
    <w:basedOn w:val="DefaultParagraphFont"/>
    <w:link w:val="Heading3"/>
    <w:uiPriority w:val="3"/>
    <w:rsid w:val="0057353C"/>
    <w:rPr>
      <w:rFonts w:ascii="Verdana" w:eastAsiaTheme="majorEastAsia" w:hAnsi="Verdana" w:cstheme="majorBidi"/>
      <w:b/>
      <w:sz w:val="24"/>
      <w:szCs w:val="24"/>
    </w:rPr>
  </w:style>
  <w:style w:type="character" w:customStyle="1" w:styleId="Heading4Char">
    <w:name w:val="Heading 4 Char"/>
    <w:basedOn w:val="DefaultParagraphFont"/>
    <w:link w:val="Heading4"/>
    <w:uiPriority w:val="4"/>
    <w:rsid w:val="0057353C"/>
    <w:rPr>
      <w:rFonts w:ascii="Verdana" w:eastAsiaTheme="majorEastAsia" w:hAnsi="Verdana" w:cstheme="majorBidi"/>
      <w:b/>
      <w:iCs/>
      <w:color w:val="5A5A5A"/>
      <w:sz w:val="24"/>
    </w:rPr>
  </w:style>
  <w:style w:type="paragraph" w:styleId="ListParagraph">
    <w:name w:val="List Paragraph"/>
    <w:aliases w:val="igunore,Subtitle Cover Page,List Paragraph Report,Bullet 1,Bullet Points,Colorful List - Accent 11,F5 List Paragraph,Indicator Text,List Paragraph Char Char Char,List Paragraph11,List Paragraph12,List Paragraph2,MAIN CONTENT,No Spacing1,3"/>
    <w:basedOn w:val="Normal"/>
    <w:link w:val="ListParagraphChar"/>
    <w:uiPriority w:val="34"/>
    <w:unhideWhenUsed/>
    <w:qFormat/>
    <w:rsid w:val="00647485"/>
    <w:pPr>
      <w:ind w:left="720"/>
    </w:pPr>
  </w:style>
  <w:style w:type="paragraph" w:customStyle="1" w:styleId="NDABullet">
    <w:name w:val="NDA Bullet"/>
    <w:basedOn w:val="ListParagraph"/>
    <w:uiPriority w:val="7"/>
    <w:qFormat/>
    <w:rsid w:val="007B30B4"/>
    <w:pPr>
      <w:numPr>
        <w:numId w:val="1"/>
      </w:numPr>
      <w:spacing w:after="120"/>
      <w:ind w:left="357" w:hanging="357"/>
    </w:pPr>
  </w:style>
  <w:style w:type="paragraph" w:styleId="Quote">
    <w:name w:val="Quote"/>
    <w:basedOn w:val="Normal"/>
    <w:next w:val="Normal"/>
    <w:link w:val="QuoteChar"/>
    <w:uiPriority w:val="8"/>
    <w:qFormat/>
    <w:rsid w:val="00920097"/>
    <w:pPr>
      <w:keepLines/>
      <w:ind w:left="567" w:right="567"/>
    </w:pPr>
    <w:rPr>
      <w:iCs/>
    </w:rPr>
  </w:style>
  <w:style w:type="character" w:customStyle="1" w:styleId="QuoteChar">
    <w:name w:val="Quote Char"/>
    <w:basedOn w:val="DefaultParagraphFont"/>
    <w:link w:val="Quote"/>
    <w:uiPriority w:val="8"/>
    <w:rsid w:val="0057353C"/>
    <w:rPr>
      <w:rFonts w:ascii="Verdana" w:hAnsi="Verdana"/>
      <w:iCs/>
      <w:sz w:val="24"/>
    </w:rPr>
  </w:style>
  <w:style w:type="paragraph" w:styleId="Caption">
    <w:name w:val="caption"/>
    <w:basedOn w:val="Normal"/>
    <w:next w:val="Normal"/>
    <w:uiPriority w:val="11"/>
    <w:qFormat/>
    <w:rsid w:val="00920097"/>
    <w:pPr>
      <w:spacing w:before="40" w:after="200"/>
    </w:pPr>
    <w:rPr>
      <w:b/>
      <w:iCs/>
      <w:szCs w:val="18"/>
    </w:rPr>
  </w:style>
  <w:style w:type="paragraph" w:styleId="Header">
    <w:name w:val="header"/>
    <w:basedOn w:val="Normal"/>
    <w:link w:val="HeaderChar"/>
    <w:uiPriority w:val="20"/>
    <w:rsid w:val="00917FAC"/>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rsid w:val="00B8382B"/>
    <w:rPr>
      <w:rFonts w:ascii="Verdana" w:hAnsi="Verdana"/>
      <w:color w:val="5A5A5A"/>
    </w:rPr>
  </w:style>
  <w:style w:type="paragraph" w:styleId="Footer">
    <w:name w:val="footer"/>
    <w:basedOn w:val="Normal"/>
    <w:link w:val="FooterChar"/>
    <w:uiPriority w:val="21"/>
    <w:rsid w:val="00917FAC"/>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21"/>
    <w:rsid w:val="00B8382B"/>
    <w:rPr>
      <w:rFonts w:ascii="Verdana" w:hAnsi="Verdana"/>
      <w:color w:val="5A5A5A"/>
    </w:rPr>
  </w:style>
  <w:style w:type="paragraph" w:styleId="FootnoteText">
    <w:name w:val="footnote text"/>
    <w:basedOn w:val="Normal"/>
    <w:link w:val="FootnoteTextChar"/>
    <w:uiPriority w:val="99"/>
    <w:semiHidden/>
    <w:unhideWhenUsed/>
    <w:rsid w:val="004D70E4"/>
    <w:pPr>
      <w:spacing w:after="0"/>
    </w:pPr>
    <w:rPr>
      <w:sz w:val="20"/>
      <w:szCs w:val="20"/>
    </w:rPr>
  </w:style>
  <w:style w:type="character" w:customStyle="1" w:styleId="FootnoteTextChar">
    <w:name w:val="Footnote Text Char"/>
    <w:basedOn w:val="DefaultParagraphFont"/>
    <w:link w:val="FootnoteText"/>
    <w:uiPriority w:val="99"/>
    <w:semiHidden/>
    <w:rsid w:val="004D70E4"/>
    <w:rPr>
      <w:rFonts w:ascii="Verdana" w:hAnsi="Verdana"/>
      <w:sz w:val="20"/>
      <w:szCs w:val="20"/>
    </w:rPr>
  </w:style>
  <w:style w:type="character" w:styleId="FootnoteReference">
    <w:name w:val="footnote reference"/>
    <w:basedOn w:val="DefaultParagraphFont"/>
    <w:uiPriority w:val="22"/>
    <w:unhideWhenUsed/>
    <w:rsid w:val="004D70E4"/>
    <w:rPr>
      <w:vertAlign w:val="superscript"/>
    </w:rPr>
  </w:style>
  <w:style w:type="paragraph" w:customStyle="1" w:styleId="BeforeList">
    <w:name w:val="Before List"/>
    <w:basedOn w:val="Normal"/>
    <w:next w:val="NDABullet"/>
    <w:uiPriority w:val="9"/>
    <w:qFormat/>
    <w:rsid w:val="004D70E4"/>
    <w:pPr>
      <w:spacing w:after="120"/>
    </w:pPr>
  </w:style>
  <w:style w:type="paragraph" w:customStyle="1" w:styleId="AfterList">
    <w:name w:val="After List"/>
    <w:basedOn w:val="Normal"/>
    <w:next w:val="Normal"/>
    <w:uiPriority w:val="10"/>
    <w:qFormat/>
    <w:rsid w:val="004D70E4"/>
    <w:pPr>
      <w:spacing w:before="240"/>
    </w:pPr>
  </w:style>
  <w:style w:type="table" w:styleId="TableGrid">
    <w:name w:val="Table Grid"/>
    <w:basedOn w:val="TableNormal"/>
    <w:uiPriority w:val="39"/>
    <w:rsid w:val="00B27A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ATableFuchsia">
    <w:name w:val="NDA Table Fuchsia"/>
    <w:basedOn w:val="TableNormal"/>
    <w:uiPriority w:val="99"/>
    <w:rsid w:val="00077BE4"/>
    <w:pPr>
      <w:spacing w:after="0"/>
    </w:pPr>
    <w:rPr>
      <w:rFonts w:ascii="Verdana" w:hAnsi="Verdana"/>
      <w:sz w:val="24"/>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7B30B4"/>
    <w:pPr>
      <w:spacing w:before="80"/>
      <w:jc w:val="center"/>
    </w:pPr>
  </w:style>
  <w:style w:type="paragraph" w:styleId="TOCHeading">
    <w:name w:val="TOC Heading"/>
    <w:basedOn w:val="Heading1"/>
    <w:next w:val="Normal"/>
    <w:uiPriority w:val="39"/>
    <w:qFormat/>
    <w:rsid w:val="00224B98"/>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 w:type="character" w:styleId="Hyperlink">
    <w:name w:val="Hyperlink"/>
    <w:basedOn w:val="DefaultParagraphFont"/>
    <w:uiPriority w:val="99"/>
    <w:unhideWhenUsed/>
    <w:rsid w:val="00224B98"/>
    <w:rPr>
      <w:color w:val="0563C1" w:themeColor="hyperlink"/>
      <w:u w:val="single"/>
    </w:rPr>
  </w:style>
  <w:style w:type="table" w:customStyle="1" w:styleId="NDATableBlack">
    <w:name w:val="NDA Table Black"/>
    <w:basedOn w:val="NDATableFuchsia"/>
    <w:uiPriority w:val="99"/>
    <w:rsid w:val="0007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character" w:styleId="CommentReference">
    <w:name w:val="annotation reference"/>
    <w:basedOn w:val="DefaultParagraphFont"/>
    <w:uiPriority w:val="99"/>
    <w:semiHidden/>
    <w:unhideWhenUsed/>
    <w:rsid w:val="00E457C6"/>
    <w:rPr>
      <w:sz w:val="16"/>
      <w:szCs w:val="16"/>
    </w:rPr>
  </w:style>
  <w:style w:type="paragraph" w:styleId="CommentText">
    <w:name w:val="annotation text"/>
    <w:basedOn w:val="Normal"/>
    <w:link w:val="CommentTextChar"/>
    <w:uiPriority w:val="99"/>
    <w:unhideWhenUsed/>
    <w:rsid w:val="00E457C6"/>
    <w:rPr>
      <w:sz w:val="20"/>
      <w:szCs w:val="20"/>
    </w:rPr>
  </w:style>
  <w:style w:type="character" w:customStyle="1" w:styleId="CommentTextChar">
    <w:name w:val="Comment Text Char"/>
    <w:basedOn w:val="DefaultParagraphFont"/>
    <w:link w:val="CommentText"/>
    <w:uiPriority w:val="99"/>
    <w:rsid w:val="00E457C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457C6"/>
    <w:rPr>
      <w:b/>
      <w:bCs/>
    </w:rPr>
  </w:style>
  <w:style w:type="character" w:customStyle="1" w:styleId="CommentSubjectChar">
    <w:name w:val="Comment Subject Char"/>
    <w:basedOn w:val="CommentTextChar"/>
    <w:link w:val="CommentSubject"/>
    <w:uiPriority w:val="99"/>
    <w:semiHidden/>
    <w:rsid w:val="00E457C6"/>
    <w:rPr>
      <w:rFonts w:ascii="Verdana" w:hAnsi="Verdana"/>
      <w:b/>
      <w:bCs/>
      <w:sz w:val="20"/>
      <w:szCs w:val="20"/>
    </w:rPr>
  </w:style>
  <w:style w:type="character" w:styleId="UnresolvedMention">
    <w:name w:val="Unresolved Mention"/>
    <w:basedOn w:val="DefaultParagraphFont"/>
    <w:uiPriority w:val="99"/>
    <w:semiHidden/>
    <w:unhideWhenUsed/>
    <w:rsid w:val="00793562"/>
    <w:rPr>
      <w:color w:val="605E5C"/>
      <w:shd w:val="clear" w:color="auto" w:fill="E1DFDD"/>
    </w:rPr>
  </w:style>
  <w:style w:type="character" w:styleId="FollowedHyperlink">
    <w:name w:val="FollowedHyperlink"/>
    <w:basedOn w:val="DefaultParagraphFont"/>
    <w:uiPriority w:val="99"/>
    <w:semiHidden/>
    <w:unhideWhenUsed/>
    <w:rsid w:val="002075E1"/>
    <w:rPr>
      <w:color w:val="954F72" w:themeColor="followedHyperlink"/>
      <w:u w:val="single"/>
    </w:rPr>
  </w:style>
  <w:style w:type="paragraph" w:styleId="TOC1">
    <w:name w:val="toc 1"/>
    <w:basedOn w:val="Normal"/>
    <w:next w:val="Normal"/>
    <w:autoRedefine/>
    <w:uiPriority w:val="39"/>
    <w:unhideWhenUsed/>
    <w:rsid w:val="00A336B8"/>
    <w:pPr>
      <w:spacing w:after="100"/>
    </w:pPr>
  </w:style>
  <w:style w:type="paragraph" w:styleId="TOC2">
    <w:name w:val="toc 2"/>
    <w:basedOn w:val="Normal"/>
    <w:next w:val="Normal"/>
    <w:autoRedefine/>
    <w:uiPriority w:val="39"/>
    <w:unhideWhenUsed/>
    <w:rsid w:val="00A336B8"/>
    <w:pPr>
      <w:spacing w:after="100"/>
      <w:ind w:left="240"/>
    </w:pPr>
  </w:style>
  <w:style w:type="paragraph" w:styleId="Revision">
    <w:name w:val="Revision"/>
    <w:hidden/>
    <w:uiPriority w:val="99"/>
    <w:semiHidden/>
    <w:rsid w:val="006F6ACF"/>
    <w:pPr>
      <w:spacing w:after="0"/>
    </w:pPr>
    <w:rPr>
      <w:rFonts w:ascii="Verdana" w:hAnsi="Verdana"/>
      <w:sz w:val="24"/>
    </w:rPr>
  </w:style>
  <w:style w:type="character" w:customStyle="1" w:styleId="ListParagraphChar">
    <w:name w:val="List Paragraph Char"/>
    <w:aliases w:val="igunore Char,Subtitle Cover Page Char,List Paragraph Report Char,Bullet 1 Char,Bullet Points Char,Colorful List - Accent 11 Char,F5 List Paragraph Char,Indicator Text Char,List Paragraph Char Char Char Char,List Paragraph11 Char"/>
    <w:link w:val="ListParagraph"/>
    <w:uiPriority w:val="34"/>
    <w:qFormat/>
    <w:locked/>
    <w:rsid w:val="00752986"/>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99914">
      <w:bodyDiv w:val="1"/>
      <w:marLeft w:val="0"/>
      <w:marRight w:val="0"/>
      <w:marTop w:val="0"/>
      <w:marBottom w:val="0"/>
      <w:divBdr>
        <w:top w:val="none" w:sz="0" w:space="0" w:color="auto"/>
        <w:left w:val="none" w:sz="0" w:space="0" w:color="auto"/>
        <w:bottom w:val="none" w:sz="0" w:space="0" w:color="auto"/>
        <w:right w:val="none" w:sz="0" w:space="0" w:color="auto"/>
      </w:divBdr>
    </w:div>
    <w:div w:id="235553486">
      <w:bodyDiv w:val="1"/>
      <w:marLeft w:val="0"/>
      <w:marRight w:val="0"/>
      <w:marTop w:val="0"/>
      <w:marBottom w:val="0"/>
      <w:divBdr>
        <w:top w:val="none" w:sz="0" w:space="0" w:color="auto"/>
        <w:left w:val="none" w:sz="0" w:space="0" w:color="auto"/>
        <w:bottom w:val="none" w:sz="0" w:space="0" w:color="auto"/>
        <w:right w:val="none" w:sz="0" w:space="0" w:color="auto"/>
      </w:divBdr>
    </w:div>
    <w:div w:id="310868123">
      <w:bodyDiv w:val="1"/>
      <w:marLeft w:val="0"/>
      <w:marRight w:val="0"/>
      <w:marTop w:val="0"/>
      <w:marBottom w:val="0"/>
      <w:divBdr>
        <w:top w:val="none" w:sz="0" w:space="0" w:color="auto"/>
        <w:left w:val="none" w:sz="0" w:space="0" w:color="auto"/>
        <w:bottom w:val="none" w:sz="0" w:space="0" w:color="auto"/>
        <w:right w:val="none" w:sz="0" w:space="0" w:color="auto"/>
      </w:divBdr>
    </w:div>
    <w:div w:id="607733092">
      <w:bodyDiv w:val="1"/>
      <w:marLeft w:val="0"/>
      <w:marRight w:val="0"/>
      <w:marTop w:val="0"/>
      <w:marBottom w:val="0"/>
      <w:divBdr>
        <w:top w:val="none" w:sz="0" w:space="0" w:color="auto"/>
        <w:left w:val="none" w:sz="0" w:space="0" w:color="auto"/>
        <w:bottom w:val="none" w:sz="0" w:space="0" w:color="auto"/>
        <w:right w:val="none" w:sz="0" w:space="0" w:color="auto"/>
      </w:divBdr>
    </w:div>
    <w:div w:id="712190368">
      <w:bodyDiv w:val="1"/>
      <w:marLeft w:val="0"/>
      <w:marRight w:val="0"/>
      <w:marTop w:val="0"/>
      <w:marBottom w:val="0"/>
      <w:divBdr>
        <w:top w:val="none" w:sz="0" w:space="0" w:color="auto"/>
        <w:left w:val="none" w:sz="0" w:space="0" w:color="auto"/>
        <w:bottom w:val="none" w:sz="0" w:space="0" w:color="auto"/>
        <w:right w:val="none" w:sz="0" w:space="0" w:color="auto"/>
      </w:divBdr>
    </w:div>
    <w:div w:id="954752223">
      <w:bodyDiv w:val="1"/>
      <w:marLeft w:val="0"/>
      <w:marRight w:val="0"/>
      <w:marTop w:val="0"/>
      <w:marBottom w:val="0"/>
      <w:divBdr>
        <w:top w:val="none" w:sz="0" w:space="0" w:color="auto"/>
        <w:left w:val="none" w:sz="0" w:space="0" w:color="auto"/>
        <w:bottom w:val="none" w:sz="0" w:space="0" w:color="auto"/>
        <w:right w:val="none" w:sz="0" w:space="0" w:color="auto"/>
      </w:divBdr>
    </w:div>
    <w:div w:id="1086002546">
      <w:bodyDiv w:val="1"/>
      <w:marLeft w:val="0"/>
      <w:marRight w:val="0"/>
      <w:marTop w:val="0"/>
      <w:marBottom w:val="0"/>
      <w:divBdr>
        <w:top w:val="none" w:sz="0" w:space="0" w:color="auto"/>
        <w:left w:val="none" w:sz="0" w:space="0" w:color="auto"/>
        <w:bottom w:val="none" w:sz="0" w:space="0" w:color="auto"/>
        <w:right w:val="none" w:sz="0" w:space="0" w:color="auto"/>
      </w:divBdr>
    </w:div>
    <w:div w:id="1110316934">
      <w:bodyDiv w:val="1"/>
      <w:marLeft w:val="0"/>
      <w:marRight w:val="0"/>
      <w:marTop w:val="0"/>
      <w:marBottom w:val="0"/>
      <w:divBdr>
        <w:top w:val="none" w:sz="0" w:space="0" w:color="auto"/>
        <w:left w:val="none" w:sz="0" w:space="0" w:color="auto"/>
        <w:bottom w:val="none" w:sz="0" w:space="0" w:color="auto"/>
        <w:right w:val="none" w:sz="0" w:space="0" w:color="auto"/>
      </w:divBdr>
    </w:div>
    <w:div w:id="1122115847">
      <w:bodyDiv w:val="1"/>
      <w:marLeft w:val="0"/>
      <w:marRight w:val="0"/>
      <w:marTop w:val="0"/>
      <w:marBottom w:val="0"/>
      <w:divBdr>
        <w:top w:val="none" w:sz="0" w:space="0" w:color="auto"/>
        <w:left w:val="none" w:sz="0" w:space="0" w:color="auto"/>
        <w:bottom w:val="none" w:sz="0" w:space="0" w:color="auto"/>
        <w:right w:val="none" w:sz="0" w:space="0" w:color="auto"/>
      </w:divBdr>
    </w:div>
    <w:div w:id="1266305553">
      <w:bodyDiv w:val="1"/>
      <w:marLeft w:val="0"/>
      <w:marRight w:val="0"/>
      <w:marTop w:val="0"/>
      <w:marBottom w:val="0"/>
      <w:divBdr>
        <w:top w:val="none" w:sz="0" w:space="0" w:color="auto"/>
        <w:left w:val="none" w:sz="0" w:space="0" w:color="auto"/>
        <w:bottom w:val="none" w:sz="0" w:space="0" w:color="auto"/>
        <w:right w:val="none" w:sz="0" w:space="0" w:color="auto"/>
      </w:divBdr>
    </w:div>
    <w:div w:id="1507287767">
      <w:bodyDiv w:val="1"/>
      <w:marLeft w:val="0"/>
      <w:marRight w:val="0"/>
      <w:marTop w:val="0"/>
      <w:marBottom w:val="0"/>
      <w:divBdr>
        <w:top w:val="none" w:sz="0" w:space="0" w:color="auto"/>
        <w:left w:val="none" w:sz="0" w:space="0" w:color="auto"/>
        <w:bottom w:val="none" w:sz="0" w:space="0" w:color="auto"/>
        <w:right w:val="none" w:sz="0" w:space="0" w:color="auto"/>
      </w:divBdr>
    </w:div>
    <w:div w:id="1613827559">
      <w:bodyDiv w:val="1"/>
      <w:marLeft w:val="0"/>
      <w:marRight w:val="0"/>
      <w:marTop w:val="0"/>
      <w:marBottom w:val="0"/>
      <w:divBdr>
        <w:top w:val="none" w:sz="0" w:space="0" w:color="auto"/>
        <w:left w:val="none" w:sz="0" w:space="0" w:color="auto"/>
        <w:bottom w:val="none" w:sz="0" w:space="0" w:color="auto"/>
        <w:right w:val="none" w:sz="0" w:space="0" w:color="auto"/>
      </w:divBdr>
    </w:div>
    <w:div w:id="1629775141">
      <w:bodyDiv w:val="1"/>
      <w:marLeft w:val="0"/>
      <w:marRight w:val="0"/>
      <w:marTop w:val="0"/>
      <w:marBottom w:val="0"/>
      <w:divBdr>
        <w:top w:val="none" w:sz="0" w:space="0" w:color="auto"/>
        <w:left w:val="none" w:sz="0" w:space="0" w:color="auto"/>
        <w:bottom w:val="none" w:sz="0" w:space="0" w:color="auto"/>
        <w:right w:val="none" w:sz="0" w:space="0" w:color="auto"/>
      </w:divBdr>
    </w:div>
    <w:div w:id="1675570679">
      <w:bodyDiv w:val="1"/>
      <w:marLeft w:val="0"/>
      <w:marRight w:val="0"/>
      <w:marTop w:val="0"/>
      <w:marBottom w:val="0"/>
      <w:divBdr>
        <w:top w:val="none" w:sz="0" w:space="0" w:color="auto"/>
        <w:left w:val="none" w:sz="0" w:space="0" w:color="auto"/>
        <w:bottom w:val="none" w:sz="0" w:space="0" w:color="auto"/>
        <w:right w:val="none" w:sz="0" w:space="0" w:color="auto"/>
      </w:divBdr>
    </w:div>
    <w:div w:id="1693409473">
      <w:bodyDiv w:val="1"/>
      <w:marLeft w:val="0"/>
      <w:marRight w:val="0"/>
      <w:marTop w:val="0"/>
      <w:marBottom w:val="0"/>
      <w:divBdr>
        <w:top w:val="none" w:sz="0" w:space="0" w:color="auto"/>
        <w:left w:val="none" w:sz="0" w:space="0" w:color="auto"/>
        <w:bottom w:val="none" w:sz="0" w:space="0" w:color="auto"/>
        <w:right w:val="none" w:sz="0" w:space="0" w:color="auto"/>
      </w:divBdr>
    </w:div>
    <w:div w:id="171599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universaldesign.ie/education" TargetMode="External"/><Relationship Id="rId13" Type="http://schemas.openxmlformats.org/officeDocument/2006/relationships/hyperlink" Target="https://nda.ie/publications/lockdowns-unlock-innovations-report" TargetMode="External"/><Relationship Id="rId18" Type="http://schemas.openxmlformats.org/officeDocument/2006/relationships/hyperlink" Target="https://nda.ie/publications/guidance-for-effectively-communicating-with-autistic-people" TargetMode="External"/><Relationship Id="rId26" Type="http://schemas.openxmlformats.org/officeDocument/2006/relationships/hyperlink" Target="https://experts.cen.eu/news/2022-02-28-un-sustainable-development-goals-sdg-toolbox/" TargetMode="External"/><Relationship Id="rId3" Type="http://schemas.openxmlformats.org/officeDocument/2006/relationships/hyperlink" Target="https://www.oecd.org/en/publications/oecd-policy-coherence-scan-of-ireland_23b0a0f4-en.html" TargetMode="External"/><Relationship Id="rId21" Type="http://schemas.openxmlformats.org/officeDocument/2006/relationships/hyperlink" Target="https://hubnanog.ie/resources/toolkit-guidance/" TargetMode="External"/><Relationship Id="rId7" Type="http://schemas.openxmlformats.org/officeDocument/2006/relationships/hyperlink" Target="https://www.gov.ie/en/department-of-children-disability-and-equality/publications/key-commitments-under-the-strategy/" TargetMode="External"/><Relationship Id="rId12" Type="http://schemas.openxmlformats.org/officeDocument/2006/relationships/hyperlink" Target="https://nda.ie/publications/nda-factsheet-1-disability-statistics" TargetMode="External"/><Relationship Id="rId17" Type="http://schemas.openxmlformats.org/officeDocument/2006/relationships/hyperlink" Target="https://www.iprt.ie/site/assets/files/6565/people_with_disabilities_in_detention_-_single-pages.pdf" TargetMode="External"/><Relationship Id="rId25" Type="http://schemas.openxmlformats.org/officeDocument/2006/relationships/hyperlink" Target="https://www.ohchr.org/en/disabilities/promoting-rights-persons-disabilities-through-sustainable-development-goals-resource-package-sdg" TargetMode="External"/><Relationship Id="rId2" Type="http://schemas.openxmlformats.org/officeDocument/2006/relationships/hyperlink" Target="https://www.gov.ie/en/department-of-children-disability-and-equality/campaigns/the-national-human-rights-strategy-for-disabled-people-2025-2030/" TargetMode="External"/><Relationship Id="rId16" Type="http://schemas.openxmlformats.org/officeDocument/2006/relationships/hyperlink" Target="https://nda.ie/publications/scale-and-impact-of-physical-disability-homelessness" TargetMode="External"/><Relationship Id="rId20" Type="http://schemas.openxmlformats.org/officeDocument/2006/relationships/hyperlink" Target="https://nda.ie/uploads/publications/NDA-Participation-Matters_Web-PDF_092022.pdf" TargetMode="External"/><Relationship Id="rId1" Type="http://schemas.openxmlformats.org/officeDocument/2006/relationships/hyperlink" Target="https://www.gov.ie/en/department-of-climate-energy-and-the-environment/consultations/public-consultation-on-the-development-of-irelands-third-sustainable-development-goals-sdgs-national-implementation-plan/" TargetMode="External"/><Relationship Id="rId6" Type="http://schemas.openxmlformats.org/officeDocument/2006/relationships/hyperlink" Target="https://nda.ie/publications/nda-factsheet-1-disability-statistics" TargetMode="External"/><Relationship Id="rId11" Type="http://schemas.openxmlformats.org/officeDocument/2006/relationships/hyperlink" Target="https://nda.ie/publications/nda-factsheet-3-young-people-not-in-employment-education-or-training" TargetMode="External"/><Relationship Id="rId24" Type="http://schemas.openxmlformats.org/officeDocument/2006/relationships/hyperlink" Target="https://nda.ie/accessibility/european-accessibility-act" TargetMode="External"/><Relationship Id="rId5" Type="http://schemas.openxmlformats.org/officeDocument/2006/relationships/hyperlink" Target="https://www.gov.ie/en/department-of-education/publications/national-strategy-on-education-for-sustainable-development-in-ireland/" TargetMode="External"/><Relationship Id="rId15" Type="http://schemas.openxmlformats.org/officeDocument/2006/relationships/hyperlink" Target="https://www.gov.ie/en/department-of-children-disability-and-equality/publications/key-commitments-under-the-strategy/" TargetMode="External"/><Relationship Id="rId23" Type="http://schemas.openxmlformats.org/officeDocument/2006/relationships/hyperlink" Target="https://nda.ie/monitoring/eu-web-accessibility-directive" TargetMode="External"/><Relationship Id="rId10" Type="http://schemas.openxmlformats.org/officeDocument/2006/relationships/hyperlink" Target="https://www.gov.ie/en/department-of-children-disability-and-equality/publications/key-commitments-under-the-strategy/" TargetMode="External"/><Relationship Id="rId19" Type="http://schemas.openxmlformats.org/officeDocument/2006/relationships/hyperlink" Target="https://nda.ie/publications/report-on-the-operation-of-the-irish-sign-language-act-2017-december-2021" TargetMode="External"/><Relationship Id="rId4" Type="http://schemas.openxmlformats.org/officeDocument/2006/relationships/hyperlink" Target="https://www.gov.ie/en/department-of-justice-home-affairs-and-migration/publications/guidelines-for-government-departments-how-to-conduct-a-disability-impact-assessment/" TargetMode="External"/><Relationship Id="rId9" Type="http://schemas.openxmlformats.org/officeDocument/2006/relationships/hyperlink" Target="https://nda.ie/publications/nda-factsheet-2-employment" TargetMode="External"/><Relationship Id="rId14" Type="http://schemas.openxmlformats.org/officeDocument/2006/relationships/hyperlink" Target="https://nda.ie/publications/hows-it-going-national-survey" TargetMode="External"/><Relationship Id="rId22" Type="http://schemas.openxmlformats.org/officeDocument/2006/relationships/hyperlink" Target="https://universaldesign.ie/communications-digital/customer-communications-toolkit-a-universal-design-approa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C4B4-D7FB-473B-A573-5D2E97E7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17</TotalTime>
  <Pages>14</Pages>
  <Words>3828</Words>
  <Characters>21824</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25601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Damhnait O'Malley (NDA)</dc:creator>
  <cp:keywords/>
  <dc:description/>
  <cp:lastModifiedBy>April Parker (NDA)</cp:lastModifiedBy>
  <cp:revision>6</cp:revision>
  <dcterms:created xsi:type="dcterms:W3CDTF">2026-01-15T08:53:00Z</dcterms:created>
  <dcterms:modified xsi:type="dcterms:W3CDTF">2026-09-18T09:07:00Z</dcterms:modified>
</cp:coreProperties>
</file>