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EF67" w14:textId="77777777" w:rsidR="00B6001A" w:rsidRDefault="00B6001A" w:rsidP="00B6001A">
      <w:pPr>
        <w:pStyle w:val="Title"/>
        <w:jc w:val="left"/>
      </w:pPr>
      <w:r>
        <w:rPr>
          <w:noProof/>
          <w:lang w:eastAsia="en-IE"/>
        </w:rPr>
        <w:drawing>
          <wp:inline distT="0" distB="0" distL="0" distR="0" wp14:anchorId="52D6AB6C" wp14:editId="107B3903">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D3CFBBE" w14:textId="6BA40561" w:rsidR="00B6001A" w:rsidRPr="00B6001A" w:rsidRDefault="0070054C" w:rsidP="00B6001A">
      <w:pPr>
        <w:rPr>
          <w:b/>
        </w:rPr>
      </w:pPr>
      <w:r>
        <w:rPr>
          <w:b/>
        </w:rPr>
        <w:t xml:space="preserve">August </w:t>
      </w:r>
      <w:r w:rsidR="004977BD">
        <w:rPr>
          <w:b/>
        </w:rPr>
        <w:t>2024</w:t>
      </w:r>
    </w:p>
    <w:p w14:paraId="6BE53865" w14:textId="7D364427" w:rsidR="00702839" w:rsidRPr="00702839" w:rsidRDefault="00B6001A" w:rsidP="00702839">
      <w:pPr>
        <w:pStyle w:val="Title"/>
        <w:spacing w:after="0"/>
        <w:rPr>
          <w:color w:val="FF33CC"/>
        </w:rPr>
      </w:pPr>
      <w:r w:rsidRPr="00702839">
        <w:rPr>
          <w:color w:val="FF33CC"/>
        </w:rPr>
        <w:t xml:space="preserve">NDA Submission </w:t>
      </w:r>
      <w:r w:rsidR="00702839" w:rsidRPr="00702839">
        <w:rPr>
          <w:color w:val="FF33CC"/>
        </w:rPr>
        <w:t>on Statement of Strategy 2024 – 2025 for Department Enterprise, Trade and Employment</w:t>
      </w:r>
      <w:r w:rsidR="00382618">
        <w:rPr>
          <w:rStyle w:val="FootnoteReference"/>
          <w:color w:val="FF33CC"/>
        </w:rPr>
        <w:footnoteReference w:id="1"/>
      </w:r>
    </w:p>
    <w:p w14:paraId="448B0924" w14:textId="4F29000B" w:rsidR="009C3BD7" w:rsidRDefault="00702839" w:rsidP="009C3BD7">
      <w:pPr>
        <w:pStyle w:val="Heading1"/>
      </w:pPr>
      <w:r>
        <w:t>Introduction</w:t>
      </w:r>
    </w:p>
    <w:p w14:paraId="64BEAC3F" w14:textId="77777777" w:rsidR="00702839" w:rsidRPr="00B954B3" w:rsidRDefault="00702839" w:rsidP="00702839">
      <w:pPr>
        <w:pStyle w:val="Default"/>
        <w:rPr>
          <w:color w:val="auto"/>
          <w:sz w:val="26"/>
          <w:szCs w:val="26"/>
        </w:rPr>
      </w:pPr>
      <w:r w:rsidRPr="00B954B3">
        <w:rPr>
          <w:color w:val="auto"/>
          <w:sz w:val="26"/>
          <w:szCs w:val="26"/>
        </w:rPr>
        <w:t>The National Disability Authority (NDA) is the independent statutory body with a duty to provide information and evidence-informed advice to Government and officials in the public sector on disability matters, and to promote Universal Design. This submission on the</w:t>
      </w:r>
      <w:r w:rsidRPr="00282A6B">
        <w:rPr>
          <w:szCs w:val="26"/>
        </w:rPr>
        <w:t xml:space="preserve"> </w:t>
      </w:r>
      <w:r w:rsidRPr="00B954B3">
        <w:rPr>
          <w:szCs w:val="26"/>
        </w:rPr>
        <w:t>Department of Enterprise, Trade and Employment</w:t>
      </w:r>
      <w:r>
        <w:rPr>
          <w:szCs w:val="26"/>
        </w:rPr>
        <w:t>’s (DETE)</w:t>
      </w:r>
      <w:r w:rsidRPr="00B954B3">
        <w:rPr>
          <w:color w:val="auto"/>
          <w:sz w:val="26"/>
          <w:szCs w:val="26"/>
        </w:rPr>
        <w:t xml:space="preserve"> Statement of Strategy 202</w:t>
      </w:r>
      <w:r>
        <w:rPr>
          <w:color w:val="auto"/>
          <w:sz w:val="26"/>
          <w:szCs w:val="26"/>
        </w:rPr>
        <w:t>4</w:t>
      </w:r>
      <w:r w:rsidRPr="00B954B3">
        <w:rPr>
          <w:color w:val="auto"/>
          <w:sz w:val="26"/>
          <w:szCs w:val="26"/>
        </w:rPr>
        <w:t xml:space="preserve"> - 2025 addresses issues related to this department’s remit which fall within the NDA’s competencies and expertise. </w:t>
      </w:r>
    </w:p>
    <w:p w14:paraId="01E2C6A8" w14:textId="77777777" w:rsidR="00702839" w:rsidRPr="00463F6E" w:rsidRDefault="00702839" w:rsidP="00702839">
      <w:pPr>
        <w:shd w:val="clear" w:color="auto" w:fill="FFFFFF"/>
        <w:spacing w:before="100" w:beforeAutospacing="1" w:after="150"/>
        <w:rPr>
          <w:color w:val="000000"/>
          <w:szCs w:val="26"/>
          <w:lang w:eastAsia="en-IE"/>
        </w:rPr>
      </w:pPr>
      <w:r w:rsidRPr="00B954B3">
        <w:rPr>
          <w:szCs w:val="26"/>
        </w:rPr>
        <w:t xml:space="preserve">The NDA recommends that the </w:t>
      </w:r>
      <w:r>
        <w:rPr>
          <w:szCs w:val="26"/>
        </w:rPr>
        <w:t>DETE</w:t>
      </w:r>
      <w:r w:rsidRPr="00B954B3">
        <w:rPr>
          <w:szCs w:val="26"/>
        </w:rPr>
        <w:t xml:space="preserve"> include clear commitments in this Statement of Strategy </w:t>
      </w:r>
      <w:proofErr w:type="gramStart"/>
      <w:r w:rsidRPr="00B954B3">
        <w:rPr>
          <w:szCs w:val="26"/>
        </w:rPr>
        <w:t>with regard to</w:t>
      </w:r>
      <w:proofErr w:type="gramEnd"/>
      <w:r w:rsidRPr="00B954B3">
        <w:rPr>
          <w:szCs w:val="26"/>
        </w:rPr>
        <w:t xml:space="preserve"> how services and supports within its remit will be provided to members of the public with disabilities. A clear statement referencing how the </w:t>
      </w:r>
      <w:r>
        <w:rPr>
          <w:szCs w:val="26"/>
        </w:rPr>
        <w:t>d</w:t>
      </w:r>
      <w:r w:rsidRPr="00B954B3">
        <w:rPr>
          <w:szCs w:val="26"/>
        </w:rPr>
        <w:t xml:space="preserve">epartment will recognise and meet the needs of disabled persons when delivering services is a useful approach. </w:t>
      </w:r>
      <w:r>
        <w:rPr>
          <w:szCs w:val="26"/>
        </w:rPr>
        <w:t xml:space="preserve">The NDA notes the policy areas that are the focus on the strategy including </w:t>
      </w:r>
      <w:r w:rsidRPr="00463F6E">
        <w:rPr>
          <w:color w:val="000000"/>
          <w:szCs w:val="26"/>
          <w:lang w:eastAsia="en-IE"/>
        </w:rPr>
        <w:t>championing enterprise</w:t>
      </w:r>
      <w:r>
        <w:rPr>
          <w:color w:val="000000"/>
          <w:szCs w:val="26"/>
          <w:lang w:eastAsia="en-IE"/>
        </w:rPr>
        <w:t xml:space="preserve">, </w:t>
      </w:r>
      <w:r w:rsidRPr="00463F6E">
        <w:rPr>
          <w:color w:val="000000"/>
          <w:szCs w:val="26"/>
          <w:lang w:eastAsia="en-IE"/>
        </w:rPr>
        <w:t xml:space="preserve">ensuring a competitive business base to incentivise work, sustainable enterprise, </w:t>
      </w:r>
      <w:proofErr w:type="gramStart"/>
      <w:r w:rsidRPr="00463F6E">
        <w:rPr>
          <w:color w:val="000000"/>
          <w:szCs w:val="26"/>
          <w:lang w:eastAsia="en-IE"/>
        </w:rPr>
        <w:t>innovation</w:t>
      </w:r>
      <w:proofErr w:type="gramEnd"/>
      <w:r w:rsidRPr="00463F6E">
        <w:rPr>
          <w:color w:val="000000"/>
          <w:szCs w:val="26"/>
          <w:lang w:eastAsia="en-IE"/>
        </w:rPr>
        <w:t xml:space="preserve"> and investment</w:t>
      </w:r>
      <w:r>
        <w:rPr>
          <w:color w:val="000000"/>
          <w:szCs w:val="26"/>
          <w:lang w:eastAsia="en-IE"/>
        </w:rPr>
        <w:t xml:space="preserve">, </w:t>
      </w:r>
      <w:r w:rsidRPr="00463F6E">
        <w:rPr>
          <w:color w:val="000000"/>
          <w:szCs w:val="26"/>
          <w:lang w:eastAsia="en-IE"/>
        </w:rPr>
        <w:t>strengthening global connections and trade</w:t>
      </w:r>
      <w:r>
        <w:rPr>
          <w:color w:val="000000"/>
          <w:szCs w:val="26"/>
          <w:lang w:eastAsia="en-IE"/>
        </w:rPr>
        <w:t xml:space="preserve">, </w:t>
      </w:r>
      <w:r w:rsidRPr="00463F6E">
        <w:rPr>
          <w:color w:val="000000"/>
          <w:szCs w:val="26"/>
          <w:lang w:eastAsia="en-IE"/>
        </w:rPr>
        <w:t>promoting fair and competitive markets and responsible business practice</w:t>
      </w:r>
      <w:r>
        <w:rPr>
          <w:color w:val="000000"/>
          <w:szCs w:val="26"/>
          <w:lang w:eastAsia="en-IE"/>
        </w:rPr>
        <w:t xml:space="preserve">, </w:t>
      </w:r>
      <w:r w:rsidRPr="00463F6E">
        <w:rPr>
          <w:color w:val="000000"/>
          <w:szCs w:val="26"/>
          <w:lang w:eastAsia="en-IE"/>
        </w:rPr>
        <w:t>as well as safe, flexible and decent workplaces through the regulatory and enforcement work of the department, its offices and its agencies</w:t>
      </w:r>
      <w:r>
        <w:rPr>
          <w:color w:val="000000"/>
          <w:szCs w:val="26"/>
          <w:lang w:eastAsia="en-IE"/>
        </w:rPr>
        <w:t xml:space="preserve">. </w:t>
      </w:r>
      <w:r>
        <w:rPr>
          <w:szCs w:val="26"/>
        </w:rPr>
        <w:t xml:space="preserve">As policies and supports are </w:t>
      </w:r>
      <w:r>
        <w:rPr>
          <w:szCs w:val="26"/>
        </w:rPr>
        <w:lastRenderedPageBreak/>
        <w:t>developed in each of these areas the NDA advises that the</w:t>
      </w:r>
      <w:r w:rsidRPr="00B954B3">
        <w:rPr>
          <w:szCs w:val="26"/>
        </w:rPr>
        <w:t xml:space="preserve"> department </w:t>
      </w:r>
      <w:r>
        <w:rPr>
          <w:szCs w:val="26"/>
        </w:rPr>
        <w:t xml:space="preserve">needs </w:t>
      </w:r>
      <w:r w:rsidRPr="00B954B3">
        <w:rPr>
          <w:szCs w:val="26"/>
        </w:rPr>
        <w:t xml:space="preserve">to disability-proof </w:t>
      </w:r>
      <w:r>
        <w:rPr>
          <w:szCs w:val="26"/>
        </w:rPr>
        <w:t xml:space="preserve">them to ensure they consider the needs of disabled people. In addition, over the 2024-25 period DETE will be required to describe clear manageable actions for its </w:t>
      </w:r>
      <w:r w:rsidRPr="00B954B3">
        <w:rPr>
          <w:szCs w:val="26"/>
        </w:rPr>
        <w:t>part in the delivery of the State’s commitments under the United Nations Convention on the Rights of Persons with Disabilities (UNCRPD)</w:t>
      </w:r>
      <w:r>
        <w:rPr>
          <w:szCs w:val="26"/>
        </w:rPr>
        <w:t xml:space="preserve"> and the European Accessibility Act (EAA)</w:t>
      </w:r>
      <w:r w:rsidRPr="00B954B3">
        <w:rPr>
          <w:szCs w:val="26"/>
        </w:rPr>
        <w:t>.</w:t>
      </w:r>
    </w:p>
    <w:p w14:paraId="66D77897" w14:textId="77777777" w:rsidR="00702839" w:rsidRPr="00B954B3" w:rsidRDefault="00702839" w:rsidP="00702839">
      <w:pPr>
        <w:pStyle w:val="Default"/>
        <w:rPr>
          <w:sz w:val="26"/>
          <w:szCs w:val="26"/>
        </w:rPr>
      </w:pPr>
    </w:p>
    <w:p w14:paraId="733A220D" w14:textId="77777777" w:rsidR="00702839" w:rsidRDefault="00702839" w:rsidP="00702839">
      <w:pPr>
        <w:pStyle w:val="Heading1"/>
        <w:spacing w:before="0"/>
      </w:pPr>
      <w:r>
        <w:t>Areas requiring focus.</w:t>
      </w:r>
    </w:p>
    <w:p w14:paraId="18394DD4" w14:textId="77777777" w:rsidR="00702839" w:rsidRDefault="00702839" w:rsidP="00702839">
      <w:pPr>
        <w:pStyle w:val="Heading2"/>
      </w:pPr>
      <w:r>
        <w:t>New National Disability Strategy</w:t>
      </w:r>
    </w:p>
    <w:p w14:paraId="696B704A" w14:textId="77777777" w:rsidR="00702839" w:rsidRDefault="00702839" w:rsidP="00702839">
      <w:pPr>
        <w:spacing w:after="0"/>
        <w:rPr>
          <w:rFonts w:cs="Arial"/>
          <w:szCs w:val="26"/>
        </w:rPr>
      </w:pPr>
      <w:r>
        <w:t>The Department of Children, Equality, Disability, Integration and Youth (DCEDIY) are leading the development of a National Disability Strategy and have been in discussions with DETE regarding the actions in the employment pillar which DETE is co-leading with the Department of Social Protection. The NDA advises that ambitious objectives with relevant targets are adopted</w:t>
      </w:r>
      <w:r>
        <w:rPr>
          <w:rFonts w:cs="Arial"/>
          <w:szCs w:val="26"/>
        </w:rPr>
        <w:t xml:space="preserve">. </w:t>
      </w:r>
      <w:r w:rsidRPr="00A12932">
        <w:t xml:space="preserve">The NDA </w:t>
      </w:r>
      <w:r>
        <w:t>suggests</w:t>
      </w:r>
      <w:r w:rsidRPr="00A12932">
        <w:t xml:space="preserve"> that a concerted effort is required by the </w:t>
      </w:r>
      <w:r>
        <w:t>d</w:t>
      </w:r>
      <w:r w:rsidRPr="00A12932">
        <w:t xml:space="preserve">epartment </w:t>
      </w:r>
      <w:r>
        <w:rPr>
          <w:rFonts w:cs="Arial"/>
          <w:szCs w:val="26"/>
        </w:rPr>
        <w:t>to lead on the following actions to contribute to the overall goal of more people with disabilities in employment. The actions, which are outlined in more detail below are:</w:t>
      </w:r>
    </w:p>
    <w:p w14:paraId="59BFC283" w14:textId="6A295B24" w:rsidR="00702839" w:rsidRPr="008F25B5" w:rsidRDefault="00D11D8B" w:rsidP="00702839">
      <w:pPr>
        <w:pStyle w:val="ListParagraph"/>
        <w:numPr>
          <w:ilvl w:val="0"/>
          <w:numId w:val="18"/>
        </w:numPr>
        <w:spacing w:after="0"/>
        <w:rPr>
          <w:rFonts w:cs="Arial"/>
          <w:szCs w:val="26"/>
        </w:rPr>
      </w:pPr>
      <w:r>
        <w:rPr>
          <w:rFonts w:cs="Arial"/>
          <w:szCs w:val="26"/>
        </w:rPr>
        <w:t>E</w:t>
      </w:r>
      <w:r w:rsidR="00702839" w:rsidRPr="00282A6B">
        <w:rPr>
          <w:rFonts w:cs="Arial"/>
          <w:szCs w:val="26"/>
        </w:rPr>
        <w:t xml:space="preserve">mployer liaison, </w:t>
      </w:r>
    </w:p>
    <w:p w14:paraId="2C96108E" w14:textId="2A3EC87F" w:rsidR="00702839" w:rsidRPr="00282A6B" w:rsidRDefault="00D11D8B" w:rsidP="00702839">
      <w:pPr>
        <w:pStyle w:val="ListParagraph"/>
        <w:numPr>
          <w:ilvl w:val="0"/>
          <w:numId w:val="18"/>
        </w:numPr>
        <w:spacing w:after="0"/>
        <w:rPr>
          <w:rFonts w:cs="Arial"/>
          <w:szCs w:val="26"/>
        </w:rPr>
      </w:pPr>
      <w:r>
        <w:rPr>
          <w:rFonts w:cs="Arial"/>
          <w:szCs w:val="26"/>
        </w:rPr>
        <w:t>S</w:t>
      </w:r>
      <w:r w:rsidR="00702839" w:rsidRPr="00282A6B">
        <w:rPr>
          <w:rFonts w:cs="Arial"/>
          <w:szCs w:val="26"/>
        </w:rPr>
        <w:t>upporting entrepreneurship</w:t>
      </w:r>
      <w:r w:rsidR="00702839">
        <w:rPr>
          <w:rFonts w:cs="Arial"/>
          <w:szCs w:val="26"/>
        </w:rPr>
        <w:t xml:space="preserve"> including providing local and regional supports</w:t>
      </w:r>
    </w:p>
    <w:p w14:paraId="1405DFD2" w14:textId="77777777" w:rsidR="00702839" w:rsidRPr="00282A6B" w:rsidRDefault="00702839" w:rsidP="00702839">
      <w:pPr>
        <w:pStyle w:val="ListParagraph"/>
        <w:numPr>
          <w:ilvl w:val="0"/>
          <w:numId w:val="18"/>
        </w:numPr>
        <w:spacing w:after="0"/>
        <w:rPr>
          <w:rFonts w:cs="Arial"/>
          <w:szCs w:val="26"/>
        </w:rPr>
      </w:pPr>
      <w:r w:rsidRPr="00282A6B">
        <w:rPr>
          <w:rFonts w:cs="Arial"/>
          <w:szCs w:val="26"/>
        </w:rPr>
        <w:t xml:space="preserve">Remote working </w:t>
      </w:r>
    </w:p>
    <w:p w14:paraId="406832A9" w14:textId="77777777" w:rsidR="00702839" w:rsidRDefault="00702839" w:rsidP="00702839">
      <w:pPr>
        <w:spacing w:after="0"/>
      </w:pPr>
    </w:p>
    <w:p w14:paraId="786C6026" w14:textId="77777777" w:rsidR="00702839" w:rsidRPr="00FA0D55" w:rsidRDefault="00702839" w:rsidP="00702839">
      <w:pPr>
        <w:pStyle w:val="Heading2"/>
      </w:pPr>
      <w:r>
        <w:t xml:space="preserve">Employer Liaison </w:t>
      </w:r>
    </w:p>
    <w:p w14:paraId="592B279C" w14:textId="6E6D95D9" w:rsidR="00855C07" w:rsidRPr="00855C07" w:rsidRDefault="00702839" w:rsidP="00855C07">
      <w:pPr>
        <w:spacing w:after="0"/>
        <w:rPr>
          <w:szCs w:val="26"/>
          <w:lang w:val="en-GB"/>
        </w:rPr>
      </w:pPr>
      <w:r w:rsidRPr="00FA0D55">
        <w:rPr>
          <w:rFonts w:cs="Arial"/>
          <w:szCs w:val="26"/>
        </w:rPr>
        <w:t xml:space="preserve">The NDA </w:t>
      </w:r>
      <w:r>
        <w:rPr>
          <w:rFonts w:cs="Arial"/>
          <w:szCs w:val="26"/>
        </w:rPr>
        <w:t>advises</w:t>
      </w:r>
      <w:r w:rsidRPr="00FA0D55">
        <w:rPr>
          <w:rFonts w:cs="Arial"/>
          <w:szCs w:val="26"/>
        </w:rPr>
        <w:t xml:space="preserve"> that </w:t>
      </w:r>
      <w:r>
        <w:rPr>
          <w:rFonts w:cs="Arial"/>
          <w:szCs w:val="26"/>
        </w:rPr>
        <w:t>DETE</w:t>
      </w:r>
      <w:r w:rsidRPr="00FA0D55">
        <w:rPr>
          <w:rFonts w:cs="Arial"/>
          <w:szCs w:val="26"/>
        </w:rPr>
        <w:t xml:space="preserve"> </w:t>
      </w:r>
      <w:r>
        <w:rPr>
          <w:rFonts w:cs="Arial"/>
          <w:szCs w:val="26"/>
        </w:rPr>
        <w:t xml:space="preserve">implement the recommendations from the </w:t>
      </w:r>
      <w:r w:rsidRPr="00B55768">
        <w:rPr>
          <w:rFonts w:eastAsia="SimSun" w:cs="Gill Sans MT"/>
          <w:szCs w:val="26"/>
          <w:lang w:eastAsia="en-IE"/>
        </w:rPr>
        <w:t xml:space="preserve">2021 OECD report ‘Disability, Work and Inclusion in Ireland: Engaging and Supporting Employers’ </w:t>
      </w:r>
      <w:r>
        <w:rPr>
          <w:rFonts w:eastAsia="SimSun" w:cs="Gill Sans MT"/>
          <w:szCs w:val="26"/>
          <w:lang w:eastAsia="en-IE"/>
        </w:rPr>
        <w:t xml:space="preserve">which </w:t>
      </w:r>
      <w:r w:rsidRPr="00B55768">
        <w:rPr>
          <w:rFonts w:eastAsia="SimSun" w:cs="Gill Sans MT"/>
          <w:szCs w:val="26"/>
          <w:lang w:eastAsia="en-IE"/>
        </w:rPr>
        <w:t>recommended that Ireland create a well-embedded employer service as an additional arm of the public employment service that employers can access easily free of charge.</w:t>
      </w:r>
      <w:r w:rsidRPr="000213F3">
        <w:rPr>
          <w:rStyle w:val="FootnoteReference"/>
          <w:rFonts w:ascii="Gill Sans MT" w:eastAsia="SimSun" w:hAnsi="Gill Sans MT" w:cs="Gill Sans MT"/>
          <w:sz w:val="26"/>
          <w:szCs w:val="26"/>
          <w:lang w:eastAsia="en-IE"/>
        </w:rPr>
        <w:t xml:space="preserve"> </w:t>
      </w:r>
      <w:r w:rsidRPr="00B55768">
        <w:rPr>
          <w:rStyle w:val="FootnoteReference"/>
          <w:rFonts w:ascii="Gill Sans MT" w:eastAsia="SimSun" w:hAnsi="Gill Sans MT" w:cs="Gill Sans MT"/>
          <w:sz w:val="26"/>
          <w:szCs w:val="26"/>
          <w:lang w:eastAsia="en-IE"/>
        </w:rPr>
        <w:footnoteReference w:id="2"/>
      </w:r>
      <w:r>
        <w:rPr>
          <w:rFonts w:eastAsia="SimSun" w:cs="Gill Sans MT"/>
          <w:szCs w:val="26"/>
          <w:lang w:eastAsia="en-IE"/>
        </w:rPr>
        <w:t xml:space="preserve"> This </w:t>
      </w:r>
      <w:r w:rsidRPr="00B55768">
        <w:rPr>
          <w:rFonts w:eastAsia="SimSun" w:cs="Gill Sans MT"/>
          <w:szCs w:val="26"/>
          <w:lang w:eastAsia="en-IE"/>
        </w:rPr>
        <w:t>recommendation w</w:t>
      </w:r>
      <w:r>
        <w:rPr>
          <w:rFonts w:eastAsia="SimSun" w:cs="Gill Sans MT"/>
          <w:szCs w:val="26"/>
          <w:lang w:eastAsia="en-IE"/>
        </w:rPr>
        <w:t>ill</w:t>
      </w:r>
      <w:r w:rsidRPr="00B55768">
        <w:rPr>
          <w:rFonts w:eastAsia="SimSun" w:cs="Gill Sans MT"/>
          <w:szCs w:val="26"/>
          <w:lang w:eastAsia="en-IE"/>
        </w:rPr>
        <w:t xml:space="preserve"> require </w:t>
      </w:r>
      <w:r>
        <w:rPr>
          <w:rFonts w:eastAsia="SimSun" w:cs="Gill Sans MT"/>
          <w:szCs w:val="26"/>
          <w:lang w:eastAsia="en-IE"/>
        </w:rPr>
        <w:t>DETE to consider its role in funding and</w:t>
      </w:r>
      <w:r w:rsidRPr="00B55768">
        <w:rPr>
          <w:rFonts w:eastAsia="SimSun" w:cs="Gill Sans MT"/>
          <w:szCs w:val="26"/>
          <w:lang w:eastAsia="en-IE"/>
        </w:rPr>
        <w:t xml:space="preserve"> support</w:t>
      </w:r>
      <w:r>
        <w:rPr>
          <w:rFonts w:eastAsia="SimSun" w:cs="Gill Sans MT"/>
          <w:szCs w:val="26"/>
          <w:lang w:eastAsia="en-IE"/>
        </w:rPr>
        <w:t>ing</w:t>
      </w:r>
      <w:r w:rsidRPr="00B55768">
        <w:rPr>
          <w:rFonts w:eastAsia="SimSun" w:cs="Gill Sans MT"/>
          <w:szCs w:val="26"/>
          <w:lang w:eastAsia="en-IE"/>
        </w:rPr>
        <w:t xml:space="preserve"> </w:t>
      </w:r>
      <w:r>
        <w:rPr>
          <w:rFonts w:eastAsia="SimSun" w:cs="Gill Sans MT"/>
          <w:szCs w:val="26"/>
          <w:lang w:eastAsia="en-IE"/>
        </w:rPr>
        <w:t>an</w:t>
      </w:r>
      <w:r w:rsidRPr="00B55768">
        <w:rPr>
          <w:rFonts w:eastAsia="SimSun" w:cs="Gill Sans MT"/>
          <w:szCs w:val="26"/>
          <w:lang w:eastAsia="en-IE"/>
        </w:rPr>
        <w:t xml:space="preserve"> employer </w:t>
      </w:r>
      <w:r>
        <w:rPr>
          <w:rFonts w:eastAsia="SimSun" w:cs="Gill Sans MT"/>
          <w:szCs w:val="26"/>
          <w:lang w:eastAsia="en-IE"/>
        </w:rPr>
        <w:t xml:space="preserve">information and advice </w:t>
      </w:r>
      <w:r w:rsidRPr="00B55768">
        <w:rPr>
          <w:rFonts w:eastAsia="SimSun" w:cs="Gill Sans MT"/>
          <w:szCs w:val="26"/>
          <w:lang w:eastAsia="en-IE"/>
        </w:rPr>
        <w:t>service,</w:t>
      </w:r>
      <w:r>
        <w:rPr>
          <w:rFonts w:eastAsia="SimSun" w:cs="Gill Sans MT"/>
          <w:szCs w:val="26"/>
          <w:lang w:eastAsia="en-IE"/>
        </w:rPr>
        <w:t xml:space="preserve"> </w:t>
      </w:r>
      <w:r w:rsidRPr="00FA0D55">
        <w:rPr>
          <w:szCs w:val="26"/>
        </w:rPr>
        <w:t>which could be achieved in collaboration with the Employer Engagement Unit in the Department of Social P</w:t>
      </w:r>
      <w:r>
        <w:rPr>
          <w:szCs w:val="26"/>
        </w:rPr>
        <w:t>rotection.</w:t>
      </w:r>
      <w:r w:rsidRPr="00B55768">
        <w:rPr>
          <w:rFonts w:eastAsia="SimSun" w:cs="Gill Sans MT"/>
          <w:szCs w:val="26"/>
          <w:lang w:eastAsia="en-IE"/>
        </w:rPr>
        <w:t xml:space="preserve"> </w:t>
      </w:r>
      <w:r>
        <w:rPr>
          <w:rFonts w:eastAsia="SimSun" w:cs="Gill Sans MT"/>
          <w:szCs w:val="26"/>
          <w:lang w:eastAsia="en-IE"/>
        </w:rPr>
        <w:t xml:space="preserve">The NDA would welcome a clear </w:t>
      </w:r>
      <w:r w:rsidRPr="00B55768">
        <w:rPr>
          <w:rFonts w:eastAsia="SimSun" w:cs="Gill Sans MT"/>
          <w:szCs w:val="26"/>
          <w:lang w:eastAsia="en-IE"/>
        </w:rPr>
        <w:t xml:space="preserve">commitment in this regard in </w:t>
      </w:r>
      <w:r>
        <w:rPr>
          <w:rFonts w:eastAsia="SimSun" w:cs="Gill Sans MT"/>
          <w:szCs w:val="26"/>
          <w:lang w:eastAsia="en-IE"/>
        </w:rPr>
        <w:t>this</w:t>
      </w:r>
      <w:r w:rsidRPr="00B55768">
        <w:rPr>
          <w:rFonts w:eastAsia="SimSun" w:cs="Gill Sans MT"/>
          <w:szCs w:val="26"/>
          <w:lang w:eastAsia="en-IE"/>
        </w:rPr>
        <w:t xml:space="preserve"> Statement of Strategy</w:t>
      </w:r>
      <w:r>
        <w:rPr>
          <w:rFonts w:eastAsia="SimSun" w:cs="Gill Sans MT"/>
          <w:szCs w:val="26"/>
          <w:lang w:eastAsia="en-IE"/>
        </w:rPr>
        <w:t xml:space="preserve"> and in the new National Disability Strategy. </w:t>
      </w:r>
      <w:r>
        <w:rPr>
          <w:rFonts w:cs="Arial"/>
          <w:szCs w:val="26"/>
        </w:rPr>
        <w:t>We are aware that DETE officials benefited from a disability awareness workshop with the</w:t>
      </w:r>
      <w:r>
        <w:rPr>
          <w:szCs w:val="26"/>
        </w:rPr>
        <w:t xml:space="preserve"> Employers for Change service which is part of the Open Doors Initiativ</w:t>
      </w:r>
      <w:r w:rsidRPr="00A10D1A">
        <w:rPr>
          <w:szCs w:val="26"/>
        </w:rPr>
        <w:t>e.</w:t>
      </w:r>
      <w:r w:rsidRPr="00A10D1A">
        <w:rPr>
          <w:rStyle w:val="FootnoteReference"/>
          <w:sz w:val="26"/>
          <w:szCs w:val="26"/>
        </w:rPr>
        <w:footnoteReference w:id="3"/>
      </w:r>
      <w:r>
        <w:rPr>
          <w:szCs w:val="26"/>
        </w:rPr>
        <w:t xml:space="preserve"> Awareness raising is welcome, but it needs a mechanism for employers whereby they can raise questions relating to the specifics of their </w:t>
      </w:r>
      <w:r>
        <w:rPr>
          <w:szCs w:val="26"/>
        </w:rPr>
        <w:lastRenderedPageBreak/>
        <w:t>businesses. There is significant research already existing from the OECD, Employers for Change and</w:t>
      </w:r>
      <w:r w:rsidR="00382618">
        <w:rPr>
          <w:szCs w:val="26"/>
        </w:rPr>
        <w:t xml:space="preserve"> </w:t>
      </w:r>
      <w:r>
        <w:rPr>
          <w:szCs w:val="26"/>
        </w:rPr>
        <w:t>the UK Employers Charter.</w:t>
      </w:r>
      <w:r w:rsidR="008B1AAD">
        <w:rPr>
          <w:rStyle w:val="FootnoteReference"/>
          <w:szCs w:val="26"/>
        </w:rPr>
        <w:footnoteReference w:id="4"/>
      </w:r>
      <w:r>
        <w:rPr>
          <w:szCs w:val="26"/>
        </w:rPr>
        <w:t xml:space="preserve"> </w:t>
      </w:r>
      <w:r w:rsidR="00855C07">
        <w:rPr>
          <w:szCs w:val="26"/>
        </w:rPr>
        <w:t xml:space="preserve">Building on this knowledge base in </w:t>
      </w:r>
      <w:r w:rsidR="00855C07">
        <w:rPr>
          <w:lang w:val="en-GB"/>
        </w:rPr>
        <w:t xml:space="preserve">their joint disability and employment paper from 2021 </w:t>
      </w:r>
      <w:proofErr w:type="spellStart"/>
      <w:r w:rsidR="003E6E96">
        <w:rPr>
          <w:lang w:val="en-GB"/>
        </w:rPr>
        <w:t>Ibec</w:t>
      </w:r>
      <w:proofErr w:type="spellEnd"/>
      <w:r w:rsidR="003E6E96">
        <w:rPr>
          <w:lang w:val="en-GB"/>
        </w:rPr>
        <w:t xml:space="preserve"> and Employers for Change</w:t>
      </w:r>
      <w:r w:rsidR="00855C07">
        <w:rPr>
          <w:rStyle w:val="FootnoteReference"/>
          <w:lang w:val="en-GB"/>
        </w:rPr>
        <w:footnoteReference w:id="5"/>
      </w:r>
      <w:r w:rsidR="003E6E96">
        <w:rPr>
          <w:lang w:val="en-GB"/>
        </w:rPr>
        <w:t xml:space="preserve"> </w:t>
      </w:r>
      <w:r w:rsidR="00855C07">
        <w:t xml:space="preserve"> described the issues to be addressed for employers </w:t>
      </w:r>
      <w:proofErr w:type="gramStart"/>
      <w:r w:rsidR="00855C07">
        <w:t>as</w:t>
      </w:r>
      <w:r w:rsidR="008B1AAD">
        <w:t>;</w:t>
      </w:r>
      <w:proofErr w:type="gramEnd"/>
    </w:p>
    <w:p w14:paraId="5249C4F7" w14:textId="512AEF60" w:rsidR="00855C07" w:rsidRDefault="003E6E96" w:rsidP="00855C07">
      <w:pPr>
        <w:pStyle w:val="ListParagraph"/>
        <w:numPr>
          <w:ilvl w:val="0"/>
          <w:numId w:val="21"/>
        </w:numPr>
        <w:spacing w:before="100" w:beforeAutospacing="1" w:after="100" w:afterAutospacing="1" w:line="360" w:lineRule="atLeast"/>
      </w:pPr>
      <w:r>
        <w:t xml:space="preserve">Lack of awareness of disability or perception of what may be involved in reasonable accommodation and concerns over </w:t>
      </w:r>
      <w:proofErr w:type="gramStart"/>
      <w:r>
        <w:t>costs</w:t>
      </w:r>
      <w:r w:rsidR="008B1AAD">
        <w:t>;</w:t>
      </w:r>
      <w:proofErr w:type="gramEnd"/>
      <w:r>
        <w:t xml:space="preserve"> </w:t>
      </w:r>
    </w:p>
    <w:p w14:paraId="3DA8D57F" w14:textId="77777777" w:rsidR="008B1AAD" w:rsidRDefault="003E6E96" w:rsidP="00855C07">
      <w:pPr>
        <w:pStyle w:val="ListParagraph"/>
        <w:numPr>
          <w:ilvl w:val="0"/>
          <w:numId w:val="21"/>
        </w:numPr>
        <w:spacing w:before="100" w:beforeAutospacing="1" w:after="100" w:afterAutospacing="1" w:line="360" w:lineRule="atLeast"/>
      </w:pPr>
      <w:r>
        <w:t>Fear of legal liability/making a mistake and ending up down a litigious route.</w:t>
      </w:r>
    </w:p>
    <w:p w14:paraId="30A1603B" w14:textId="3F9334D5" w:rsidR="00855C07" w:rsidRDefault="003E6E96" w:rsidP="00855C07">
      <w:pPr>
        <w:pStyle w:val="ListParagraph"/>
        <w:numPr>
          <w:ilvl w:val="0"/>
          <w:numId w:val="21"/>
        </w:numPr>
        <w:spacing w:before="100" w:beforeAutospacing="1" w:after="100" w:afterAutospacing="1" w:line="360" w:lineRule="atLeast"/>
      </w:pPr>
      <w:r>
        <w:t xml:space="preserve">Concerns about potential risks of employing a person with a </w:t>
      </w:r>
      <w:proofErr w:type="gramStart"/>
      <w:r>
        <w:t>disability</w:t>
      </w:r>
      <w:r w:rsidR="008B1AAD">
        <w:t>;</w:t>
      </w:r>
      <w:proofErr w:type="gramEnd"/>
      <w:r>
        <w:t xml:space="preserve"> </w:t>
      </w:r>
    </w:p>
    <w:p w14:paraId="19802262" w14:textId="50A9E29C" w:rsidR="00855C07" w:rsidRDefault="003E6E96" w:rsidP="00855C07">
      <w:pPr>
        <w:pStyle w:val="ListParagraph"/>
        <w:numPr>
          <w:ilvl w:val="0"/>
          <w:numId w:val="21"/>
        </w:numPr>
        <w:spacing w:before="100" w:beforeAutospacing="1" w:after="100" w:afterAutospacing="1" w:line="360" w:lineRule="atLeast"/>
      </w:pPr>
      <w:r>
        <w:t>Lack of knowledge of the challenges within existing company policies and procedures for people with disabilities to navigate</w:t>
      </w:r>
      <w:r w:rsidR="008B1AAD">
        <w:t>; and</w:t>
      </w:r>
    </w:p>
    <w:p w14:paraId="12F3F894" w14:textId="0EC2B8DA" w:rsidR="003E6E96" w:rsidRPr="00855C07" w:rsidRDefault="003E6E96" w:rsidP="00855C07">
      <w:pPr>
        <w:pStyle w:val="ListParagraph"/>
        <w:numPr>
          <w:ilvl w:val="0"/>
          <w:numId w:val="21"/>
        </w:numPr>
        <w:spacing w:before="100" w:beforeAutospacing="1" w:after="100" w:afterAutospacing="1" w:line="360" w:lineRule="atLeast"/>
        <w:rPr>
          <w:szCs w:val="26"/>
          <w:lang w:val="en-GB"/>
        </w:rPr>
      </w:pPr>
      <w:r>
        <w:t>Lack of knowledge how to proceed to proactively attract, recruit and retain a person with a disability</w:t>
      </w:r>
      <w:r w:rsidR="00855C07">
        <w:t>.</w:t>
      </w:r>
    </w:p>
    <w:p w14:paraId="63CB900C" w14:textId="3F008DF4" w:rsidR="00702839" w:rsidRDefault="00702839" w:rsidP="00702839">
      <w:pPr>
        <w:spacing w:after="0"/>
        <w:rPr>
          <w:rFonts w:cs="Arial"/>
          <w:szCs w:val="26"/>
        </w:rPr>
      </w:pPr>
      <w:r>
        <w:rPr>
          <w:szCs w:val="26"/>
        </w:rPr>
        <w:t>The NDA believes a quick win would be a more permanent employer support service being in place and developing the peer support elements the research describes.</w:t>
      </w:r>
      <w:r w:rsidR="008B1AAD">
        <w:rPr>
          <w:rStyle w:val="FootnoteReference"/>
          <w:szCs w:val="26"/>
        </w:rPr>
        <w:footnoteReference w:id="6"/>
      </w:r>
      <w:r>
        <w:rPr>
          <w:szCs w:val="26"/>
        </w:rPr>
        <w:t xml:space="preserve"> DETE also need to </w:t>
      </w:r>
      <w:r w:rsidRPr="00B55768">
        <w:rPr>
          <w:szCs w:val="26"/>
        </w:rPr>
        <w:t xml:space="preserve">work with other departments to promote employer awareness </w:t>
      </w:r>
      <w:r>
        <w:rPr>
          <w:szCs w:val="26"/>
        </w:rPr>
        <w:t>of</w:t>
      </w:r>
      <w:r w:rsidRPr="00B55768">
        <w:rPr>
          <w:szCs w:val="26"/>
        </w:rPr>
        <w:t xml:space="preserve"> policy changes</w:t>
      </w:r>
      <w:r>
        <w:rPr>
          <w:szCs w:val="26"/>
        </w:rPr>
        <w:t>, including</w:t>
      </w:r>
      <w:r w:rsidRPr="00B55768">
        <w:rPr>
          <w:szCs w:val="26"/>
        </w:rPr>
        <w:t xml:space="preserve"> changes </w:t>
      </w:r>
      <w:r>
        <w:rPr>
          <w:szCs w:val="26"/>
        </w:rPr>
        <w:t>to</w:t>
      </w:r>
      <w:r w:rsidRPr="00B55768">
        <w:rPr>
          <w:szCs w:val="26"/>
        </w:rPr>
        <w:t xml:space="preserve"> sick leave legislation, </w:t>
      </w:r>
      <w:r>
        <w:rPr>
          <w:szCs w:val="26"/>
        </w:rPr>
        <w:t>social enterprise</w:t>
      </w:r>
      <w:r w:rsidRPr="00B55768">
        <w:rPr>
          <w:szCs w:val="26"/>
        </w:rPr>
        <w:t>, and enterprise</w:t>
      </w:r>
      <w:r>
        <w:rPr>
          <w:szCs w:val="26"/>
        </w:rPr>
        <w:t>/entrepreneurship</w:t>
      </w:r>
      <w:r w:rsidRPr="00B55768">
        <w:rPr>
          <w:szCs w:val="26"/>
        </w:rPr>
        <w:t xml:space="preserve"> polic</w:t>
      </w:r>
      <w:r>
        <w:rPr>
          <w:szCs w:val="26"/>
        </w:rPr>
        <w:t xml:space="preserve">ies and the forthcoming changes to the </w:t>
      </w:r>
      <w:r w:rsidRPr="00B55768">
        <w:rPr>
          <w:szCs w:val="26"/>
        </w:rPr>
        <w:t>Reasonable Accommodation Fund.</w:t>
      </w:r>
      <w:r>
        <w:rPr>
          <w:szCs w:val="26"/>
        </w:rPr>
        <w:t xml:space="preserve"> </w:t>
      </w:r>
    </w:p>
    <w:p w14:paraId="1361F7DA" w14:textId="77777777" w:rsidR="00702839" w:rsidRPr="00FA0D55" w:rsidRDefault="00702839" w:rsidP="00702839">
      <w:pPr>
        <w:pStyle w:val="Heading2"/>
      </w:pPr>
      <w:r w:rsidRPr="00FA0D55">
        <w:t xml:space="preserve">Supporting Entrepreneurship </w:t>
      </w:r>
    </w:p>
    <w:p w14:paraId="306E115B" w14:textId="37054800" w:rsidR="00702839" w:rsidRPr="00FA0D55" w:rsidRDefault="00702839" w:rsidP="00702839">
      <w:pPr>
        <w:spacing w:after="0"/>
        <w:rPr>
          <w:szCs w:val="26"/>
        </w:rPr>
      </w:pPr>
      <w:bookmarkStart w:id="1" w:name="_Hlk173154716"/>
      <w:r>
        <w:rPr>
          <w:szCs w:val="26"/>
        </w:rPr>
        <w:t>Many p</w:t>
      </w:r>
      <w:r w:rsidRPr="00FA0D55">
        <w:rPr>
          <w:szCs w:val="26"/>
        </w:rPr>
        <w:t xml:space="preserve">eople with disabilities encounter significant barriers to employment, including lack of availability of accessible transport and discrimination, and many choose self-employment as it provides flexibility and the ability to pace work in accordance with their individual needs. Among people with a disability who are employed in Ireland, </w:t>
      </w:r>
      <w:r>
        <w:rPr>
          <w:szCs w:val="26"/>
        </w:rPr>
        <w:t>in 2016</w:t>
      </w:r>
      <w:r w:rsidR="008B1AAD">
        <w:rPr>
          <w:szCs w:val="26"/>
        </w:rPr>
        <w:t>,</w:t>
      </w:r>
      <w:r>
        <w:rPr>
          <w:szCs w:val="26"/>
        </w:rPr>
        <w:t xml:space="preserve"> </w:t>
      </w:r>
      <w:r w:rsidRPr="00FA0D55">
        <w:rPr>
          <w:szCs w:val="26"/>
        </w:rPr>
        <w:t xml:space="preserve">14.8% </w:t>
      </w:r>
      <w:r>
        <w:rPr>
          <w:szCs w:val="26"/>
        </w:rPr>
        <w:t>were</w:t>
      </w:r>
      <w:r w:rsidRPr="00FA0D55">
        <w:rPr>
          <w:szCs w:val="26"/>
        </w:rPr>
        <w:t xml:space="preserve"> self-employed</w:t>
      </w:r>
      <w:r w:rsidR="008B1AAD">
        <w:rPr>
          <w:szCs w:val="26"/>
        </w:rPr>
        <w:t>.</w:t>
      </w:r>
      <w:r w:rsidR="008B1AAD">
        <w:rPr>
          <w:rStyle w:val="FootnoteReference"/>
          <w:szCs w:val="26"/>
        </w:rPr>
        <w:footnoteReference w:id="7"/>
      </w:r>
      <w:r>
        <w:rPr>
          <w:szCs w:val="26"/>
        </w:rPr>
        <w:t xml:space="preserve"> </w:t>
      </w:r>
      <w:r w:rsidRPr="00FA0D55">
        <w:rPr>
          <w:szCs w:val="26"/>
        </w:rPr>
        <w:t>OECD research shows that the share of part-time self-employment for persons with disabilities in Ireland is twice the observed share for persons without disabilities</w:t>
      </w:r>
      <w:bookmarkEnd w:id="1"/>
      <w:r w:rsidR="00F023E1">
        <w:rPr>
          <w:szCs w:val="26"/>
        </w:rPr>
        <w:t xml:space="preserve">. With more viable and practical supports delivered through LEO’s it is envisaged that more disabled people would access </w:t>
      </w:r>
      <w:r w:rsidR="00F023E1">
        <w:rPr>
          <w:szCs w:val="26"/>
        </w:rPr>
        <w:lastRenderedPageBreak/>
        <w:t>the self-employment route, thus alleviating their risk of poverty and social exclusion</w:t>
      </w:r>
      <w:r w:rsidRPr="00FA0D55">
        <w:rPr>
          <w:szCs w:val="26"/>
        </w:rPr>
        <w:t>.</w:t>
      </w:r>
      <w:r w:rsidRPr="00FA0D55">
        <w:rPr>
          <w:rStyle w:val="FootnoteReference"/>
          <w:rFonts w:ascii="Gill Sans MT" w:hAnsi="Gill Sans MT"/>
          <w:sz w:val="26"/>
          <w:szCs w:val="26"/>
        </w:rPr>
        <w:footnoteReference w:id="8"/>
      </w:r>
      <w:r w:rsidRPr="00FA0D55">
        <w:rPr>
          <w:szCs w:val="26"/>
        </w:rPr>
        <w:t xml:space="preserve"> The NDA recommends that this Statement of Strategy </w:t>
      </w:r>
      <w:r>
        <w:rPr>
          <w:szCs w:val="26"/>
        </w:rPr>
        <w:t xml:space="preserve">and the new </w:t>
      </w:r>
      <w:r w:rsidR="008B1AAD">
        <w:rPr>
          <w:szCs w:val="26"/>
        </w:rPr>
        <w:t xml:space="preserve">National Disability Strategy </w:t>
      </w:r>
      <w:r w:rsidRPr="00FA0D55">
        <w:rPr>
          <w:szCs w:val="26"/>
        </w:rPr>
        <w:t xml:space="preserve">include a statement of intent regarding the inclusion of disabled people as entrepreneurs, and </w:t>
      </w:r>
      <w:r w:rsidR="00D11D8B">
        <w:rPr>
          <w:szCs w:val="26"/>
        </w:rPr>
        <w:t xml:space="preserve">improved access to </w:t>
      </w:r>
      <w:r w:rsidR="0070054C">
        <w:rPr>
          <w:szCs w:val="26"/>
        </w:rPr>
        <w:t>self-employment</w:t>
      </w:r>
      <w:r w:rsidR="00D11D8B">
        <w:rPr>
          <w:szCs w:val="26"/>
        </w:rPr>
        <w:t xml:space="preserve"> supports </w:t>
      </w:r>
      <w:r w:rsidR="00F023E1">
        <w:rPr>
          <w:szCs w:val="26"/>
        </w:rPr>
        <w:t xml:space="preserve">with </w:t>
      </w:r>
      <w:r w:rsidRPr="00FA0D55">
        <w:rPr>
          <w:szCs w:val="26"/>
        </w:rPr>
        <w:t xml:space="preserve">detail specific measures and interventions that will support more disabled persons to access supports and services. Moreover, this recommendation could be informed by </w:t>
      </w:r>
      <w:r w:rsidRPr="00FA0D55">
        <w:rPr>
          <w:rFonts w:cs="Arial"/>
          <w:color w:val="000000" w:themeColor="text1"/>
          <w:szCs w:val="26"/>
        </w:rPr>
        <w:t>the</w:t>
      </w:r>
      <w:r>
        <w:rPr>
          <w:rFonts w:cs="Arial"/>
          <w:color w:val="000000" w:themeColor="text1"/>
          <w:szCs w:val="26"/>
        </w:rPr>
        <w:t xml:space="preserve"> 2022</w:t>
      </w:r>
      <w:r w:rsidRPr="00FA0D55">
        <w:rPr>
          <w:rFonts w:cs="Arial"/>
          <w:color w:val="000000" w:themeColor="text1"/>
          <w:szCs w:val="26"/>
        </w:rPr>
        <w:t xml:space="preserve"> OECD workshop examining inclusive entrepreneurship for Ireland, </w:t>
      </w:r>
      <w:r>
        <w:rPr>
          <w:rFonts w:cs="Arial"/>
          <w:color w:val="000000" w:themeColor="text1"/>
          <w:szCs w:val="26"/>
        </w:rPr>
        <w:t>and lead to</w:t>
      </w:r>
      <w:r w:rsidRPr="00FA0D55">
        <w:rPr>
          <w:rFonts w:cs="Arial"/>
          <w:color w:val="000000" w:themeColor="text1"/>
          <w:szCs w:val="26"/>
        </w:rPr>
        <w:t xml:space="preserve"> the production of a high-level roadmap describing steps that can be taken to strengthen entrepreneurship training schemes and supports for </w:t>
      </w:r>
      <w:r w:rsidRPr="00FA0D55">
        <w:rPr>
          <w:rFonts w:cs="Arial"/>
          <w:szCs w:val="26"/>
        </w:rPr>
        <w:t>target groups.</w:t>
      </w:r>
      <w:r w:rsidRPr="00FA0D55">
        <w:rPr>
          <w:rStyle w:val="FootnoteReference"/>
          <w:rFonts w:ascii="Gill Sans MT" w:hAnsi="Gill Sans MT" w:cs="Arial"/>
          <w:color w:val="000000" w:themeColor="text1"/>
          <w:sz w:val="26"/>
          <w:szCs w:val="26"/>
        </w:rPr>
        <w:footnoteReference w:id="9"/>
      </w:r>
      <w:r w:rsidRPr="00FA0D55">
        <w:rPr>
          <w:rFonts w:cs="Arial"/>
          <w:color w:val="000000" w:themeColor="text1"/>
          <w:szCs w:val="26"/>
        </w:rPr>
        <w:t xml:space="preserve"> </w:t>
      </w:r>
    </w:p>
    <w:p w14:paraId="099C9B84" w14:textId="77777777" w:rsidR="00702839" w:rsidRPr="00F9243F" w:rsidRDefault="00702839" w:rsidP="00702839">
      <w:pPr>
        <w:spacing w:after="0"/>
        <w:rPr>
          <w:rFonts w:cs="Arial"/>
          <w:szCs w:val="26"/>
        </w:rPr>
      </w:pPr>
    </w:p>
    <w:p w14:paraId="5806C70E" w14:textId="77777777" w:rsidR="00702839" w:rsidRDefault="00702839" w:rsidP="00702839">
      <w:pPr>
        <w:pStyle w:val="Heading3"/>
      </w:pPr>
      <w:r>
        <w:t>Regional Development</w:t>
      </w:r>
    </w:p>
    <w:p w14:paraId="170F5575" w14:textId="0FE1A554" w:rsidR="00702839" w:rsidRPr="00137AEA" w:rsidRDefault="00702839" w:rsidP="00702839">
      <w:pPr>
        <w:spacing w:after="0"/>
        <w:rPr>
          <w:rFonts w:cs="Arial"/>
          <w:szCs w:val="26"/>
          <w:lang w:eastAsia="en-IE"/>
        </w:rPr>
      </w:pPr>
      <w:r w:rsidRPr="00137AEA">
        <w:rPr>
          <w:szCs w:val="26"/>
        </w:rPr>
        <w:t>Support</w:t>
      </w:r>
      <w:r>
        <w:rPr>
          <w:szCs w:val="26"/>
        </w:rPr>
        <w:t>s</w:t>
      </w:r>
      <w:r w:rsidRPr="00137AEA">
        <w:rPr>
          <w:szCs w:val="26"/>
        </w:rPr>
        <w:t xml:space="preserve"> for self-employed workers </w:t>
      </w:r>
      <w:r>
        <w:rPr>
          <w:szCs w:val="26"/>
        </w:rPr>
        <w:t xml:space="preserve">and employers </w:t>
      </w:r>
      <w:r w:rsidRPr="00137AEA">
        <w:rPr>
          <w:szCs w:val="26"/>
        </w:rPr>
        <w:t>must be ‘fit for purpose’ and require development of local infrastructure. Local and regional supports should</w:t>
      </w:r>
      <w:r>
        <w:rPr>
          <w:szCs w:val="26"/>
        </w:rPr>
        <w:t xml:space="preserve"> be </w:t>
      </w:r>
      <w:r w:rsidRPr="00137AEA">
        <w:rPr>
          <w:szCs w:val="26"/>
        </w:rPr>
        <w:t xml:space="preserve">designed to ensure that people with disabilities are informed of available services and supported in </w:t>
      </w:r>
      <w:r>
        <w:rPr>
          <w:szCs w:val="26"/>
        </w:rPr>
        <w:t>entrepreneurial activities</w:t>
      </w:r>
      <w:r w:rsidRPr="00137AEA">
        <w:rPr>
          <w:szCs w:val="26"/>
        </w:rPr>
        <w:t xml:space="preserve">. </w:t>
      </w:r>
      <w:r>
        <w:rPr>
          <w:szCs w:val="26"/>
        </w:rPr>
        <w:t>The NDA advise</w:t>
      </w:r>
      <w:r w:rsidRPr="00137AEA">
        <w:rPr>
          <w:szCs w:val="26"/>
        </w:rPr>
        <w:t xml:space="preserve"> ensuring that local enterprise offices (LEO) are accessible, and that mentors and contractors employed by LEO are appropriately trained to support </w:t>
      </w:r>
      <w:r>
        <w:rPr>
          <w:szCs w:val="26"/>
        </w:rPr>
        <w:t>persons</w:t>
      </w:r>
      <w:r w:rsidRPr="00137AEA">
        <w:rPr>
          <w:szCs w:val="26"/>
        </w:rPr>
        <w:t xml:space="preserve"> with disabilities. </w:t>
      </w:r>
      <w:r>
        <w:rPr>
          <w:szCs w:val="26"/>
        </w:rPr>
        <w:t xml:space="preserve">Research has found that </w:t>
      </w:r>
      <w:r w:rsidRPr="00137AEA">
        <w:rPr>
          <w:szCs w:val="26"/>
        </w:rPr>
        <w:t>many people with disabilities who are self-employed</w:t>
      </w:r>
      <w:r>
        <w:rPr>
          <w:szCs w:val="26"/>
        </w:rPr>
        <w:t xml:space="preserve"> </w:t>
      </w:r>
      <w:r w:rsidRPr="00137AEA">
        <w:rPr>
          <w:szCs w:val="26"/>
        </w:rPr>
        <w:t xml:space="preserve">never received any help from official institutions </w:t>
      </w:r>
      <w:r>
        <w:rPr>
          <w:szCs w:val="26"/>
        </w:rPr>
        <w:t>and that</w:t>
      </w:r>
      <w:r w:rsidRPr="00137AEA">
        <w:rPr>
          <w:szCs w:val="26"/>
        </w:rPr>
        <w:t xml:space="preserve"> many enterprise support agencies still do not recognise or appreciate the additional and distinctive challenges that people with disabilities face when establishing their own business.</w:t>
      </w:r>
      <w:r w:rsidRPr="00137AEA">
        <w:rPr>
          <w:rStyle w:val="FootnoteReference"/>
          <w:rFonts w:ascii="Gill Sans MT" w:hAnsi="Gill Sans MT"/>
          <w:sz w:val="26"/>
          <w:szCs w:val="26"/>
        </w:rPr>
        <w:footnoteReference w:id="10"/>
      </w:r>
      <w:r w:rsidRPr="004F60D5">
        <w:rPr>
          <w:rStyle w:val="FootnoteReference"/>
          <w:rFonts w:ascii="Gill Sans MT" w:hAnsi="Gill Sans MT"/>
          <w:sz w:val="26"/>
          <w:szCs w:val="26"/>
        </w:rPr>
        <w:t xml:space="preserve"> </w:t>
      </w:r>
      <w:r w:rsidRPr="00137AEA">
        <w:rPr>
          <w:szCs w:val="26"/>
        </w:rPr>
        <w:t xml:space="preserve">Tailored solutions are required if agencies wish to address such challenges in a </w:t>
      </w:r>
      <w:r>
        <w:rPr>
          <w:szCs w:val="26"/>
        </w:rPr>
        <w:t>supportive and inclusive</w:t>
      </w:r>
      <w:r w:rsidRPr="00137AEA">
        <w:rPr>
          <w:szCs w:val="26"/>
        </w:rPr>
        <w:t xml:space="preserve"> manner. Barriers should be addressed through local and regional </w:t>
      </w:r>
      <w:r>
        <w:rPr>
          <w:szCs w:val="26"/>
        </w:rPr>
        <w:t xml:space="preserve">enterprise </w:t>
      </w:r>
      <w:r w:rsidRPr="00137AEA">
        <w:rPr>
          <w:szCs w:val="26"/>
        </w:rPr>
        <w:t xml:space="preserve">development plans with clearly described goals relevant to disabled people, with </w:t>
      </w:r>
      <w:r>
        <w:rPr>
          <w:szCs w:val="26"/>
        </w:rPr>
        <w:t>adequate resources allocated</w:t>
      </w:r>
      <w:r w:rsidRPr="00137AEA">
        <w:rPr>
          <w:szCs w:val="26"/>
        </w:rPr>
        <w:t xml:space="preserve"> and clear implementation timelines. Ireland, through </w:t>
      </w:r>
      <w:proofErr w:type="spellStart"/>
      <w:r w:rsidRPr="00137AEA">
        <w:rPr>
          <w:szCs w:val="26"/>
        </w:rPr>
        <w:t>Pobal</w:t>
      </w:r>
      <w:proofErr w:type="spellEnd"/>
      <w:r w:rsidRPr="00137AEA">
        <w:rPr>
          <w:szCs w:val="26"/>
        </w:rPr>
        <w:t>, work</w:t>
      </w:r>
      <w:r>
        <w:rPr>
          <w:szCs w:val="26"/>
        </w:rPr>
        <w:t>ed</w:t>
      </w:r>
      <w:r w:rsidRPr="00137AEA">
        <w:rPr>
          <w:szCs w:val="26"/>
        </w:rPr>
        <w:t xml:space="preserve"> with </w:t>
      </w:r>
      <w:r>
        <w:rPr>
          <w:szCs w:val="26"/>
        </w:rPr>
        <w:t xml:space="preserve">the </w:t>
      </w:r>
      <w:r w:rsidRPr="00137AEA">
        <w:rPr>
          <w:szCs w:val="26"/>
        </w:rPr>
        <w:t xml:space="preserve">OECD’s Local Economic and Employment Development Programme on </w:t>
      </w:r>
      <w:r w:rsidRPr="00137AEA">
        <w:rPr>
          <w:rFonts w:cs="Arial"/>
          <w:szCs w:val="26"/>
          <w:lang w:eastAsia="en-IE"/>
        </w:rPr>
        <w:t>a joint OECD/ EU Commission initiative, which has led to the development of ‘The Better Entrepreneurship Policy Tool’</w:t>
      </w:r>
      <w:r>
        <w:rPr>
          <w:rFonts w:cs="Arial"/>
          <w:szCs w:val="26"/>
          <w:lang w:eastAsia="en-IE"/>
        </w:rPr>
        <w:t>. This tool</w:t>
      </w:r>
      <w:r w:rsidR="008B1AAD">
        <w:rPr>
          <w:rFonts w:cs="Arial"/>
          <w:szCs w:val="26"/>
          <w:lang w:eastAsia="en-IE"/>
        </w:rPr>
        <w:t xml:space="preserve"> d</w:t>
      </w:r>
      <w:r w:rsidRPr="00137AEA">
        <w:rPr>
          <w:rFonts w:cs="Arial"/>
          <w:szCs w:val="26"/>
          <w:lang w:eastAsia="en-IE"/>
        </w:rPr>
        <w:t xml:space="preserve">escribes </w:t>
      </w:r>
      <w:r>
        <w:rPr>
          <w:rFonts w:cs="Arial"/>
          <w:szCs w:val="26"/>
          <w:lang w:eastAsia="en-IE"/>
        </w:rPr>
        <w:t xml:space="preserve">the </w:t>
      </w:r>
      <w:r w:rsidRPr="00137AEA">
        <w:rPr>
          <w:rFonts w:cs="Arial"/>
          <w:szCs w:val="26"/>
          <w:lang w:eastAsia="en-IE"/>
        </w:rPr>
        <w:t>implementation of supports for social enterprises and inclusive entrepreneurship.</w:t>
      </w:r>
      <w:r w:rsidRPr="00137AEA">
        <w:rPr>
          <w:rStyle w:val="FootnoteReference"/>
          <w:rFonts w:ascii="Gill Sans MT" w:hAnsi="Gill Sans MT" w:cs="Arial"/>
          <w:sz w:val="26"/>
          <w:szCs w:val="26"/>
          <w:lang w:eastAsia="en-IE"/>
        </w:rPr>
        <w:footnoteReference w:id="11"/>
      </w:r>
      <w:r w:rsidRPr="00137AEA">
        <w:rPr>
          <w:rFonts w:cs="Arial"/>
          <w:szCs w:val="26"/>
          <w:lang w:eastAsia="en-IE"/>
        </w:rPr>
        <w:t xml:space="preserve"> The NDA recommends that this tool be operationalised </w:t>
      </w:r>
      <w:r>
        <w:rPr>
          <w:rFonts w:cs="Arial"/>
          <w:szCs w:val="26"/>
          <w:lang w:eastAsia="en-IE"/>
        </w:rPr>
        <w:t>over the lifetime of this statement of strategy period.</w:t>
      </w:r>
    </w:p>
    <w:p w14:paraId="424E1629" w14:textId="77777777" w:rsidR="00702839" w:rsidRPr="00C41B99" w:rsidRDefault="00702839" w:rsidP="00702839">
      <w:pPr>
        <w:spacing w:after="0"/>
      </w:pPr>
    </w:p>
    <w:p w14:paraId="48B506A0" w14:textId="77777777" w:rsidR="00702839" w:rsidRDefault="00702839" w:rsidP="00702839">
      <w:pPr>
        <w:pStyle w:val="Heading2"/>
      </w:pPr>
      <w:r>
        <w:lastRenderedPageBreak/>
        <w:t>Remote working</w:t>
      </w:r>
    </w:p>
    <w:p w14:paraId="63CBF8E5" w14:textId="183DF2AD" w:rsidR="00702839" w:rsidRPr="006F6780" w:rsidRDefault="00702839" w:rsidP="00702839">
      <w:pPr>
        <w:pStyle w:val="NormalWeb"/>
        <w:shd w:val="clear" w:color="auto" w:fill="FFFFFF"/>
        <w:spacing w:before="0" w:beforeAutospacing="0"/>
        <w:rPr>
          <w:rFonts w:ascii="Gill Sans MT" w:hAnsi="Gill Sans MT" w:cstheme="minorHAnsi"/>
          <w:sz w:val="26"/>
          <w:szCs w:val="26"/>
        </w:rPr>
      </w:pPr>
      <w:r w:rsidRPr="006F6780">
        <w:rPr>
          <w:rFonts w:ascii="Gill Sans MT" w:hAnsi="Gill Sans MT" w:cstheme="minorHAnsi"/>
          <w:sz w:val="26"/>
          <w:szCs w:val="26"/>
        </w:rPr>
        <w:t xml:space="preserve">The NDA welcome the introduction of a new Code of Practice for Employers and Employees on the Right to Request Flexible Working and the Right to Request Remote Working, which was required by Part 4, Section 31, of the Work Life Balance and Miscellaneous Provisions Act 2023. </w:t>
      </w:r>
      <w:r>
        <w:rPr>
          <w:rFonts w:ascii="Gill Sans MT" w:hAnsi="Gill Sans MT" w:cstheme="minorHAnsi"/>
          <w:sz w:val="26"/>
          <w:szCs w:val="26"/>
        </w:rPr>
        <w:t xml:space="preserve">The Workplace Relations Commission introduced the Code in 2024 and it will remain important that the WRC report annually on the number and type of cases taken relevant to disabled people. Any learnings should then be shared with employers to better facilitate disabled people to work, noting that while remote work can increase opportunities for participation, it should not be seen as a way for employers to avoid making a wide range of </w:t>
      </w:r>
      <w:r w:rsidR="008B1AAD">
        <w:rPr>
          <w:rFonts w:ascii="Gill Sans MT" w:hAnsi="Gill Sans MT" w:cstheme="minorHAnsi"/>
          <w:sz w:val="26"/>
          <w:szCs w:val="26"/>
        </w:rPr>
        <w:t xml:space="preserve">relevant and appropriate </w:t>
      </w:r>
      <w:r>
        <w:rPr>
          <w:rFonts w:ascii="Gill Sans MT" w:hAnsi="Gill Sans MT" w:cstheme="minorHAnsi"/>
          <w:sz w:val="26"/>
          <w:szCs w:val="26"/>
        </w:rPr>
        <w:t xml:space="preserve">accommodations </w:t>
      </w:r>
      <w:r w:rsidR="008B1AAD">
        <w:rPr>
          <w:rFonts w:ascii="Gill Sans MT" w:hAnsi="Gill Sans MT" w:cstheme="minorHAnsi"/>
          <w:sz w:val="26"/>
          <w:szCs w:val="26"/>
        </w:rPr>
        <w:t>for</w:t>
      </w:r>
      <w:r>
        <w:rPr>
          <w:rFonts w:ascii="Gill Sans MT" w:hAnsi="Gill Sans MT" w:cstheme="minorHAnsi"/>
          <w:sz w:val="26"/>
          <w:szCs w:val="26"/>
        </w:rPr>
        <w:t xml:space="preserve"> employees with disabilities.</w:t>
      </w:r>
    </w:p>
    <w:p w14:paraId="2318620E" w14:textId="77777777" w:rsidR="00702839" w:rsidRPr="00E221BF" w:rsidRDefault="00702839" w:rsidP="00702839">
      <w:pPr>
        <w:pStyle w:val="NormalAfterList"/>
        <w:spacing w:before="0" w:after="0"/>
      </w:pPr>
    </w:p>
    <w:p w14:paraId="79766609" w14:textId="77777777" w:rsidR="00702839" w:rsidRPr="003C39AA" w:rsidRDefault="00702839" w:rsidP="00702839">
      <w:pPr>
        <w:keepNext/>
        <w:pBdr>
          <w:top w:val="single" w:sz="4" w:space="4" w:color="auto"/>
          <w:left w:val="single" w:sz="4" w:space="2" w:color="auto"/>
          <w:bottom w:val="single" w:sz="4" w:space="4" w:color="auto"/>
          <w:right w:val="single" w:sz="4" w:space="4" w:color="auto"/>
        </w:pBdr>
        <w:outlineLvl w:val="0"/>
        <w:rPr>
          <w:rFonts w:eastAsia="SimSun" w:cs="Arial"/>
          <w:b/>
          <w:bCs/>
          <w:kern w:val="32"/>
          <w:sz w:val="32"/>
          <w:szCs w:val="32"/>
          <w:lang w:eastAsia="en-IE"/>
        </w:rPr>
      </w:pPr>
      <w:r>
        <w:rPr>
          <w:rFonts w:eastAsia="SimSun" w:cs="Arial"/>
          <w:b/>
          <w:bCs/>
          <w:kern w:val="32"/>
          <w:sz w:val="32"/>
          <w:szCs w:val="32"/>
          <w:lang w:eastAsia="en-IE"/>
        </w:rPr>
        <w:t>Statutory Obligations</w:t>
      </w:r>
    </w:p>
    <w:p w14:paraId="4E3554E4" w14:textId="77777777" w:rsidR="00702839" w:rsidRDefault="00702839" w:rsidP="00702839">
      <w:pPr>
        <w:keepNext/>
        <w:spacing w:after="60"/>
        <w:rPr>
          <w:rFonts w:ascii="Calibri" w:hAnsi="Calibri"/>
          <w:b/>
          <w:bCs/>
          <w:sz w:val="28"/>
          <w:szCs w:val="28"/>
          <w:lang w:eastAsia="en-IE"/>
        </w:rPr>
      </w:pPr>
      <w:r>
        <w:rPr>
          <w:b/>
          <w:bCs/>
          <w:sz w:val="28"/>
          <w:szCs w:val="28"/>
          <w:lang w:eastAsia="en-IE"/>
        </w:rPr>
        <w:t>New European Accessibility Act (EAA)</w:t>
      </w:r>
    </w:p>
    <w:p w14:paraId="6F067EC6" w14:textId="77777777" w:rsidR="00702839" w:rsidRDefault="00702839" w:rsidP="00702839">
      <w:pPr>
        <w:rPr>
          <w:szCs w:val="26"/>
        </w:rPr>
      </w:pPr>
      <w:r>
        <w:t xml:space="preserve">Directive (EU) 2019/882 of the European Parliament and of the Council of 17 April 2019 on the accessibility requirements for products and services requires that, from 28th June 2025, a range of specified products and services are designed, and where necessary manufactured, to ensure that they are accessible to persons with disabilities. The directive is known as the European Accessibility Act (EAA). The directive focuses on economic operators involved in the design and/or production of products or services that: </w:t>
      </w:r>
    </w:p>
    <w:p w14:paraId="673A6ADD" w14:textId="1B9384EE" w:rsidR="00702839" w:rsidRDefault="008B1AAD" w:rsidP="00702839">
      <w:pPr>
        <w:pStyle w:val="ListParagraph"/>
        <w:numPr>
          <w:ilvl w:val="0"/>
          <w:numId w:val="19"/>
        </w:numPr>
        <w:spacing w:after="0"/>
        <w:rPr>
          <w:szCs w:val="26"/>
        </w:rPr>
      </w:pPr>
      <w:r>
        <w:t>a</w:t>
      </w:r>
      <w:r w:rsidR="00702839">
        <w:t>re seen as highly important for persons with disabilities</w:t>
      </w:r>
      <w:r>
        <w:t>;</w:t>
      </w:r>
      <w:r w:rsidR="00702839">
        <w:t xml:space="preserve"> and </w:t>
      </w:r>
    </w:p>
    <w:p w14:paraId="37BFCC22" w14:textId="055F6D24" w:rsidR="008B1AAD" w:rsidRDefault="008B1AAD" w:rsidP="008B1AAD">
      <w:pPr>
        <w:spacing w:after="0"/>
      </w:pPr>
      <w:r>
        <w:t>h</w:t>
      </w:r>
      <w:r w:rsidR="00702839">
        <w:t xml:space="preserve">ave wide ranging accessibility requirements across the member states. </w:t>
      </w:r>
    </w:p>
    <w:p w14:paraId="4A247660" w14:textId="3E094A51" w:rsidR="00702839" w:rsidRDefault="00702839" w:rsidP="008B1AAD">
      <w:pPr>
        <w:spacing w:after="0"/>
      </w:pPr>
      <w:r>
        <w:t>It obliges providers to ensure the products or services they are marketing are accessible for disabled people – i.e. that they can be easily and readily used by disabled users.</w:t>
      </w:r>
      <w:r w:rsidR="008B1AAD">
        <w:t xml:space="preserve"> </w:t>
      </w:r>
      <w:r>
        <w:t>There are a series of harmonised standards that are being developed that will underpin the requirements on the provision of accessible products and services and it will be important for the department to engage in their development as well as in their impl</w:t>
      </w:r>
      <w:r w:rsidR="00B13AD4">
        <w:t>ementation</w:t>
      </w:r>
      <w:r>
        <w:t>. The NDA are available to link Department officials to the working committees on the development of these standards with the National Standards Authority of Ireland (NSAI)</w:t>
      </w:r>
      <w:r w:rsidR="0000601D">
        <w:t xml:space="preserve"> and it may be valuable for Department officials to join a number of these committees</w:t>
      </w:r>
      <w:r>
        <w:t xml:space="preserve">. The EAA specifies </w:t>
      </w:r>
      <w:proofErr w:type="gramStart"/>
      <w:r>
        <w:t>a number of</w:t>
      </w:r>
      <w:proofErr w:type="gramEnd"/>
      <w:r>
        <w:t xml:space="preserve"> regulatory functions, with key agencies designated as either a market surveillance authority in the case of products, or compliance authorities in respect of services. The role of these regulatory agencies across the EU, including Ireland, will be vital in the </w:t>
      </w:r>
      <w:r>
        <w:lastRenderedPageBreak/>
        <w:t>implementation of the EAA. The NDA are available to support the department to build and mainstream accessibility competency and capacity within DETE, and relevant agencies under its remit, to advance and implement this transformative new act.</w:t>
      </w:r>
    </w:p>
    <w:p w14:paraId="73DE3011" w14:textId="77777777" w:rsidR="00702839" w:rsidRDefault="00702839" w:rsidP="00B13AD4">
      <w:pPr>
        <w:rPr>
          <w:rFonts w:eastAsia="SimSun"/>
          <w:lang w:eastAsia="en-IE"/>
        </w:rPr>
      </w:pPr>
    </w:p>
    <w:p w14:paraId="2DE6EB4C" w14:textId="77777777" w:rsidR="00702839" w:rsidRPr="003C39AA" w:rsidRDefault="00702839" w:rsidP="00702839">
      <w:pPr>
        <w:keepNext/>
        <w:spacing w:after="60"/>
        <w:outlineLvl w:val="1"/>
        <w:rPr>
          <w:rFonts w:eastAsia="SimSun" w:cs="Arial Bold"/>
          <w:b/>
          <w:bCs/>
          <w:iCs/>
          <w:sz w:val="28"/>
          <w:szCs w:val="28"/>
          <w:lang w:eastAsia="en-IE"/>
        </w:rPr>
      </w:pPr>
      <w:r w:rsidRPr="003C39AA">
        <w:rPr>
          <w:rFonts w:eastAsia="SimSun" w:cs="Arial Bold"/>
          <w:b/>
          <w:bCs/>
          <w:iCs/>
          <w:sz w:val="28"/>
          <w:szCs w:val="28"/>
          <w:lang w:eastAsia="en-IE"/>
        </w:rPr>
        <w:t>Compliance with Part 5 of the Disability Act 2005</w:t>
      </w:r>
    </w:p>
    <w:p w14:paraId="0EDD847A" w14:textId="792F2694" w:rsidR="00702839" w:rsidRPr="00B55768" w:rsidRDefault="00702839" w:rsidP="00702839">
      <w:pPr>
        <w:autoSpaceDE w:val="0"/>
        <w:autoSpaceDN w:val="0"/>
        <w:adjustRightInd w:val="0"/>
        <w:spacing w:after="0"/>
        <w:rPr>
          <w:rFonts w:eastAsia="SimSun" w:cs="Arial"/>
          <w:szCs w:val="26"/>
          <w:lang w:eastAsia="en-IE"/>
        </w:rPr>
      </w:pPr>
      <w:r w:rsidRPr="00B55768">
        <w:rPr>
          <w:rFonts w:eastAsia="SimSun" w:cs="Arial"/>
          <w:szCs w:val="26"/>
          <w:lang w:eastAsia="en-IE"/>
        </w:rPr>
        <w:t xml:space="preserve">Part 5 of the Disability Act 2005 details the obligations public bodies </w:t>
      </w:r>
      <w:proofErr w:type="gramStart"/>
      <w:r w:rsidRPr="00B55768">
        <w:rPr>
          <w:rFonts w:eastAsia="SimSun" w:cs="Arial"/>
          <w:szCs w:val="26"/>
          <w:lang w:eastAsia="en-IE"/>
        </w:rPr>
        <w:t>have to</w:t>
      </w:r>
      <w:proofErr w:type="gramEnd"/>
      <w:r w:rsidRPr="00B55768">
        <w:rPr>
          <w:rFonts w:eastAsia="SimSun" w:cs="Arial"/>
          <w:szCs w:val="26"/>
          <w:lang w:eastAsia="en-IE"/>
        </w:rPr>
        <w:t xml:space="preserve"> promote and support the employment of persons with disabilities. </w:t>
      </w:r>
      <w:r w:rsidRPr="00B55768">
        <w:rPr>
          <w:rFonts w:eastAsia="SimSun" w:cs="Gill Sans MT"/>
          <w:szCs w:val="26"/>
          <w:lang w:eastAsia="en-IE"/>
        </w:rPr>
        <w:t xml:space="preserve">The NDA is pleased to note the record of the Department in relation to the employment of persons with disabilities, achieving </w:t>
      </w:r>
      <w:r>
        <w:rPr>
          <w:rFonts w:eastAsia="SimSun" w:cs="Gill Sans MT"/>
          <w:szCs w:val="26"/>
          <w:lang w:eastAsia="en-IE"/>
        </w:rPr>
        <w:t>7</w:t>
      </w:r>
      <w:r w:rsidRPr="00B55768">
        <w:rPr>
          <w:rFonts w:eastAsia="SimSun" w:cs="Gill Sans MT"/>
          <w:szCs w:val="26"/>
          <w:lang w:eastAsia="en-IE"/>
        </w:rPr>
        <w:t>% of employees reporting a disability in 20</w:t>
      </w:r>
      <w:r>
        <w:rPr>
          <w:rFonts w:eastAsia="SimSun" w:cs="Gill Sans MT"/>
          <w:szCs w:val="26"/>
          <w:lang w:eastAsia="en-IE"/>
        </w:rPr>
        <w:t>22</w:t>
      </w:r>
      <w:r w:rsidRPr="00B55768">
        <w:rPr>
          <w:rFonts w:eastAsia="SimSun" w:cs="Gill Sans MT"/>
          <w:szCs w:val="26"/>
          <w:lang w:eastAsia="en-IE"/>
        </w:rPr>
        <w:t>. In addition</w:t>
      </w:r>
      <w:r>
        <w:rPr>
          <w:rFonts w:eastAsia="SimSun" w:cs="Gill Sans MT"/>
          <w:szCs w:val="26"/>
          <w:lang w:eastAsia="en-IE"/>
        </w:rPr>
        <w:t>,</w:t>
      </w:r>
      <w:r w:rsidRPr="00B55768">
        <w:rPr>
          <w:rFonts w:eastAsia="SimSun" w:cs="Gill Sans MT"/>
          <w:szCs w:val="26"/>
          <w:lang w:eastAsia="en-IE"/>
        </w:rPr>
        <w:t xml:space="preserve"> the public bodies under the aegis of the Department also exceeded the minimum 3% target.</w:t>
      </w:r>
      <w:r w:rsidR="0000601D">
        <w:rPr>
          <w:rStyle w:val="FootnoteReference"/>
          <w:rFonts w:eastAsia="SimSun" w:cs="Gill Sans MT"/>
          <w:szCs w:val="26"/>
          <w:lang w:eastAsia="en-IE"/>
        </w:rPr>
        <w:footnoteReference w:id="12"/>
      </w:r>
      <w:r w:rsidRPr="00B55768">
        <w:rPr>
          <w:rFonts w:eastAsia="SimSun" w:cs="Gill Sans MT"/>
          <w:szCs w:val="26"/>
          <w:lang w:eastAsia="en-IE"/>
        </w:rPr>
        <w:t xml:space="preserve"> The NDA advises </w:t>
      </w:r>
      <w:r>
        <w:rPr>
          <w:rFonts w:eastAsia="SimSun" w:cs="Gill Sans MT"/>
          <w:szCs w:val="26"/>
          <w:lang w:eastAsia="en-IE"/>
        </w:rPr>
        <w:t xml:space="preserve">that the minimum target increases to 4.5% for 2024 and to 6% for 2025 so it is important to ensure </w:t>
      </w:r>
      <w:r w:rsidRPr="00B55768">
        <w:rPr>
          <w:rFonts w:eastAsia="SimSun" w:cs="Gill Sans MT"/>
          <w:szCs w:val="26"/>
          <w:lang w:eastAsia="en-IE"/>
        </w:rPr>
        <w:t xml:space="preserve">continued compliance </w:t>
      </w:r>
      <w:r>
        <w:rPr>
          <w:rFonts w:eastAsia="SimSun" w:cs="Gill Sans MT"/>
          <w:szCs w:val="26"/>
          <w:lang w:eastAsia="en-IE"/>
        </w:rPr>
        <w:t>with this target</w:t>
      </w:r>
      <w:r w:rsidRPr="00B55768">
        <w:rPr>
          <w:rFonts w:eastAsia="SimSun" w:cs="Gill Sans MT"/>
          <w:szCs w:val="26"/>
          <w:lang w:eastAsia="en-IE"/>
        </w:rPr>
        <w:t xml:space="preserve"> as a key focus of the </w:t>
      </w:r>
      <w:r>
        <w:rPr>
          <w:rFonts w:eastAsia="SimSun" w:cs="Gill Sans MT"/>
          <w:szCs w:val="26"/>
          <w:lang w:eastAsia="en-IE"/>
        </w:rPr>
        <w:t>d</w:t>
      </w:r>
      <w:r w:rsidRPr="00B55768">
        <w:rPr>
          <w:rFonts w:eastAsia="SimSun" w:cs="Gill Sans MT"/>
          <w:szCs w:val="26"/>
          <w:lang w:eastAsia="en-IE"/>
        </w:rPr>
        <w:t>epartment's HR strategy</w:t>
      </w:r>
      <w:r>
        <w:rPr>
          <w:rFonts w:eastAsia="SimSun" w:cs="Gill Sans MT"/>
          <w:szCs w:val="26"/>
          <w:lang w:eastAsia="en-IE"/>
        </w:rPr>
        <w:t xml:space="preserve">. </w:t>
      </w:r>
      <w:r w:rsidRPr="00B55768">
        <w:rPr>
          <w:rFonts w:eastAsia="SimSun" w:cs="Gill Sans MT"/>
          <w:szCs w:val="26"/>
          <w:lang w:eastAsia="en-IE"/>
        </w:rPr>
        <w:t xml:space="preserve">Articulating a commitment to same in the </w:t>
      </w:r>
      <w:r>
        <w:rPr>
          <w:rFonts w:eastAsia="SimSun" w:cs="Gill Sans MT"/>
          <w:szCs w:val="26"/>
          <w:lang w:eastAsia="en-IE"/>
        </w:rPr>
        <w:t>d</w:t>
      </w:r>
      <w:r w:rsidRPr="00B55768">
        <w:rPr>
          <w:rFonts w:eastAsia="SimSun" w:cs="Gill Sans MT"/>
          <w:szCs w:val="26"/>
          <w:lang w:eastAsia="en-IE"/>
        </w:rPr>
        <w:t xml:space="preserve">epartment’s overall Statement of Strategy can also demonstrate the </w:t>
      </w:r>
      <w:r>
        <w:rPr>
          <w:rFonts w:eastAsia="SimSun" w:cs="Gill Sans MT"/>
          <w:szCs w:val="26"/>
          <w:lang w:eastAsia="en-IE"/>
        </w:rPr>
        <w:t>d</w:t>
      </w:r>
      <w:r w:rsidRPr="00B55768">
        <w:rPr>
          <w:rFonts w:eastAsia="SimSun" w:cs="Gill Sans MT"/>
          <w:szCs w:val="26"/>
          <w:lang w:eastAsia="en-IE"/>
        </w:rPr>
        <w:t xml:space="preserve">epartment’s standing as an employer invested in </w:t>
      </w:r>
      <w:r>
        <w:rPr>
          <w:rFonts w:eastAsia="SimSun" w:cs="Gill Sans MT"/>
          <w:szCs w:val="26"/>
          <w:lang w:eastAsia="en-IE"/>
        </w:rPr>
        <w:t xml:space="preserve">equality, </w:t>
      </w:r>
      <w:proofErr w:type="gramStart"/>
      <w:r>
        <w:rPr>
          <w:rFonts w:eastAsia="SimSun" w:cs="Gill Sans MT"/>
          <w:szCs w:val="26"/>
          <w:lang w:eastAsia="en-IE"/>
        </w:rPr>
        <w:t>diversity</w:t>
      </w:r>
      <w:proofErr w:type="gramEnd"/>
      <w:r>
        <w:rPr>
          <w:rFonts w:eastAsia="SimSun" w:cs="Gill Sans MT"/>
          <w:szCs w:val="26"/>
          <w:lang w:eastAsia="en-IE"/>
        </w:rPr>
        <w:t xml:space="preserve"> and inclusion (EDI)</w:t>
      </w:r>
      <w:r w:rsidRPr="00B55768">
        <w:rPr>
          <w:rFonts w:eastAsia="SimSun" w:cs="Gill Sans MT"/>
          <w:szCs w:val="26"/>
          <w:lang w:eastAsia="en-IE"/>
        </w:rPr>
        <w:t>.</w:t>
      </w:r>
      <w:r w:rsidRPr="00B55768">
        <w:rPr>
          <w:rStyle w:val="FootnoteReference"/>
          <w:rFonts w:ascii="Gill Sans MT" w:eastAsia="SimSun" w:hAnsi="Gill Sans MT" w:cs="Gill Sans MT"/>
          <w:sz w:val="26"/>
          <w:szCs w:val="26"/>
          <w:lang w:eastAsia="en-IE"/>
        </w:rPr>
        <w:footnoteReference w:id="13"/>
      </w:r>
      <w:r w:rsidRPr="00B55768">
        <w:rPr>
          <w:rFonts w:eastAsia="SimSun" w:cs="Gill Sans MT"/>
          <w:szCs w:val="26"/>
          <w:lang w:eastAsia="en-IE"/>
        </w:rPr>
        <w:t xml:space="preserve"> </w:t>
      </w:r>
    </w:p>
    <w:p w14:paraId="632FE2D5" w14:textId="77777777" w:rsidR="00702839" w:rsidRPr="003C39AA" w:rsidRDefault="00702839" w:rsidP="00702839">
      <w:pPr>
        <w:spacing w:after="0"/>
        <w:rPr>
          <w:sz w:val="28"/>
          <w:szCs w:val="16"/>
        </w:rPr>
      </w:pPr>
    </w:p>
    <w:p w14:paraId="3F1DED28" w14:textId="77777777" w:rsidR="00702839" w:rsidRPr="00B55768" w:rsidRDefault="00702839" w:rsidP="00702839">
      <w:pPr>
        <w:keepNext/>
        <w:spacing w:after="60"/>
        <w:outlineLvl w:val="1"/>
        <w:rPr>
          <w:rFonts w:eastAsia="SimSun" w:cs="Arial Bold"/>
          <w:b/>
          <w:bCs/>
          <w:iCs/>
          <w:sz w:val="28"/>
          <w:szCs w:val="28"/>
          <w:lang w:eastAsia="en-IE"/>
        </w:rPr>
      </w:pPr>
      <w:bookmarkStart w:id="2" w:name="_Hlk173398060"/>
      <w:r w:rsidRPr="00B55768">
        <w:rPr>
          <w:rFonts w:eastAsia="SimSun" w:cs="Arial Bold"/>
          <w:b/>
          <w:bCs/>
          <w:iCs/>
          <w:sz w:val="28"/>
          <w:szCs w:val="28"/>
          <w:lang w:eastAsia="en-IE"/>
        </w:rPr>
        <w:t xml:space="preserve">EU Web Accessibility Obligations </w:t>
      </w:r>
    </w:p>
    <w:p w14:paraId="7A1FE0F5" w14:textId="0C48090E" w:rsidR="00702839" w:rsidRDefault="00702839" w:rsidP="00702839">
      <w:pPr>
        <w:spacing w:after="0"/>
        <w:rPr>
          <w:rFonts w:eastAsia="SimSun" w:cs="Gill Sans MT"/>
          <w:szCs w:val="26"/>
          <w:lang w:eastAsia="en-IE"/>
        </w:rPr>
      </w:pPr>
      <w:r w:rsidRPr="00B55768">
        <w:rPr>
          <w:rFonts w:eastAsia="SimSun" w:cs="Gill Sans MT"/>
          <w:szCs w:val="26"/>
          <w:lang w:eastAsia="en-IE"/>
        </w:rPr>
        <w:t>The</w:t>
      </w:r>
      <w:r w:rsidR="0000601D">
        <w:rPr>
          <w:rFonts w:eastAsia="SimSun" w:cs="Gill Sans MT"/>
          <w:szCs w:val="26"/>
          <w:lang w:eastAsia="en-IE"/>
        </w:rPr>
        <w:t xml:space="preserve"> </w:t>
      </w:r>
      <w:r w:rsidR="0000601D">
        <w:fldChar w:fldCharType="begin"/>
      </w:r>
      <w:r w:rsidR="0000601D">
        <w:instrText>HYPERLINK "https://nda.ie/monitoring/eu-web-accessibility-directive"</w:instrText>
      </w:r>
      <w:r w:rsidR="0000601D">
        <w:fldChar w:fldCharType="separate"/>
      </w:r>
      <w:r w:rsidR="0000601D" w:rsidRPr="000C2A7B">
        <w:rPr>
          <w:rStyle w:val="Hyperlink"/>
          <w:rFonts w:eastAsia="SimSun" w:cs="Gill Sans MT"/>
          <w:szCs w:val="26"/>
          <w:lang w:eastAsia="en-IE"/>
        </w:rPr>
        <w:t>EU Web Accessib</w:t>
      </w:r>
      <w:r w:rsidR="0000601D" w:rsidRPr="000C2A7B">
        <w:rPr>
          <w:rStyle w:val="Hyperlink"/>
          <w:rFonts w:eastAsia="SimSun" w:cs="Gill Sans MT"/>
          <w:szCs w:val="26"/>
          <w:lang w:eastAsia="en-IE"/>
        </w:rPr>
        <w:t>ility Directive</w:t>
      </w:r>
      <w:r w:rsidR="0000601D">
        <w:rPr>
          <w:rStyle w:val="Hyperlink"/>
          <w:rFonts w:eastAsia="SimSun" w:cs="Gill Sans MT"/>
          <w:szCs w:val="26"/>
          <w:lang w:eastAsia="en-IE"/>
        </w:rPr>
        <w:fldChar w:fldCharType="end"/>
      </w:r>
      <w:r w:rsidRPr="00B55768">
        <w:rPr>
          <w:rFonts w:eastAsia="SimSun" w:cs="Gill Sans MT"/>
          <w:szCs w:val="26"/>
          <w:lang w:eastAsia="en-IE"/>
        </w:rPr>
        <w:t>,</w:t>
      </w:r>
      <w:r w:rsidRPr="00B55768">
        <w:rPr>
          <w:rFonts w:eastAsia="SimSun" w:cs="Gill Sans MT"/>
          <w:szCs w:val="26"/>
          <w:lang w:eastAsia="en-IE"/>
        </w:rPr>
        <w:t xml:space="preserve"> which came into force in September 2020, requires Member States to ensure that websites and mobile applications of public sector bodies are fully accessible to persons with disabilities and comply with the harmonised standard EN 310 549 (v3.2.1). The Directive further requires public bodies to maintain an </w:t>
      </w:r>
      <w:r w:rsidR="0000601D">
        <w:fldChar w:fldCharType="begin"/>
      </w:r>
      <w:r w:rsidR="0000601D">
        <w:instrText>HYPERLINK "https://nda.ie/monitoring/eu-web-accessibility-directive/accessibility-statements"</w:instrText>
      </w:r>
      <w:r w:rsidR="0000601D">
        <w:fldChar w:fldCharType="separate"/>
      </w:r>
      <w:r w:rsidR="0000601D" w:rsidRPr="000C2A7B">
        <w:rPr>
          <w:rStyle w:val="Hyperlink"/>
          <w:rFonts w:eastAsia="SimSun" w:cs="Gill Sans MT"/>
          <w:szCs w:val="26"/>
          <w:lang w:eastAsia="en-IE"/>
        </w:rPr>
        <w:t>Accessibility</w:t>
      </w:r>
      <w:r w:rsidR="0000601D" w:rsidRPr="000C2A7B">
        <w:rPr>
          <w:rStyle w:val="Hyperlink"/>
          <w:rFonts w:eastAsia="SimSun" w:cs="Gill Sans MT"/>
          <w:szCs w:val="26"/>
          <w:lang w:eastAsia="en-IE"/>
        </w:rPr>
        <w:t xml:space="preserve"> Statement</w:t>
      </w:r>
      <w:r w:rsidR="0000601D">
        <w:rPr>
          <w:rStyle w:val="Hyperlink"/>
          <w:rFonts w:eastAsia="SimSun" w:cs="Gill Sans MT"/>
          <w:szCs w:val="26"/>
          <w:lang w:eastAsia="en-IE"/>
        </w:rPr>
        <w:fldChar w:fldCharType="end"/>
      </w:r>
      <w:r w:rsidRPr="00B55768">
        <w:rPr>
          <w:rFonts w:eastAsia="SimSun" w:cs="Gill Sans MT"/>
          <w:szCs w:val="26"/>
          <w:lang w:eastAsia="en-IE"/>
        </w:rPr>
        <w:t xml:space="preserve"> in a prominent location on all its websites.  This must include a clear feedback mechanism for users to ask for assistance with inaccessible content and features as well as the statutory complaints mechanism through which a person can make a formal complaint about the website’s accessibility in-line with the Disability Act 2005 or the Equal Status Act</w:t>
      </w:r>
      <w:r>
        <w:rPr>
          <w:rFonts w:eastAsia="SimSun" w:cs="Gill Sans MT"/>
          <w:szCs w:val="26"/>
          <w:lang w:eastAsia="en-IE"/>
        </w:rPr>
        <w:t>s</w:t>
      </w:r>
      <w:r w:rsidRPr="00B55768">
        <w:rPr>
          <w:rFonts w:eastAsia="SimSun" w:cs="Gill Sans MT"/>
          <w:szCs w:val="26"/>
          <w:lang w:eastAsia="en-IE"/>
        </w:rPr>
        <w:t xml:space="preserve"> 2000-2015, whichever so applies. </w:t>
      </w:r>
    </w:p>
    <w:p w14:paraId="34061782" w14:textId="77777777" w:rsidR="00702839" w:rsidRDefault="00702839" w:rsidP="00702839">
      <w:pPr>
        <w:spacing w:after="0"/>
        <w:rPr>
          <w:rFonts w:eastAsia="SimSun" w:cs="Gill Sans MT"/>
          <w:szCs w:val="26"/>
          <w:lang w:eastAsia="en-IE"/>
        </w:rPr>
      </w:pPr>
    </w:p>
    <w:p w14:paraId="68C09D7B" w14:textId="5C697813" w:rsidR="00702839" w:rsidRPr="00B55768" w:rsidRDefault="00702839" w:rsidP="00702839">
      <w:pPr>
        <w:spacing w:after="0"/>
        <w:rPr>
          <w:rFonts w:eastAsia="SimSun" w:cs="Gill Sans MT"/>
          <w:szCs w:val="26"/>
          <w:lang w:eastAsia="en-IE"/>
        </w:rPr>
      </w:pPr>
      <w:bookmarkStart w:id="3" w:name="_Hlk173485531"/>
      <w:r w:rsidRPr="00B55768">
        <w:rPr>
          <w:rFonts w:eastAsia="SimSun" w:cs="Gill Sans MT"/>
          <w:szCs w:val="26"/>
          <w:lang w:eastAsia="en-IE"/>
        </w:rPr>
        <w:t>The National Disability Authority is named in Irish Regulations as the National Monitoring Body for the purposes of monitoring compliance with and reporting on the EU Web Accessibility Directive. The NDA has submitted</w:t>
      </w:r>
      <w:r w:rsidRPr="00F71F38">
        <w:rPr>
          <w:rFonts w:eastAsia="SimSun" w:cs="Gill Sans MT"/>
          <w:szCs w:val="26"/>
          <w:lang w:eastAsia="en-IE"/>
        </w:rPr>
        <w:t xml:space="preserve"> </w:t>
      </w:r>
      <w:hyperlink r:id="rId9" w:history="1">
        <w:r w:rsidRPr="00F71F38">
          <w:rPr>
            <w:rFonts w:eastAsia="SimSun" w:cs="Gill Sans MT"/>
            <w:szCs w:val="26"/>
            <w:lang w:eastAsia="en-IE"/>
          </w:rPr>
          <w:t>monitoring reports</w:t>
        </w:r>
      </w:hyperlink>
      <w:r w:rsidRPr="00B55768">
        <w:rPr>
          <w:rFonts w:eastAsia="SimSun" w:cs="Gill Sans MT"/>
          <w:szCs w:val="26"/>
          <w:lang w:eastAsia="en-IE"/>
        </w:rPr>
        <w:t xml:space="preserve"> to the European Commission</w:t>
      </w:r>
      <w:r>
        <w:rPr>
          <w:rFonts w:eastAsia="SimSun" w:cs="Gill Sans MT"/>
          <w:szCs w:val="26"/>
          <w:lang w:eastAsia="en-IE"/>
        </w:rPr>
        <w:t>.</w:t>
      </w:r>
      <w:r w:rsidRPr="00B55768">
        <w:rPr>
          <w:rFonts w:eastAsia="SimSun" w:cs="Gill Sans MT"/>
          <w:szCs w:val="26"/>
          <w:vertAlign w:val="superscript"/>
          <w:lang w:eastAsia="en-IE"/>
        </w:rPr>
        <w:footnoteReference w:id="14"/>
      </w:r>
      <w:r w:rsidRPr="00B55768">
        <w:rPr>
          <w:rFonts w:eastAsia="SimSun" w:cs="Gill Sans MT"/>
          <w:szCs w:val="26"/>
          <w:lang w:eastAsia="en-IE"/>
        </w:rPr>
        <w:t xml:space="preserve"> The NDA</w:t>
      </w:r>
      <w:r>
        <w:rPr>
          <w:rFonts w:eastAsia="SimSun" w:cs="Gill Sans MT"/>
          <w:szCs w:val="26"/>
          <w:lang w:eastAsia="en-IE"/>
        </w:rPr>
        <w:t xml:space="preserve">’s most up to date score for </w:t>
      </w:r>
      <w:r>
        <w:rPr>
          <w:rFonts w:eastAsia="SimSun" w:cs="Gill Sans MT"/>
          <w:szCs w:val="26"/>
          <w:lang w:eastAsia="en-IE"/>
        </w:rPr>
        <w:lastRenderedPageBreak/>
        <w:t xml:space="preserve">DETE’s web accessibility is 88.69% which is very good, the Authority also </w:t>
      </w:r>
      <w:r w:rsidRPr="00B55768">
        <w:rPr>
          <w:rFonts w:eastAsia="SimSun" w:cs="Gill Sans MT"/>
          <w:szCs w:val="26"/>
          <w:lang w:eastAsia="en-IE"/>
        </w:rPr>
        <w:t xml:space="preserve">conducted a simplified review of Enterprise Ireland, which received an accessibility score, which is a weighted scoring of the number of issues identified, of </w:t>
      </w:r>
      <w:r>
        <w:rPr>
          <w:rFonts w:eastAsia="SimSun" w:cs="Gill Sans MT"/>
          <w:szCs w:val="26"/>
          <w:lang w:eastAsia="en-IE"/>
        </w:rPr>
        <w:t>33</w:t>
      </w:r>
      <w:r w:rsidRPr="00B55768">
        <w:rPr>
          <w:rFonts w:eastAsia="SimSun" w:cs="Gill Sans MT"/>
          <w:szCs w:val="26"/>
          <w:lang w:eastAsia="en-IE"/>
        </w:rPr>
        <w:t>.3</w:t>
      </w:r>
      <w:r>
        <w:rPr>
          <w:rFonts w:eastAsia="SimSun" w:cs="Gill Sans MT"/>
          <w:szCs w:val="26"/>
          <w:lang w:eastAsia="en-IE"/>
        </w:rPr>
        <w:t>9</w:t>
      </w:r>
      <w:r w:rsidRPr="00B55768">
        <w:rPr>
          <w:rFonts w:eastAsia="SimSun" w:cs="Gill Sans MT"/>
          <w:szCs w:val="26"/>
          <w:lang w:eastAsia="en-IE"/>
        </w:rPr>
        <w:t>%</w:t>
      </w:r>
      <w:r>
        <w:rPr>
          <w:rFonts w:eastAsia="SimSun" w:cs="Gill Sans MT"/>
          <w:szCs w:val="26"/>
          <w:lang w:eastAsia="en-IE"/>
        </w:rPr>
        <w:t xml:space="preserve"> in 2023</w:t>
      </w:r>
      <w:bookmarkEnd w:id="3"/>
      <w:r w:rsidRPr="00B55768">
        <w:rPr>
          <w:rFonts w:eastAsia="SimSun" w:cs="Gill Sans MT"/>
          <w:szCs w:val="26"/>
          <w:lang w:eastAsia="en-IE"/>
        </w:rPr>
        <w:t>.</w:t>
      </w:r>
      <w:r w:rsidRPr="00B55768">
        <w:rPr>
          <w:rStyle w:val="FootnoteReference"/>
          <w:rFonts w:ascii="Gill Sans MT" w:eastAsia="SimSun" w:hAnsi="Gill Sans MT" w:cs="Gill Sans MT"/>
          <w:sz w:val="26"/>
          <w:szCs w:val="26"/>
          <w:lang w:eastAsia="en-IE"/>
        </w:rPr>
        <w:footnoteReference w:id="15"/>
      </w:r>
      <w:r w:rsidRPr="00B55768">
        <w:rPr>
          <w:rFonts w:eastAsia="SimSun" w:cs="Gill Sans MT"/>
          <w:szCs w:val="26"/>
          <w:lang w:eastAsia="en-IE"/>
        </w:rPr>
        <w:t xml:space="preserve"> </w:t>
      </w:r>
      <w:r w:rsidR="00B13AD4">
        <w:rPr>
          <w:rFonts w:eastAsia="SimSun" w:cs="Gill Sans MT"/>
          <w:szCs w:val="26"/>
          <w:lang w:eastAsia="en-IE"/>
        </w:rPr>
        <w:t xml:space="preserve">The score for the Local Enterprise Offices was noted at 35.13%. </w:t>
      </w:r>
      <w:r>
        <w:rPr>
          <w:rFonts w:eastAsia="SimSun" w:cs="Gill Sans MT"/>
          <w:szCs w:val="26"/>
          <w:lang w:eastAsia="en-IE"/>
        </w:rPr>
        <w:t xml:space="preserve">The NDA is happy to advise Enterprise Ireland </w:t>
      </w:r>
      <w:r w:rsidR="00B13AD4">
        <w:rPr>
          <w:rFonts w:eastAsia="SimSun" w:cs="Gill Sans MT"/>
          <w:szCs w:val="26"/>
          <w:lang w:eastAsia="en-IE"/>
        </w:rPr>
        <w:t xml:space="preserve">and the LEO’s </w:t>
      </w:r>
      <w:r>
        <w:rPr>
          <w:rFonts w:eastAsia="SimSun" w:cs="Gill Sans MT"/>
          <w:szCs w:val="26"/>
          <w:lang w:eastAsia="en-IE"/>
        </w:rPr>
        <w:t>on how to improve th</w:t>
      </w:r>
      <w:r w:rsidR="00B13AD4">
        <w:rPr>
          <w:rFonts w:eastAsia="SimSun" w:cs="Gill Sans MT"/>
          <w:szCs w:val="26"/>
          <w:lang w:eastAsia="en-IE"/>
        </w:rPr>
        <w:t>e</w:t>
      </w:r>
      <w:r w:rsidR="0093775A">
        <w:rPr>
          <w:rFonts w:eastAsia="SimSun" w:cs="Gill Sans MT"/>
          <w:szCs w:val="26"/>
          <w:lang w:eastAsia="en-IE"/>
        </w:rPr>
        <w:t>se</w:t>
      </w:r>
      <w:r>
        <w:rPr>
          <w:rFonts w:eastAsia="SimSun" w:cs="Gill Sans MT"/>
          <w:szCs w:val="26"/>
          <w:lang w:eastAsia="en-IE"/>
        </w:rPr>
        <w:t xml:space="preserve"> score</w:t>
      </w:r>
      <w:r w:rsidR="00B13AD4">
        <w:rPr>
          <w:rFonts w:eastAsia="SimSun" w:cs="Gill Sans MT"/>
          <w:szCs w:val="26"/>
          <w:lang w:eastAsia="en-IE"/>
        </w:rPr>
        <w:t>s</w:t>
      </w:r>
      <w:r>
        <w:rPr>
          <w:rFonts w:eastAsia="SimSun" w:cs="Gill Sans MT"/>
          <w:szCs w:val="26"/>
          <w:lang w:eastAsia="en-IE"/>
        </w:rPr>
        <w:t>.</w:t>
      </w:r>
    </w:p>
    <w:p w14:paraId="40666DEC" w14:textId="77777777" w:rsidR="00702839" w:rsidRDefault="00702839" w:rsidP="00702839">
      <w:pPr>
        <w:autoSpaceDE w:val="0"/>
        <w:autoSpaceDN w:val="0"/>
        <w:adjustRightInd w:val="0"/>
        <w:spacing w:after="0"/>
        <w:rPr>
          <w:rFonts w:eastAsia="SimSun" w:cs="Gill Sans MT"/>
          <w:szCs w:val="26"/>
        </w:rPr>
      </w:pPr>
    </w:p>
    <w:p w14:paraId="3493C257" w14:textId="3D27F5D4" w:rsidR="00702839" w:rsidRPr="00B55768" w:rsidRDefault="00702839" w:rsidP="00702839">
      <w:pPr>
        <w:autoSpaceDE w:val="0"/>
        <w:autoSpaceDN w:val="0"/>
        <w:adjustRightInd w:val="0"/>
        <w:spacing w:after="0"/>
        <w:rPr>
          <w:rFonts w:eastAsia="SimSun" w:cs="Gill Sans MT"/>
          <w:szCs w:val="26"/>
        </w:rPr>
      </w:pPr>
      <w:r w:rsidRPr="00B55768">
        <w:rPr>
          <w:rFonts w:eastAsia="SimSun" w:cs="Gill Sans MT"/>
          <w:szCs w:val="26"/>
        </w:rPr>
        <w:t xml:space="preserve">The NDA recommends that the Department of Enterprise, Trade and Employment articulates its statutory obligation to ensure all its websites, and the websites of employment services the department contracts, comply with the EU Web Accessibility Directive, in the Statement of Strategy. The department should continue to be mindful of the EU Web Accessibility Directive in the development of any future online content, particularly the development of online forms that people with disabilities may be required to complete to access </w:t>
      </w:r>
      <w:r w:rsidR="00855C07">
        <w:rPr>
          <w:rFonts w:eastAsia="SimSun" w:cs="Gill Sans MT"/>
          <w:szCs w:val="26"/>
        </w:rPr>
        <w:t xml:space="preserve">any agency support such as </w:t>
      </w:r>
      <w:r w:rsidR="00092CEC">
        <w:rPr>
          <w:rFonts w:eastAsia="SimSun" w:cs="Gill Sans MT"/>
          <w:szCs w:val="26"/>
        </w:rPr>
        <w:t>Local Enterprise Office supports</w:t>
      </w:r>
      <w:r w:rsidRPr="00B55768">
        <w:rPr>
          <w:rFonts w:eastAsia="SimSun" w:cs="Gill Sans MT"/>
          <w:szCs w:val="26"/>
        </w:rPr>
        <w:t>. The NDA recommends that this obligation and an action plan to address access issues is referenced in relevant strategic objectives and that the Statement of Strategy itself is published in a fully accessible PDF.</w:t>
      </w:r>
    </w:p>
    <w:p w14:paraId="239341A6" w14:textId="77777777" w:rsidR="00702839" w:rsidRPr="00B55768" w:rsidRDefault="00702839" w:rsidP="00702839">
      <w:pPr>
        <w:spacing w:after="0"/>
        <w:rPr>
          <w:rFonts w:eastAsia="SimSun" w:cs="Gill Sans MT"/>
          <w:szCs w:val="26"/>
          <w:lang w:eastAsia="en-IE"/>
        </w:rPr>
      </w:pPr>
    </w:p>
    <w:p w14:paraId="634A4010" w14:textId="77777777" w:rsidR="00702839" w:rsidRPr="003C39AA" w:rsidRDefault="00702839" w:rsidP="00702839">
      <w:pPr>
        <w:keepNext/>
        <w:spacing w:after="60"/>
        <w:outlineLvl w:val="1"/>
        <w:rPr>
          <w:rFonts w:cs="Arial Bold"/>
          <w:b/>
          <w:bCs/>
          <w:iCs/>
          <w:sz w:val="28"/>
          <w:szCs w:val="28"/>
          <w:lang w:eastAsia="en-IE"/>
        </w:rPr>
      </w:pPr>
      <w:r w:rsidRPr="003C39AA">
        <w:rPr>
          <w:rFonts w:cs="Arial Bold"/>
          <w:b/>
          <w:bCs/>
          <w:iCs/>
          <w:sz w:val="28"/>
          <w:szCs w:val="28"/>
          <w:lang w:eastAsia="en-IE"/>
        </w:rPr>
        <w:t>Compliance with Part 3 of Disability Act 2005</w:t>
      </w:r>
    </w:p>
    <w:p w14:paraId="5BD78A07" w14:textId="42900EDD" w:rsidR="000D5E3A" w:rsidRPr="000D5E3A" w:rsidRDefault="00702839" w:rsidP="000D5E3A">
      <w:pPr>
        <w:rPr>
          <w:szCs w:val="26"/>
        </w:rPr>
      </w:pPr>
      <w:r w:rsidRPr="0018541B">
        <w:rPr>
          <w:szCs w:val="26"/>
          <w:lang w:eastAsia="en-IE"/>
        </w:rPr>
        <w:t xml:space="preserve">Part 3 of the Disability Act details obligations public bodies </w:t>
      </w:r>
      <w:proofErr w:type="gramStart"/>
      <w:r w:rsidRPr="0018541B">
        <w:rPr>
          <w:szCs w:val="26"/>
          <w:lang w:eastAsia="en-IE"/>
        </w:rPr>
        <w:t>have to</w:t>
      </w:r>
      <w:proofErr w:type="gramEnd"/>
      <w:r w:rsidRPr="0018541B">
        <w:rPr>
          <w:szCs w:val="26"/>
          <w:lang w:eastAsia="en-IE"/>
        </w:rPr>
        <w:t xml:space="preserve"> ensure that information and service</w:t>
      </w:r>
      <w:r>
        <w:rPr>
          <w:szCs w:val="26"/>
          <w:lang w:eastAsia="en-IE"/>
        </w:rPr>
        <w:t>s</w:t>
      </w:r>
      <w:r w:rsidRPr="0018541B">
        <w:rPr>
          <w:szCs w:val="26"/>
          <w:lang w:eastAsia="en-IE"/>
        </w:rPr>
        <w:t xml:space="preserve"> are accessible to persons with disabilities. The Centre for Excellence in Universal Design at the NDA developed a Customer Communications Toolkit for </w:t>
      </w:r>
      <w:r>
        <w:rPr>
          <w:szCs w:val="26"/>
          <w:lang w:eastAsia="en-IE"/>
        </w:rPr>
        <w:t xml:space="preserve">Services to </w:t>
      </w:r>
      <w:r w:rsidRPr="0018541B">
        <w:rPr>
          <w:szCs w:val="26"/>
          <w:lang w:eastAsia="en-IE"/>
        </w:rPr>
        <w:t>the Public, which provides guidance for public servants on how to communicate with the public using the simplest and clearest language possible and to ensure that all services are accessible and meet the diverse needs of all customers.</w:t>
      </w:r>
      <w:r>
        <w:rPr>
          <w:rStyle w:val="FootnoteReference"/>
          <w:szCs w:val="26"/>
          <w:lang w:eastAsia="en-IE"/>
        </w:rPr>
        <w:footnoteReference w:id="16"/>
      </w:r>
      <w:r>
        <w:rPr>
          <w:szCs w:val="26"/>
          <w:lang w:eastAsia="en-IE"/>
        </w:rPr>
        <w:t xml:space="preserve"> </w:t>
      </w:r>
      <w:r w:rsidRPr="0018541B">
        <w:rPr>
          <w:szCs w:val="26"/>
          <w:lang w:eastAsia="en-IE"/>
        </w:rPr>
        <w:t xml:space="preserve">The NDA </w:t>
      </w:r>
      <w:r w:rsidR="00D86FEF">
        <w:rPr>
          <w:szCs w:val="26"/>
          <w:lang w:eastAsia="en-IE"/>
        </w:rPr>
        <w:t>published</w:t>
      </w:r>
      <w:r w:rsidRPr="0018541B">
        <w:rPr>
          <w:szCs w:val="26"/>
          <w:lang w:eastAsia="en-IE"/>
        </w:rPr>
        <w:t xml:space="preserve"> the findings of the </w:t>
      </w:r>
      <w:bookmarkStart w:id="4" w:name="_Hlk173155985"/>
      <w:r w:rsidRPr="0018541B">
        <w:rPr>
          <w:szCs w:val="26"/>
          <w:lang w:eastAsia="en-IE"/>
        </w:rPr>
        <w:t xml:space="preserve">Part 3 Monitoring Report </w:t>
      </w:r>
      <w:r>
        <w:rPr>
          <w:szCs w:val="26"/>
          <w:lang w:eastAsia="en-IE"/>
        </w:rPr>
        <w:t>for 2022 which was published in 2023</w:t>
      </w:r>
      <w:r w:rsidR="0000601D">
        <w:rPr>
          <w:szCs w:val="26"/>
          <w:lang w:eastAsia="en-IE"/>
        </w:rPr>
        <w:t>.</w:t>
      </w:r>
      <w:r w:rsidR="0000601D">
        <w:rPr>
          <w:rStyle w:val="FootnoteReference"/>
          <w:szCs w:val="26"/>
          <w:lang w:eastAsia="en-IE"/>
        </w:rPr>
        <w:footnoteReference w:id="17"/>
      </w:r>
      <w:r>
        <w:rPr>
          <w:szCs w:val="26"/>
          <w:lang w:eastAsia="en-IE"/>
        </w:rPr>
        <w:t xml:space="preserve"> </w:t>
      </w:r>
      <w:r w:rsidR="0076338F">
        <w:rPr>
          <w:szCs w:val="26"/>
        </w:rPr>
        <w:t xml:space="preserve">The first monitoring activity under this Code examined Departments and public bodies against section 26(2) of the Act which has to do with the appointment of an Access Officer and promotion of details of same. </w:t>
      </w:r>
      <w:r w:rsidR="000D5E3A">
        <w:t xml:space="preserve">As </w:t>
      </w:r>
      <w:r w:rsidR="00D86FEF">
        <w:t>described</w:t>
      </w:r>
      <w:r w:rsidR="000D5E3A">
        <w:t xml:space="preserve"> under Section 26 of the Disability Act 2005, public bodies have a statutory requirement to appoint an Access Officer in the organisation. </w:t>
      </w:r>
    </w:p>
    <w:p w14:paraId="76D71B09" w14:textId="77777777" w:rsidR="000D5E3A" w:rsidRDefault="000D5E3A" w:rsidP="000D5E3A">
      <w:pPr>
        <w:pStyle w:val="BlockQuote"/>
      </w:pPr>
      <w:r>
        <w:t xml:space="preserve">Each head of a public body shall authorise at least one of his or her officers (referred to in this Act as “access officers”) to provide or </w:t>
      </w:r>
      <w:r>
        <w:lastRenderedPageBreak/>
        <w:t>arrange for and co-ordinate the provision of assistance and guidance to persons with disabilities in accessing its services</w:t>
      </w:r>
      <w:r>
        <w:rPr>
          <w:rStyle w:val="FootnoteReference"/>
        </w:rPr>
        <w:footnoteReference w:id="18"/>
      </w:r>
    </w:p>
    <w:p w14:paraId="71BE6908" w14:textId="6B315738" w:rsidR="00442731" w:rsidRPr="0076338F" w:rsidRDefault="000D5E3A" w:rsidP="000D5E3A">
      <w:pPr>
        <w:rPr>
          <w:szCs w:val="26"/>
          <w:lang w:eastAsia="en-IE"/>
        </w:rPr>
      </w:pPr>
      <w:r>
        <w:rPr>
          <w:szCs w:val="26"/>
        </w:rPr>
        <w:t xml:space="preserve">The </w:t>
      </w:r>
      <w:r w:rsidR="00D86FEF">
        <w:rPr>
          <w:szCs w:val="26"/>
        </w:rPr>
        <w:t xml:space="preserve">NDA monitoring process found that the </w:t>
      </w:r>
      <w:r>
        <w:rPr>
          <w:szCs w:val="26"/>
        </w:rPr>
        <w:t xml:space="preserve">easiest way to assess whether information was available to the public was by reviewing the websites of public bodies for information on the Access Officer and contact details, this highlights the importance of digital communication and information for Departments and public bodies in communicating with the public. </w:t>
      </w:r>
      <w:r w:rsidR="00442731">
        <w:rPr>
          <w:szCs w:val="26"/>
          <w:lang w:eastAsia="en-IE"/>
        </w:rPr>
        <w:t xml:space="preserve">The report found that DETE and their aegis bodies were </w:t>
      </w:r>
      <w:r w:rsidR="00442731" w:rsidRPr="00762CDB">
        <w:rPr>
          <w:bCs/>
          <w:szCs w:val="26"/>
        </w:rPr>
        <w:t xml:space="preserve">64.3% </w:t>
      </w:r>
      <w:r w:rsidR="00442731">
        <w:rPr>
          <w:szCs w:val="26"/>
          <w:lang w:eastAsia="en-IE"/>
        </w:rPr>
        <w:t xml:space="preserve">compliant in promotion of access officers on their websites and 50% compliant with all criteria. This monitoring will be repeated in 2025 and it would be positive if the department and its aegis bodies could improve on this score. </w:t>
      </w:r>
    </w:p>
    <w:bookmarkEnd w:id="2"/>
    <w:bookmarkEnd w:id="4"/>
    <w:p w14:paraId="3E6CE39A" w14:textId="77777777" w:rsidR="00702839" w:rsidRPr="003C39AA" w:rsidRDefault="00702839" w:rsidP="00702839">
      <w:pPr>
        <w:spacing w:after="0"/>
        <w:rPr>
          <w:lang w:eastAsia="en-IE"/>
        </w:rPr>
      </w:pPr>
    </w:p>
    <w:p w14:paraId="726458DE" w14:textId="77777777" w:rsidR="00702839" w:rsidRPr="009C1F21" w:rsidRDefault="00702839" w:rsidP="00702839">
      <w:pPr>
        <w:pStyle w:val="Heading2"/>
        <w:rPr>
          <w:lang w:eastAsia="en-IE"/>
        </w:rPr>
      </w:pPr>
      <w:r w:rsidRPr="009C1F21">
        <w:rPr>
          <w:lang w:eastAsia="en-IE"/>
        </w:rPr>
        <w:t>Requirement for Accessible Public Buildings under Section 25 of the Disability Act 2005</w:t>
      </w:r>
    </w:p>
    <w:p w14:paraId="0EB23942" w14:textId="77777777" w:rsidR="00702839" w:rsidRPr="004839FE" w:rsidRDefault="00702839" w:rsidP="00702839">
      <w:pPr>
        <w:spacing w:after="0"/>
        <w:rPr>
          <w:rFonts w:eastAsia="SimSun" w:cs="Gill Sans MT"/>
          <w:szCs w:val="26"/>
          <w:lang w:eastAsia="en-IE"/>
        </w:rPr>
      </w:pPr>
      <w:r w:rsidRPr="009C1F21">
        <w:rPr>
          <w:rFonts w:eastAsia="SimSun" w:cs="Gill Sans MT"/>
          <w:szCs w:val="26"/>
          <w:lang w:eastAsia="en-IE"/>
        </w:rPr>
        <w:t>Section 25 of the Disability Act requires all departments and public bodies to ensure that the parts of their buildings which are accessed by the publi</w:t>
      </w:r>
      <w:r>
        <w:rPr>
          <w:rFonts w:eastAsia="SimSun" w:cs="Gill Sans MT"/>
          <w:szCs w:val="26"/>
          <w:lang w:eastAsia="en-IE"/>
        </w:rPr>
        <w:t>c</w:t>
      </w:r>
      <w:r w:rsidRPr="009C1F21">
        <w:rPr>
          <w:rFonts w:eastAsia="SimSun" w:cs="Gill Sans MT"/>
          <w:szCs w:val="26"/>
          <w:lang w:eastAsia="en-IE"/>
        </w:rPr>
        <w:t xml:space="preserve">, are brought into compliance with Part M of the building regulations, which deals with access and use. </w:t>
      </w:r>
      <w:r>
        <w:rPr>
          <w:rFonts w:eastAsia="SimSun" w:cs="Gill Sans MT"/>
          <w:szCs w:val="26"/>
          <w:lang w:eastAsia="en-IE"/>
        </w:rPr>
        <w:t xml:space="preserve">This does not apply to heritage sites which have separate requirements under Section 29 of the Act. </w:t>
      </w:r>
      <w:r w:rsidRPr="009C1F21">
        <w:rPr>
          <w:rFonts w:eastAsia="SimSun" w:cs="Gill Sans MT"/>
          <w:szCs w:val="26"/>
          <w:lang w:eastAsia="en-IE"/>
        </w:rPr>
        <w:t xml:space="preserve">The requirement is to upgrade older public buildings so that they comply with Part M, within a ten-year </w:t>
      </w:r>
      <w:proofErr w:type="gramStart"/>
      <w:r w:rsidRPr="009C1F21">
        <w:rPr>
          <w:rFonts w:eastAsia="SimSun" w:cs="Gill Sans MT"/>
          <w:szCs w:val="26"/>
          <w:lang w:eastAsia="en-IE"/>
        </w:rPr>
        <w:t>time-frame</w:t>
      </w:r>
      <w:proofErr w:type="gramEnd"/>
      <w:r w:rsidRPr="009C1F21">
        <w:rPr>
          <w:rFonts w:eastAsia="SimSun" w:cs="Gill Sans MT"/>
          <w:szCs w:val="26"/>
          <w:lang w:eastAsia="en-IE"/>
        </w:rPr>
        <w:t xml:space="preserve"> of any amendment to </w:t>
      </w:r>
      <w:r>
        <w:rPr>
          <w:rFonts w:eastAsia="SimSun" w:cs="Gill Sans MT"/>
          <w:szCs w:val="26"/>
          <w:lang w:eastAsia="en-IE"/>
        </w:rPr>
        <w:t>P</w:t>
      </w:r>
      <w:r w:rsidRPr="009C1F21">
        <w:rPr>
          <w:rFonts w:eastAsia="SimSun" w:cs="Gill Sans MT"/>
          <w:szCs w:val="26"/>
          <w:lang w:eastAsia="en-IE"/>
        </w:rPr>
        <w:t>art M. Part M 2010 commenced on 1 January 2012 and was subsequently reviewed and replaced again with Part M 2022, which commenced on 1 January 2023. Under Section 25 therefore, public bodies are required to bring their public buildings into compliance with Part M 2010 by 1st January 2022 and Part M 2022 by 1st January 2033. The new requirements under Part M 2022 relate to the provision of changing places toilets.</w:t>
      </w:r>
    </w:p>
    <w:p w14:paraId="664B4F26" w14:textId="77777777" w:rsidR="00702839" w:rsidRPr="009C1F21" w:rsidRDefault="00702839" w:rsidP="00702839">
      <w:pPr>
        <w:autoSpaceDE w:val="0"/>
        <w:autoSpaceDN w:val="0"/>
        <w:adjustRightInd w:val="0"/>
        <w:spacing w:after="0"/>
        <w:rPr>
          <w:rFonts w:eastAsia="SimSun" w:cs="Gill Sans MT"/>
          <w:szCs w:val="26"/>
          <w:lang w:eastAsia="en-IE"/>
        </w:rPr>
      </w:pPr>
    </w:p>
    <w:p w14:paraId="72284B27" w14:textId="77777777" w:rsidR="00702839" w:rsidRPr="009C1F21" w:rsidRDefault="00702839" w:rsidP="00702839">
      <w:pPr>
        <w:autoSpaceDE w:val="0"/>
        <w:autoSpaceDN w:val="0"/>
        <w:adjustRightInd w:val="0"/>
        <w:spacing w:after="0"/>
        <w:rPr>
          <w:rFonts w:eastAsia="SimSun" w:cs="Gill Sans MT"/>
          <w:szCs w:val="26"/>
          <w:lang w:eastAsia="en-IE"/>
        </w:rPr>
      </w:pPr>
      <w:r w:rsidRPr="009C1F21">
        <w:rPr>
          <w:rFonts w:eastAsia="SimSun" w:cs="Gill Sans MT"/>
          <w:szCs w:val="26"/>
          <w:lang w:eastAsia="en-IE"/>
        </w:rPr>
        <w:t xml:space="preserve">The NDA advise that each department and agency should develop an action plan including access audits, planned improvements works, timeframes for implementation and earmarked funding, to work towards achieving compliance with these legal obligations. This may involve engaging with other authorities as appropriate, including for example, the OPW. We also advise that compliance </w:t>
      </w:r>
      <w:r w:rsidRPr="009C1F21">
        <w:rPr>
          <w:rFonts w:eastAsia="SimSun" w:cs="Gill Sans MT"/>
          <w:szCs w:val="26"/>
          <w:lang w:eastAsia="en-IE"/>
        </w:rPr>
        <w:lastRenderedPageBreak/>
        <w:t>with Section 25 should be factored into performance framework agreements with agencies as a governance matter to comply with legal duties. The NDA recommends that the department develops a plan to implement Section 25 recommendations</w:t>
      </w:r>
      <w:r>
        <w:rPr>
          <w:rFonts w:eastAsia="SimSun" w:cs="Gill Sans MT"/>
          <w:szCs w:val="26"/>
          <w:lang w:eastAsia="en-IE"/>
        </w:rPr>
        <w:t xml:space="preserve"> in buildings within its remit</w:t>
      </w:r>
      <w:r w:rsidRPr="009C1F21">
        <w:rPr>
          <w:rFonts w:eastAsia="SimSun" w:cs="Gill Sans MT"/>
          <w:szCs w:val="26"/>
          <w:lang w:eastAsia="en-IE"/>
        </w:rPr>
        <w:t>,</w:t>
      </w:r>
      <w:r>
        <w:rPr>
          <w:rFonts w:eastAsia="SimSun" w:cs="Gill Sans MT"/>
          <w:szCs w:val="26"/>
          <w:lang w:eastAsia="en-IE"/>
        </w:rPr>
        <w:t xml:space="preserve"> including Local Enterprise Offices,</w:t>
      </w:r>
      <w:r w:rsidRPr="009C1F21">
        <w:rPr>
          <w:rFonts w:eastAsia="SimSun" w:cs="Gill Sans MT"/>
          <w:szCs w:val="26"/>
          <w:lang w:eastAsia="en-IE"/>
        </w:rPr>
        <w:t xml:space="preserve"> and that this commitment is clearly articulated in the Statement of Strategy. </w:t>
      </w:r>
    </w:p>
    <w:p w14:paraId="0ED81C05" w14:textId="77777777" w:rsidR="00702839" w:rsidRPr="009C1F21" w:rsidRDefault="00702839" w:rsidP="00702839">
      <w:pPr>
        <w:autoSpaceDE w:val="0"/>
        <w:autoSpaceDN w:val="0"/>
        <w:adjustRightInd w:val="0"/>
        <w:spacing w:after="0"/>
        <w:rPr>
          <w:rFonts w:eastAsia="SimSun" w:cs="Gill Sans MT"/>
          <w:szCs w:val="26"/>
          <w:lang w:eastAsia="en-IE"/>
        </w:rPr>
      </w:pPr>
    </w:p>
    <w:p w14:paraId="13B7A13E" w14:textId="77777777" w:rsidR="00702839" w:rsidRPr="009C1F21" w:rsidRDefault="00702839" w:rsidP="00702839">
      <w:pPr>
        <w:autoSpaceDE w:val="0"/>
        <w:autoSpaceDN w:val="0"/>
        <w:adjustRightInd w:val="0"/>
        <w:spacing w:after="0"/>
        <w:rPr>
          <w:rFonts w:eastAsia="SimSun" w:cs="Gill Sans MT"/>
          <w:szCs w:val="26"/>
          <w:lang w:eastAsia="en-IE"/>
        </w:rPr>
      </w:pPr>
      <w:r w:rsidRPr="009C1F21">
        <w:rPr>
          <w:rFonts w:eastAsia="SimSun" w:cs="Gill Sans MT"/>
          <w:szCs w:val="26"/>
          <w:lang w:eastAsia="en-IE"/>
        </w:rPr>
        <w:t>Under Part 3 of the Disability Act, the NDA is developing a statutory Code of Practice on Accessible Public Buildings at the request of the Minister, informed by the findings of the Operational Review</w:t>
      </w:r>
      <w:r>
        <w:rPr>
          <w:rStyle w:val="FootnoteReference"/>
          <w:rFonts w:eastAsia="SimSun" w:cs="Gill Sans MT"/>
          <w:szCs w:val="26"/>
          <w:lang w:eastAsia="en-IE"/>
        </w:rPr>
        <w:footnoteReference w:id="19"/>
      </w:r>
      <w:r w:rsidRPr="009C1F21">
        <w:rPr>
          <w:rFonts w:eastAsia="SimSun" w:cs="Gill Sans MT"/>
          <w:szCs w:val="26"/>
          <w:lang w:eastAsia="en-IE"/>
        </w:rPr>
        <w:t xml:space="preserve">. When completed, the NDA will have a role to monitor compliance with same, and to provide advice to departments on areas requiring further action or focus. </w:t>
      </w:r>
    </w:p>
    <w:p w14:paraId="06B18E8F" w14:textId="77777777" w:rsidR="00702839" w:rsidRPr="003C39AA" w:rsidRDefault="00702839" w:rsidP="00702839">
      <w:pPr>
        <w:spacing w:after="0"/>
        <w:rPr>
          <w:sz w:val="24"/>
          <w:lang w:eastAsia="en-IE"/>
        </w:rPr>
      </w:pPr>
    </w:p>
    <w:p w14:paraId="64B6BEEA" w14:textId="77777777" w:rsidR="00702839" w:rsidRPr="003C39AA" w:rsidRDefault="00702839" w:rsidP="00702839">
      <w:pPr>
        <w:keepNext/>
        <w:spacing w:after="60"/>
        <w:outlineLvl w:val="1"/>
        <w:rPr>
          <w:rFonts w:eastAsia="SimSun" w:cs="Arial Bold"/>
          <w:b/>
          <w:bCs/>
          <w:iCs/>
          <w:sz w:val="28"/>
          <w:szCs w:val="28"/>
          <w:lang w:eastAsia="en-IE"/>
        </w:rPr>
      </w:pPr>
      <w:r w:rsidRPr="003C39AA">
        <w:rPr>
          <w:rFonts w:eastAsia="SimSun" w:cs="Arial Bold"/>
          <w:b/>
          <w:bCs/>
          <w:iCs/>
          <w:sz w:val="28"/>
          <w:szCs w:val="28"/>
          <w:lang w:eastAsia="en-IE"/>
        </w:rPr>
        <w:t xml:space="preserve">Irish Sign Language Act </w:t>
      </w:r>
    </w:p>
    <w:p w14:paraId="51C71556" w14:textId="0EAC2D82" w:rsidR="00702839" w:rsidRDefault="00702839" w:rsidP="00702839">
      <w:pPr>
        <w:spacing w:after="0"/>
        <w:rPr>
          <w:szCs w:val="26"/>
        </w:rPr>
      </w:pPr>
      <w:r w:rsidRPr="009C1F21">
        <w:rPr>
          <w:szCs w:val="26"/>
        </w:rPr>
        <w:t>The Irish Sign Language</w:t>
      </w:r>
      <w:r>
        <w:rPr>
          <w:szCs w:val="26"/>
        </w:rPr>
        <w:t xml:space="preserve"> (ISL)</w:t>
      </w:r>
      <w:r w:rsidRPr="009C1F21">
        <w:rPr>
          <w:szCs w:val="26"/>
        </w:rPr>
        <w:t xml:space="preserve"> Act 2017, which recognises the right of ISL users to use ISL as their native language, and to develop and preserve it, was enacted in December 2020. This Act places a statutory duty on all public bodies to do all that is reasonable to provide ISL users with free ISL interpretation when availing of or seeking to access statutory entitlements and services provided by or under statute. The NDA is pleased to note that </w:t>
      </w:r>
      <w:r>
        <w:rPr>
          <w:szCs w:val="26"/>
        </w:rPr>
        <w:t xml:space="preserve">DETE reported themselves as being aware of the ISL Act and their responsibilities under it, have procedures in place for arranging ISL interpretation and </w:t>
      </w:r>
      <w:r w:rsidRPr="009C1F21">
        <w:rPr>
          <w:szCs w:val="26"/>
        </w:rPr>
        <w:t>assessed themselves as compliant with the Act.</w:t>
      </w:r>
      <w:r w:rsidRPr="009C1F21">
        <w:rPr>
          <w:rStyle w:val="FootnoteReference"/>
          <w:rFonts w:ascii="Gill Sans MT" w:hAnsi="Gill Sans MT"/>
          <w:sz w:val="26"/>
          <w:szCs w:val="26"/>
        </w:rPr>
        <w:footnoteReference w:id="20"/>
      </w:r>
      <w:r>
        <w:rPr>
          <w:szCs w:val="26"/>
        </w:rPr>
        <w:t xml:space="preserve"> We recommend the department make clear their commitment to continued compliance with the ISL Act within their statement of strategy and ensure internal procedures reflect this</w:t>
      </w:r>
      <w:r w:rsidR="00855C07">
        <w:rPr>
          <w:szCs w:val="26"/>
        </w:rPr>
        <w:t xml:space="preserve">, it is expected that the next report on the operationalisation of this Act will be requested during the lifetime of this Statement of Strategy period </w:t>
      </w:r>
      <w:proofErr w:type="spellStart"/>
      <w:r w:rsidR="00855C07">
        <w:rPr>
          <w:szCs w:val="26"/>
        </w:rPr>
        <w:t>i</w:t>
      </w:r>
      <w:r w:rsidR="00D86FEF">
        <w:rPr>
          <w:szCs w:val="26"/>
        </w:rPr>
        <w:t>.</w:t>
      </w:r>
      <w:r w:rsidR="00855C07">
        <w:rPr>
          <w:szCs w:val="26"/>
        </w:rPr>
        <w:t>e</w:t>
      </w:r>
      <w:proofErr w:type="spellEnd"/>
      <w:r w:rsidR="00855C07">
        <w:rPr>
          <w:szCs w:val="26"/>
        </w:rPr>
        <w:t xml:space="preserve"> 2025.</w:t>
      </w:r>
    </w:p>
    <w:p w14:paraId="5D8A6785" w14:textId="77777777" w:rsidR="00702839" w:rsidRDefault="00702839" w:rsidP="00702839">
      <w:pPr>
        <w:spacing w:after="0"/>
        <w:rPr>
          <w:szCs w:val="26"/>
        </w:rPr>
      </w:pPr>
      <w:bookmarkStart w:id="5" w:name="_Hlk173155503"/>
    </w:p>
    <w:bookmarkEnd w:id="5"/>
    <w:p w14:paraId="21B24D02" w14:textId="77777777" w:rsidR="00702839" w:rsidRPr="003C39AA" w:rsidRDefault="00702839" w:rsidP="00702839">
      <w:pPr>
        <w:spacing w:after="0"/>
        <w:rPr>
          <w:szCs w:val="26"/>
        </w:rPr>
      </w:pPr>
    </w:p>
    <w:p w14:paraId="50410A96" w14:textId="77777777" w:rsidR="00702839" w:rsidRPr="003C39AA" w:rsidRDefault="00702839" w:rsidP="00702839">
      <w:pPr>
        <w:keepNext/>
        <w:pBdr>
          <w:top w:val="single" w:sz="4" w:space="4" w:color="auto"/>
          <w:left w:val="single" w:sz="4" w:space="2" w:color="auto"/>
          <w:bottom w:val="single" w:sz="4" w:space="4" w:color="auto"/>
          <w:right w:val="single" w:sz="4" w:space="4" w:color="auto"/>
        </w:pBdr>
        <w:ind w:left="-284"/>
        <w:outlineLvl w:val="0"/>
        <w:rPr>
          <w:rFonts w:cs="Arial"/>
          <w:b/>
          <w:bCs/>
          <w:kern w:val="32"/>
          <w:sz w:val="32"/>
          <w:szCs w:val="32"/>
        </w:rPr>
      </w:pPr>
      <w:r w:rsidRPr="003C39AA">
        <w:rPr>
          <w:rFonts w:cs="Arial"/>
          <w:b/>
          <w:bCs/>
          <w:kern w:val="32"/>
          <w:sz w:val="32"/>
          <w:szCs w:val="32"/>
        </w:rPr>
        <w:t>Conclusion</w:t>
      </w:r>
    </w:p>
    <w:p w14:paraId="6A3FF38E" w14:textId="77777777" w:rsidR="00702839" w:rsidRPr="00A86407" w:rsidRDefault="00702839" w:rsidP="00702839">
      <w:pPr>
        <w:spacing w:after="0"/>
        <w:rPr>
          <w:szCs w:val="26"/>
        </w:rPr>
      </w:pPr>
      <w:r w:rsidRPr="003C39AA">
        <w:rPr>
          <w:szCs w:val="26"/>
        </w:rPr>
        <w:t xml:space="preserve">The NDA would be happy to engage with officials from </w:t>
      </w:r>
      <w:r>
        <w:rPr>
          <w:szCs w:val="26"/>
        </w:rPr>
        <w:t xml:space="preserve">the Department of Enterprise, Trade and Employment </w:t>
      </w:r>
      <w:r w:rsidRPr="003C39AA">
        <w:rPr>
          <w:szCs w:val="26"/>
        </w:rPr>
        <w:t>on any of the poin</w:t>
      </w:r>
      <w:r>
        <w:rPr>
          <w:szCs w:val="26"/>
        </w:rPr>
        <w:t>ts raised in this submission</w:t>
      </w:r>
      <w:r w:rsidRPr="003C39AA">
        <w:rPr>
          <w:szCs w:val="26"/>
        </w:rPr>
        <w:t xml:space="preserve">. We also look forward to making submissions on forthcoming consultations on various pieces of work which can have a significant impact on the lives of people with disabilities. </w:t>
      </w:r>
    </w:p>
    <w:p w14:paraId="24EA7D53" w14:textId="0619A0F9" w:rsidR="00442731" w:rsidRDefault="00442731">
      <w:pPr>
        <w:spacing w:after="0"/>
      </w:pPr>
      <w:r>
        <w:br w:type="page"/>
      </w:r>
    </w:p>
    <w:p w14:paraId="6FAB5C9F" w14:textId="7CD99969" w:rsidR="00DC1B7C" w:rsidRDefault="00855C07" w:rsidP="00855C07">
      <w:pPr>
        <w:pStyle w:val="Heading1"/>
      </w:pPr>
      <w:r>
        <w:lastRenderedPageBreak/>
        <w:t xml:space="preserve">Appendix One </w:t>
      </w:r>
    </w:p>
    <w:p w14:paraId="41F188C6" w14:textId="1D02BDE8" w:rsidR="00DC1B7C" w:rsidRDefault="00DC1B7C" w:rsidP="00B14618">
      <w:r>
        <w:t>UK Disability Charter</w:t>
      </w:r>
    </w:p>
    <w:p w14:paraId="127B113C" w14:textId="77777777" w:rsidR="00DC1B7C" w:rsidRDefault="00DC1B7C" w:rsidP="00B14618">
      <w:r>
        <w:t xml:space="preserve">1, </w:t>
      </w:r>
      <w:r w:rsidRPr="00DC1B7C">
        <w:t xml:space="preserve">Employment and pay gap reporting. The government should require all employers with 250+ employees to publish data annually </w:t>
      </w:r>
      <w:proofErr w:type="gramStart"/>
      <w:r w:rsidRPr="00DC1B7C">
        <w:t>on:</w:t>
      </w:r>
      <w:proofErr w:type="gramEnd"/>
      <w:r w:rsidRPr="00DC1B7C">
        <w:t xml:space="preserve"> the number of disabled people they employ as a proportion of their workforce; their disability pay gap; and the percentage of disabled employees within each pay quartile. </w:t>
      </w:r>
    </w:p>
    <w:p w14:paraId="3AC76E6F" w14:textId="77777777" w:rsidR="00DC1B7C" w:rsidRDefault="00DC1B7C" w:rsidP="00B14618">
      <w:r w:rsidRPr="00DC1B7C">
        <w:t xml:space="preserve">2. Supporting disabled people into employment. The government should: increase disabled people’s access to employment programmes and apprenticeships; increase the scale, quality and awareness of supported employment programmes and supported internships; and increase the provision of tailored careers advice to disabled people. </w:t>
      </w:r>
    </w:p>
    <w:p w14:paraId="493BEF98" w14:textId="77777777" w:rsidR="00DC1B7C" w:rsidRDefault="00DC1B7C" w:rsidP="00B14618">
      <w:r w:rsidRPr="00DC1B7C">
        <w:t>3. Reform of Access to Work (</w:t>
      </w:r>
      <w:proofErr w:type="spellStart"/>
      <w:r w:rsidRPr="00DC1B7C">
        <w:t>AtW</w:t>
      </w:r>
      <w:proofErr w:type="spellEnd"/>
      <w:r w:rsidRPr="00DC1B7C">
        <w:t xml:space="preserve">). The government should: remove the </w:t>
      </w:r>
      <w:proofErr w:type="spellStart"/>
      <w:r w:rsidRPr="00DC1B7C">
        <w:t>AtW</w:t>
      </w:r>
      <w:proofErr w:type="spellEnd"/>
      <w:r w:rsidRPr="00DC1B7C">
        <w:t xml:space="preserve"> support cap; ensure application/renewal processes are efficient, personalised, and flexible; entitle disabled </w:t>
      </w:r>
      <w:proofErr w:type="gramStart"/>
      <w:r w:rsidRPr="00DC1B7C">
        <w:t>job-seekers</w:t>
      </w:r>
      <w:proofErr w:type="gramEnd"/>
      <w:r w:rsidRPr="00DC1B7C">
        <w:t xml:space="preserve"> to ‘in principle’ indicative awards; facilitate passporting of awards between organisations and from Disabled Student’s Allowance to </w:t>
      </w:r>
      <w:proofErr w:type="spellStart"/>
      <w:r w:rsidRPr="00DC1B7C">
        <w:t>AtW</w:t>
      </w:r>
      <w:proofErr w:type="spellEnd"/>
      <w:r w:rsidRPr="00DC1B7C">
        <w:t xml:space="preserve">; and increase awareness of </w:t>
      </w:r>
      <w:proofErr w:type="spellStart"/>
      <w:r w:rsidRPr="00DC1B7C">
        <w:t>AtW</w:t>
      </w:r>
      <w:proofErr w:type="spellEnd"/>
      <w:r w:rsidRPr="00DC1B7C">
        <w:t xml:space="preserve"> support. </w:t>
      </w:r>
    </w:p>
    <w:p w14:paraId="527948D6" w14:textId="77777777" w:rsidR="00DC1B7C" w:rsidRDefault="00DC1B7C" w:rsidP="00B14618">
      <w:r w:rsidRPr="00DC1B7C">
        <w:t xml:space="preserve">4. Reform of Disability Confident. The government should: require all employers at Disability Confident Levels 2 and 3 to meet minimum thresholds regarding the percentage of disabled people in their workforce; and remove accreditation from employers that do not move up within 3 years from Level 1 to Levels 2 or 3. </w:t>
      </w:r>
    </w:p>
    <w:p w14:paraId="6CF859CC" w14:textId="1B637B2E" w:rsidR="00DC1B7C" w:rsidRDefault="00DC1B7C" w:rsidP="00B14618">
      <w:r w:rsidRPr="00DC1B7C">
        <w:t xml:space="preserve">5. Leveraging government procurement. The government should: ensure award decisions for all public sector contracts </w:t>
      </w:r>
      <w:proofErr w:type="gramStart"/>
      <w:r w:rsidRPr="00DC1B7C">
        <w:t>take into account</w:t>
      </w:r>
      <w:proofErr w:type="gramEnd"/>
      <w:r w:rsidRPr="00DC1B7C">
        <w:t xml:space="preserve"> the percentage of disabled people in the workforce of tendering organisations; require government contractors to work towards a minimum threshold regarding the percentage of </w:t>
      </w:r>
      <w:r w:rsidRPr="00DC1B7C">
        <w:lastRenderedPageBreak/>
        <w:t>disabled people in their workforce; and take failure to achieve this threshold into account in future contract award decisions.</w:t>
      </w:r>
    </w:p>
    <w:p w14:paraId="3CE254BB" w14:textId="765C6C0E" w:rsidR="00DC1B7C" w:rsidRDefault="00DC1B7C" w:rsidP="00B14618">
      <w:r>
        <w:t xml:space="preserve">6, </w:t>
      </w:r>
      <w:r w:rsidRPr="00DC1B7C">
        <w:t xml:space="preserve">Workplace adjustments. The government should: require employers to notify employees on decisions regarding reasonable adjustment requests within two weeks; make the option to work flexibly from day one the legal default for all jobs; introduce stronger rights to paid disability leave for assessment, </w:t>
      </w:r>
      <w:proofErr w:type="gramStart"/>
      <w:r w:rsidRPr="00DC1B7C">
        <w:t>rehabilitation</w:t>
      </w:r>
      <w:proofErr w:type="gramEnd"/>
      <w:r w:rsidRPr="00DC1B7C">
        <w:t xml:space="preserve"> and training; and fund an increase Statutory Sick Pay to the European average. </w:t>
      </w:r>
    </w:p>
    <w:p w14:paraId="615D686C" w14:textId="4787B973" w:rsidR="00DC1B7C" w:rsidRDefault="00DC1B7C" w:rsidP="00B14618">
      <w:r w:rsidRPr="00DC1B7C">
        <w:t xml:space="preserve">7. Working with disabled people and their representatives. The government should: require employers to consult and negotiate with disabled people and their representatives on disability equality matters; and provide trade union equality representatives and disability champions with statutory rights to time off to perform their role. </w:t>
      </w:r>
    </w:p>
    <w:p w14:paraId="44B75013" w14:textId="77777777" w:rsidR="00DC1B7C" w:rsidRDefault="00DC1B7C" w:rsidP="00B14618">
      <w:r w:rsidRPr="00DC1B7C">
        <w:t xml:space="preserve">8. Advice and support. The government should create a ‘one stop shop’ portal to provide information, </w:t>
      </w:r>
      <w:proofErr w:type="gramStart"/>
      <w:r w:rsidRPr="00DC1B7C">
        <w:t>advice</w:t>
      </w:r>
      <w:proofErr w:type="gramEnd"/>
      <w:r w:rsidRPr="00DC1B7C">
        <w:t xml:space="preserve"> and guidance to employers on recruiting and retaining disabled people, and to disabled people on their employment rights. </w:t>
      </w:r>
    </w:p>
    <w:p w14:paraId="57B463C4" w14:textId="577BD56B" w:rsidR="00DC1B7C" w:rsidRDefault="00DC1B7C" w:rsidP="00B14618">
      <w:r w:rsidRPr="00DC1B7C">
        <w:t xml:space="preserve">9. National progress on disability employment. The government should take into account increasing disability prevalence in calculating the disability employment gap, and use </w:t>
      </w:r>
      <w:proofErr w:type="gramStart"/>
      <w:r w:rsidRPr="00DC1B7C">
        <w:t>the  ‘</w:t>
      </w:r>
      <w:proofErr w:type="gramEnd"/>
      <w:r w:rsidRPr="00DC1B7C">
        <w:t>prevalence corrected’ employment gap measure in monitoring national progress on disability employment.</w:t>
      </w:r>
    </w:p>
    <w:p w14:paraId="689F5A0C" w14:textId="77777777" w:rsidR="00DC1B7C" w:rsidRPr="009C3BD7" w:rsidRDefault="00DC1B7C" w:rsidP="00B14618"/>
    <w:sectPr w:rsidR="00DC1B7C" w:rsidRPr="009C3BD7">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F21D" w14:textId="77777777" w:rsidR="00EE4BE3" w:rsidRDefault="00EE4BE3">
      <w:r>
        <w:separator/>
      </w:r>
    </w:p>
  </w:endnote>
  <w:endnote w:type="continuationSeparator" w:id="0">
    <w:p w14:paraId="2E323C48" w14:textId="77777777" w:rsidR="00EE4BE3" w:rsidRDefault="00EE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0EA3" w14:textId="4E1E4747" w:rsidR="009C4D62" w:rsidRDefault="009C4D62">
    <w:pPr>
      <w:pStyle w:val="Footer"/>
    </w:pPr>
    <w:r>
      <w:tab/>
    </w:r>
    <w:r>
      <w:tab/>
    </w:r>
    <w:r>
      <w:fldChar w:fldCharType="begin"/>
    </w:r>
    <w:r>
      <w:instrText xml:space="preserve"> PAGE  \* Arabic  \* MERGEFORMAT </w:instrText>
    </w:r>
    <w:r>
      <w:fldChar w:fldCharType="separate"/>
    </w:r>
    <w:r w:rsidR="00AA327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49EC" w14:textId="77777777" w:rsidR="00EE4BE3" w:rsidRDefault="00EE4BE3">
      <w:r>
        <w:separator/>
      </w:r>
    </w:p>
  </w:footnote>
  <w:footnote w:type="continuationSeparator" w:id="0">
    <w:p w14:paraId="5B32F8A9" w14:textId="77777777" w:rsidR="00EE4BE3" w:rsidRDefault="00EE4BE3">
      <w:r>
        <w:continuationSeparator/>
      </w:r>
    </w:p>
  </w:footnote>
  <w:footnote w:id="1">
    <w:p w14:paraId="25E18A46" w14:textId="415C63E5" w:rsidR="00382618" w:rsidRDefault="00382618">
      <w:pPr>
        <w:pStyle w:val="FootnoteText"/>
      </w:pPr>
      <w:r>
        <w:rPr>
          <w:rStyle w:val="FootnoteReference"/>
        </w:rPr>
        <w:footnoteRef/>
      </w:r>
      <w:r>
        <w:t xml:space="preserve"> </w:t>
      </w:r>
      <w:r w:rsidRPr="00382618">
        <w:t>https://enterprise.gov.ie/en/consultations/consultations-files/draft-statement-of-strategy-2024-2025-for-consultation.pdf</w:t>
      </w:r>
    </w:p>
  </w:footnote>
  <w:footnote w:id="2">
    <w:p w14:paraId="2B2958EF" w14:textId="77777777" w:rsidR="00702839" w:rsidRPr="003473B7" w:rsidRDefault="00702839" w:rsidP="00702839">
      <w:pPr>
        <w:pStyle w:val="FootnoteText"/>
        <w:spacing w:after="0"/>
        <w:rPr>
          <w:sz w:val="20"/>
        </w:rPr>
      </w:pPr>
      <w:r w:rsidRPr="00B80717">
        <w:rPr>
          <w:rStyle w:val="FootnoteReference"/>
          <w:rFonts w:ascii="Gill Sans MT" w:hAnsi="Gill Sans MT"/>
          <w:sz w:val="20"/>
        </w:rPr>
        <w:footnoteRef/>
      </w:r>
      <w:r w:rsidRPr="00B80717">
        <w:rPr>
          <w:sz w:val="20"/>
        </w:rPr>
        <w:t xml:space="preserve"> </w:t>
      </w:r>
      <w:bookmarkStart w:id="0" w:name="_Hlk173154629"/>
      <w:r>
        <w:fldChar w:fldCharType="begin"/>
      </w:r>
      <w:r>
        <w:instrText>HYPERLINK "https://www.oecd.org/ireland/disability-work-and-inclusion-in-ireland-74b45baa-en.htm"</w:instrText>
      </w:r>
      <w:r>
        <w:fldChar w:fldCharType="separate"/>
      </w:r>
      <w:r w:rsidRPr="00B80717">
        <w:rPr>
          <w:rStyle w:val="Hyperlink"/>
          <w:sz w:val="20"/>
        </w:rPr>
        <w:t xml:space="preserve">Disability, </w:t>
      </w:r>
      <w:proofErr w:type="gramStart"/>
      <w:r w:rsidRPr="00B80717">
        <w:rPr>
          <w:rStyle w:val="Hyperlink"/>
          <w:sz w:val="20"/>
        </w:rPr>
        <w:t>Work</w:t>
      </w:r>
      <w:proofErr w:type="gramEnd"/>
      <w:r w:rsidRPr="00B80717">
        <w:rPr>
          <w:rStyle w:val="Hyperlink"/>
          <w:sz w:val="20"/>
        </w:rPr>
        <w:t xml:space="preserve"> and Inclusion in Ireland: Engaging and Supporting Employers | </w:t>
      </w:r>
      <w:proofErr w:type="spellStart"/>
      <w:r w:rsidRPr="00B80717">
        <w:rPr>
          <w:rStyle w:val="Hyperlink"/>
          <w:sz w:val="20"/>
        </w:rPr>
        <w:t>en</w:t>
      </w:r>
      <w:proofErr w:type="spellEnd"/>
      <w:r w:rsidRPr="00B80717">
        <w:rPr>
          <w:rStyle w:val="Hyperlink"/>
          <w:sz w:val="20"/>
        </w:rPr>
        <w:t xml:space="preserve"> | OECD</w:t>
      </w:r>
      <w:r>
        <w:rPr>
          <w:rStyle w:val="Hyperlink"/>
          <w:sz w:val="20"/>
        </w:rPr>
        <w:fldChar w:fldCharType="end"/>
      </w:r>
    </w:p>
    <w:bookmarkEnd w:id="0"/>
  </w:footnote>
  <w:footnote w:id="3">
    <w:p w14:paraId="6C45A0DD" w14:textId="77777777" w:rsidR="00702839" w:rsidRDefault="00702839" w:rsidP="00702839">
      <w:pPr>
        <w:pStyle w:val="FootnoteText"/>
        <w:spacing w:after="0"/>
      </w:pPr>
      <w:r>
        <w:rPr>
          <w:rStyle w:val="FootnoteReference"/>
        </w:rPr>
        <w:footnoteRef/>
      </w:r>
      <w:r>
        <w:t xml:space="preserve"> </w:t>
      </w:r>
      <w:hyperlink r:id="rId1" w:history="1">
        <w:r w:rsidRPr="00823A04">
          <w:rPr>
            <w:rStyle w:val="Hyperlink"/>
            <w:sz w:val="20"/>
          </w:rPr>
          <w:t>https://employersforchange.ie/</w:t>
        </w:r>
      </w:hyperlink>
    </w:p>
  </w:footnote>
  <w:footnote w:id="4">
    <w:p w14:paraId="4EAE0A53" w14:textId="77777777" w:rsidR="008B1AAD" w:rsidRDefault="008B1AAD" w:rsidP="008B1AAD">
      <w:pPr>
        <w:pStyle w:val="FootnoteText"/>
      </w:pPr>
      <w:r>
        <w:rPr>
          <w:rStyle w:val="FootnoteReference"/>
        </w:rPr>
        <w:footnoteRef/>
      </w:r>
      <w:r>
        <w:t xml:space="preserve"> </w:t>
      </w:r>
      <w:hyperlink r:id="rId2" w:history="1">
        <w:r w:rsidRPr="00CF5350">
          <w:rPr>
            <w:rStyle w:val="Hyperlink"/>
          </w:rPr>
          <w:t>https://www.disabilityemploymentcharter.org/faq</w:t>
        </w:r>
      </w:hyperlink>
    </w:p>
  </w:footnote>
  <w:footnote w:id="5">
    <w:p w14:paraId="6682EAD7" w14:textId="01712C88" w:rsidR="00855C07" w:rsidRDefault="00855C07">
      <w:pPr>
        <w:pStyle w:val="FootnoteText"/>
      </w:pPr>
      <w:r>
        <w:rPr>
          <w:rStyle w:val="FootnoteReference"/>
        </w:rPr>
        <w:footnoteRef/>
      </w:r>
      <w:r>
        <w:t xml:space="preserve"> </w:t>
      </w:r>
      <w:r w:rsidRPr="00855C07">
        <w:t>https://www.ibec.ie/influencing-for-business/labour-market-and-skills/disability-and-change</w:t>
      </w:r>
    </w:p>
  </w:footnote>
  <w:footnote w:id="6">
    <w:p w14:paraId="753410AB" w14:textId="77777777" w:rsidR="008B1AAD" w:rsidRPr="0070054C" w:rsidRDefault="008B1AAD" w:rsidP="008B1AAD">
      <w:pPr>
        <w:pStyle w:val="FootnoteText"/>
        <w:spacing w:after="0"/>
        <w:rPr>
          <w:sz w:val="20"/>
        </w:rPr>
      </w:pPr>
      <w:r>
        <w:rPr>
          <w:rStyle w:val="FootnoteReference"/>
        </w:rPr>
        <w:footnoteRef/>
      </w:r>
      <w:r>
        <w:t xml:space="preserve"> </w:t>
      </w:r>
      <w:hyperlink r:id="rId3" w:history="1">
        <w:r w:rsidRPr="00B80717">
          <w:rPr>
            <w:rStyle w:val="Hyperlink"/>
            <w:sz w:val="20"/>
          </w:rPr>
          <w:t xml:space="preserve">Disability, </w:t>
        </w:r>
        <w:proofErr w:type="gramStart"/>
        <w:r w:rsidRPr="00B80717">
          <w:rPr>
            <w:rStyle w:val="Hyperlink"/>
            <w:sz w:val="20"/>
          </w:rPr>
          <w:t>Work</w:t>
        </w:r>
        <w:proofErr w:type="gramEnd"/>
        <w:r w:rsidRPr="00B80717">
          <w:rPr>
            <w:rStyle w:val="Hyperlink"/>
            <w:sz w:val="20"/>
          </w:rPr>
          <w:t xml:space="preserve"> and Inclusion in Ireland: Engaging and Supporting Employers | </w:t>
        </w:r>
        <w:proofErr w:type="spellStart"/>
        <w:r w:rsidRPr="00B80717">
          <w:rPr>
            <w:rStyle w:val="Hyperlink"/>
            <w:sz w:val="20"/>
          </w:rPr>
          <w:t>en</w:t>
        </w:r>
        <w:proofErr w:type="spellEnd"/>
        <w:r w:rsidRPr="00B80717">
          <w:rPr>
            <w:rStyle w:val="Hyperlink"/>
            <w:sz w:val="20"/>
          </w:rPr>
          <w:t xml:space="preserve"> | OECD</w:t>
        </w:r>
      </w:hyperlink>
    </w:p>
  </w:footnote>
  <w:footnote w:id="7">
    <w:p w14:paraId="1E058941" w14:textId="23657A24" w:rsidR="008B1AAD" w:rsidRDefault="008B1AAD">
      <w:pPr>
        <w:pStyle w:val="FootnoteText"/>
      </w:pPr>
      <w:r>
        <w:rPr>
          <w:rStyle w:val="FootnoteReference"/>
        </w:rPr>
        <w:footnoteRef/>
      </w:r>
      <w:r>
        <w:t xml:space="preserve"> Specific figures for Census 2022 not yet available.</w:t>
      </w:r>
    </w:p>
  </w:footnote>
  <w:footnote w:id="8">
    <w:p w14:paraId="61592469" w14:textId="77777777" w:rsidR="00702839" w:rsidRPr="00193655" w:rsidRDefault="00702839" w:rsidP="00702839">
      <w:pPr>
        <w:pStyle w:val="FootnoteText"/>
        <w:spacing w:after="0"/>
        <w:rPr>
          <w:sz w:val="20"/>
        </w:rPr>
      </w:pPr>
      <w:r w:rsidRPr="00193655">
        <w:rPr>
          <w:rStyle w:val="FootnoteReference"/>
          <w:rFonts w:ascii="Gill Sans MT" w:hAnsi="Gill Sans MT"/>
          <w:sz w:val="20"/>
        </w:rPr>
        <w:footnoteRef/>
      </w:r>
      <w:r w:rsidRPr="00193655">
        <w:rPr>
          <w:sz w:val="20"/>
        </w:rPr>
        <w:t xml:space="preserve"> </w:t>
      </w:r>
      <w:hyperlink r:id="rId4" w:history="1">
        <w:r w:rsidRPr="00193655">
          <w:rPr>
            <w:rStyle w:val="Hyperlink"/>
            <w:sz w:val="20"/>
          </w:rPr>
          <w:t>https://www.oecd.org/cfe/disability-work-and-inclusion-in-ireland-74b45baa-en.htm</w:t>
        </w:r>
      </w:hyperlink>
      <w:r w:rsidRPr="00193655">
        <w:rPr>
          <w:sz w:val="20"/>
        </w:rPr>
        <w:t xml:space="preserve"> </w:t>
      </w:r>
    </w:p>
  </w:footnote>
  <w:footnote w:id="9">
    <w:p w14:paraId="33D6BF0A" w14:textId="77777777" w:rsidR="00702839" w:rsidRPr="00193655" w:rsidRDefault="00702839" w:rsidP="00702839">
      <w:pPr>
        <w:pStyle w:val="FootnoteText"/>
        <w:spacing w:after="0"/>
        <w:rPr>
          <w:sz w:val="20"/>
        </w:rPr>
      </w:pPr>
      <w:r w:rsidRPr="00193655">
        <w:rPr>
          <w:rStyle w:val="FootnoteReference"/>
          <w:rFonts w:ascii="Gill Sans MT" w:hAnsi="Gill Sans MT"/>
          <w:sz w:val="20"/>
        </w:rPr>
        <w:footnoteRef/>
      </w:r>
      <w:r w:rsidRPr="00193655">
        <w:rPr>
          <w:sz w:val="20"/>
        </w:rPr>
        <w:t xml:space="preserve"> OECD workshop for DETE on </w:t>
      </w:r>
      <w:r w:rsidRPr="00193655">
        <w:rPr>
          <w:rFonts w:cs="Arial"/>
          <w:color w:val="000000" w:themeColor="text1"/>
          <w:sz w:val="20"/>
        </w:rPr>
        <w:t>the results of the OECD-EU Better Entrepreneurship Policy Tool, April 28</w:t>
      </w:r>
      <w:proofErr w:type="gramStart"/>
      <w:r w:rsidRPr="00193655">
        <w:rPr>
          <w:rFonts w:cs="Arial"/>
          <w:color w:val="000000" w:themeColor="text1"/>
          <w:sz w:val="20"/>
        </w:rPr>
        <w:t xml:space="preserve"> 2022</w:t>
      </w:r>
      <w:proofErr w:type="gramEnd"/>
    </w:p>
  </w:footnote>
  <w:footnote w:id="10">
    <w:p w14:paraId="506BB5E1" w14:textId="77777777" w:rsidR="00702839" w:rsidRPr="00193655" w:rsidRDefault="00702839" w:rsidP="00702839">
      <w:pPr>
        <w:pStyle w:val="FootnoteText"/>
        <w:spacing w:after="0"/>
        <w:rPr>
          <w:sz w:val="20"/>
        </w:rPr>
      </w:pPr>
      <w:r w:rsidRPr="00193655">
        <w:rPr>
          <w:rStyle w:val="FootnoteReference"/>
          <w:rFonts w:ascii="Gill Sans MT" w:hAnsi="Gill Sans MT"/>
          <w:sz w:val="20"/>
        </w:rPr>
        <w:footnoteRef/>
      </w:r>
      <w:r w:rsidRPr="00193655">
        <w:rPr>
          <w:sz w:val="20"/>
        </w:rPr>
        <w:t xml:space="preserve"> </w:t>
      </w:r>
      <w:hyperlink r:id="rId5" w:history="1">
        <w:r w:rsidRPr="00193655">
          <w:rPr>
            <w:rStyle w:val="Hyperlink"/>
            <w:sz w:val="20"/>
          </w:rPr>
          <w:t>https://www.ilo.org/global/publications/ilo-bookstore/order-online/books/WCMS_PUBL_9221064573_EN/lang--en/index.htm</w:t>
        </w:r>
      </w:hyperlink>
    </w:p>
  </w:footnote>
  <w:footnote w:id="11">
    <w:p w14:paraId="4F2D4B02" w14:textId="77777777" w:rsidR="00702839" w:rsidRPr="00D3080F" w:rsidRDefault="00702839" w:rsidP="00702839">
      <w:pPr>
        <w:pStyle w:val="FootnoteText"/>
        <w:spacing w:after="0"/>
        <w:rPr>
          <w:sz w:val="20"/>
        </w:rPr>
      </w:pPr>
      <w:r w:rsidRPr="00193655">
        <w:rPr>
          <w:rStyle w:val="FootnoteReference"/>
          <w:rFonts w:ascii="Gill Sans MT" w:hAnsi="Gill Sans MT"/>
          <w:sz w:val="20"/>
        </w:rPr>
        <w:footnoteRef/>
      </w:r>
      <w:r w:rsidRPr="00193655">
        <w:rPr>
          <w:sz w:val="20"/>
        </w:rPr>
        <w:t xml:space="preserve"> </w:t>
      </w:r>
      <w:hyperlink r:id="rId6" w:history="1">
        <w:r w:rsidRPr="00193655">
          <w:rPr>
            <w:rStyle w:val="Hyperlink"/>
            <w:sz w:val="20"/>
          </w:rPr>
          <w:t>Homepage | The Better Entrepreneurship Policy Tool</w:t>
        </w:r>
      </w:hyperlink>
    </w:p>
  </w:footnote>
  <w:footnote w:id="12">
    <w:p w14:paraId="4C68D511" w14:textId="77777777" w:rsidR="0000601D" w:rsidRDefault="0000601D" w:rsidP="0000601D">
      <w:pPr>
        <w:pStyle w:val="FootnoteText"/>
      </w:pPr>
      <w:r>
        <w:rPr>
          <w:rStyle w:val="FootnoteReference"/>
        </w:rPr>
        <w:footnoteRef/>
      </w:r>
      <w:r>
        <w:t xml:space="preserve"> </w:t>
      </w:r>
      <w:r w:rsidRPr="007E33F1">
        <w:t>https://nda.ie/uploads/publications/Report-on-Compliance-with-Part-5-for-2022-English.pdf</w:t>
      </w:r>
    </w:p>
  </w:footnote>
  <w:footnote w:id="13">
    <w:p w14:paraId="7505E01E" w14:textId="77777777" w:rsidR="00702839" w:rsidRPr="00B13AD4" w:rsidRDefault="00702839" w:rsidP="00702839">
      <w:pPr>
        <w:pStyle w:val="FootnoteText"/>
        <w:spacing w:after="0"/>
        <w:rPr>
          <w:szCs w:val="22"/>
        </w:rPr>
      </w:pPr>
      <w:r w:rsidRPr="000C2878">
        <w:rPr>
          <w:rStyle w:val="FootnoteReference"/>
          <w:rFonts w:ascii="Gill Sans MT" w:hAnsi="Gill Sans MT"/>
          <w:sz w:val="20"/>
        </w:rPr>
        <w:footnoteRef/>
      </w:r>
      <w:r w:rsidRPr="000C2878">
        <w:rPr>
          <w:sz w:val="20"/>
        </w:rPr>
        <w:t xml:space="preserve"> </w:t>
      </w:r>
      <w:hyperlink r:id="rId7" w:history="1">
        <w:r w:rsidRPr="00B13AD4">
          <w:rPr>
            <w:rStyle w:val="Hyperlink"/>
            <w:szCs w:val="22"/>
          </w:rPr>
          <w:t>https://nda.ie/publications/nda-annual-reports-on-compliance-with-part-5-of-the-disability-act</w:t>
        </w:r>
      </w:hyperlink>
    </w:p>
  </w:footnote>
  <w:footnote w:id="14">
    <w:p w14:paraId="7D73D402" w14:textId="21840628" w:rsidR="00702839" w:rsidRPr="00B13AD4" w:rsidRDefault="00702839" w:rsidP="00702839">
      <w:pPr>
        <w:pStyle w:val="FootnoteText"/>
        <w:spacing w:after="0"/>
        <w:rPr>
          <w:szCs w:val="22"/>
        </w:rPr>
      </w:pPr>
      <w:r w:rsidRPr="00B13AD4">
        <w:rPr>
          <w:rStyle w:val="FootnoteReference"/>
          <w:rFonts w:ascii="Gill Sans MT" w:hAnsi="Gill Sans MT"/>
          <w:szCs w:val="22"/>
        </w:rPr>
        <w:footnoteRef/>
      </w:r>
      <w:r w:rsidRPr="00B13AD4">
        <w:rPr>
          <w:szCs w:val="22"/>
        </w:rPr>
        <w:t xml:space="preserve"> </w:t>
      </w:r>
      <w:hyperlink r:id="rId8" w:history="1">
        <w:r w:rsidR="00B13AD4" w:rsidRPr="00B13AD4">
          <w:rPr>
            <w:color w:val="0000FF"/>
            <w:szCs w:val="22"/>
            <w:u w:val="single"/>
          </w:rPr>
          <w:t>Monitoring-Report-EU-WAD-Ireland-2</w:t>
        </w:r>
        <w:r w:rsidR="00B13AD4" w:rsidRPr="00B13AD4">
          <w:rPr>
            <w:color w:val="0000FF"/>
            <w:szCs w:val="22"/>
            <w:u w:val="single"/>
          </w:rPr>
          <w:t>023.pdf (nda.ie)</w:t>
        </w:r>
      </w:hyperlink>
    </w:p>
  </w:footnote>
  <w:footnote w:id="15">
    <w:p w14:paraId="5F994D55" w14:textId="6D1D8BCC" w:rsidR="00702839" w:rsidRPr="00DE1514" w:rsidRDefault="00702839" w:rsidP="00702839">
      <w:pPr>
        <w:pStyle w:val="FootnoteText"/>
        <w:spacing w:after="0"/>
        <w:rPr>
          <w:sz w:val="20"/>
        </w:rPr>
      </w:pPr>
      <w:r w:rsidRPr="00DE1514">
        <w:rPr>
          <w:rStyle w:val="FootnoteReference"/>
          <w:rFonts w:ascii="Gill Sans MT" w:hAnsi="Gill Sans MT"/>
          <w:sz w:val="20"/>
        </w:rPr>
        <w:footnoteRef/>
      </w:r>
      <w:r w:rsidRPr="00DE1514">
        <w:rPr>
          <w:sz w:val="20"/>
        </w:rPr>
        <w:t xml:space="preserve"> </w:t>
      </w:r>
      <w:r w:rsidR="00B13AD4">
        <w:t>ibid</w:t>
      </w:r>
    </w:p>
  </w:footnote>
  <w:footnote w:id="16">
    <w:p w14:paraId="7055D2DB" w14:textId="5760A280" w:rsidR="00702839" w:rsidRPr="008F4A87" w:rsidRDefault="00702839" w:rsidP="00702839">
      <w:pPr>
        <w:pStyle w:val="FootnoteText"/>
        <w:rPr>
          <w:sz w:val="20"/>
        </w:rPr>
      </w:pPr>
      <w:r>
        <w:rPr>
          <w:rStyle w:val="FootnoteReference"/>
        </w:rPr>
        <w:footnoteRef/>
      </w:r>
      <w:r>
        <w:t xml:space="preserve"> </w:t>
      </w:r>
      <w:hyperlink r:id="rId9" w:history="1">
        <w:r w:rsidRPr="008F4A87">
          <w:rPr>
            <w:rStyle w:val="Hyperlink"/>
            <w:sz w:val="20"/>
          </w:rPr>
          <w:t>https://universaldesign.ie/communications-digital/customer-communications-toolkit-a-universal-design-approach</w:t>
        </w:r>
      </w:hyperlink>
    </w:p>
  </w:footnote>
  <w:footnote w:id="17">
    <w:p w14:paraId="1CA9B099" w14:textId="77777777" w:rsidR="0000601D" w:rsidRPr="008F4A87" w:rsidRDefault="0000601D" w:rsidP="0000601D">
      <w:pPr>
        <w:pStyle w:val="FootnoteText"/>
        <w:rPr>
          <w:sz w:val="20"/>
        </w:rPr>
      </w:pPr>
      <w:r w:rsidRPr="008F4A87">
        <w:rPr>
          <w:rStyle w:val="FootnoteReference"/>
          <w:sz w:val="20"/>
        </w:rPr>
        <w:footnoteRef/>
      </w:r>
      <w:r w:rsidRPr="008F4A87">
        <w:rPr>
          <w:sz w:val="20"/>
        </w:rPr>
        <w:t xml:space="preserve"> </w:t>
      </w:r>
      <w:hyperlink r:id="rId10" w:history="1">
        <w:r w:rsidRPr="008F4A87">
          <w:rPr>
            <w:color w:val="0000FF"/>
            <w:sz w:val="20"/>
            <w:u w:val="single"/>
          </w:rPr>
          <w:t>Monitoring Report on Access Officers - National Disability Authority (nda.ie)</w:t>
        </w:r>
      </w:hyperlink>
    </w:p>
  </w:footnote>
  <w:footnote w:id="18">
    <w:p w14:paraId="53757AAB" w14:textId="77777777" w:rsidR="000D5E3A" w:rsidRDefault="000D5E3A" w:rsidP="000D5E3A">
      <w:pPr>
        <w:pStyle w:val="FootnoteText"/>
      </w:pPr>
      <w:r w:rsidRPr="008F4A87">
        <w:rPr>
          <w:rStyle w:val="FootnoteReference"/>
          <w:sz w:val="20"/>
        </w:rPr>
        <w:footnoteRef/>
      </w:r>
      <w:r w:rsidRPr="008F4A87">
        <w:rPr>
          <w:sz w:val="20"/>
        </w:rPr>
        <w:t xml:space="preserve"> The NDA has produced </w:t>
      </w:r>
      <w:hyperlink r:id="rId11" w:history="1">
        <w:r w:rsidRPr="008F4A87">
          <w:rPr>
            <w:rStyle w:val="Hyperlink"/>
            <w:sz w:val="20"/>
          </w:rPr>
          <w:t>Access Officer Guidance for Public Bodies</w:t>
        </w:r>
      </w:hyperlink>
      <w:r w:rsidRPr="008F4A87">
        <w:rPr>
          <w:sz w:val="20"/>
        </w:rPr>
        <w:t xml:space="preserve"> to assist public bodies and Departments in understanding the role of access officer and providing information on how best to support and make use of the Access Officer role</w:t>
      </w:r>
      <w:r>
        <w:t xml:space="preserve"> </w:t>
      </w:r>
    </w:p>
  </w:footnote>
  <w:footnote w:id="19">
    <w:p w14:paraId="27872069" w14:textId="77777777" w:rsidR="00702839" w:rsidRDefault="00702839" w:rsidP="00702839">
      <w:pPr>
        <w:pStyle w:val="FootnoteText"/>
      </w:pPr>
      <w:r>
        <w:rPr>
          <w:rStyle w:val="FootnoteReference"/>
        </w:rPr>
        <w:footnoteRef/>
      </w:r>
      <w:r>
        <w:t xml:space="preserve"> </w:t>
      </w:r>
      <w:r w:rsidRPr="00165E7B">
        <w:t>https://nda.ie/publications/draft-code-of-practice-for-accessible-public-buildings</w:t>
      </w:r>
    </w:p>
  </w:footnote>
  <w:footnote w:id="20">
    <w:p w14:paraId="05F31193" w14:textId="77777777" w:rsidR="00702839" w:rsidRPr="000C2878" w:rsidRDefault="00702839" w:rsidP="00702839">
      <w:pPr>
        <w:pStyle w:val="FootnoteText"/>
        <w:spacing w:after="0"/>
        <w:rPr>
          <w:sz w:val="20"/>
        </w:rPr>
      </w:pPr>
      <w:r w:rsidRPr="000C2878">
        <w:rPr>
          <w:rStyle w:val="FootnoteReference"/>
          <w:rFonts w:ascii="Gill Sans MT" w:hAnsi="Gill Sans MT"/>
          <w:sz w:val="20"/>
        </w:rPr>
        <w:footnoteRef/>
      </w:r>
      <w:r w:rsidRPr="000C2878">
        <w:rPr>
          <w:sz w:val="20"/>
        </w:rPr>
        <w:t xml:space="preserve"> See Technical Annex 2 on the Public Body Survey: </w:t>
      </w:r>
      <w:hyperlink r:id="rId12" w:history="1">
        <w:r w:rsidRPr="000C2878">
          <w:rPr>
            <w:rStyle w:val="Hyperlink"/>
            <w:sz w:val="20"/>
          </w:rPr>
          <w:t>Report on the Operation of the Irish Sign Language Act 2017 (December 2021) - National Disability Authority (nda.ie)</w:t>
        </w:r>
      </w:hyperlink>
      <w:r w:rsidRPr="000C2878">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A004E26"/>
    <w:multiLevelType w:val="hybridMultilevel"/>
    <w:tmpl w:val="8130A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802585"/>
    <w:multiLevelType w:val="hybridMultilevel"/>
    <w:tmpl w:val="118EE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5EF0780"/>
    <w:multiLevelType w:val="hybridMultilevel"/>
    <w:tmpl w:val="CA36F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04173DC"/>
    <w:multiLevelType w:val="multilevel"/>
    <w:tmpl w:val="4284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013C53"/>
    <w:multiLevelType w:val="hybridMultilevel"/>
    <w:tmpl w:val="EDD482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16289365">
    <w:abstractNumId w:val="9"/>
  </w:num>
  <w:num w:numId="2" w16cid:durableId="260381330">
    <w:abstractNumId w:val="9"/>
  </w:num>
  <w:num w:numId="3" w16cid:durableId="1800099975">
    <w:abstractNumId w:val="7"/>
  </w:num>
  <w:num w:numId="4" w16cid:durableId="439224568">
    <w:abstractNumId w:val="7"/>
  </w:num>
  <w:num w:numId="5" w16cid:durableId="2103866983">
    <w:abstractNumId w:val="6"/>
  </w:num>
  <w:num w:numId="6" w16cid:durableId="2145078501">
    <w:abstractNumId w:val="6"/>
  </w:num>
  <w:num w:numId="7" w16cid:durableId="29378300">
    <w:abstractNumId w:val="8"/>
  </w:num>
  <w:num w:numId="8" w16cid:durableId="2091459485">
    <w:abstractNumId w:val="8"/>
  </w:num>
  <w:num w:numId="9" w16cid:durableId="761872449">
    <w:abstractNumId w:val="3"/>
  </w:num>
  <w:num w:numId="10" w16cid:durableId="593325965">
    <w:abstractNumId w:val="3"/>
  </w:num>
  <w:num w:numId="11" w16cid:durableId="2019503258">
    <w:abstractNumId w:val="2"/>
  </w:num>
  <w:num w:numId="12" w16cid:durableId="1873809511">
    <w:abstractNumId w:val="2"/>
  </w:num>
  <w:num w:numId="13" w16cid:durableId="205457602">
    <w:abstractNumId w:val="5"/>
  </w:num>
  <w:num w:numId="14" w16cid:durableId="1923643297">
    <w:abstractNumId w:val="4"/>
  </w:num>
  <w:num w:numId="15" w16cid:durableId="1122382091">
    <w:abstractNumId w:val="1"/>
  </w:num>
  <w:num w:numId="16" w16cid:durableId="567690968">
    <w:abstractNumId w:val="0"/>
  </w:num>
  <w:num w:numId="17" w16cid:durableId="2004695531">
    <w:abstractNumId w:val="14"/>
  </w:num>
  <w:num w:numId="18" w16cid:durableId="1249803034">
    <w:abstractNumId w:val="12"/>
  </w:num>
  <w:num w:numId="19" w16cid:durableId="179392009">
    <w:abstractNumId w:val="10"/>
  </w:num>
  <w:num w:numId="20" w16cid:durableId="1855921604">
    <w:abstractNumId w:val="13"/>
  </w:num>
  <w:num w:numId="21" w16cid:durableId="7171260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D6"/>
    <w:rsid w:val="0000601D"/>
    <w:rsid w:val="000515C7"/>
    <w:rsid w:val="00092CEC"/>
    <w:rsid w:val="000D5E3A"/>
    <w:rsid w:val="00162DAB"/>
    <w:rsid w:val="00181FE6"/>
    <w:rsid w:val="00287B8E"/>
    <w:rsid w:val="002E492D"/>
    <w:rsid w:val="00382618"/>
    <w:rsid w:val="003A44C8"/>
    <w:rsid w:val="003B10EC"/>
    <w:rsid w:val="003E6E96"/>
    <w:rsid w:val="00442731"/>
    <w:rsid w:val="004445D6"/>
    <w:rsid w:val="004934C9"/>
    <w:rsid w:val="004977BD"/>
    <w:rsid w:val="004C5836"/>
    <w:rsid w:val="006349ED"/>
    <w:rsid w:val="006834B3"/>
    <w:rsid w:val="006B0FCD"/>
    <w:rsid w:val="0070054C"/>
    <w:rsid w:val="00702839"/>
    <w:rsid w:val="0076338F"/>
    <w:rsid w:val="007C1D90"/>
    <w:rsid w:val="00831FA1"/>
    <w:rsid w:val="008541D6"/>
    <w:rsid w:val="00855C07"/>
    <w:rsid w:val="008B1AAD"/>
    <w:rsid w:val="008B22B4"/>
    <w:rsid w:val="008F29EC"/>
    <w:rsid w:val="008F4A87"/>
    <w:rsid w:val="00933C21"/>
    <w:rsid w:val="00934CDD"/>
    <w:rsid w:val="0093775A"/>
    <w:rsid w:val="009C3BD7"/>
    <w:rsid w:val="009C4D62"/>
    <w:rsid w:val="00A05270"/>
    <w:rsid w:val="00A268FD"/>
    <w:rsid w:val="00AA327B"/>
    <w:rsid w:val="00B13AD4"/>
    <w:rsid w:val="00B14618"/>
    <w:rsid w:val="00B6001A"/>
    <w:rsid w:val="00B76547"/>
    <w:rsid w:val="00BA2579"/>
    <w:rsid w:val="00BC74C2"/>
    <w:rsid w:val="00BE3DCC"/>
    <w:rsid w:val="00C154AE"/>
    <w:rsid w:val="00C867C9"/>
    <w:rsid w:val="00CF285B"/>
    <w:rsid w:val="00D11D8B"/>
    <w:rsid w:val="00D42171"/>
    <w:rsid w:val="00D70522"/>
    <w:rsid w:val="00D86FEF"/>
    <w:rsid w:val="00DC1B7C"/>
    <w:rsid w:val="00DF00F3"/>
    <w:rsid w:val="00E251C1"/>
    <w:rsid w:val="00E56A32"/>
    <w:rsid w:val="00EE4BE3"/>
    <w:rsid w:val="00F023E1"/>
    <w:rsid w:val="00F351D6"/>
    <w:rsid w:val="00FE35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E97C"/>
  <w15:chartTrackingRefBased/>
  <w15:docId w15:val="{04BF39A6-9833-4EF0-9606-5CE746E8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link w:val="Heading2Char"/>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styleId="CommentReference">
    <w:name w:val="annotation reference"/>
    <w:basedOn w:val="DefaultParagraphFont"/>
    <w:rsid w:val="00B6001A"/>
    <w:rPr>
      <w:sz w:val="16"/>
      <w:szCs w:val="16"/>
    </w:rPr>
  </w:style>
  <w:style w:type="paragraph" w:styleId="CommentSubject">
    <w:name w:val="annotation subject"/>
    <w:basedOn w:val="CommentText"/>
    <w:next w:val="CommentText"/>
    <w:link w:val="CommentSubjectChar"/>
    <w:rsid w:val="00B6001A"/>
    <w:rPr>
      <w:rFonts w:ascii="Gill Sans MT" w:hAnsi="Gill Sans MT"/>
      <w:b/>
      <w:bCs/>
      <w:szCs w:val="20"/>
      <w:lang w:val="en-IE"/>
    </w:rPr>
  </w:style>
  <w:style w:type="character" w:customStyle="1" w:styleId="CommentSubjectChar">
    <w:name w:val="Comment Subject Char"/>
    <w:basedOn w:val="CommentTextChar"/>
    <w:link w:val="CommentSubject"/>
    <w:rsid w:val="00B6001A"/>
    <w:rPr>
      <w:rFonts w:ascii="Gill Sans MT" w:eastAsia="Times New Roman" w:hAnsi="Gill Sans MT"/>
      <w:b/>
      <w:bCs/>
      <w:szCs w:val="24"/>
      <w:lang w:eastAsia="en-US"/>
    </w:rPr>
  </w:style>
  <w:style w:type="paragraph" w:styleId="BalloonText">
    <w:name w:val="Balloon Text"/>
    <w:basedOn w:val="Normal"/>
    <w:link w:val="BalloonTextChar"/>
    <w:rsid w:val="00B6001A"/>
    <w:pPr>
      <w:spacing w:after="0"/>
    </w:pPr>
    <w:rPr>
      <w:rFonts w:ascii="Segoe UI" w:hAnsi="Segoe UI" w:cs="Segoe UI"/>
      <w:sz w:val="18"/>
      <w:szCs w:val="18"/>
    </w:rPr>
  </w:style>
  <w:style w:type="character" w:customStyle="1" w:styleId="BalloonTextChar">
    <w:name w:val="Balloon Text Char"/>
    <w:basedOn w:val="DefaultParagraphFont"/>
    <w:link w:val="BalloonText"/>
    <w:rsid w:val="00B6001A"/>
    <w:rPr>
      <w:rFonts w:ascii="Segoe UI" w:eastAsia="Times New Roman" w:hAnsi="Segoe UI" w:cs="Segoe UI"/>
      <w:sz w:val="18"/>
      <w:szCs w:val="18"/>
      <w:lang w:eastAsia="en-US"/>
    </w:rPr>
  </w:style>
  <w:style w:type="paragraph" w:customStyle="1" w:styleId="Default">
    <w:name w:val="Default"/>
    <w:rsid w:val="00702839"/>
    <w:pPr>
      <w:autoSpaceDE w:val="0"/>
      <w:autoSpaceDN w:val="0"/>
      <w:adjustRightInd w:val="0"/>
    </w:pPr>
    <w:rPr>
      <w:rFonts w:ascii="Gill Sans MT" w:hAnsi="Gill Sans MT" w:cs="Gill Sans MT"/>
      <w:color w:val="000000"/>
      <w:sz w:val="24"/>
      <w:szCs w:val="24"/>
    </w:rPr>
  </w:style>
  <w:style w:type="character" w:customStyle="1" w:styleId="FootnoteTextChar">
    <w:name w:val="Footnote Text Char"/>
    <w:link w:val="FootnoteText"/>
    <w:semiHidden/>
    <w:rsid w:val="00702839"/>
    <w:rPr>
      <w:rFonts w:ascii="Gill Sans MT" w:eastAsia="Times New Roman" w:hAnsi="Gill Sans MT"/>
      <w:sz w:val="22"/>
      <w:lang w:eastAsia="en-US"/>
    </w:rPr>
  </w:style>
  <w:style w:type="character" w:customStyle="1" w:styleId="Heading2Char">
    <w:name w:val="Heading 2 Char"/>
    <w:basedOn w:val="DefaultParagraphFont"/>
    <w:link w:val="Heading2"/>
    <w:rsid w:val="00702839"/>
    <w:rPr>
      <w:rFonts w:ascii="Gill Sans MT" w:eastAsia="Times New Roman" w:hAnsi="Gill Sans MT" w:cs="Arial Bold"/>
      <w:b/>
      <w:bCs/>
      <w:iCs/>
      <w:sz w:val="28"/>
      <w:szCs w:val="28"/>
      <w:lang w:eastAsia="en-US"/>
    </w:rPr>
  </w:style>
  <w:style w:type="paragraph" w:styleId="ListParagraph">
    <w:name w:val="List Paragraph"/>
    <w:basedOn w:val="Normal"/>
    <w:uiPriority w:val="34"/>
    <w:qFormat/>
    <w:rsid w:val="00702839"/>
    <w:pPr>
      <w:ind w:left="720"/>
      <w:contextualSpacing/>
    </w:pPr>
  </w:style>
  <w:style w:type="paragraph" w:styleId="NormalWeb">
    <w:name w:val="Normal (Web)"/>
    <w:basedOn w:val="Normal"/>
    <w:uiPriority w:val="99"/>
    <w:unhideWhenUsed/>
    <w:rsid w:val="00702839"/>
    <w:pPr>
      <w:spacing w:before="100" w:beforeAutospacing="1" w:after="100" w:afterAutospacing="1"/>
    </w:pPr>
    <w:rPr>
      <w:rFonts w:ascii="Times New Roman" w:hAnsi="Times New Roman"/>
      <w:sz w:val="24"/>
      <w:lang w:eastAsia="en-IE"/>
    </w:rPr>
  </w:style>
  <w:style w:type="character" w:customStyle="1" w:styleId="cf01">
    <w:name w:val="cf01"/>
    <w:basedOn w:val="DefaultParagraphFont"/>
    <w:rsid w:val="00D11D8B"/>
    <w:rPr>
      <w:rFonts w:ascii="Segoe UI" w:hAnsi="Segoe UI" w:cs="Segoe UI" w:hint="default"/>
      <w:sz w:val="18"/>
      <w:szCs w:val="18"/>
    </w:rPr>
  </w:style>
  <w:style w:type="character" w:styleId="UnresolvedMention">
    <w:name w:val="Unresolved Mention"/>
    <w:basedOn w:val="DefaultParagraphFont"/>
    <w:uiPriority w:val="99"/>
    <w:semiHidden/>
    <w:unhideWhenUsed/>
    <w:rsid w:val="00D86FEF"/>
    <w:rPr>
      <w:color w:val="605E5C"/>
      <w:shd w:val="clear" w:color="auto" w:fill="E1DFDD"/>
    </w:rPr>
  </w:style>
  <w:style w:type="paragraph" w:styleId="Revision">
    <w:name w:val="Revision"/>
    <w:hidden/>
    <w:uiPriority w:val="99"/>
    <w:semiHidden/>
    <w:rsid w:val="008B1AAD"/>
    <w:rPr>
      <w:rFonts w:ascii="Gill Sans MT" w:eastAsia="Times New Roman" w:hAnsi="Gill Sans MT"/>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1589">
      <w:bodyDiv w:val="1"/>
      <w:marLeft w:val="0"/>
      <w:marRight w:val="0"/>
      <w:marTop w:val="0"/>
      <w:marBottom w:val="0"/>
      <w:divBdr>
        <w:top w:val="none" w:sz="0" w:space="0" w:color="auto"/>
        <w:left w:val="none" w:sz="0" w:space="0" w:color="auto"/>
        <w:bottom w:val="none" w:sz="0" w:space="0" w:color="auto"/>
        <w:right w:val="none" w:sz="0" w:space="0" w:color="auto"/>
      </w:divBdr>
    </w:div>
    <w:div w:id="346366977">
      <w:bodyDiv w:val="1"/>
      <w:marLeft w:val="0"/>
      <w:marRight w:val="0"/>
      <w:marTop w:val="0"/>
      <w:marBottom w:val="0"/>
      <w:divBdr>
        <w:top w:val="none" w:sz="0" w:space="0" w:color="auto"/>
        <w:left w:val="none" w:sz="0" w:space="0" w:color="auto"/>
        <w:bottom w:val="none" w:sz="0" w:space="0" w:color="auto"/>
        <w:right w:val="none" w:sz="0" w:space="0" w:color="auto"/>
      </w:divBdr>
    </w:div>
    <w:div w:id="668601915">
      <w:bodyDiv w:val="1"/>
      <w:marLeft w:val="0"/>
      <w:marRight w:val="0"/>
      <w:marTop w:val="0"/>
      <w:marBottom w:val="0"/>
      <w:divBdr>
        <w:top w:val="none" w:sz="0" w:space="0" w:color="auto"/>
        <w:left w:val="none" w:sz="0" w:space="0" w:color="auto"/>
        <w:bottom w:val="none" w:sz="0" w:space="0" w:color="auto"/>
        <w:right w:val="none" w:sz="0" w:space="0" w:color="auto"/>
      </w:divBdr>
    </w:div>
    <w:div w:id="180809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da.ie/publications/monitoring-report-eu-wad-ireland-2021-nda-repor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da.ie/uploads/publications/Monitoring-Report-EU-WAD-Ireland-2023.pdf" TargetMode="External"/><Relationship Id="rId3" Type="http://schemas.openxmlformats.org/officeDocument/2006/relationships/hyperlink" Target="https://www.oecd.org/ireland/disability-work-and-inclusion-in-ireland-74b45baa-en.htm" TargetMode="External"/><Relationship Id="rId7" Type="http://schemas.openxmlformats.org/officeDocument/2006/relationships/hyperlink" Target="https://nda.ie/publications/nda-annual-reports-on-compliance-with-part-5-of-the-disability-act" TargetMode="External"/><Relationship Id="rId12" Type="http://schemas.openxmlformats.org/officeDocument/2006/relationships/hyperlink" Target="https://nda.ie/publications/report-on-the-operation-of-the-irish-sign-language-act-2017-december-2021" TargetMode="External"/><Relationship Id="rId2" Type="http://schemas.openxmlformats.org/officeDocument/2006/relationships/hyperlink" Target="https://www.disabilityemploymentcharter.org/faq" TargetMode="External"/><Relationship Id="rId1" Type="http://schemas.openxmlformats.org/officeDocument/2006/relationships/hyperlink" Target="https://employersforchange.ie/" TargetMode="External"/><Relationship Id="rId6" Type="http://schemas.openxmlformats.org/officeDocument/2006/relationships/hyperlink" Target="https://betterentrepreneurship.eu/" TargetMode="External"/><Relationship Id="rId11" Type="http://schemas.openxmlformats.org/officeDocument/2006/relationships/hyperlink" Target="https://nda.ie/publications/access-officer-guidance-for-public-bodies" TargetMode="External"/><Relationship Id="rId5" Type="http://schemas.openxmlformats.org/officeDocument/2006/relationships/hyperlink" Target="https://www.ilo.org/global/publications/ilo-bookstore/order-online/books/WCMS_PUBL_9221064573_EN/lang--en/index.htm" TargetMode="External"/><Relationship Id="rId10" Type="http://schemas.openxmlformats.org/officeDocument/2006/relationships/hyperlink" Target="https://nda.ie/publications/monitoring-report-on-access-officers" TargetMode="External"/><Relationship Id="rId4" Type="http://schemas.openxmlformats.org/officeDocument/2006/relationships/hyperlink" Target="https://www.oecd.org/cfe/disability-work-and-inclusion-in-ireland-74b45baa-en.htm" TargetMode="External"/><Relationship Id="rId9" Type="http://schemas.openxmlformats.org/officeDocument/2006/relationships/hyperlink" Target="https://universaldesign.ie/communications-digital/customer-communications-toolkit-a-universal-design-appro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AB22-B2FB-4EF5-9666-A4EAEA81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4</TotalTime>
  <Pages>11</Pages>
  <Words>3391</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M. O' Malley</dc:creator>
  <cp:keywords/>
  <cp:lastModifiedBy>Marion Wilkinson (NDA)</cp:lastModifiedBy>
  <cp:revision>2</cp:revision>
  <dcterms:created xsi:type="dcterms:W3CDTF">2024-08-02T09:20:00Z</dcterms:created>
  <dcterms:modified xsi:type="dcterms:W3CDTF">2024-08-02T09:20:00Z</dcterms:modified>
</cp:coreProperties>
</file>