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DC545" w14:textId="77777777" w:rsidR="00AE45F5" w:rsidRDefault="00AE45F5" w:rsidP="00AE45F5">
      <w:pPr>
        <w:pStyle w:val="Title"/>
        <w:jc w:val="left"/>
      </w:pPr>
      <w:r>
        <w:rPr>
          <w:noProof/>
          <w:lang w:eastAsia="en-IE"/>
        </w:rPr>
        <w:drawing>
          <wp:inline distT="0" distB="0" distL="0" distR="0" wp14:anchorId="059BE1E8" wp14:editId="48363F8C">
            <wp:extent cx="2523490" cy="1799590"/>
            <wp:effectExtent l="0" t="0" r="0" b="0"/>
            <wp:docPr id="3" name="Picture 3" descr="Logo of the National Disability Authority" title="Logo of the National Disability Authority"/>
            <wp:cNvGraphicFramePr/>
            <a:graphic xmlns:a="http://schemas.openxmlformats.org/drawingml/2006/main">
              <a:graphicData uri="http://schemas.openxmlformats.org/drawingml/2006/picture">
                <pic:pic xmlns:pic="http://schemas.openxmlformats.org/drawingml/2006/picture">
                  <pic:nvPicPr>
                    <pic:cNvPr id="1" name="Picture 1" descr="Logo of the National Disability Authority" title="Logo of the National Disability Authorit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1799590"/>
                    </a:xfrm>
                    <a:prstGeom prst="rect">
                      <a:avLst/>
                    </a:prstGeom>
                    <a:noFill/>
                    <a:ln>
                      <a:noFill/>
                    </a:ln>
                  </pic:spPr>
                </pic:pic>
              </a:graphicData>
            </a:graphic>
          </wp:inline>
        </w:drawing>
      </w:r>
    </w:p>
    <w:p w14:paraId="6795DD67" w14:textId="58EDCA53" w:rsidR="00AE45F5" w:rsidRPr="00B6001A" w:rsidRDefault="006D2083" w:rsidP="00AE45F5">
      <w:pPr>
        <w:rPr>
          <w:b/>
        </w:rPr>
      </w:pPr>
      <w:r>
        <w:rPr>
          <w:b/>
        </w:rPr>
        <w:t>April</w:t>
      </w:r>
      <w:r w:rsidR="00AE45F5">
        <w:rPr>
          <w:b/>
        </w:rPr>
        <w:t xml:space="preserve"> 2023</w:t>
      </w:r>
    </w:p>
    <w:p w14:paraId="7B5BA37D" w14:textId="3577C9F7" w:rsidR="00AE45F5" w:rsidRDefault="00AE45F5" w:rsidP="00AE45F5">
      <w:pPr>
        <w:pStyle w:val="Title"/>
        <w:rPr>
          <w:color w:val="BF2296"/>
        </w:rPr>
      </w:pPr>
      <w:r w:rsidRPr="00B6001A">
        <w:rPr>
          <w:color w:val="BF2296"/>
        </w:rPr>
        <w:t>NDA Submission to</w:t>
      </w:r>
      <w:r>
        <w:rPr>
          <w:color w:val="BF2296"/>
        </w:rPr>
        <w:t xml:space="preserve"> the Housing Commission Public Consultation</w:t>
      </w:r>
      <w:r w:rsidR="006D2083">
        <w:rPr>
          <w:rStyle w:val="FootnoteReference"/>
          <w:color w:val="BF2296"/>
        </w:rPr>
        <w:footnoteReference w:id="1"/>
      </w:r>
    </w:p>
    <w:p w14:paraId="10802ECC" w14:textId="41E89AD4" w:rsidR="00AE45F5" w:rsidRPr="00AE45F5" w:rsidRDefault="00AE45F5" w:rsidP="00AE45F5">
      <w:r>
        <w:t xml:space="preserve">The National Disability Authority (NDA) has answered selected questions in line with our competency areas. </w:t>
      </w:r>
    </w:p>
    <w:p w14:paraId="38D15C72" w14:textId="77777777" w:rsidR="00753AAC" w:rsidRDefault="005315EE" w:rsidP="00753AAC">
      <w:pPr>
        <w:pStyle w:val="Heading1"/>
      </w:pPr>
      <w:r>
        <w:t xml:space="preserve">1. </w:t>
      </w:r>
      <w:r w:rsidR="00753AAC">
        <w:t>In your opinion, what can the Government do to improve the supply of housing as to better meet the needs of first-time buyers, existing owner-occupiers and renters?</w:t>
      </w:r>
    </w:p>
    <w:p w14:paraId="4CE6B56C" w14:textId="77777777" w:rsidR="007F1BBE" w:rsidRDefault="007F1BBE" w:rsidP="007F1BBE">
      <w:r>
        <w:t xml:space="preserve">Given the significant shortage of appropriate housing options for disabled and older persons, as well as Ireland’s longer term demographic trend towards an older population, there is a societal need for UD Homes. </w:t>
      </w:r>
    </w:p>
    <w:p w14:paraId="4664C636" w14:textId="658C7BFB" w:rsidR="00B57855" w:rsidRDefault="00B57855" w:rsidP="009A5146">
      <w:r>
        <w:t xml:space="preserve">The Government could improve </w:t>
      </w:r>
      <w:r w:rsidR="0003074D">
        <w:t xml:space="preserve">supply </w:t>
      </w:r>
      <w:r>
        <w:t xml:space="preserve">by providing grants and other financial incentives to support the delivery of </w:t>
      </w:r>
      <w:r w:rsidR="0003074D">
        <w:t xml:space="preserve">Universal Design (UD) </w:t>
      </w:r>
      <w:r w:rsidR="00FB2B38">
        <w:t>Homes</w:t>
      </w:r>
      <w:r>
        <w:t xml:space="preserve">. Providing financial supports to drive the delivery of </w:t>
      </w:r>
      <w:r w:rsidR="00B500A6">
        <w:t>UD Homes</w:t>
      </w:r>
      <w:r>
        <w:t xml:space="preserve"> </w:t>
      </w:r>
      <w:r w:rsidR="00D517CC">
        <w:t xml:space="preserve">could </w:t>
      </w:r>
      <w:r>
        <w:t xml:space="preserve">result in savings in areas such as home adaptation, residential care and health services costs. </w:t>
      </w:r>
      <w:r w:rsidR="0003074D">
        <w:t>In addition</w:t>
      </w:r>
      <w:r>
        <w:t xml:space="preserve">, such supports would be beneficial to the construction industry by absorbing some or all of the cost uplift associated with building </w:t>
      </w:r>
      <w:r w:rsidR="0003074D">
        <w:t xml:space="preserve">UD </w:t>
      </w:r>
      <w:r w:rsidR="00B500A6">
        <w:t>Homes</w:t>
      </w:r>
      <w:r>
        <w:t xml:space="preserve">.    </w:t>
      </w:r>
    </w:p>
    <w:p w14:paraId="2314DDA9" w14:textId="7CC4E98B" w:rsidR="009A5146" w:rsidRDefault="009A5146" w:rsidP="009A5146">
      <w:r>
        <w:t xml:space="preserve">As UD Homes provide enhanced accessibility, their construction can result in significant benefits ranging from improved quality of life outcomes for dwellers and the avoidance of </w:t>
      </w:r>
      <w:r w:rsidR="00D517CC">
        <w:t xml:space="preserve">some </w:t>
      </w:r>
      <w:r>
        <w:t xml:space="preserve">costs which would arise in the absence of </w:t>
      </w:r>
      <w:r w:rsidR="0003074D">
        <w:t>such</w:t>
      </w:r>
      <w:r>
        <w:t xml:space="preserve"> </w:t>
      </w:r>
      <w:r>
        <w:lastRenderedPageBreak/>
        <w:t xml:space="preserve">housing. UD Homes allow older persons to live in their home and age in place, this can result in cost savings by avoiding the need for long-term residential care. </w:t>
      </w:r>
    </w:p>
    <w:p w14:paraId="74E2735C" w14:textId="6B1FD868" w:rsidR="00753AAC" w:rsidRPr="00753AAC" w:rsidRDefault="009A5146" w:rsidP="009A5146">
      <w:r>
        <w:t xml:space="preserve">The </w:t>
      </w:r>
      <w:proofErr w:type="spellStart"/>
      <w:r w:rsidRPr="00880620">
        <w:t>Croí</w:t>
      </w:r>
      <w:proofErr w:type="spellEnd"/>
      <w:r w:rsidRPr="00880620">
        <w:t xml:space="preserve"> </w:t>
      </w:r>
      <w:proofErr w:type="spellStart"/>
      <w:r w:rsidRPr="00880620">
        <w:t>Cónaithe</w:t>
      </w:r>
      <w:proofErr w:type="spellEnd"/>
      <w:r>
        <w:t xml:space="preserve"> grant scheme provides a useful template for State intervention to incentivise appropriate design and planning outcomes while addressing viability concerns. A similar grant scheme to incentivise the construction of UD Homes, or the inclusion of UD Home design as a qualifying criteria within the </w:t>
      </w:r>
      <w:proofErr w:type="spellStart"/>
      <w:r w:rsidRPr="00880620">
        <w:t>Croí</w:t>
      </w:r>
      <w:proofErr w:type="spellEnd"/>
      <w:r w:rsidRPr="00880620">
        <w:t xml:space="preserve"> </w:t>
      </w:r>
      <w:proofErr w:type="spellStart"/>
      <w:r w:rsidRPr="00880620">
        <w:t>Cónaithe</w:t>
      </w:r>
      <w:proofErr w:type="spellEnd"/>
      <w:r>
        <w:t xml:space="preserve"> scheme, would be an effective means of driving the delivery of UD Homes while addressing viability concerns. By resulting in </w:t>
      </w:r>
      <w:r w:rsidR="00D517CC">
        <w:t xml:space="preserve">potential </w:t>
      </w:r>
      <w:r>
        <w:t xml:space="preserve">cost savings in later years, the Exchequer funding allocated to subsidise the construction of UD Homes </w:t>
      </w:r>
      <w:r w:rsidR="00D517CC">
        <w:t>c</w:t>
      </w:r>
      <w:r>
        <w:t xml:space="preserve">ould be a cost-effective intervention in the longer-term while also resulting in </w:t>
      </w:r>
      <w:r w:rsidR="00D517CC">
        <w:t>maintaining independence</w:t>
      </w:r>
      <w:r>
        <w:t xml:space="preserve"> for </w:t>
      </w:r>
      <w:r w:rsidR="00FB2B38">
        <w:t>disabled</w:t>
      </w:r>
      <w:r>
        <w:t xml:space="preserve"> and older persons. </w:t>
      </w:r>
      <w:r w:rsidR="00FB2B38">
        <w:t>As</w:t>
      </w:r>
      <w:r>
        <w:t xml:space="preserve"> the construction industry is experiencing significant sectoral inflation, the case for a State intervention to ensure viability is </w:t>
      </w:r>
      <w:r w:rsidR="00FB2B38">
        <w:t>strong</w:t>
      </w:r>
      <w:r>
        <w:t>.</w:t>
      </w:r>
    </w:p>
    <w:p w14:paraId="2E707C18" w14:textId="77777777" w:rsidR="00753AAC" w:rsidRDefault="005315EE" w:rsidP="00753AAC">
      <w:pPr>
        <w:pStyle w:val="Heading1"/>
      </w:pPr>
      <w:r>
        <w:t>2. In your opinion, what measures</w:t>
      </w:r>
      <w:r w:rsidR="00753AAC">
        <w:t xml:space="preserve"> interventions are needed to improve the affordability of private rental accommodation?</w:t>
      </w:r>
    </w:p>
    <w:p w14:paraId="2C557F4F" w14:textId="77777777" w:rsidR="00753AAC" w:rsidRPr="00753AAC" w:rsidRDefault="005315EE" w:rsidP="00753AAC">
      <w:r>
        <w:t>N/A</w:t>
      </w:r>
    </w:p>
    <w:p w14:paraId="6701C453" w14:textId="77777777" w:rsidR="00753AAC" w:rsidRDefault="005315EE" w:rsidP="00753AAC">
      <w:pPr>
        <w:pStyle w:val="Heading1"/>
      </w:pPr>
      <w:r>
        <w:t xml:space="preserve">3. </w:t>
      </w:r>
      <w:r w:rsidR="00753AAC">
        <w:t>In your opinion, what measures / interventions are needed to improve the affordability of housing for first-time buyers?</w:t>
      </w:r>
    </w:p>
    <w:p w14:paraId="49D5A10F" w14:textId="77777777" w:rsidR="00753AAC" w:rsidRPr="00753AAC" w:rsidRDefault="005315EE" w:rsidP="00753AAC">
      <w:r>
        <w:t>N/A</w:t>
      </w:r>
    </w:p>
    <w:p w14:paraId="23908E6C" w14:textId="77777777" w:rsidR="00753AAC" w:rsidRDefault="005315EE" w:rsidP="00753AAC">
      <w:pPr>
        <w:pStyle w:val="Heading1"/>
      </w:pPr>
      <w:r>
        <w:t xml:space="preserve">4. </w:t>
      </w:r>
      <w:r w:rsidR="00753AAC">
        <w:t>In your opinion, what is required to address the costs of construction of housing in order to improve the affordability of housing in the longer term?</w:t>
      </w:r>
    </w:p>
    <w:p w14:paraId="7BB49421" w14:textId="77777777" w:rsidR="00753AAC" w:rsidRPr="00753AAC" w:rsidRDefault="005315EE" w:rsidP="00753AAC">
      <w:r>
        <w:t>N/A</w:t>
      </w:r>
    </w:p>
    <w:p w14:paraId="59A3C074" w14:textId="77777777" w:rsidR="00753AAC" w:rsidRDefault="005315EE" w:rsidP="00753AAC">
      <w:pPr>
        <w:pStyle w:val="Heading1"/>
      </w:pPr>
      <w:r>
        <w:lastRenderedPageBreak/>
        <w:t xml:space="preserve">5. </w:t>
      </w:r>
      <w:r w:rsidR="00753AAC">
        <w:t>In your opinion, what changes to building standards and regulations, if any, are required to address the quality of housing?</w:t>
      </w:r>
    </w:p>
    <w:p w14:paraId="7A1B15C0" w14:textId="77777777" w:rsidR="00230F79" w:rsidRDefault="00230F79" w:rsidP="00230F79">
      <w:pPr>
        <w:rPr>
          <w:rFonts w:ascii="Gill Sans MT" w:hAnsi="Gill Sans MT"/>
        </w:rPr>
      </w:pPr>
      <w:r w:rsidRPr="00C16900">
        <w:rPr>
          <w:rFonts w:ascii="Gill Sans MT" w:hAnsi="Gill Sans MT"/>
        </w:rPr>
        <w:t xml:space="preserve">Part M of the building regulations sets out the minimum requirements for housing design, which is that new dwellings are </w:t>
      </w:r>
      <w:r w:rsidRPr="00C576BF">
        <w:rPr>
          <w:rFonts w:ascii="Gill Sans MT" w:hAnsi="Gill Sans MT"/>
          <w:b/>
        </w:rPr>
        <w:t>visitable</w:t>
      </w:r>
      <w:r w:rsidRPr="00C16900">
        <w:rPr>
          <w:rFonts w:ascii="Gill Sans MT" w:hAnsi="Gill Sans MT"/>
        </w:rPr>
        <w:t xml:space="preserve"> by disabled people. As most housing is built to the minimum requirements, this means that there is a lack of accessible housing, that disabled people can </w:t>
      </w:r>
      <w:r w:rsidRPr="00C16900">
        <w:rPr>
          <w:rFonts w:ascii="Gill Sans MT" w:hAnsi="Gill Sans MT"/>
          <w:b/>
        </w:rPr>
        <w:t>live</w:t>
      </w:r>
      <w:r w:rsidRPr="00C16900">
        <w:rPr>
          <w:rFonts w:ascii="Gill Sans MT" w:hAnsi="Gill Sans MT"/>
        </w:rPr>
        <w:t xml:space="preserve"> in, in Ireland. </w:t>
      </w:r>
    </w:p>
    <w:p w14:paraId="7C1E715D" w14:textId="6C73EA3D" w:rsidR="00230F79" w:rsidRDefault="00230F79" w:rsidP="00230F79">
      <w:pPr>
        <w:rPr>
          <w:rFonts w:ascii="Gill Sans MT" w:hAnsi="Gill Sans MT"/>
        </w:rPr>
      </w:pPr>
      <w:r w:rsidRPr="00C16900">
        <w:rPr>
          <w:rFonts w:ascii="Gill Sans MT" w:hAnsi="Gill Sans MT"/>
        </w:rPr>
        <w:t>Part M was last revised in 2010. The NDA has advised that Part M should be reviewed, with priority given to a review of Part M for Dwellings, to ensure that new homes are</w:t>
      </w:r>
      <w:r>
        <w:rPr>
          <w:rFonts w:ascii="Gill Sans MT" w:hAnsi="Gill Sans MT"/>
        </w:rPr>
        <w:t xml:space="preserve"> required to be</w:t>
      </w:r>
      <w:r w:rsidRPr="00C16900">
        <w:rPr>
          <w:rFonts w:ascii="Gill Sans MT" w:hAnsi="Gill Sans MT"/>
        </w:rPr>
        <w:t xml:space="preserve"> liveable by all people, including disabled people and older people</w:t>
      </w:r>
      <w:r w:rsidR="00475B68">
        <w:rPr>
          <w:rFonts w:ascii="Gill Sans MT" w:hAnsi="Gill Sans MT"/>
        </w:rPr>
        <w:t>,</w:t>
      </w:r>
      <w:r w:rsidRPr="00C16900">
        <w:rPr>
          <w:rFonts w:ascii="Gill Sans MT" w:hAnsi="Gill Sans MT"/>
        </w:rPr>
        <w:t xml:space="preserve"> to enable ageing in place</w:t>
      </w:r>
      <w:r>
        <w:rPr>
          <w:rFonts w:ascii="Gill Sans MT" w:hAnsi="Gill Sans MT"/>
        </w:rPr>
        <w:t xml:space="preserve"> and to provide for persons using </w:t>
      </w:r>
      <w:r w:rsidR="007F1BBE">
        <w:rPr>
          <w:rFonts w:ascii="Gill Sans MT" w:hAnsi="Gill Sans MT"/>
        </w:rPr>
        <w:t xml:space="preserve">a wide variety of mobility aids, including </w:t>
      </w:r>
      <w:r>
        <w:rPr>
          <w:rFonts w:ascii="Gill Sans MT" w:hAnsi="Gill Sans MT"/>
        </w:rPr>
        <w:t>power wheelchairs</w:t>
      </w:r>
      <w:r w:rsidR="00475B68">
        <w:rPr>
          <w:rFonts w:ascii="Gill Sans MT" w:hAnsi="Gill Sans MT"/>
        </w:rPr>
        <w:t>.</w:t>
      </w:r>
      <w:r>
        <w:rPr>
          <w:rFonts w:ascii="Gill Sans MT" w:hAnsi="Gill Sans MT"/>
        </w:rPr>
        <w:t xml:space="preserve"> </w:t>
      </w:r>
    </w:p>
    <w:p w14:paraId="36EFFE7D" w14:textId="77777777" w:rsidR="00753AAC" w:rsidRDefault="005315EE" w:rsidP="00753AAC">
      <w:pPr>
        <w:pStyle w:val="Heading1"/>
      </w:pPr>
      <w:r>
        <w:t xml:space="preserve">6. </w:t>
      </w:r>
      <w:r w:rsidR="00753AAC">
        <w:t>In your opinion, what actions can be taken to increase capacity in the construction sector to better meet the increasing demand for housing?</w:t>
      </w:r>
    </w:p>
    <w:p w14:paraId="61068192" w14:textId="77777777" w:rsidR="00475B68" w:rsidRPr="00C15BB9" w:rsidRDefault="00475B68" w:rsidP="00475B68">
      <w:pPr>
        <w:rPr>
          <w:rFonts w:ascii="Gill Sans MT" w:hAnsi="Gill Sans MT"/>
        </w:rPr>
      </w:pPr>
      <w:r w:rsidRPr="00C15BB9">
        <w:rPr>
          <w:rFonts w:ascii="Gill Sans MT" w:hAnsi="Gill Sans MT"/>
        </w:rPr>
        <w:t>The NDA has advised the Department of Housing, Local Government and Heritage to consider the introduction of incentives for the provision of Universal Design Homes. These include:</w:t>
      </w:r>
    </w:p>
    <w:p w14:paraId="51A5AB6F" w14:textId="77777777" w:rsidR="00475B68" w:rsidRPr="00C15BB9" w:rsidRDefault="00475B68" w:rsidP="00475B68">
      <w:pPr>
        <w:numPr>
          <w:ilvl w:val="0"/>
          <w:numId w:val="1"/>
        </w:numPr>
        <w:spacing w:before="120" w:after="120"/>
        <w:rPr>
          <w:rFonts w:ascii="Gill Sans MT" w:hAnsi="Gill Sans MT"/>
        </w:rPr>
      </w:pPr>
      <w:r w:rsidRPr="00C15BB9">
        <w:rPr>
          <w:rFonts w:ascii="Gill Sans MT" w:hAnsi="Gill Sans MT"/>
        </w:rPr>
        <w:t>Universal Design mortgages for new homes where more favourable terms could be offered when Universal Design features are included in new homes</w:t>
      </w:r>
    </w:p>
    <w:p w14:paraId="5BAEA2A8" w14:textId="77777777" w:rsidR="00475B68" w:rsidRPr="00C15BB9" w:rsidRDefault="00475B68" w:rsidP="00475B68">
      <w:pPr>
        <w:numPr>
          <w:ilvl w:val="0"/>
          <w:numId w:val="1"/>
        </w:numPr>
        <w:spacing w:before="120" w:after="120"/>
        <w:rPr>
          <w:rFonts w:ascii="Gill Sans MT" w:hAnsi="Gill Sans MT"/>
        </w:rPr>
      </w:pPr>
      <w:r w:rsidRPr="00C15BB9">
        <w:rPr>
          <w:rFonts w:ascii="Gill Sans MT" w:hAnsi="Gill Sans MT"/>
        </w:rPr>
        <w:t>a time-limited VAT reduction in order to encourage builders to build Universal Design Homes</w:t>
      </w:r>
    </w:p>
    <w:p w14:paraId="55A2DEFF" w14:textId="77777777" w:rsidR="00475B68" w:rsidRPr="00C15BB9" w:rsidRDefault="00475B68" w:rsidP="00475B68">
      <w:pPr>
        <w:numPr>
          <w:ilvl w:val="0"/>
          <w:numId w:val="1"/>
        </w:numPr>
        <w:spacing w:before="120" w:after="120"/>
        <w:rPr>
          <w:rFonts w:ascii="Gill Sans MT" w:hAnsi="Gill Sans MT"/>
        </w:rPr>
      </w:pPr>
      <w:r w:rsidRPr="00C15BB9">
        <w:rPr>
          <w:rFonts w:ascii="Gill Sans MT" w:hAnsi="Gill Sans MT"/>
        </w:rPr>
        <w:t>extending the existing practice of waivers from local authority development contributions to developments – or part of developments – that are planned, designed and built following a Universal Design approach</w:t>
      </w:r>
    </w:p>
    <w:p w14:paraId="6451BFEA" w14:textId="77777777" w:rsidR="00475B68" w:rsidRDefault="00475B68" w:rsidP="00475B68">
      <w:r w:rsidRPr="00C15BB9">
        <w:t xml:space="preserve">The Norwegian State Housing Bank (NSHB) is working towards increasing the amount of housing using a Universal Design approach. This work is based on Norwegian government policy set out in </w:t>
      </w:r>
      <w:r w:rsidRPr="00C15BB9">
        <w:rPr>
          <w:b/>
        </w:rPr>
        <w:t>Norway universally designed by 2025.</w:t>
      </w:r>
      <w:r w:rsidRPr="00C15BB9">
        <w:rPr>
          <w:b/>
          <w:vertAlign w:val="superscript"/>
        </w:rPr>
        <w:footnoteReference w:id="2"/>
      </w:r>
      <w:r>
        <w:rPr>
          <w:b/>
        </w:rPr>
        <w:t xml:space="preserve"> </w:t>
      </w:r>
      <w:r>
        <w:t>The NDA suggests that rather than creating a specific bank, there are existing institutions that could be used for a similar purpose in Ireland.</w:t>
      </w:r>
    </w:p>
    <w:p w14:paraId="2F3C67B3" w14:textId="51BA9DBE" w:rsidR="00475B68" w:rsidRDefault="00475B68" w:rsidP="00475B68">
      <w:r w:rsidRPr="00652B56">
        <w:lastRenderedPageBreak/>
        <w:t>NDA advi</w:t>
      </w:r>
      <w:r>
        <w:t xml:space="preserve">ses that homes that are to be planned, designed and built following a Universal Design approach could be prioritised for investment by </w:t>
      </w:r>
      <w:r w:rsidRPr="00652B56">
        <w:t>H</w:t>
      </w:r>
      <w:r>
        <w:t>ome Building Finance Ireland as an incentive for builders/developers</w:t>
      </w:r>
      <w:r w:rsidRPr="00652B56">
        <w:t>.</w:t>
      </w:r>
      <w:r>
        <w:t xml:space="preserve"> In addition</w:t>
      </w:r>
      <w:r w:rsidR="007A3E26">
        <w:t>,</w:t>
      </w:r>
      <w:r>
        <w:t xml:space="preserve"> there may be resources available via the Land Development Agency that could attract Universal Design planning, design and building criteria as conditions for funding. </w:t>
      </w:r>
    </w:p>
    <w:p w14:paraId="3B6302E3" w14:textId="78B34D18" w:rsidR="00475B68" w:rsidRDefault="00475B68" w:rsidP="00475B68">
      <w:r>
        <w:t xml:space="preserve">The Housing Finance Agency already lends to Approved Housing Bodies, who are themselves now regulated by the </w:t>
      </w:r>
      <w:r w:rsidRPr="002D5D94">
        <w:t>Approved Housing Bodies Regulatory Authority</w:t>
      </w:r>
      <w:r>
        <w:t xml:space="preserve">. </w:t>
      </w:r>
    </w:p>
    <w:p w14:paraId="3FFDBC05" w14:textId="77777777" w:rsidR="007A3E26" w:rsidRDefault="007A3E26" w:rsidP="007A3E26">
      <w:r>
        <w:t>Finally there may also be surplus monies to be tapped from the profits that NAMA has made managing its various portfolios. As NAMA is due to be wound down would there be scope for a Dormant Accounts-style block of funding that could be made available for Universal Design homes.</w:t>
      </w:r>
    </w:p>
    <w:p w14:paraId="11A17C6B" w14:textId="365FF219" w:rsidR="007A3E26" w:rsidRDefault="007A3E26" w:rsidP="00475B68"/>
    <w:p w14:paraId="19D7724A" w14:textId="77777777" w:rsidR="007A3E26" w:rsidRDefault="007A3E26" w:rsidP="00475B68"/>
    <w:p w14:paraId="754F1E33" w14:textId="5781ADC1" w:rsidR="00753AAC" w:rsidRDefault="005315EE" w:rsidP="00753AAC">
      <w:pPr>
        <w:pStyle w:val="Heading1"/>
      </w:pPr>
      <w:r>
        <w:t xml:space="preserve">7. </w:t>
      </w:r>
      <w:r w:rsidR="00753AAC">
        <w:t>In your opinion, what measures / interventions are needed for the development of rural housing, including one-off housing (a house built outside of a town / village that is not part of a group of houses / estate), in an environmentally and socially sustainable manner?</w:t>
      </w:r>
    </w:p>
    <w:p w14:paraId="3AC7F944" w14:textId="4A71310C" w:rsidR="00753AAC" w:rsidRPr="00753AAC" w:rsidRDefault="00475B68" w:rsidP="00C15BB9">
      <w:r>
        <w:t>N/A</w:t>
      </w:r>
    </w:p>
    <w:p w14:paraId="24B27B59" w14:textId="77777777" w:rsidR="00753AAC" w:rsidRDefault="005315EE" w:rsidP="00753AAC">
      <w:pPr>
        <w:pStyle w:val="Heading1"/>
      </w:pPr>
      <w:r>
        <w:t xml:space="preserve">8. </w:t>
      </w:r>
      <w:r w:rsidR="00753AAC">
        <w:t>In your opinion, what measures, if any, are needed in order to regulate local authority provided social housing in Ireland?</w:t>
      </w:r>
    </w:p>
    <w:p w14:paraId="779DEDAA" w14:textId="122D62EF" w:rsidR="000975E8" w:rsidRDefault="009A629D" w:rsidP="009A629D">
      <w:pPr>
        <w:rPr>
          <w:rFonts w:ascii="Gill Sans MT" w:hAnsi="Gill Sans MT"/>
        </w:rPr>
      </w:pPr>
      <w:r w:rsidRPr="009A629D">
        <w:rPr>
          <w:rFonts w:ascii="Gill Sans MT" w:hAnsi="Gill Sans MT"/>
        </w:rPr>
        <w:t xml:space="preserve">It is critically important that a share of </w:t>
      </w:r>
      <w:r w:rsidR="00475B68">
        <w:rPr>
          <w:rFonts w:ascii="Gill Sans MT" w:hAnsi="Gill Sans MT"/>
        </w:rPr>
        <w:t>l</w:t>
      </w:r>
      <w:r w:rsidRPr="009A629D">
        <w:rPr>
          <w:rFonts w:ascii="Gill Sans MT" w:hAnsi="Gill Sans MT"/>
        </w:rPr>
        <w:t xml:space="preserve">ocal authority provided social housing </w:t>
      </w:r>
      <w:r w:rsidR="000975E8">
        <w:rPr>
          <w:rFonts w:ascii="Gill Sans MT" w:hAnsi="Gill Sans MT"/>
        </w:rPr>
        <w:t>is</w:t>
      </w:r>
      <w:r w:rsidR="000975E8" w:rsidRPr="009A629D">
        <w:rPr>
          <w:rFonts w:ascii="Gill Sans MT" w:hAnsi="Gill Sans MT"/>
        </w:rPr>
        <w:t xml:space="preserve"> </w:t>
      </w:r>
      <w:r w:rsidRPr="009A629D">
        <w:rPr>
          <w:rFonts w:ascii="Gill Sans MT" w:hAnsi="Gill Sans MT"/>
        </w:rPr>
        <w:t xml:space="preserve">built </w:t>
      </w:r>
      <w:r>
        <w:rPr>
          <w:rFonts w:ascii="Gill Sans MT" w:hAnsi="Gill Sans MT"/>
        </w:rPr>
        <w:t xml:space="preserve">in accordance with </w:t>
      </w:r>
      <w:r w:rsidR="00FF3531">
        <w:rPr>
          <w:rFonts w:ascii="Gill Sans MT" w:hAnsi="Gill Sans MT"/>
        </w:rPr>
        <w:t>UD</w:t>
      </w:r>
      <w:r>
        <w:rPr>
          <w:rFonts w:ascii="Gill Sans MT" w:hAnsi="Gill Sans MT"/>
        </w:rPr>
        <w:t xml:space="preserve"> principles</w:t>
      </w:r>
      <w:r w:rsidRPr="009A629D">
        <w:rPr>
          <w:rFonts w:ascii="Gill Sans MT" w:hAnsi="Gill Sans MT"/>
        </w:rPr>
        <w:t xml:space="preserve">, with particular emphasis on developing homes that are liveable for persons with disabilities and older persons. </w:t>
      </w:r>
    </w:p>
    <w:p w14:paraId="7A2DE89B" w14:textId="18F450F8" w:rsidR="009A629D" w:rsidRPr="009A629D" w:rsidRDefault="00FF3531" w:rsidP="009A629D">
      <w:pPr>
        <w:rPr>
          <w:rFonts w:ascii="Gill Sans MT" w:hAnsi="Gill Sans MT"/>
        </w:rPr>
      </w:pPr>
      <w:r w:rsidRPr="00FF3531">
        <w:rPr>
          <w:rFonts w:ascii="Gill Sans MT" w:hAnsi="Gill Sans MT"/>
        </w:rPr>
        <w:lastRenderedPageBreak/>
        <w:t xml:space="preserve">The 2019 inter-Departmental policy statement </w:t>
      </w:r>
      <w:r w:rsidRPr="00FF3531">
        <w:rPr>
          <w:rFonts w:ascii="Gill Sans MT" w:hAnsi="Gill Sans MT"/>
          <w:b/>
        </w:rPr>
        <w:t>Housing Options for our Ageing Population</w:t>
      </w:r>
      <w:r w:rsidR="000975E8">
        <w:rPr>
          <w:rStyle w:val="FootnoteReference"/>
          <w:b/>
        </w:rPr>
        <w:footnoteReference w:id="3"/>
      </w:r>
      <w:r w:rsidRPr="00FF3531">
        <w:rPr>
          <w:rFonts w:ascii="Gill Sans MT" w:hAnsi="Gill Sans MT"/>
        </w:rPr>
        <w:t xml:space="preserve"> outlines a range of actions, including the aim that within five years 30% of new builds in Ireland should incorporate UD principles to accommodate Ireland’s ageing population. </w:t>
      </w:r>
      <w:r>
        <w:rPr>
          <w:rFonts w:ascii="Gill Sans MT" w:hAnsi="Gill Sans MT"/>
        </w:rPr>
        <w:t>On foot of this document, t</w:t>
      </w:r>
      <w:r w:rsidRPr="00FF3531">
        <w:rPr>
          <w:rFonts w:ascii="Gill Sans MT" w:hAnsi="Gill Sans MT"/>
        </w:rPr>
        <w:t xml:space="preserve">he NDA is in the process of developing </w:t>
      </w:r>
      <w:r>
        <w:rPr>
          <w:rFonts w:ascii="Gill Sans MT" w:hAnsi="Gill Sans MT"/>
        </w:rPr>
        <w:t xml:space="preserve">an </w:t>
      </w:r>
      <w:r w:rsidRPr="00FF3531">
        <w:rPr>
          <w:rFonts w:ascii="Gill Sans MT" w:hAnsi="Gill Sans MT"/>
        </w:rPr>
        <w:t>economic and social evaluation of UD homes through the performance of a C</w:t>
      </w:r>
      <w:r>
        <w:rPr>
          <w:rFonts w:ascii="Gill Sans MT" w:hAnsi="Gill Sans MT"/>
        </w:rPr>
        <w:t xml:space="preserve">ost </w:t>
      </w:r>
      <w:r w:rsidRPr="00FF3531">
        <w:rPr>
          <w:rFonts w:ascii="Gill Sans MT" w:hAnsi="Gill Sans MT"/>
        </w:rPr>
        <w:t>B</w:t>
      </w:r>
      <w:r>
        <w:rPr>
          <w:rFonts w:ascii="Gill Sans MT" w:hAnsi="Gill Sans MT"/>
        </w:rPr>
        <w:t>enefit</w:t>
      </w:r>
      <w:r w:rsidR="00983409">
        <w:rPr>
          <w:rFonts w:ascii="Gill Sans MT" w:hAnsi="Gill Sans MT"/>
        </w:rPr>
        <w:t xml:space="preserve"> </w:t>
      </w:r>
      <w:r w:rsidRPr="00FF3531">
        <w:rPr>
          <w:rFonts w:ascii="Gill Sans MT" w:hAnsi="Gill Sans MT"/>
        </w:rPr>
        <w:t>A</w:t>
      </w:r>
      <w:r w:rsidR="00983409">
        <w:rPr>
          <w:rFonts w:ascii="Gill Sans MT" w:hAnsi="Gill Sans MT"/>
        </w:rPr>
        <w:t>nalysis</w:t>
      </w:r>
      <w:r w:rsidRPr="00FF3531">
        <w:rPr>
          <w:rFonts w:ascii="Gill Sans MT" w:hAnsi="Gill Sans MT"/>
        </w:rPr>
        <w:t xml:space="preserve"> in accordance with the Public Spending Code.</w:t>
      </w:r>
      <w:r>
        <w:rPr>
          <w:rFonts w:ascii="Gill Sans MT" w:hAnsi="Gill Sans MT"/>
        </w:rPr>
        <w:t xml:space="preserve"> </w:t>
      </w:r>
      <w:r w:rsidR="00983409">
        <w:rPr>
          <w:rFonts w:ascii="Gill Sans MT" w:hAnsi="Gill Sans MT"/>
        </w:rPr>
        <w:t>We would advise local authorities</w:t>
      </w:r>
      <w:r w:rsidR="000975E8">
        <w:rPr>
          <w:rFonts w:ascii="Gill Sans MT" w:hAnsi="Gill Sans MT"/>
        </w:rPr>
        <w:t xml:space="preserve">, where practicable, to gradually work towards this target. The </w:t>
      </w:r>
      <w:r w:rsidR="009A629D" w:rsidRPr="009A629D">
        <w:rPr>
          <w:rFonts w:ascii="Gill Sans MT" w:hAnsi="Gill Sans MT"/>
        </w:rPr>
        <w:t xml:space="preserve">delivery of </w:t>
      </w:r>
      <w:r w:rsidR="000975E8">
        <w:rPr>
          <w:rFonts w:ascii="Gill Sans MT" w:hAnsi="Gill Sans MT"/>
        </w:rPr>
        <w:t>UD Homes</w:t>
      </w:r>
      <w:r w:rsidR="009A629D" w:rsidRPr="009A629D">
        <w:rPr>
          <w:rFonts w:ascii="Gill Sans MT" w:hAnsi="Gill Sans MT"/>
        </w:rPr>
        <w:t xml:space="preserve"> </w:t>
      </w:r>
      <w:r w:rsidR="000975E8">
        <w:rPr>
          <w:rFonts w:ascii="Gill Sans MT" w:hAnsi="Gill Sans MT"/>
        </w:rPr>
        <w:t>should be</w:t>
      </w:r>
      <w:r w:rsidR="009A629D" w:rsidRPr="009A629D">
        <w:rPr>
          <w:rFonts w:ascii="Gill Sans MT" w:hAnsi="Gill Sans MT"/>
        </w:rPr>
        <w:t xml:space="preserve"> coordinated at a national level, and the delivery and monitoring of same should be formalised and standardised. </w:t>
      </w:r>
    </w:p>
    <w:p w14:paraId="4D8AD00B" w14:textId="63565E5B" w:rsidR="009A629D" w:rsidRDefault="009A629D" w:rsidP="009A629D">
      <w:pPr>
        <w:rPr>
          <w:rFonts w:ascii="Gill Sans MT" w:hAnsi="Gill Sans MT"/>
        </w:rPr>
      </w:pPr>
      <w:r w:rsidRPr="009A629D">
        <w:rPr>
          <w:rFonts w:ascii="Gill Sans MT" w:hAnsi="Gill Sans MT"/>
        </w:rPr>
        <w:t xml:space="preserve">At present, many personnel working </w:t>
      </w:r>
      <w:r w:rsidR="00CB1F24">
        <w:rPr>
          <w:rFonts w:ascii="Gill Sans MT" w:hAnsi="Gill Sans MT"/>
        </w:rPr>
        <w:t>in</w:t>
      </w:r>
      <w:r w:rsidR="00CB1F24" w:rsidRPr="009A629D">
        <w:rPr>
          <w:rFonts w:ascii="Gill Sans MT" w:hAnsi="Gill Sans MT"/>
        </w:rPr>
        <w:t xml:space="preserve"> </w:t>
      </w:r>
      <w:r w:rsidR="00CB1F24">
        <w:rPr>
          <w:rFonts w:ascii="Gill Sans MT" w:hAnsi="Gill Sans MT"/>
        </w:rPr>
        <w:t>l</w:t>
      </w:r>
      <w:r w:rsidRPr="009A629D">
        <w:rPr>
          <w:rFonts w:ascii="Gill Sans MT" w:hAnsi="Gill Sans MT"/>
        </w:rPr>
        <w:t xml:space="preserve">ocal </w:t>
      </w:r>
      <w:r w:rsidR="00CB1F24">
        <w:rPr>
          <w:rFonts w:ascii="Gill Sans MT" w:hAnsi="Gill Sans MT"/>
        </w:rPr>
        <w:t>a</w:t>
      </w:r>
      <w:r w:rsidRPr="009A629D">
        <w:rPr>
          <w:rFonts w:ascii="Gill Sans MT" w:hAnsi="Gill Sans MT"/>
        </w:rPr>
        <w:t xml:space="preserve">uthorities may not be fully clear on the various features and technical specifications associated with </w:t>
      </w:r>
      <w:r w:rsidR="000975E8">
        <w:rPr>
          <w:rFonts w:ascii="Gill Sans MT" w:hAnsi="Gill Sans MT"/>
        </w:rPr>
        <w:t>UD</w:t>
      </w:r>
      <w:r>
        <w:rPr>
          <w:rFonts w:ascii="Gill Sans MT" w:hAnsi="Gill Sans MT"/>
        </w:rPr>
        <w:t xml:space="preserve"> Homes. The NDA published Universal Design Guidelines for Homes in Ireland in 2015. The Irish Green Building Council’s Home Performance Index </w:t>
      </w:r>
      <w:r w:rsidR="00126561">
        <w:rPr>
          <w:rFonts w:ascii="Gill Sans MT" w:hAnsi="Gill Sans MT"/>
        </w:rPr>
        <w:t xml:space="preserve">also </w:t>
      </w:r>
      <w:r>
        <w:rPr>
          <w:rFonts w:ascii="Gill Sans MT" w:hAnsi="Gill Sans MT"/>
        </w:rPr>
        <w:t xml:space="preserve">includes content on </w:t>
      </w:r>
      <w:r w:rsidR="00126561">
        <w:rPr>
          <w:rFonts w:ascii="Gill Sans MT" w:hAnsi="Gill Sans MT"/>
        </w:rPr>
        <w:t>UD</w:t>
      </w:r>
      <w:r>
        <w:rPr>
          <w:rFonts w:ascii="Gill Sans MT" w:hAnsi="Gill Sans MT"/>
        </w:rPr>
        <w:t xml:space="preserve"> Homes. </w:t>
      </w:r>
    </w:p>
    <w:p w14:paraId="44CEC8F5" w14:textId="77777777" w:rsidR="00475B68" w:rsidRDefault="009A629D" w:rsidP="009A629D">
      <w:pPr>
        <w:rPr>
          <w:rFonts w:ascii="Gill Sans MT" w:hAnsi="Gill Sans MT"/>
        </w:rPr>
      </w:pPr>
      <w:r>
        <w:rPr>
          <w:rFonts w:ascii="Gill Sans MT" w:hAnsi="Gill Sans MT"/>
        </w:rPr>
        <w:t>T</w:t>
      </w:r>
      <w:r w:rsidRPr="009A629D">
        <w:rPr>
          <w:rFonts w:ascii="Gill Sans MT" w:hAnsi="Gill Sans MT"/>
        </w:rPr>
        <w:t>he ND</w:t>
      </w:r>
      <w:r>
        <w:rPr>
          <w:rFonts w:ascii="Gill Sans MT" w:hAnsi="Gill Sans MT"/>
        </w:rPr>
        <w:t>A has now commenced work</w:t>
      </w:r>
      <w:r w:rsidRPr="009A629D">
        <w:rPr>
          <w:rFonts w:ascii="Gill Sans MT" w:hAnsi="Gill Sans MT"/>
        </w:rPr>
        <w:t xml:space="preserve"> with the National Standards Authority of Ireland on the development of an Irish sta</w:t>
      </w:r>
      <w:r>
        <w:rPr>
          <w:rFonts w:ascii="Gill Sans MT" w:hAnsi="Gill Sans MT"/>
        </w:rPr>
        <w:t>ndard for Universal Design Dwellings</w:t>
      </w:r>
      <w:r w:rsidRPr="009A629D">
        <w:rPr>
          <w:rFonts w:ascii="Gill Sans MT" w:hAnsi="Gill Sans MT"/>
        </w:rPr>
        <w:t xml:space="preserve">, to support delivery </w:t>
      </w:r>
      <w:r>
        <w:rPr>
          <w:rFonts w:ascii="Gill Sans MT" w:hAnsi="Gill Sans MT"/>
        </w:rPr>
        <w:t xml:space="preserve">in both the public and private sectors. </w:t>
      </w:r>
    </w:p>
    <w:p w14:paraId="2E722623" w14:textId="77777777" w:rsidR="007D71FC" w:rsidRDefault="005315EE" w:rsidP="00753AAC">
      <w:pPr>
        <w:pStyle w:val="Heading1"/>
      </w:pPr>
      <w:r>
        <w:t xml:space="preserve">9. </w:t>
      </w:r>
      <w:r w:rsidR="00753AAC">
        <w:t xml:space="preserve">What do you believe is the optimum role of Approved Housing Bodies (AHBs), including their role regarding the housing needs of vulnerable groups? AHBs are independent, not-for-profit organisations that provide affordable rented housing for people who cannot afford to pay private sector rents or buy their own homes (examples of AHBs include </w:t>
      </w:r>
      <w:proofErr w:type="spellStart"/>
      <w:r w:rsidR="00753AAC">
        <w:t>Clúid</w:t>
      </w:r>
      <w:proofErr w:type="spellEnd"/>
      <w:r w:rsidR="00753AAC">
        <w:t>, Respond and Threshold).</w:t>
      </w:r>
    </w:p>
    <w:p w14:paraId="3E5A9727" w14:textId="77777777" w:rsidR="0056500B" w:rsidRDefault="0056500B" w:rsidP="0056500B">
      <w:r>
        <w:t>Approved Housing Bodies (AHBs) are already the leading sector in the building industry for providing Universal Design homes for disabled and older people. They should be incentivised to increase the amount of these homes that they could be reasonably expected to build.</w:t>
      </w:r>
    </w:p>
    <w:p w14:paraId="34657974" w14:textId="77777777" w:rsidR="0056500B" w:rsidRPr="00753AAC" w:rsidRDefault="0056500B" w:rsidP="0056500B">
      <w:r>
        <w:lastRenderedPageBreak/>
        <w:t xml:space="preserve">The financial measures that AHBs use to fund their projects e.g. CAS and CALF, need to be more dynamic and responsive to their needs. </w:t>
      </w:r>
    </w:p>
    <w:p w14:paraId="38663C77" w14:textId="39299786" w:rsidR="00CB1F24" w:rsidRDefault="00CB1F24" w:rsidP="00CB1F24">
      <w:r>
        <w:t>N</w:t>
      </w:r>
      <w:r w:rsidRPr="00641164">
        <w:t>o group in society is inherently vulnerable, but they can be placed in situations of vulnerability</w:t>
      </w:r>
      <w:r>
        <w:t>.</w:t>
      </w:r>
      <w:r w:rsidR="0003074D">
        <w:t xml:space="preserve"> I</w:t>
      </w:r>
      <w:r w:rsidRPr="00AB5897">
        <w:t>t</w:t>
      </w:r>
      <w:r w:rsidR="0003074D">
        <w:t>’</w:t>
      </w:r>
      <w:r w:rsidRPr="00AB5897">
        <w:t xml:space="preserve">s important not to depict disabled </w:t>
      </w:r>
      <w:r w:rsidR="007A3E26">
        <w:t xml:space="preserve">or older </w:t>
      </w:r>
      <w:r w:rsidRPr="00AB5897">
        <w:t xml:space="preserve">people as inherently vulnerable. </w:t>
      </w:r>
    </w:p>
    <w:p w14:paraId="2938FD80" w14:textId="7C4FC16E" w:rsidR="00CB1F24" w:rsidRDefault="00CB1F24" w:rsidP="00CB1F24">
      <w:pPr>
        <w:rPr>
          <w:b/>
        </w:rPr>
      </w:pPr>
      <w:r w:rsidRPr="00AB5897">
        <w:t>People with disabilities become vulnerable because of the disabling barriers in society, rather than because of an individual</w:t>
      </w:r>
      <w:r w:rsidRPr="00AB5897">
        <w:rPr>
          <w:rFonts w:hint="eastAsia"/>
        </w:rPr>
        <w:t>’</w:t>
      </w:r>
      <w:r w:rsidRPr="00AB5897">
        <w:t xml:space="preserve">s </w:t>
      </w:r>
      <w:r w:rsidRPr="00AB5897">
        <w:rPr>
          <w:rFonts w:hint="eastAsia"/>
        </w:rPr>
        <w:t>‘</w:t>
      </w:r>
      <w:r w:rsidRPr="00AB5897">
        <w:t>impairment</w:t>
      </w:r>
      <w:r w:rsidRPr="00AB5897">
        <w:rPr>
          <w:rFonts w:hint="eastAsia"/>
        </w:rPr>
        <w:t>’</w:t>
      </w:r>
      <w:r w:rsidRPr="00AB5897">
        <w:t>. This approach shifts the perspective from paternalism and protection towards empowerment and the recognition of disabled people as rights-holders.</w:t>
      </w:r>
      <w:r>
        <w:t xml:space="preserve"> We advise against the use of vulnerable as blanket term as it does not align with the new approach to capacity adopted in the </w:t>
      </w:r>
      <w:r w:rsidR="008631F5" w:rsidRPr="008631F5">
        <w:rPr>
          <w:b/>
        </w:rPr>
        <w:t>Assisted Decision-Making (Capacity) Act 2015</w:t>
      </w:r>
      <w:r w:rsidR="008631F5">
        <w:t xml:space="preserve"> and the new </w:t>
      </w:r>
      <w:r w:rsidR="008631F5" w:rsidRPr="008631F5">
        <w:rPr>
          <w:b/>
        </w:rPr>
        <w:t>Assisted Decision-Making (Capacity) (Amendment) Act 2022</w:t>
      </w:r>
      <w:r w:rsidR="008631F5">
        <w:rPr>
          <w:b/>
        </w:rPr>
        <w:t>.</w:t>
      </w:r>
    </w:p>
    <w:p w14:paraId="5F94F30E" w14:textId="0CF13AFF" w:rsidR="008631F5" w:rsidRDefault="008631F5" w:rsidP="008631F5">
      <w:r w:rsidRPr="00AB5897">
        <w:t xml:space="preserve">Disabled people are not a homogenous group and may choose to identify in various ways. </w:t>
      </w:r>
      <w:r>
        <w:t>Disabled Persons Organisations (</w:t>
      </w:r>
      <w:r w:rsidRPr="00AB5897">
        <w:t>DPOs</w:t>
      </w:r>
      <w:r>
        <w:t>)</w:t>
      </w:r>
      <w:r w:rsidRPr="00AB5897">
        <w:t xml:space="preserve"> are the organisations best placed to advise </w:t>
      </w:r>
      <w:r w:rsidR="0003074D">
        <w:t>about</w:t>
      </w:r>
      <w:r w:rsidRPr="00AB5897">
        <w:t xml:space="preserve"> the most up to date language. The views of some DPOs may differ from others. A flexible approach which is res</w:t>
      </w:r>
      <w:r>
        <w:t xml:space="preserve">pectful to all can be adopted. </w:t>
      </w:r>
      <w:r w:rsidRPr="00AB5897">
        <w:t xml:space="preserve">The NDA recognises both </w:t>
      </w:r>
      <w:r w:rsidRPr="00AB5897">
        <w:rPr>
          <w:rFonts w:hint="eastAsia"/>
        </w:rPr>
        <w:t>‘</w:t>
      </w:r>
      <w:r w:rsidRPr="00AB5897">
        <w:t xml:space="preserve">person with </w:t>
      </w:r>
      <w:r>
        <w:t xml:space="preserve">a </w:t>
      </w:r>
      <w:r w:rsidRPr="00AB5897">
        <w:t>disability</w:t>
      </w:r>
      <w:r w:rsidRPr="00AB5897">
        <w:rPr>
          <w:rFonts w:hint="eastAsia"/>
        </w:rPr>
        <w:t>’</w:t>
      </w:r>
      <w:r w:rsidRPr="00AB5897">
        <w:t xml:space="preserve"> and </w:t>
      </w:r>
      <w:r w:rsidRPr="00AB5897">
        <w:rPr>
          <w:rFonts w:hint="eastAsia"/>
        </w:rPr>
        <w:t>‘</w:t>
      </w:r>
      <w:r w:rsidRPr="00AB5897">
        <w:t>disabled person</w:t>
      </w:r>
      <w:r w:rsidRPr="00AB5897">
        <w:rPr>
          <w:rFonts w:hint="eastAsia"/>
        </w:rPr>
        <w:t>’</w:t>
      </w:r>
      <w:r w:rsidRPr="00AB5897">
        <w:t xml:space="preserve"> as valid and legitimate terms.</w:t>
      </w:r>
      <w:r>
        <w:t xml:space="preserve"> The NDA paper on </w:t>
      </w:r>
      <w:hyperlink r:id="rId9" w:history="1">
        <w:r>
          <w:rPr>
            <w:rStyle w:val="Hyperlink"/>
          </w:rPr>
          <w:t>Disability Language and Terminology</w:t>
        </w:r>
      </w:hyperlink>
      <w:r>
        <w:t xml:space="preserve"> expands on this issue.</w:t>
      </w:r>
    </w:p>
    <w:p w14:paraId="1ABC883B" w14:textId="0DB38EE5" w:rsidR="008631F5" w:rsidRDefault="008631F5" w:rsidP="008631F5">
      <w:r>
        <w:t xml:space="preserve">The NDA has recently published </w:t>
      </w:r>
      <w:hyperlink r:id="rId10" w:history="1">
        <w:r>
          <w:rPr>
            <w:rStyle w:val="Hyperlink"/>
          </w:rPr>
          <w:t>Participation Matters: Guidelines on implementing the obligation to meaningfully engage with disabled people in public decision making</w:t>
        </w:r>
      </w:hyperlink>
      <w:r>
        <w:t>. These guidelines support officials to take a Universal Design approach to all public consultation and participation processes so that disabled people can participate on an equal basis with others.</w:t>
      </w:r>
    </w:p>
    <w:p w14:paraId="33131F63" w14:textId="4FD4D8DC" w:rsidR="00C6421E" w:rsidRPr="00753AAC" w:rsidRDefault="00C6421E" w:rsidP="00C6421E"/>
    <w:sectPr w:rsidR="00C6421E" w:rsidRPr="00753AAC">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187CE" w14:textId="77777777" w:rsidR="00753AAC" w:rsidRDefault="00753AAC">
      <w:r>
        <w:separator/>
      </w:r>
    </w:p>
  </w:endnote>
  <w:endnote w:type="continuationSeparator" w:id="0">
    <w:p w14:paraId="4C532291" w14:textId="77777777" w:rsidR="00753AAC" w:rsidRDefault="0075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A5DF" w14:textId="57FB854B" w:rsidR="009C4D62" w:rsidRDefault="009C4D62">
    <w:pPr>
      <w:pStyle w:val="Footer"/>
    </w:pPr>
    <w:r>
      <w:tab/>
    </w:r>
    <w:r>
      <w:tab/>
    </w:r>
    <w:r>
      <w:fldChar w:fldCharType="begin"/>
    </w:r>
    <w:r>
      <w:instrText xml:space="preserve"> PAGE  \* Arabic  \* MERGEFORMAT </w:instrText>
    </w:r>
    <w:r>
      <w:fldChar w:fldCharType="separate"/>
    </w:r>
    <w:r w:rsidR="00BC5CF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FB97B" w14:textId="77777777" w:rsidR="00753AAC" w:rsidRDefault="00753AAC">
      <w:r>
        <w:separator/>
      </w:r>
    </w:p>
  </w:footnote>
  <w:footnote w:type="continuationSeparator" w:id="0">
    <w:p w14:paraId="68F0610D" w14:textId="77777777" w:rsidR="00753AAC" w:rsidRDefault="00753AAC">
      <w:r>
        <w:continuationSeparator/>
      </w:r>
    </w:p>
  </w:footnote>
  <w:footnote w:id="1">
    <w:p w14:paraId="25E14E4D" w14:textId="5C4FEE88" w:rsidR="006D2083" w:rsidRDefault="006D2083">
      <w:pPr>
        <w:pStyle w:val="FootnoteText"/>
      </w:pPr>
      <w:r>
        <w:rPr>
          <w:rStyle w:val="FootnoteReference"/>
        </w:rPr>
        <w:footnoteRef/>
      </w:r>
      <w:r>
        <w:t xml:space="preserve"> </w:t>
      </w:r>
      <w:hyperlink r:id="rId1" w:history="1">
        <w:r w:rsidRPr="004507AE">
          <w:rPr>
            <w:rStyle w:val="Hyperlink"/>
          </w:rPr>
          <w:t>https://www.gov.ie/en/consultation/7d325-the-housing-commission-public-consultation/</w:t>
        </w:r>
      </w:hyperlink>
    </w:p>
  </w:footnote>
  <w:footnote w:id="2">
    <w:p w14:paraId="26DF5ECB" w14:textId="77777777" w:rsidR="00475B68" w:rsidRDefault="00475B68" w:rsidP="00475B68">
      <w:pPr>
        <w:pStyle w:val="FootnoteText"/>
      </w:pPr>
      <w:r>
        <w:rPr>
          <w:rStyle w:val="FootnoteReference"/>
        </w:rPr>
        <w:footnoteRef/>
      </w:r>
      <w:r>
        <w:t xml:space="preserve"> </w:t>
      </w:r>
      <w:hyperlink r:id="rId2" w:history="1">
        <w:r w:rsidRPr="00E95D4E">
          <w:rPr>
            <w:rStyle w:val="Hyperlink"/>
          </w:rPr>
          <w:t>https://www.regjeringen.no/globalassets/upload/bld/nedsatt-funksjonsevne/norway-universally-designed-by-2025-web.pdf</w:t>
        </w:r>
      </w:hyperlink>
      <w:r>
        <w:t xml:space="preserve"> </w:t>
      </w:r>
    </w:p>
  </w:footnote>
  <w:footnote w:id="3">
    <w:p w14:paraId="7B4979A8" w14:textId="7C71B29E" w:rsidR="000975E8" w:rsidRDefault="000975E8">
      <w:pPr>
        <w:pStyle w:val="FootnoteText"/>
      </w:pPr>
      <w:r>
        <w:rPr>
          <w:rStyle w:val="FootnoteReference"/>
        </w:rPr>
        <w:footnoteRef/>
      </w:r>
      <w:r>
        <w:t xml:space="preserve"> </w:t>
      </w:r>
      <w:hyperlink r:id="rId3" w:anchor="page=null" w:history="1">
        <w:r w:rsidRPr="002F3EDC">
          <w:rPr>
            <w:rStyle w:val="Hyperlink"/>
          </w:rPr>
          <w:t>https://www.gov.ie/pdf/?file=https://assets.gov.ie/9398/ca553fa753b64f14b20e4a8dcf9a46ab.pdf#page=null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D6D51A"/>
    <w:lvl w:ilvl="0">
      <w:start w:val="1"/>
      <w:numFmt w:val="bullet"/>
      <w:pStyle w:val="ListBullet"/>
      <w:lvlText w:val=""/>
      <w:lvlJc w:val="left"/>
      <w:pPr>
        <w:tabs>
          <w:tab w:val="num" w:pos="360"/>
        </w:tabs>
        <w:ind w:left="360" w:hanging="360"/>
      </w:pPr>
      <w:rPr>
        <w:rFonts w:ascii="Symbol" w:hAnsi="Symbol" w:hint="default"/>
        <w:sz w:val="20"/>
        <w:szCs w:val="20"/>
      </w:rPr>
    </w:lvl>
  </w:abstractNum>
  <w:num w:numId="1" w16cid:durableId="1949656467">
    <w:abstractNumId w:val="9"/>
  </w:num>
  <w:num w:numId="2" w16cid:durableId="1690717322">
    <w:abstractNumId w:val="9"/>
  </w:num>
  <w:num w:numId="3" w16cid:durableId="1411384308">
    <w:abstractNumId w:val="7"/>
  </w:num>
  <w:num w:numId="4" w16cid:durableId="1661348066">
    <w:abstractNumId w:val="7"/>
  </w:num>
  <w:num w:numId="5" w16cid:durableId="1533566768">
    <w:abstractNumId w:val="6"/>
  </w:num>
  <w:num w:numId="6" w16cid:durableId="1097403095">
    <w:abstractNumId w:val="6"/>
  </w:num>
  <w:num w:numId="7" w16cid:durableId="1780757588">
    <w:abstractNumId w:val="8"/>
  </w:num>
  <w:num w:numId="8" w16cid:durableId="1780640756">
    <w:abstractNumId w:val="8"/>
  </w:num>
  <w:num w:numId="9" w16cid:durableId="556210478">
    <w:abstractNumId w:val="3"/>
  </w:num>
  <w:num w:numId="10" w16cid:durableId="1518425992">
    <w:abstractNumId w:val="3"/>
  </w:num>
  <w:num w:numId="11" w16cid:durableId="1624262131">
    <w:abstractNumId w:val="2"/>
  </w:num>
  <w:num w:numId="12" w16cid:durableId="368728827">
    <w:abstractNumId w:val="2"/>
  </w:num>
  <w:num w:numId="13" w16cid:durableId="278731306">
    <w:abstractNumId w:val="5"/>
  </w:num>
  <w:num w:numId="14" w16cid:durableId="1595436759">
    <w:abstractNumId w:val="4"/>
  </w:num>
  <w:num w:numId="15" w16cid:durableId="1963610613">
    <w:abstractNumId w:val="1"/>
  </w:num>
  <w:num w:numId="16" w16cid:durableId="388382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AC"/>
    <w:rsid w:val="0003074D"/>
    <w:rsid w:val="00052093"/>
    <w:rsid w:val="00055418"/>
    <w:rsid w:val="000975E8"/>
    <w:rsid w:val="001004DA"/>
    <w:rsid w:val="0012581D"/>
    <w:rsid w:val="00126561"/>
    <w:rsid w:val="0013443C"/>
    <w:rsid w:val="0013755B"/>
    <w:rsid w:val="00181FE6"/>
    <w:rsid w:val="001C2025"/>
    <w:rsid w:val="001F0D22"/>
    <w:rsid w:val="001F34D0"/>
    <w:rsid w:val="00227660"/>
    <w:rsid w:val="00230F79"/>
    <w:rsid w:val="0023160C"/>
    <w:rsid w:val="00232005"/>
    <w:rsid w:val="00265A74"/>
    <w:rsid w:val="00287B8E"/>
    <w:rsid w:val="002D100B"/>
    <w:rsid w:val="00313435"/>
    <w:rsid w:val="00352843"/>
    <w:rsid w:val="003A1D97"/>
    <w:rsid w:val="003A44C8"/>
    <w:rsid w:val="003B10EC"/>
    <w:rsid w:val="003B480E"/>
    <w:rsid w:val="003E233E"/>
    <w:rsid w:val="003F6C93"/>
    <w:rsid w:val="00412037"/>
    <w:rsid w:val="00427BF9"/>
    <w:rsid w:val="00475B68"/>
    <w:rsid w:val="004934C9"/>
    <w:rsid w:val="004939E4"/>
    <w:rsid w:val="004B3766"/>
    <w:rsid w:val="004C5836"/>
    <w:rsid w:val="004C6256"/>
    <w:rsid w:val="004F2488"/>
    <w:rsid w:val="005315EE"/>
    <w:rsid w:val="00542FFD"/>
    <w:rsid w:val="00547D5D"/>
    <w:rsid w:val="0056500B"/>
    <w:rsid w:val="00566F5C"/>
    <w:rsid w:val="005C292B"/>
    <w:rsid w:val="00650A2F"/>
    <w:rsid w:val="0065147B"/>
    <w:rsid w:val="006D2083"/>
    <w:rsid w:val="006E0C75"/>
    <w:rsid w:val="006F25EC"/>
    <w:rsid w:val="0070537E"/>
    <w:rsid w:val="00712D90"/>
    <w:rsid w:val="0072105A"/>
    <w:rsid w:val="0072164D"/>
    <w:rsid w:val="00753AAC"/>
    <w:rsid w:val="007608EF"/>
    <w:rsid w:val="00780F81"/>
    <w:rsid w:val="007858DB"/>
    <w:rsid w:val="007A3E26"/>
    <w:rsid w:val="007B381B"/>
    <w:rsid w:val="007B6238"/>
    <w:rsid w:val="007C16AD"/>
    <w:rsid w:val="007C1D90"/>
    <w:rsid w:val="007C73F7"/>
    <w:rsid w:val="007D71FC"/>
    <w:rsid w:val="007F1BBE"/>
    <w:rsid w:val="007F40DF"/>
    <w:rsid w:val="00831FA1"/>
    <w:rsid w:val="008631F5"/>
    <w:rsid w:val="00895005"/>
    <w:rsid w:val="008E48C0"/>
    <w:rsid w:val="008F29EC"/>
    <w:rsid w:val="00912D1B"/>
    <w:rsid w:val="009222D3"/>
    <w:rsid w:val="00956C48"/>
    <w:rsid w:val="00983409"/>
    <w:rsid w:val="009A122D"/>
    <w:rsid w:val="009A5146"/>
    <w:rsid w:val="009A629D"/>
    <w:rsid w:val="009C3BD7"/>
    <w:rsid w:val="009C4D62"/>
    <w:rsid w:val="00A05270"/>
    <w:rsid w:val="00A1079C"/>
    <w:rsid w:val="00A443B9"/>
    <w:rsid w:val="00AA356B"/>
    <w:rsid w:val="00AE45F5"/>
    <w:rsid w:val="00B03723"/>
    <w:rsid w:val="00B05D5D"/>
    <w:rsid w:val="00B22E1F"/>
    <w:rsid w:val="00B500A6"/>
    <w:rsid w:val="00B57855"/>
    <w:rsid w:val="00B76547"/>
    <w:rsid w:val="00B837E6"/>
    <w:rsid w:val="00B90420"/>
    <w:rsid w:val="00B952E6"/>
    <w:rsid w:val="00B973DC"/>
    <w:rsid w:val="00BA2579"/>
    <w:rsid w:val="00BC5CFD"/>
    <w:rsid w:val="00BC74C2"/>
    <w:rsid w:val="00BD0DCA"/>
    <w:rsid w:val="00BE3DCC"/>
    <w:rsid w:val="00C154AE"/>
    <w:rsid w:val="00C15BB9"/>
    <w:rsid w:val="00C44C6A"/>
    <w:rsid w:val="00C45A10"/>
    <w:rsid w:val="00C632F9"/>
    <w:rsid w:val="00C6421E"/>
    <w:rsid w:val="00C867C9"/>
    <w:rsid w:val="00CB1F24"/>
    <w:rsid w:val="00CB280C"/>
    <w:rsid w:val="00D0150A"/>
    <w:rsid w:val="00D02608"/>
    <w:rsid w:val="00D23B20"/>
    <w:rsid w:val="00D23CC1"/>
    <w:rsid w:val="00D4681B"/>
    <w:rsid w:val="00D517CC"/>
    <w:rsid w:val="00D5494F"/>
    <w:rsid w:val="00D70522"/>
    <w:rsid w:val="00D973D7"/>
    <w:rsid w:val="00DB6C9A"/>
    <w:rsid w:val="00E03678"/>
    <w:rsid w:val="00E72BAA"/>
    <w:rsid w:val="00F351D6"/>
    <w:rsid w:val="00FA1BCC"/>
    <w:rsid w:val="00FB2B38"/>
    <w:rsid w:val="00FC4DC9"/>
    <w:rsid w:val="00FE77CD"/>
    <w:rsid w:val="00FF35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49D5C"/>
  <w15:chartTrackingRefBased/>
  <w15:docId w15:val="{5B9C78A8-CBCD-4935-8636-78EC0EFF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aliases w:val="List Bullet Char,List Bullet Char Char Char Char Char"/>
    <w:basedOn w:val="Normal"/>
    <w:rsid w:val="007B6238"/>
    <w:pPr>
      <w:numPr>
        <w:numId w:val="2"/>
      </w:numPr>
      <w:spacing w:after="120"/>
      <w:ind w:left="357" w:hanging="357"/>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rsid w:val="006E0C75"/>
    <w:pPr>
      <w:jc w:val="left"/>
    </w:pPr>
  </w:style>
  <w:style w:type="paragraph" w:styleId="FootnoteText">
    <w:name w:val="footnote text"/>
    <w:aliases w:val="Footnote Text Char Char,Footnote Text Char1 Char Char,Footnote Text Char Char Char Char,Footnote Text Char Char Char Char Char Char Char Char,Footnote Text Char Char1,Schriftart: 9 pt,Schriftart: 10,f"/>
    <w:basedOn w:val="Normal"/>
    <w:link w:val="FootnoteTextChar"/>
    <w:semiHidden/>
    <w:rsid w:val="009222D3"/>
    <w:pPr>
      <w:spacing w:after="8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aliases w:val="Footnote symbol,Times 10 Point,Exposant 3 Point,stylish,Footnote Reference Superscript,BVI fnr,Footnote symboFußnotenzeichen,Footnote sign,Footnote Reference Number,E FNZ,-E Fußnotenzeichen,Footnote#,Ref,de nota al pie,SUPER"/>
    <w:rsid w:val="00A1079C"/>
    <w:rPr>
      <w:rFonts w:ascii="Gill Sans" w:hAnsi="Gill Sans"/>
      <w:sz w:val="26"/>
      <w:vertAlign w:val="superscript"/>
    </w:rPr>
  </w:style>
  <w:style w:type="character" w:customStyle="1" w:styleId="FootnoteTextChar">
    <w:name w:val="Footnote Text Char"/>
    <w:aliases w:val="Footnote Text Char Char Char,Footnote Text Char1 Char Char Char,Footnote Text Char Char Char Char Char,Footnote Text Char Char Char Char Char Char Char Char Char,Footnote Text Char Char1 Char,Schriftart: 9 pt Char,Schriftart: 10 Char"/>
    <w:link w:val="FootnoteText"/>
    <w:semiHidden/>
    <w:locked/>
    <w:rsid w:val="00C15BB9"/>
    <w:rPr>
      <w:rFonts w:ascii="Gill Sans" w:eastAsia="Times New Roman" w:hAnsi="Gill Sans"/>
      <w:sz w:val="22"/>
      <w:lang w:eastAsia="en-US"/>
    </w:rPr>
  </w:style>
  <w:style w:type="character" w:styleId="CommentReference">
    <w:name w:val="annotation reference"/>
    <w:basedOn w:val="DefaultParagraphFont"/>
    <w:rsid w:val="001F34D0"/>
    <w:rPr>
      <w:sz w:val="16"/>
      <w:szCs w:val="16"/>
    </w:rPr>
  </w:style>
  <w:style w:type="paragraph" w:styleId="CommentSubject">
    <w:name w:val="annotation subject"/>
    <w:basedOn w:val="CommentText"/>
    <w:next w:val="CommentText"/>
    <w:link w:val="CommentSubjectChar"/>
    <w:rsid w:val="001F34D0"/>
    <w:rPr>
      <w:rFonts w:ascii="Gill Sans" w:hAnsi="Gill Sans"/>
      <w:b/>
      <w:bCs/>
      <w:szCs w:val="20"/>
      <w:lang w:val="en-IE"/>
    </w:rPr>
  </w:style>
  <w:style w:type="character" w:customStyle="1" w:styleId="CommentSubjectChar">
    <w:name w:val="Comment Subject Char"/>
    <w:basedOn w:val="CommentTextChar"/>
    <w:link w:val="CommentSubject"/>
    <w:rsid w:val="001F34D0"/>
    <w:rPr>
      <w:rFonts w:ascii="Gill Sans" w:eastAsia="Times New Roman" w:hAnsi="Gill Sans"/>
      <w:b/>
      <w:bCs/>
      <w:szCs w:val="24"/>
      <w:lang w:eastAsia="en-US"/>
    </w:rPr>
  </w:style>
  <w:style w:type="paragraph" w:styleId="BalloonText">
    <w:name w:val="Balloon Text"/>
    <w:basedOn w:val="Normal"/>
    <w:link w:val="BalloonTextChar"/>
    <w:rsid w:val="001F34D0"/>
    <w:pPr>
      <w:spacing w:after="0"/>
    </w:pPr>
    <w:rPr>
      <w:rFonts w:ascii="Segoe UI" w:hAnsi="Segoe UI" w:cs="Segoe UI"/>
      <w:sz w:val="18"/>
      <w:szCs w:val="18"/>
    </w:rPr>
  </w:style>
  <w:style w:type="character" w:customStyle="1" w:styleId="BalloonTextChar">
    <w:name w:val="Balloon Text Char"/>
    <w:basedOn w:val="DefaultParagraphFont"/>
    <w:link w:val="BalloonText"/>
    <w:rsid w:val="001F34D0"/>
    <w:rPr>
      <w:rFonts w:ascii="Segoe UI" w:eastAsia="Times New Roman" w:hAnsi="Segoe UI" w:cs="Segoe UI"/>
      <w:sz w:val="18"/>
      <w:szCs w:val="18"/>
      <w:lang w:eastAsia="en-US"/>
    </w:rPr>
  </w:style>
  <w:style w:type="paragraph" w:styleId="Revision">
    <w:name w:val="Revision"/>
    <w:hidden/>
    <w:uiPriority w:val="99"/>
    <w:semiHidden/>
    <w:rsid w:val="00D973D7"/>
    <w:rPr>
      <w:rFonts w:ascii="Gill Sans" w:eastAsia="Times New Roman" w:hAnsi="Gill Sans"/>
      <w:sz w:val="26"/>
      <w:szCs w:val="24"/>
      <w:lang w:eastAsia="en-US"/>
    </w:rPr>
  </w:style>
  <w:style w:type="character" w:styleId="UnresolvedMention">
    <w:name w:val="Unresolved Mention"/>
    <w:basedOn w:val="DefaultParagraphFont"/>
    <w:uiPriority w:val="99"/>
    <w:semiHidden/>
    <w:unhideWhenUsed/>
    <w:rsid w:val="006D2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da.ie/publications/participation-matters-guidelines-on-implementing-the-obligation-to-meaningfully-engage-with-disabled-people-in-public-decision-making" TargetMode="External"/><Relationship Id="rId4" Type="http://schemas.openxmlformats.org/officeDocument/2006/relationships/settings" Target="settings.xml"/><Relationship Id="rId9" Type="http://schemas.openxmlformats.org/officeDocument/2006/relationships/hyperlink" Target="https://nda.ie/publications/nda-advice-paper-on-disability-language-and-terminolog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ie/pdf/?file=https://assets.gov.ie/9398/ca553fa753b64f14b20e4a8dcf9a46ab.pdf" TargetMode="External"/><Relationship Id="rId2" Type="http://schemas.openxmlformats.org/officeDocument/2006/relationships/hyperlink" Target="https://www.regjeringen.no/globalassets/upload/bld/nedsatt-funksjonsevne/norway-universally-designed-by-2025-web.pdf" TargetMode="External"/><Relationship Id="rId1" Type="http://schemas.openxmlformats.org/officeDocument/2006/relationships/hyperlink" Target="https://www.gov.ie/en/consultation/7d325-the-housing-commission-public-consult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E7042-B4B4-4C43-B07A-8018F0F4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4</TotalTime>
  <Pages>6</Pages>
  <Words>1514</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X. Crean</dc:creator>
  <cp:keywords/>
  <dc:description/>
  <cp:lastModifiedBy>Rosalyn Tamming (NDA)</cp:lastModifiedBy>
  <cp:revision>4</cp:revision>
  <dcterms:created xsi:type="dcterms:W3CDTF">2023-08-14T09:13:00Z</dcterms:created>
  <dcterms:modified xsi:type="dcterms:W3CDTF">2023-08-14T11:35:00Z</dcterms:modified>
</cp:coreProperties>
</file>