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2B1B3DCB" w:rsidR="004838F4" w:rsidRDefault="00AE0DE4" w:rsidP="00301CC9">
      <w:pPr>
        <w:pStyle w:val="Title"/>
        <w:spacing w:before="1440"/>
      </w:pPr>
      <w:r>
        <w:t>NDA</w:t>
      </w:r>
      <w:r w:rsidRPr="00AE0DE4">
        <w:t xml:space="preserve"> Submission to </w:t>
      </w:r>
      <w:bookmarkStart w:id="0" w:name="_Hlk195528083"/>
      <w:r w:rsidR="006D164E" w:rsidRPr="006D164E">
        <w:t xml:space="preserve">the National Office for Community Safety to inform its consultation on the new National Strategy for Improving Community Safety </w:t>
      </w:r>
      <w:bookmarkEnd w:id="0"/>
    </w:p>
    <w:p w14:paraId="1FDC9B1B" w14:textId="582D3473" w:rsidR="00E457C6" w:rsidRPr="00E457C6" w:rsidRDefault="006D164E" w:rsidP="00E457C6">
      <w:pPr>
        <w:spacing w:before="1200" w:after="600"/>
        <w:rPr>
          <w:b/>
          <w:bCs/>
        </w:rPr>
      </w:pPr>
      <w:r>
        <w:rPr>
          <w:b/>
          <w:bCs/>
        </w:rPr>
        <w:t>November</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2A7A7ED7" w14:textId="7E544418" w:rsidR="006A2B97" w:rsidRPr="001D12ED" w:rsidRDefault="001D12ED" w:rsidP="00AC240B">
      <w:pPr>
        <w:rPr>
          <w:iCs/>
          <w:szCs w:val="24"/>
        </w:rPr>
      </w:pPr>
      <w:r w:rsidRPr="001D12ED">
        <w:rPr>
          <w:iCs/>
          <w:szCs w:val="24"/>
        </w:rPr>
        <w:t>The National Disability Authority (NDA) is the independent statutory body with a duty to provide evidence-informed advice and guidance to government on disability policy and practice and to promote Universal Design</w:t>
      </w:r>
      <w:r w:rsidR="00AC240B" w:rsidRPr="00992524">
        <w:rPr>
          <w:szCs w:val="24"/>
        </w:rPr>
        <w:t>. We thank</w:t>
      </w:r>
      <w:r w:rsidR="006A2B97">
        <w:rPr>
          <w:szCs w:val="24"/>
        </w:rPr>
        <w:t xml:space="preserve"> the National Office for Community Safety (NO</w:t>
      </w:r>
      <w:r w:rsidR="00CC0A7E">
        <w:rPr>
          <w:szCs w:val="24"/>
        </w:rPr>
        <w:t>C</w:t>
      </w:r>
      <w:r w:rsidR="006A2B97">
        <w:rPr>
          <w:szCs w:val="24"/>
        </w:rPr>
        <w:t xml:space="preserve">S) </w:t>
      </w:r>
      <w:r w:rsidR="00AC240B" w:rsidRPr="00992524">
        <w:rPr>
          <w:szCs w:val="24"/>
        </w:rPr>
        <w:t>for the</w:t>
      </w:r>
      <w:r w:rsidR="006A2B97">
        <w:rPr>
          <w:szCs w:val="24"/>
        </w:rPr>
        <w:t xml:space="preserve"> recent bilateral engagement and the</w:t>
      </w:r>
      <w:r w:rsidR="00AC240B" w:rsidRPr="00992524">
        <w:rPr>
          <w:szCs w:val="24"/>
        </w:rPr>
        <w:t xml:space="preserve"> opportunity to </w:t>
      </w:r>
      <w:r>
        <w:rPr>
          <w:szCs w:val="24"/>
        </w:rPr>
        <w:t xml:space="preserve">provide our views on the issues paper which will support the development of the </w:t>
      </w:r>
      <w:r w:rsidR="006A2B97">
        <w:rPr>
          <w:szCs w:val="24"/>
        </w:rPr>
        <w:t xml:space="preserve">first ever </w:t>
      </w:r>
      <w:r w:rsidR="006A2B97" w:rsidRPr="006A2B97">
        <w:rPr>
          <w:szCs w:val="24"/>
        </w:rPr>
        <w:t>National Strategy for Improving Community Safety</w:t>
      </w:r>
      <w:r w:rsidR="00AC240B" w:rsidRPr="00992524">
        <w:rPr>
          <w:szCs w:val="24"/>
        </w:rPr>
        <w:t>.</w:t>
      </w:r>
    </w:p>
    <w:p w14:paraId="2C28A501" w14:textId="23C6077F" w:rsidR="00AC240B" w:rsidRDefault="006A2B97" w:rsidP="00AC240B">
      <w:pPr>
        <w:pStyle w:val="Heading1"/>
      </w:pPr>
      <w:r w:rsidRPr="006A2B97">
        <w:t>Issue 1: Defining Community Safety</w:t>
      </w:r>
    </w:p>
    <w:p w14:paraId="5724C00E" w14:textId="006732AB" w:rsidR="00B33594" w:rsidRDefault="00882442" w:rsidP="00C93CD7">
      <w:pPr>
        <w:rPr>
          <w:szCs w:val="24"/>
        </w:rPr>
      </w:pPr>
      <w:bookmarkStart w:id="2" w:name="_Hlk213856556"/>
      <w:r w:rsidRPr="00882442">
        <w:rPr>
          <w:szCs w:val="24"/>
        </w:rPr>
        <w:t>Community safety is not a one-size-fits-all concept</w:t>
      </w:r>
      <w:r>
        <w:rPr>
          <w:szCs w:val="24"/>
        </w:rPr>
        <w:t>, making it difficult to define</w:t>
      </w:r>
      <w:r w:rsidRPr="00882442">
        <w:rPr>
          <w:szCs w:val="24"/>
        </w:rPr>
        <w:t>.</w:t>
      </w:r>
      <w:r>
        <w:rPr>
          <w:szCs w:val="24"/>
        </w:rPr>
        <w:t xml:space="preserve"> </w:t>
      </w:r>
      <w:r w:rsidR="00C93CD7" w:rsidRPr="001D12ED">
        <w:rPr>
          <w:szCs w:val="24"/>
        </w:rPr>
        <w:t xml:space="preserve">The </w:t>
      </w:r>
      <w:hyperlink r:id="rId10" w:history="1">
        <w:r w:rsidR="00C93CD7" w:rsidRPr="001D12ED">
          <w:rPr>
            <w:rStyle w:val="Hyperlink"/>
            <w:szCs w:val="24"/>
          </w:rPr>
          <w:t>Towards SAFE(R)SPACE</w:t>
        </w:r>
      </w:hyperlink>
      <w:r w:rsidR="00C93CD7" w:rsidRPr="001D12ED">
        <w:rPr>
          <w:szCs w:val="24"/>
        </w:rPr>
        <w:t xml:space="preserve"> study </w:t>
      </w:r>
      <w:bookmarkEnd w:id="2"/>
      <w:r w:rsidR="00C93CD7" w:rsidRPr="001D12ED">
        <w:rPr>
          <w:szCs w:val="24"/>
        </w:rPr>
        <w:t xml:space="preserve">in Ireland explored how fear and experience of hostility impact on disabled people’s everyday lives and the spaces they use and move through. </w:t>
      </w:r>
      <w:r w:rsidR="00B33594" w:rsidRPr="00B33594">
        <w:rPr>
          <w:szCs w:val="24"/>
        </w:rPr>
        <w:t xml:space="preserve">In reviewing current policy and legislation, the study found that there is no one clear language or vocabulary to describe issues of safety as they relate to people with disabilities living in the community. For example, while the Gardaí and others </w:t>
      </w:r>
      <w:r w:rsidR="006D6ABB">
        <w:rPr>
          <w:szCs w:val="24"/>
        </w:rPr>
        <w:t>usually</w:t>
      </w:r>
      <w:r w:rsidR="00B33594" w:rsidRPr="00B33594">
        <w:rPr>
          <w:szCs w:val="24"/>
        </w:rPr>
        <w:t xml:space="preserve"> refer to ‘community safety’, this term is not often utilised in the context of disability policy. </w:t>
      </w:r>
    </w:p>
    <w:p w14:paraId="2D82EC6C" w14:textId="796236FD" w:rsidR="00882442" w:rsidRDefault="00882442" w:rsidP="00374D2B">
      <w:pPr>
        <w:rPr>
          <w:szCs w:val="24"/>
        </w:rPr>
      </w:pPr>
      <w:r w:rsidRPr="001D12ED">
        <w:rPr>
          <w:szCs w:val="24"/>
        </w:rPr>
        <w:t>The Towards SAFE(R)SPACE study</w:t>
      </w:r>
      <w:r>
        <w:rPr>
          <w:szCs w:val="24"/>
        </w:rPr>
        <w:t xml:space="preserve"> revealed that p</w:t>
      </w:r>
      <w:r w:rsidR="00374D2B" w:rsidRPr="00374D2B">
        <w:rPr>
          <w:szCs w:val="24"/>
        </w:rPr>
        <w:t>eople with disabilities make sense of safety and unsafety in multiple different ways. The presence or otherwise of people in spaces, distinguishing between threatening and trusted others, physical access and communication issues, and assistive technologies</w:t>
      </w:r>
      <w:r>
        <w:rPr>
          <w:szCs w:val="24"/>
        </w:rPr>
        <w:t xml:space="preserve"> can</w:t>
      </w:r>
      <w:r w:rsidR="00374D2B" w:rsidRPr="00374D2B">
        <w:rPr>
          <w:szCs w:val="24"/>
        </w:rPr>
        <w:t xml:space="preserve"> all contribute to feelings of safety or unsafety</w:t>
      </w:r>
      <w:r w:rsidR="00870A15">
        <w:rPr>
          <w:szCs w:val="24"/>
        </w:rPr>
        <w:t xml:space="preserve"> for people with disabilities</w:t>
      </w:r>
      <w:r w:rsidR="00374D2B" w:rsidRPr="00374D2B">
        <w:rPr>
          <w:szCs w:val="24"/>
        </w:rPr>
        <w:t>. These understandings</w:t>
      </w:r>
      <w:r>
        <w:rPr>
          <w:szCs w:val="24"/>
        </w:rPr>
        <w:t xml:space="preserve"> can also</w:t>
      </w:r>
      <w:r w:rsidR="00374D2B" w:rsidRPr="00374D2B">
        <w:rPr>
          <w:szCs w:val="24"/>
        </w:rPr>
        <w:t xml:space="preserve"> vary between</w:t>
      </w:r>
      <w:r>
        <w:rPr>
          <w:szCs w:val="24"/>
        </w:rPr>
        <w:t xml:space="preserve"> people of different disabilities</w:t>
      </w:r>
      <w:r w:rsidR="00374D2B" w:rsidRPr="00374D2B">
        <w:rPr>
          <w:szCs w:val="24"/>
        </w:rPr>
        <w:t xml:space="preserve">: for example, people with mobility </w:t>
      </w:r>
      <w:r>
        <w:rPr>
          <w:szCs w:val="24"/>
        </w:rPr>
        <w:t>difficultie</w:t>
      </w:r>
      <w:r w:rsidR="00374D2B" w:rsidRPr="00374D2B">
        <w:rPr>
          <w:szCs w:val="24"/>
        </w:rPr>
        <w:t>s and visual impairments spoke about</w:t>
      </w:r>
      <w:r w:rsidR="004F65DB">
        <w:rPr>
          <w:szCs w:val="24"/>
        </w:rPr>
        <w:t xml:space="preserve"> how</w:t>
      </w:r>
      <w:r w:rsidR="00374D2B" w:rsidRPr="00374D2B">
        <w:rPr>
          <w:szCs w:val="24"/>
        </w:rPr>
        <w:t xml:space="preserve"> the physical environment, as well as how supports like white canes or guide dogs</w:t>
      </w:r>
      <w:r w:rsidR="004F65DB">
        <w:rPr>
          <w:szCs w:val="24"/>
        </w:rPr>
        <w:t>,</w:t>
      </w:r>
      <w:r w:rsidR="00374D2B" w:rsidRPr="00374D2B">
        <w:rPr>
          <w:szCs w:val="24"/>
        </w:rPr>
        <w:t xml:space="preserve"> could mark them out as different</w:t>
      </w:r>
      <w:r w:rsidR="004F65DB">
        <w:rPr>
          <w:szCs w:val="24"/>
        </w:rPr>
        <w:t>, making them feel less safe</w:t>
      </w:r>
      <w:r w:rsidR="00374D2B" w:rsidRPr="00374D2B">
        <w:rPr>
          <w:szCs w:val="24"/>
        </w:rPr>
        <w:t xml:space="preserve">. </w:t>
      </w:r>
    </w:p>
    <w:p w14:paraId="06CADE88" w14:textId="656E0B62" w:rsidR="00B33594" w:rsidRDefault="00882442" w:rsidP="00C93CD7">
      <w:pPr>
        <w:rPr>
          <w:szCs w:val="24"/>
        </w:rPr>
      </w:pPr>
      <w:r>
        <w:rPr>
          <w:szCs w:val="24"/>
        </w:rPr>
        <w:t>The NDA advises that p</w:t>
      </w:r>
      <w:r w:rsidRPr="00882442">
        <w:rPr>
          <w:szCs w:val="24"/>
        </w:rPr>
        <w:t>eople with disabilities should not be seen as inherently unsafe</w:t>
      </w:r>
      <w:r w:rsidR="00714867">
        <w:rPr>
          <w:szCs w:val="24"/>
        </w:rPr>
        <w:t xml:space="preserve"> or vulnerable</w:t>
      </w:r>
      <w:r w:rsidRPr="00882442">
        <w:rPr>
          <w:szCs w:val="24"/>
        </w:rPr>
        <w:t>; rather safety is relational and dependent on different contexts.</w:t>
      </w:r>
      <w:r w:rsidR="009748E8">
        <w:rPr>
          <w:szCs w:val="24"/>
        </w:rPr>
        <w:t xml:space="preserve"> </w:t>
      </w:r>
    </w:p>
    <w:p w14:paraId="084B599A" w14:textId="014C392F" w:rsidR="00AC240B" w:rsidRDefault="006A2B97" w:rsidP="00AC240B">
      <w:pPr>
        <w:pStyle w:val="Heading1"/>
      </w:pPr>
      <w:r w:rsidRPr="006A2B97">
        <w:t>Issue 2: Community-Grounded Knowledge</w:t>
      </w:r>
    </w:p>
    <w:p w14:paraId="510E14D6" w14:textId="551CD490" w:rsidR="008E1E5D" w:rsidRDefault="00145B53" w:rsidP="00AA0955">
      <w:r>
        <w:t>T</w:t>
      </w:r>
      <w:r w:rsidR="008E1E5D" w:rsidRPr="008E1E5D">
        <w:t xml:space="preserve">he NDA advises the importance of </w:t>
      </w:r>
      <w:r>
        <w:t>engagement</w:t>
      </w:r>
      <w:r w:rsidR="008E1E5D" w:rsidRPr="008E1E5D">
        <w:t xml:space="preserve"> with disabled people and their representative organisations</w:t>
      </w:r>
      <w:r w:rsidR="009748E8">
        <w:t xml:space="preserve"> at the local level</w:t>
      </w:r>
      <w:r w:rsidR="008E1E5D" w:rsidRPr="008E1E5D">
        <w:t xml:space="preserve"> in identifying and responding to issues relating to community safety.</w:t>
      </w:r>
      <w:r w:rsidRPr="00145B53">
        <w:t xml:space="preserve"> </w:t>
      </w:r>
      <w:r>
        <w:t xml:space="preserve">Such engagement is especially important given the </w:t>
      </w:r>
      <w:r w:rsidRPr="00145B53">
        <w:t xml:space="preserve">considerable body of evidence that shows that people with disabilities are at greater risk of violence and abuse than </w:t>
      </w:r>
      <w:r w:rsidRPr="00145B53">
        <w:lastRenderedPageBreak/>
        <w:t>non-disabled persons.</w:t>
      </w:r>
      <w:r w:rsidR="00AA0955" w:rsidRPr="00AA0955">
        <w:t xml:space="preserve"> </w:t>
      </w:r>
      <w:r w:rsidR="00AA0955">
        <w:t>Additionally, people with disabilities have, up until recently, been relatively marginal in discussions of community safety.</w:t>
      </w:r>
    </w:p>
    <w:p w14:paraId="05CAE927" w14:textId="6EA398DA" w:rsidR="00ED4A1C" w:rsidRDefault="00D72B45" w:rsidP="00C93CD7">
      <w:r>
        <w:t xml:space="preserve">During the </w:t>
      </w:r>
      <w:hyperlink r:id="rId11" w:history="1">
        <w:r w:rsidRPr="00D71BF2">
          <w:rPr>
            <w:rStyle w:val="Hyperlink"/>
          </w:rPr>
          <w:t>NDA-led national consultation</w:t>
        </w:r>
      </w:hyperlink>
      <w:r>
        <w:t xml:space="preserve"> to inform the development of the new National Human Rights Strategy for Disabled People, people with disabilities</w:t>
      </w:r>
      <w:r w:rsidRPr="00D72B45">
        <w:t xml:space="preserve"> voiced support for proactive</w:t>
      </w:r>
      <w:r w:rsidR="009748E8">
        <w:t xml:space="preserve"> and</w:t>
      </w:r>
      <w:r w:rsidRPr="00D72B45">
        <w:t xml:space="preserve"> grassroots approaches to engagement. There was a strong feeling of a disconnect between national strategies and realities on the ground, </w:t>
      </w:r>
      <w:r w:rsidR="00DA475D">
        <w:t xml:space="preserve">underscoring the importance of </w:t>
      </w:r>
      <w:r w:rsidR="00ED4A1C" w:rsidRPr="00ED4A1C">
        <w:t>community-grounded knowledge</w:t>
      </w:r>
      <w:r w:rsidR="00DA475D">
        <w:t>.</w:t>
      </w:r>
    </w:p>
    <w:p w14:paraId="5A081C33" w14:textId="4C5D9871" w:rsidR="009748E8" w:rsidRDefault="009748E8" w:rsidP="00C93CD7">
      <w:r w:rsidRPr="009748E8">
        <w:t>Engagement through existing Disabled Persons’ Organisations (DPOs) may be one route to address this. Article 4(3) of the UN Convention on the Rights of Persons with Disabilities (UNCRPD) requires all government departments and statutory agencies</w:t>
      </w:r>
      <w:r w:rsidR="00DA475D">
        <w:t xml:space="preserve"> </w:t>
      </w:r>
      <w:r w:rsidRPr="009748E8">
        <w:t xml:space="preserve">to ensure the effective participation of persons with disabilities and their representative organisations in the creation and implementation of policies and legislation that impact their lives. The NDA wishes to highlight its </w:t>
      </w:r>
      <w:hyperlink r:id="rId12" w:history="1">
        <w:r w:rsidRPr="009748E8">
          <w:rPr>
            <w:rStyle w:val="Hyperlink"/>
          </w:rPr>
          <w:t>Participation Matters guidelines</w:t>
        </w:r>
      </w:hyperlink>
      <w:r w:rsidRPr="009748E8">
        <w:t xml:space="preserve"> as a useful resource in this regard.</w:t>
      </w:r>
    </w:p>
    <w:p w14:paraId="62F6819C" w14:textId="18EB26CE" w:rsidR="004F65DB" w:rsidRPr="004F65DB" w:rsidRDefault="004F65DB" w:rsidP="00145B53">
      <w:r w:rsidRPr="004F65DB">
        <w:t xml:space="preserve">The NDA further advises that accessibility should be a core consideration for all public meetings concerning community safety, that disabled people </w:t>
      </w:r>
      <w:r w:rsidR="00117F58">
        <w:t xml:space="preserve">should </w:t>
      </w:r>
      <w:r w:rsidRPr="004F65DB">
        <w:t>be represented on each Local Community Safety Partnership and that each local community safety plan consider the specific safety needs of disabled people in their own local community.</w:t>
      </w:r>
    </w:p>
    <w:p w14:paraId="0D5E2A10" w14:textId="75A3AE30" w:rsidR="00AC240B" w:rsidRDefault="006A2B97" w:rsidP="00AC240B">
      <w:pPr>
        <w:pStyle w:val="Heading1"/>
      </w:pPr>
      <w:r w:rsidRPr="006A2B97">
        <w:t>Issue 3: Collaboration</w:t>
      </w:r>
    </w:p>
    <w:p w14:paraId="704FD851" w14:textId="1FABBF5F" w:rsidR="00014BFD" w:rsidRDefault="0045517C" w:rsidP="00C93CD7">
      <w:r w:rsidRPr="0045517C">
        <w:t xml:space="preserve">The NDA </w:t>
      </w:r>
      <w:r>
        <w:t>underscore</w:t>
      </w:r>
      <w:r w:rsidRPr="0045517C">
        <w:t xml:space="preserve">s that more joined-up thinking and cross-agency </w:t>
      </w:r>
      <w:r>
        <w:t xml:space="preserve">and community </w:t>
      </w:r>
      <w:r w:rsidRPr="0045517C">
        <w:t>collaboration</w:t>
      </w:r>
      <w:r w:rsidR="004E3023">
        <w:t>, including with disabled people and their representative organisations,</w:t>
      </w:r>
      <w:r w:rsidRPr="0045517C">
        <w:t xml:space="preserve"> is critical to </w:t>
      </w:r>
      <w:r>
        <w:t>improving community safety</w:t>
      </w:r>
      <w:r w:rsidRPr="0045517C">
        <w:t xml:space="preserve"> for persons with disabilities.</w:t>
      </w:r>
      <w:r w:rsidR="00ED4A1C">
        <w:t xml:space="preserve"> </w:t>
      </w:r>
      <w:r w:rsidR="00014BFD">
        <w:t xml:space="preserve">An </w:t>
      </w:r>
      <w:hyperlink r:id="rId13" w:history="1">
        <w:r w:rsidR="00014BFD" w:rsidRPr="00014BFD">
          <w:rPr>
            <w:rStyle w:val="Hyperlink"/>
          </w:rPr>
          <w:t>NDA review of the implementation of the previous National Disability Inclusion Strategy</w:t>
        </w:r>
      </w:hyperlink>
      <w:r w:rsidR="00014BFD">
        <w:t xml:space="preserve"> found that progress in the delivery of actions </w:t>
      </w:r>
      <w:r w:rsidR="00014BFD" w:rsidRPr="00014BFD">
        <w:t xml:space="preserve">‘shared’ between several different </w:t>
      </w:r>
      <w:r w:rsidR="00014BFD">
        <w:t>d</w:t>
      </w:r>
      <w:r w:rsidR="00014BFD" w:rsidRPr="00014BFD">
        <w:t>epartments</w:t>
      </w:r>
      <w:r w:rsidR="00014BFD">
        <w:t xml:space="preserve"> and agencies was typically slow and staggered. Key enablers of effective collaboration included </w:t>
      </w:r>
      <w:r w:rsidR="00014BFD" w:rsidRPr="00014BFD">
        <w:t>clear leads which are accountable for coordination and delivery.</w:t>
      </w:r>
    </w:p>
    <w:p w14:paraId="29F7C5BD" w14:textId="50D52FC3" w:rsidR="0063034C" w:rsidRDefault="00014BFD" w:rsidP="00C93CD7">
      <w:r>
        <w:t>The NDA is aware of several positive initiatives</w:t>
      </w:r>
      <w:r w:rsidR="00914710">
        <w:t xml:space="preserve"> to improve community safety for disabled people which</w:t>
      </w:r>
      <w:r>
        <w:t xml:space="preserve"> involv</w:t>
      </w:r>
      <w:r w:rsidR="00914710">
        <w:t>e extensive</w:t>
      </w:r>
      <w:r>
        <w:t xml:space="preserve"> collaboration</w:t>
      </w:r>
      <w:r w:rsidR="00914710">
        <w:t xml:space="preserve">. </w:t>
      </w:r>
      <w:r w:rsidR="0063034C">
        <w:t>T</w:t>
      </w:r>
      <w:r w:rsidR="0063034C" w:rsidRPr="0063034C">
        <w:t>he Community Access Support Team (CAST)</w:t>
      </w:r>
      <w:r w:rsidR="0063034C">
        <w:t xml:space="preserve"> </w:t>
      </w:r>
      <w:r w:rsidR="00914710">
        <w:t xml:space="preserve">pilot </w:t>
      </w:r>
      <w:r w:rsidR="0063034C">
        <w:t xml:space="preserve">is one </w:t>
      </w:r>
      <w:r w:rsidR="00914710">
        <w:t xml:space="preserve">such </w:t>
      </w:r>
      <w:r w:rsidR="0063034C">
        <w:t>initiative</w:t>
      </w:r>
      <w:r w:rsidR="0063034C" w:rsidRPr="0063034C">
        <w:t xml:space="preserve">, </w:t>
      </w:r>
      <w:r w:rsidR="00914710">
        <w:t>with</w:t>
      </w:r>
      <w:r w:rsidR="0063034C" w:rsidRPr="0063034C">
        <w:t xml:space="preserve"> Garda personnel and HSE mental healthcare professionals jointly responding to emergency calls</w:t>
      </w:r>
      <w:r w:rsidR="00914710">
        <w:t xml:space="preserve"> from</w:t>
      </w:r>
      <w:r w:rsidR="0063034C" w:rsidRPr="0063034C">
        <w:t xml:space="preserve"> those experiencing a mental health crisis </w:t>
      </w:r>
      <w:r w:rsidR="00914710">
        <w:t>and</w:t>
      </w:r>
      <w:r w:rsidR="0063034C" w:rsidRPr="0063034C">
        <w:t xml:space="preserve"> situational trauma</w:t>
      </w:r>
      <w:r w:rsidR="00914710">
        <w:t xml:space="preserve"> in parts of Limerick. The aim of this pilot is to steer people with mental health difficulties</w:t>
      </w:r>
      <w:r w:rsidR="0063034C" w:rsidRPr="0063034C">
        <w:t xml:space="preserve"> away from the criminal justice system and towards appropriate mental healthcare.</w:t>
      </w:r>
    </w:p>
    <w:p w14:paraId="14C8F80C" w14:textId="3E6EA144" w:rsidR="0063034C" w:rsidRDefault="00914710" w:rsidP="00C93CD7">
      <w:r>
        <w:lastRenderedPageBreak/>
        <w:t>Another example of</w:t>
      </w:r>
      <w:r w:rsidR="0063034C" w:rsidRPr="0063034C">
        <w:t xml:space="preserve"> </w:t>
      </w:r>
      <w:r>
        <w:t>effective</w:t>
      </w:r>
      <w:r w:rsidR="0063034C" w:rsidRPr="0063034C">
        <w:t xml:space="preserve"> collaboration</w:t>
      </w:r>
      <w:r>
        <w:t xml:space="preserve"> includes the</w:t>
      </w:r>
      <w:r w:rsidRPr="00914710">
        <w:t xml:space="preserve"> ‘Make Way Day’ initiative</w:t>
      </w:r>
      <w:r>
        <w:t xml:space="preserve">, involving coordination and engagement between </w:t>
      </w:r>
      <w:r w:rsidR="0063034C" w:rsidRPr="0063034C">
        <w:t>Gardaí</w:t>
      </w:r>
      <w:r>
        <w:t>,</w:t>
      </w:r>
      <w:r w:rsidR="0063034C" w:rsidRPr="0063034C">
        <w:t xml:space="preserve"> other agencies involved in community safety at the local level, local disability organisations and service providers. </w:t>
      </w:r>
      <w:r>
        <w:t>The NDA advises that these examples</w:t>
      </w:r>
      <w:r w:rsidRPr="00914710">
        <w:t xml:space="preserve"> provide useful learnings</w:t>
      </w:r>
      <w:r>
        <w:t xml:space="preserve"> on effective collaboration</w:t>
      </w:r>
      <w:r w:rsidR="0032440B">
        <w:t xml:space="preserve"> for improving community safety</w:t>
      </w:r>
      <w:r>
        <w:t xml:space="preserve"> at the ground level. </w:t>
      </w:r>
    </w:p>
    <w:p w14:paraId="695B1DC7" w14:textId="08C30FE2" w:rsidR="002D2368" w:rsidRDefault="002D2368" w:rsidP="002D2368">
      <w:r>
        <w:t>An</w:t>
      </w:r>
      <w:r w:rsidR="00CC0A7E">
        <w:t>other</w:t>
      </w:r>
      <w:r>
        <w:t xml:space="preserve"> important positive development following the implementation of the European Accessibility Act (EAA) is the launch of Real-Time Text (RTT)</w:t>
      </w:r>
      <w:r w:rsidR="00CC0A7E">
        <w:t>,</w:t>
      </w:r>
      <w:r>
        <w:t xml:space="preserve"> a new feature available on many mobile devices and mobile networks which allows </w:t>
      </w:r>
      <w:r w:rsidR="00CC0A7E">
        <w:t>individuals</w:t>
      </w:r>
      <w:r>
        <w:t xml:space="preserve"> to communicate with text during a phone call and works with a teletypewriter (TTP). RTT does not require any additional mobile accessories</w:t>
      </w:r>
      <w:r w:rsidR="00CC0A7E">
        <w:t>,</w:t>
      </w:r>
      <w:r>
        <w:t xml:space="preserve"> </w:t>
      </w:r>
      <w:r w:rsidR="00CC0A7E">
        <w:t>enabl</w:t>
      </w:r>
      <w:r w:rsidR="00CC0A7E">
        <w:t>ing</w:t>
      </w:r>
      <w:r w:rsidR="00CC0A7E">
        <w:t xml:space="preserve"> live, conversational text during emergency calls, ensuring people who are Deaf</w:t>
      </w:r>
      <w:r w:rsidR="00CC0A7E">
        <w:t xml:space="preserve"> </w:t>
      </w:r>
      <w:r w:rsidR="00CC0A7E">
        <w:t>or have speech difficulties can communicate with emergency services without delays or special registration</w:t>
      </w:r>
      <w:r w:rsidR="00CC0A7E">
        <w:t xml:space="preserve">. </w:t>
      </w:r>
      <w:r>
        <w:t>Under the European Accessibility Act, mobile service providers are required to have this service enabled for all users since 28 June 2025, ensuring that everyone, including persons with disabilities, can fully participate in the digital economy and everyday life without barriers.  This is now available on the Vodafone networks but planned to be rolled out to all mobile networks in Ireland.</w:t>
      </w:r>
      <w:r>
        <w:rPr>
          <w:rStyle w:val="FootnoteReference"/>
        </w:rPr>
        <w:footnoteReference w:id="1"/>
      </w:r>
    </w:p>
    <w:p w14:paraId="77A99119" w14:textId="685B3098" w:rsidR="006A2B97" w:rsidRDefault="006A2B97" w:rsidP="006A2B97">
      <w:pPr>
        <w:pStyle w:val="Heading1"/>
      </w:pPr>
      <w:r w:rsidRPr="006A2B97">
        <w:t>Issue 4: Measuremen</w:t>
      </w:r>
      <w:r>
        <w:t>t</w:t>
      </w:r>
    </w:p>
    <w:p w14:paraId="2489C275" w14:textId="3E44FDC3" w:rsidR="00BA0C66" w:rsidRDefault="00706225" w:rsidP="001A3DB3">
      <w:r>
        <w:t>The NDA notes that the literature review carried out by NO</w:t>
      </w:r>
      <w:r w:rsidR="00172A7D">
        <w:t>C</w:t>
      </w:r>
      <w:r>
        <w:t>S found that objective measurements to track community safety aspects (such as crime rates) often do not align with how safe people feel in their daily lives. Being safe and feeling safe can be two different things.</w:t>
      </w:r>
      <w:r w:rsidR="00BA0C66">
        <w:t xml:space="preserve"> </w:t>
      </w:r>
      <w:r w:rsidR="001A3DB3" w:rsidRPr="001A3DB3">
        <w:t>The Towards SAFE(R)SPACE study</w:t>
      </w:r>
      <w:r>
        <w:t xml:space="preserve"> reinforces this point,</w:t>
      </w:r>
      <w:r w:rsidR="001A3DB3" w:rsidRPr="001A3DB3">
        <w:t xml:space="preserve"> </w:t>
      </w:r>
      <w:r w:rsidR="001A3DB3">
        <w:t>highlight</w:t>
      </w:r>
      <w:r>
        <w:t>ing</w:t>
      </w:r>
      <w:r w:rsidR="001A3DB3">
        <w:t xml:space="preserve"> </w:t>
      </w:r>
      <w:r>
        <w:t>the difficulty of separating</w:t>
      </w:r>
      <w:r w:rsidR="001A3DB3">
        <w:t xml:space="preserve"> actual incidences or experiences of hostility and un/safety, from perceptions, feelings or fears.</w:t>
      </w:r>
      <w:r w:rsidR="001A3DB3" w:rsidRPr="001A3DB3">
        <w:t xml:space="preserve"> </w:t>
      </w:r>
    </w:p>
    <w:p w14:paraId="22A1CBC5" w14:textId="77777777" w:rsidR="00C41124" w:rsidRDefault="00706225" w:rsidP="00AA0955">
      <w:r>
        <w:t>While e</w:t>
      </w:r>
      <w:r w:rsidR="001A3DB3" w:rsidRPr="001A3DB3">
        <w:t xml:space="preserve">xperiences of hostility may lead </w:t>
      </w:r>
      <w:r w:rsidR="001A3DB3">
        <w:t xml:space="preserve">some disabled people </w:t>
      </w:r>
      <w:r w:rsidR="001A3DB3" w:rsidRPr="001A3DB3">
        <w:t>to feel fearful in certain places and situations</w:t>
      </w:r>
      <w:r>
        <w:t>, o</w:t>
      </w:r>
      <w:r w:rsidR="001A3DB3" w:rsidRPr="001A3DB3">
        <w:t xml:space="preserve">thers may not have experienced hostility but still feel fearful. </w:t>
      </w:r>
      <w:r w:rsidR="001A3DB3">
        <w:t>By contrast</w:t>
      </w:r>
      <w:r w:rsidR="001A3DB3" w:rsidRPr="001A3DB3">
        <w:t xml:space="preserve">, some people may feel completely at ease in an area, despite </w:t>
      </w:r>
      <w:r w:rsidR="001A3DB3">
        <w:t xml:space="preserve">perceptions that it is </w:t>
      </w:r>
      <w:r w:rsidR="001A3DB3" w:rsidRPr="001A3DB3">
        <w:t>unsafe.</w:t>
      </w:r>
      <w:r>
        <w:t xml:space="preserve"> The NDA advises that </w:t>
      </w:r>
      <w:r w:rsidR="00F61CBB">
        <w:t>perception of safety ha</w:t>
      </w:r>
      <w:r w:rsidR="00F50749">
        <w:t>s</w:t>
      </w:r>
      <w:r w:rsidR="00F61CBB">
        <w:t xml:space="preserve"> real consequences for how disabled people live their lives and </w:t>
      </w:r>
      <w:r w:rsidR="00F50749">
        <w:t>should be</w:t>
      </w:r>
      <w:r>
        <w:t xml:space="preserve"> an indicator of community safety</w:t>
      </w:r>
      <w:r w:rsidR="00F50749">
        <w:t>. This</w:t>
      </w:r>
      <w:r>
        <w:t xml:space="preserve"> could be measured through qualitative research such as surveys, interviews or focus groups.</w:t>
      </w:r>
      <w:bookmarkStart w:id="3" w:name="_Hlk213863472"/>
    </w:p>
    <w:p w14:paraId="25D943A6" w14:textId="337FB1E8" w:rsidR="00B45BA9" w:rsidRDefault="00246B40" w:rsidP="00AA0955">
      <w:r w:rsidRPr="00246B40">
        <w:t>The Towards SAFE(R)SPACE study</w:t>
      </w:r>
      <w:r>
        <w:t xml:space="preserve"> </w:t>
      </w:r>
      <w:bookmarkEnd w:id="3"/>
      <w:r w:rsidR="008C70A3">
        <w:t xml:space="preserve">also </w:t>
      </w:r>
      <w:r>
        <w:t>showed that accessibility</w:t>
      </w:r>
      <w:r w:rsidR="001A3DB3">
        <w:t>, including the accessibility of the built environment and transport,</w:t>
      </w:r>
      <w:r>
        <w:t xml:space="preserve"> </w:t>
      </w:r>
      <w:r w:rsidR="00192FF2">
        <w:t>impacted</w:t>
      </w:r>
      <w:r>
        <w:t xml:space="preserve"> many </w:t>
      </w:r>
      <w:r>
        <w:lastRenderedPageBreak/>
        <w:t xml:space="preserve">disabled people’s experiences of </w:t>
      </w:r>
      <w:r w:rsidR="00BA0C66">
        <w:t xml:space="preserve">community </w:t>
      </w:r>
      <w:r>
        <w:t>safety</w:t>
      </w:r>
      <w:r w:rsidR="00ED4A1C">
        <w:t xml:space="preserve">. </w:t>
      </w:r>
      <w:r w:rsidR="00AA0955">
        <w:t xml:space="preserve">Many people participating in the study raised issues with the physical environment in relation to feelings of fear and safety, </w:t>
      </w:r>
      <w:r w:rsidR="004E3023">
        <w:t>including</w:t>
      </w:r>
      <w:r w:rsidR="00AA0955">
        <w:t xml:space="preserve"> poor conditions of pavements, obstacles on pavements (including parked cars, bollards and street furniture), road works, poor street lighting, road crossings that were difficult to navigate or audible signals not working.</w:t>
      </w:r>
    </w:p>
    <w:p w14:paraId="579DE831" w14:textId="37D3A77A" w:rsidR="006A2B97" w:rsidRDefault="008C70A3" w:rsidP="00246B40">
      <w:r>
        <w:t xml:space="preserve">The NDA advises that the accessibility of local communities </w:t>
      </w:r>
      <w:r w:rsidR="00732977">
        <w:t>c</w:t>
      </w:r>
      <w:r>
        <w:t xml:space="preserve">ould be </w:t>
      </w:r>
      <w:r w:rsidR="00BA0C66">
        <w:t>considered</w:t>
      </w:r>
      <w:r>
        <w:t xml:space="preserve"> as an indicator of community safety. </w:t>
      </w:r>
      <w:r w:rsidR="00BA0C66">
        <w:t>Any</w:t>
      </w:r>
      <w:r>
        <w:t xml:space="preserve"> monitoring</w:t>
      </w:r>
      <w:r w:rsidR="00CC0A7E">
        <w:t xml:space="preserve"> and assessment should include</w:t>
      </w:r>
      <w:r>
        <w:t xml:space="preserve"> walkability audits</w:t>
      </w:r>
      <w:r w:rsidR="00CC0A7E">
        <w:t>, such as those</w:t>
      </w:r>
      <w:r>
        <w:t xml:space="preserve"> undertaken by Age Friendly Ireland</w:t>
      </w:r>
      <w:r w:rsidR="00172A7D">
        <w:t xml:space="preserve"> (we have prepared a </w:t>
      </w:r>
      <w:hyperlink r:id="rId14" w:history="1">
        <w:r w:rsidR="00172A7D" w:rsidRPr="00172A7D">
          <w:rPr>
            <w:rStyle w:val="Hyperlink"/>
          </w:rPr>
          <w:t>summary report</w:t>
        </w:r>
      </w:hyperlink>
      <w:r w:rsidR="00172A7D" w:rsidRPr="00172A7D">
        <w:t xml:space="preserve"> of 48 Age Friendly Ireland Walkability Audits conducted between 2013 and 2024</w:t>
      </w:r>
      <w:r w:rsidR="00172A7D">
        <w:t>)</w:t>
      </w:r>
      <w:r>
        <w:t xml:space="preserve">. The NDA also has extensive experience in accessibility monitoring and </w:t>
      </w:r>
      <w:r w:rsidR="00192FF2">
        <w:t>our Centre for Excellence in Universal Design has also published a range of resources on Universal Design for the Built Environment. We are</w:t>
      </w:r>
      <w:r>
        <w:t xml:space="preserve"> happy to advise further. </w:t>
      </w:r>
    </w:p>
    <w:p w14:paraId="1CFBB8FC" w14:textId="69C053D5" w:rsidR="006A2B97" w:rsidRDefault="006A2B97" w:rsidP="006A2B97">
      <w:pPr>
        <w:pStyle w:val="Heading1"/>
      </w:pPr>
      <w:r w:rsidRPr="006A2B97">
        <w:t>Issue 5 – Policy and Governance</w:t>
      </w:r>
    </w:p>
    <w:p w14:paraId="0C47A5FF" w14:textId="41C89880" w:rsidR="00E808A7" w:rsidRDefault="00E808A7" w:rsidP="00251FC4">
      <w:r>
        <w:t xml:space="preserve">The </w:t>
      </w:r>
      <w:r w:rsidR="002B52E1">
        <w:t xml:space="preserve">NDA advises that the </w:t>
      </w:r>
      <w:r>
        <w:t>UN Convention on the Rights of Persons with Disabilities (UNCRPD)</w:t>
      </w:r>
      <w:r w:rsidR="006D6ABB">
        <w:t>, which Ireland ratified in 2018, provides an overarching framework</w:t>
      </w:r>
      <w:r w:rsidR="002B52E1">
        <w:t xml:space="preserve"> for improving community safety for disabled people</w:t>
      </w:r>
      <w:r w:rsidR="006D6ABB">
        <w:t>.</w:t>
      </w:r>
      <w:r w:rsidR="002B52E1">
        <w:t xml:space="preserve"> Article 16 of the Convention requires the taking of</w:t>
      </w:r>
      <w:r w:rsidR="006D6ABB">
        <w:t xml:space="preserve"> </w:t>
      </w:r>
      <w:r w:rsidR="002B52E1" w:rsidRPr="002B52E1">
        <w:t>all appropriate legislative, administrative, social, educational and other measures to protect persons with disabilities, both within and outside the home, from all forms of exploitation, violence and abuse</w:t>
      </w:r>
      <w:r w:rsidR="002B52E1">
        <w:t>.</w:t>
      </w:r>
    </w:p>
    <w:p w14:paraId="347ABC33" w14:textId="3310D775" w:rsidR="002B52E1" w:rsidRDefault="002B52E1" w:rsidP="00251FC4">
      <w:r w:rsidRPr="002B52E1">
        <w:t>The Towards SAFE(R)SPACE study found that community safety for disabled people sits at the intersection of several policy arenas, most notably (1) disability policy, (2) justice, and (3) planning, housing and the environment.</w:t>
      </w:r>
      <w:r>
        <w:t xml:space="preserve"> Examples </w:t>
      </w:r>
      <w:r w:rsidR="004E6695">
        <w:t xml:space="preserve">of each </w:t>
      </w:r>
      <w:r>
        <w:t xml:space="preserve">include: </w:t>
      </w:r>
    </w:p>
    <w:p w14:paraId="251A821F" w14:textId="20BFEB64" w:rsidR="00700654" w:rsidRDefault="00700654" w:rsidP="002B52E1">
      <w:pPr>
        <w:pStyle w:val="NDABullet"/>
      </w:pPr>
      <w:hyperlink r:id="rId15" w:history="1">
        <w:r w:rsidRPr="00DE2407">
          <w:rPr>
            <w:rStyle w:val="Hyperlink"/>
          </w:rPr>
          <w:t>National Human Rights Strategy for Disabled People 2025-2030</w:t>
        </w:r>
      </w:hyperlink>
      <w:r w:rsidR="00246B40">
        <w:t>: the strategy</w:t>
      </w:r>
      <w:r>
        <w:t xml:space="preserve"> commits to ensuring that disabled people have access to justice on an equal basis with others and that they do not unnecessarily enter the criminal justice system. However, the strategy also contains other commitments – across housing, inclusion in local communities and transport – which may also impact</w:t>
      </w:r>
      <w:r w:rsidR="004E6695">
        <w:t xml:space="preserve"> disabled</w:t>
      </w:r>
      <w:r>
        <w:t xml:space="preserve"> </w:t>
      </w:r>
      <w:r w:rsidR="004E6695">
        <w:t>people’s</w:t>
      </w:r>
      <w:r>
        <w:t xml:space="preserve"> sense of safety. </w:t>
      </w:r>
    </w:p>
    <w:p w14:paraId="28188084" w14:textId="49E39FB1" w:rsidR="002B52E1" w:rsidRDefault="002B52E1" w:rsidP="002B52E1">
      <w:pPr>
        <w:pStyle w:val="NDABullet"/>
      </w:pPr>
      <w:hyperlink r:id="rId16" w:history="1">
        <w:proofErr w:type="gramStart"/>
        <w:r w:rsidRPr="00DE2407">
          <w:rPr>
            <w:rStyle w:val="Hyperlink"/>
          </w:rPr>
          <w:t>An</w:t>
        </w:r>
        <w:proofErr w:type="gramEnd"/>
        <w:r w:rsidRPr="00DE2407">
          <w:rPr>
            <w:rStyle w:val="Hyperlink"/>
          </w:rPr>
          <w:t xml:space="preserve"> Garda Síochána Human Rights Strategy 202</w:t>
        </w:r>
        <w:r w:rsidR="00DE2407" w:rsidRPr="00DE2407">
          <w:rPr>
            <w:rStyle w:val="Hyperlink"/>
          </w:rPr>
          <w:t>2</w:t>
        </w:r>
        <w:r w:rsidRPr="00DE2407">
          <w:rPr>
            <w:rStyle w:val="Hyperlink"/>
          </w:rPr>
          <w:t>-202</w:t>
        </w:r>
        <w:r w:rsidR="00DE2407" w:rsidRPr="00DE2407">
          <w:rPr>
            <w:rStyle w:val="Hyperlink"/>
          </w:rPr>
          <w:t>4</w:t>
        </w:r>
      </w:hyperlink>
      <w:r>
        <w:t xml:space="preserve"> (and its successor, which is due for publication in the coming months)</w:t>
      </w:r>
    </w:p>
    <w:p w14:paraId="021AE84C" w14:textId="254E32BC" w:rsidR="00374D2B" w:rsidRDefault="00E808A7" w:rsidP="004E6695">
      <w:pPr>
        <w:pStyle w:val="NDABullet"/>
      </w:pPr>
      <w:hyperlink r:id="rId17" w:history="1">
        <w:r w:rsidRPr="00DE2407">
          <w:rPr>
            <w:rStyle w:val="Hyperlink"/>
          </w:rPr>
          <w:t>National Housing Strategy for Disabled People 2022</w:t>
        </w:r>
        <w:r w:rsidR="002B52E1" w:rsidRPr="00DE2407">
          <w:rPr>
            <w:rStyle w:val="Hyperlink"/>
          </w:rPr>
          <w:t>–</w:t>
        </w:r>
        <w:r w:rsidRPr="00DE2407">
          <w:rPr>
            <w:rStyle w:val="Hyperlink"/>
          </w:rPr>
          <w:t>2027</w:t>
        </w:r>
      </w:hyperlink>
      <w:r w:rsidR="00246B40">
        <w:t>: e</w:t>
      </w:r>
      <w:r w:rsidR="002B52E1">
        <w:t xml:space="preserve">nsuring people with disabilities have access to safe, secure housing </w:t>
      </w:r>
      <w:r w:rsidR="00246B40">
        <w:t xml:space="preserve">is key to their </w:t>
      </w:r>
      <w:r w:rsidR="00172A7D">
        <w:t>experiences</w:t>
      </w:r>
      <w:r w:rsidR="00172A7D">
        <w:t xml:space="preserve"> </w:t>
      </w:r>
      <w:r w:rsidR="002B52E1">
        <w:t xml:space="preserve">of safety. </w:t>
      </w:r>
      <w:r w:rsidR="004E6695" w:rsidRPr="004E6695">
        <w:t xml:space="preserve">The Towards SAFE(R)SPACE study </w:t>
      </w:r>
      <w:r w:rsidR="004E6695">
        <w:t>spotlighted that w</w:t>
      </w:r>
      <w:r w:rsidR="002B52E1">
        <w:t xml:space="preserve">here people were housed in unsuitable accommodation, or where they felt isolated, this </w:t>
      </w:r>
      <w:r w:rsidR="00246B40">
        <w:t>can</w:t>
      </w:r>
      <w:r w:rsidR="002B52E1">
        <w:t xml:space="preserve"> lead to </w:t>
      </w:r>
      <w:r w:rsidR="004E6695">
        <w:t xml:space="preserve">a </w:t>
      </w:r>
      <w:r w:rsidR="002B52E1">
        <w:t xml:space="preserve">sense of </w:t>
      </w:r>
      <w:r w:rsidR="002B52E1">
        <w:lastRenderedPageBreak/>
        <w:t>unsafety, and a heightened fear about living in the community.</w:t>
      </w:r>
      <w:r w:rsidR="00BA0C66">
        <w:t xml:space="preserve"> In addition, </w:t>
      </w:r>
      <w:r w:rsidR="00BA0C66" w:rsidRPr="00BA0C66">
        <w:t xml:space="preserve">some disability organisations participating in the </w:t>
      </w:r>
      <w:r w:rsidR="001A46BE">
        <w:t xml:space="preserve">same </w:t>
      </w:r>
      <w:r w:rsidR="00BA0C66" w:rsidRPr="00BA0C66">
        <w:t xml:space="preserve">study </w:t>
      </w:r>
      <w:r w:rsidR="00BA0C66">
        <w:t xml:space="preserve">informed that they </w:t>
      </w:r>
      <w:r w:rsidR="00BA0C66" w:rsidRPr="00BA0C66">
        <w:t xml:space="preserve">were wary about raising issues of community safety in the context of the </w:t>
      </w:r>
      <w:proofErr w:type="spellStart"/>
      <w:r w:rsidR="00BA0C66" w:rsidRPr="00BA0C66">
        <w:t>decongregation</w:t>
      </w:r>
      <w:proofErr w:type="spellEnd"/>
      <w:r w:rsidR="00BA0C66" w:rsidRPr="00BA0C66">
        <w:t xml:space="preserve"> agenda</w:t>
      </w:r>
      <w:r w:rsidR="00772E02">
        <w:t xml:space="preserve"> (</w:t>
      </w:r>
      <w:r w:rsidR="00772E02" w:rsidRPr="00772E02">
        <w:t>which involves moving disabled people from congregated settings to homes in the community</w:t>
      </w:r>
      <w:r w:rsidR="00772E02">
        <w:t>)</w:t>
      </w:r>
      <w:r w:rsidR="001A46BE">
        <w:rPr>
          <w:rStyle w:val="FootnoteReference"/>
        </w:rPr>
        <w:footnoteReference w:id="2"/>
      </w:r>
      <w:r w:rsidR="00BA0C66" w:rsidRPr="00BA0C66">
        <w:t>, insofar as it could provide a potential rationale to prevent people with disabilities from moving into the community.</w:t>
      </w:r>
      <w:r w:rsidR="00BA0C66">
        <w:t xml:space="preserve"> This highlights the relevance of the </w:t>
      </w:r>
      <w:hyperlink r:id="rId18" w:history="1">
        <w:r w:rsidR="00374D2B" w:rsidRPr="00DE2407">
          <w:rPr>
            <w:rStyle w:val="Hyperlink"/>
          </w:rPr>
          <w:t>Time to Move On from Congregated Settings</w:t>
        </w:r>
      </w:hyperlink>
      <w:r w:rsidR="00192FF2">
        <w:t xml:space="preserve"> policy</w:t>
      </w:r>
      <w:r w:rsidR="004E6695">
        <w:t xml:space="preserve"> to discussions of community safety as well</w:t>
      </w:r>
      <w:r w:rsidR="00192FF2">
        <w:t xml:space="preserve">. </w:t>
      </w:r>
    </w:p>
    <w:p w14:paraId="3C780A74" w14:textId="1FB76374" w:rsidR="00125C2E" w:rsidRDefault="00772E02" w:rsidP="00772E02">
      <w:pPr>
        <w:pStyle w:val="Heading1"/>
      </w:pPr>
      <w:r>
        <w:t>Any other points?</w:t>
      </w:r>
    </w:p>
    <w:p w14:paraId="4CC6FAB8" w14:textId="68E5EDFF" w:rsidR="00772E02" w:rsidRDefault="00772E02" w:rsidP="00772E02">
      <w:r w:rsidRPr="00772E02">
        <w:t>The NDA advises that any consultation</w:t>
      </w:r>
      <w:r>
        <w:t>s</w:t>
      </w:r>
      <w:r w:rsidR="001A46BE">
        <w:t xml:space="preserve"> undertaken by NOCS to inform the new strategy should be</w:t>
      </w:r>
      <w:r>
        <w:t xml:space="preserve"> </w:t>
      </w:r>
      <w:r w:rsidR="001A46BE">
        <w:t>fully</w:t>
      </w:r>
      <w:r w:rsidRPr="00772E02">
        <w:t xml:space="preserve"> accessible. For example, the NOCS website notes that it is facilitating ‘townhall’ meetings, for which people can notify them of particular accessibility needs; we would welcome alternative means of communicating such as an email address and phone number so that people who want to engage (and cannot attend a townhall) can request/get the information they need in a way that is accessible to them. There is also a mention of an upcoming survey; again, we advise that this should be accessible</w:t>
      </w:r>
      <w:r w:rsidR="001A46BE">
        <w:t>. While we welcome</w:t>
      </w:r>
      <w:r w:rsidRPr="00772E02">
        <w:t xml:space="preserve"> targeted consultations with people with disabilities, any members of the public who have disabilities should also be able to engage</w:t>
      </w:r>
      <w:r w:rsidR="001A46BE">
        <w:t xml:space="preserve"> with the consultation process</w:t>
      </w:r>
      <w:r w:rsidRPr="00772E02">
        <w:t>.</w:t>
      </w:r>
    </w:p>
    <w:p w14:paraId="301E2952" w14:textId="2FC484B7" w:rsidR="00C41124" w:rsidRDefault="00C41124" w:rsidP="00772E02">
      <w:r w:rsidRPr="00C41124">
        <w:t>Finally, the NDA advises that there should be consideration of the threats posed by vehicles to community safety. There is guidance from the UK available on this topic</w:t>
      </w:r>
      <w:r w:rsidR="00AD0B1A">
        <w:rPr>
          <w:rStyle w:val="FootnoteReference"/>
        </w:rPr>
        <w:footnoteReference w:id="3"/>
      </w:r>
      <w:r w:rsidRPr="00C41124">
        <w:t>, and it is important that any risk-reducing measures take account of people of different ages, size, ability and disability.</w:t>
      </w:r>
    </w:p>
    <w:p w14:paraId="49FC5D39" w14:textId="67977354" w:rsidR="00066042" w:rsidRDefault="00066042" w:rsidP="00066042">
      <w:pPr>
        <w:pStyle w:val="Heading1"/>
      </w:pPr>
      <w:r>
        <w:t>Conclusion</w:t>
      </w:r>
    </w:p>
    <w:p w14:paraId="6CD73286" w14:textId="53AB6618" w:rsidR="00647485" w:rsidRDefault="00066042" w:rsidP="00647485">
      <w:r w:rsidRPr="00066042">
        <w:t>The NDA welcomes the</w:t>
      </w:r>
      <w:r w:rsidR="006D164E">
        <w:t xml:space="preserve"> opportunity to contribute to the development of the new National Strategy for Improving Community Safety </w:t>
      </w:r>
      <w:r w:rsidRPr="00066042">
        <w:t xml:space="preserve">and is available to engage further on any of the issues raised in this submission. </w:t>
      </w:r>
    </w:p>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242F" w14:textId="77777777" w:rsidR="00975482" w:rsidRDefault="00975482" w:rsidP="00917FAC">
      <w:pPr>
        <w:spacing w:after="0"/>
      </w:pPr>
      <w:r>
        <w:separator/>
      </w:r>
    </w:p>
  </w:endnote>
  <w:endnote w:type="continuationSeparator" w:id="0">
    <w:p w14:paraId="6B6FEF3D" w14:textId="77777777" w:rsidR="00975482" w:rsidRDefault="00975482"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433E3BAB" w:rsidR="00917FAC" w:rsidRDefault="00AE0DE4" w:rsidP="006D164E">
    <w:pPr>
      <w:pStyle w:val="Footer"/>
    </w:pPr>
    <w:r w:rsidRPr="00301CC9">
      <w:t xml:space="preserve">NDA Submission to </w:t>
    </w:r>
    <w:bookmarkStart w:id="1" w:name="_Hlk213850441"/>
    <w:r w:rsidR="006D164E">
      <w:t>the National Office for Community Safety</w:t>
    </w:r>
    <w:r w:rsidR="00FA1016" w:rsidRPr="00FA1016">
      <w:t xml:space="preserve"> to inform its consultation on</w:t>
    </w:r>
    <w:r w:rsidR="006D164E">
      <w:t xml:space="preserve"> the new</w:t>
    </w:r>
    <w:r w:rsidR="00FA1016" w:rsidRPr="00FA1016">
      <w:t xml:space="preserve"> </w:t>
    </w:r>
    <w:r w:rsidR="006D164E">
      <w:t>National Strategy for Improving Community Safety</w:t>
    </w:r>
    <w:r w:rsidR="00301CC9" w:rsidRPr="00301CC9">
      <w:t xml:space="preserve"> </w:t>
    </w:r>
    <w:bookmarkEnd w:id="1"/>
    <w:r w:rsidRPr="00A34B11">
      <w:t>(</w:t>
    </w:r>
    <w:r w:rsidR="006D164E">
      <w:t>November</w:t>
    </w:r>
    <w:r w:rsidRPr="00A34B11">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43DB" w14:textId="77777777" w:rsidR="00975482" w:rsidRDefault="00975482" w:rsidP="00917FAC">
      <w:pPr>
        <w:spacing w:after="0"/>
      </w:pPr>
      <w:r>
        <w:separator/>
      </w:r>
    </w:p>
  </w:footnote>
  <w:footnote w:type="continuationSeparator" w:id="0">
    <w:p w14:paraId="4926227E" w14:textId="77777777" w:rsidR="00975482" w:rsidRDefault="00975482" w:rsidP="00917FAC">
      <w:pPr>
        <w:spacing w:after="0"/>
      </w:pPr>
      <w:r>
        <w:continuationSeparator/>
      </w:r>
    </w:p>
  </w:footnote>
  <w:footnote w:id="1">
    <w:p w14:paraId="115073F5" w14:textId="1228A7D2" w:rsidR="002D2368" w:rsidRDefault="002D2368">
      <w:pPr>
        <w:pStyle w:val="FootnoteText"/>
      </w:pPr>
      <w:r>
        <w:rPr>
          <w:rStyle w:val="FootnoteReference"/>
        </w:rPr>
        <w:footnoteRef/>
      </w:r>
      <w:r>
        <w:t xml:space="preserve"> </w:t>
      </w:r>
      <w:hyperlink r:id="rId1" w:history="1">
        <w:r w:rsidRPr="0027253E">
          <w:rPr>
            <w:rStyle w:val="Hyperlink"/>
          </w:rPr>
          <w:t>https://www.comreg.ie/advice-information/emergencies-and-severe-weather/emergency-call-answering-service/real-time-text-rtt/</w:t>
        </w:r>
      </w:hyperlink>
    </w:p>
    <w:p w14:paraId="4CD75D73" w14:textId="77777777" w:rsidR="002D2368" w:rsidRDefault="002D2368">
      <w:pPr>
        <w:pStyle w:val="FootnoteText"/>
      </w:pPr>
    </w:p>
  </w:footnote>
  <w:footnote w:id="2">
    <w:p w14:paraId="6B9C2335" w14:textId="068397D4" w:rsidR="001A46BE" w:rsidRDefault="001A46BE">
      <w:pPr>
        <w:pStyle w:val="FootnoteText"/>
      </w:pPr>
      <w:r>
        <w:rPr>
          <w:rStyle w:val="FootnoteReference"/>
        </w:rPr>
        <w:footnoteRef/>
      </w:r>
      <w:r>
        <w:t xml:space="preserve"> </w:t>
      </w:r>
      <w:hyperlink r:id="rId2" w:history="1">
        <w:r w:rsidRPr="007461C8">
          <w:rPr>
            <w:rStyle w:val="Hyperlink"/>
          </w:rPr>
          <w:t>https://nda.ie/transforming-disability-services/decongregation-moving-to-community-living</w:t>
        </w:r>
      </w:hyperlink>
      <w:r>
        <w:t xml:space="preserve"> </w:t>
      </w:r>
    </w:p>
  </w:footnote>
  <w:footnote w:id="3">
    <w:p w14:paraId="212436CD" w14:textId="0BC2875B" w:rsidR="00AD0B1A" w:rsidRDefault="00AD0B1A">
      <w:pPr>
        <w:pStyle w:val="FootnoteText"/>
      </w:pPr>
      <w:r>
        <w:rPr>
          <w:rStyle w:val="FootnoteReference"/>
        </w:rPr>
        <w:footnoteRef/>
      </w:r>
      <w:r>
        <w:t xml:space="preserve"> </w:t>
      </w:r>
      <w:hyperlink r:id="rId3" w:history="1">
        <w:r w:rsidRPr="007461C8">
          <w:rPr>
            <w:rStyle w:val="Hyperlink"/>
          </w:rPr>
          <w:t>https://www.protectuk.police.uk/vehicle-weapon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AC84302"/>
    <w:multiLevelType w:val="hybridMultilevel"/>
    <w:tmpl w:val="C4A8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9E96A00"/>
    <w:multiLevelType w:val="hybridMultilevel"/>
    <w:tmpl w:val="8F9860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3"/>
  </w:num>
  <w:num w:numId="3" w16cid:durableId="323360036">
    <w:abstractNumId w:val="7"/>
  </w:num>
  <w:num w:numId="4" w16cid:durableId="1675497173">
    <w:abstractNumId w:val="4"/>
  </w:num>
  <w:num w:numId="5" w16cid:durableId="572157237">
    <w:abstractNumId w:val="5"/>
  </w:num>
  <w:num w:numId="6" w16cid:durableId="1523394075">
    <w:abstractNumId w:val="3"/>
  </w:num>
  <w:num w:numId="7" w16cid:durableId="912929873">
    <w:abstractNumId w:val="10"/>
  </w:num>
  <w:num w:numId="8" w16cid:durableId="977608658">
    <w:abstractNumId w:val="12"/>
  </w:num>
  <w:num w:numId="9" w16cid:durableId="1233278352">
    <w:abstractNumId w:val="0"/>
  </w:num>
  <w:num w:numId="10" w16cid:durableId="1202548908">
    <w:abstractNumId w:val="8"/>
  </w:num>
  <w:num w:numId="11" w16cid:durableId="1838809369">
    <w:abstractNumId w:val="9"/>
  </w:num>
  <w:num w:numId="12" w16cid:durableId="962426233">
    <w:abstractNumId w:val="14"/>
  </w:num>
  <w:num w:numId="13" w16cid:durableId="1544638239">
    <w:abstractNumId w:val="2"/>
  </w:num>
  <w:num w:numId="14" w16cid:durableId="309359884">
    <w:abstractNumId w:val="11"/>
  </w:num>
  <w:num w:numId="15" w16cid:durableId="1971476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2686"/>
    <w:rsid w:val="000049C4"/>
    <w:rsid w:val="0001011C"/>
    <w:rsid w:val="00014BFD"/>
    <w:rsid w:val="00024022"/>
    <w:rsid w:val="0003510A"/>
    <w:rsid w:val="00037B16"/>
    <w:rsid w:val="00055494"/>
    <w:rsid w:val="00066042"/>
    <w:rsid w:val="0006646C"/>
    <w:rsid w:val="0007514C"/>
    <w:rsid w:val="000779D8"/>
    <w:rsid w:val="00077BE4"/>
    <w:rsid w:val="0008118F"/>
    <w:rsid w:val="000934CB"/>
    <w:rsid w:val="00095890"/>
    <w:rsid w:val="000D011B"/>
    <w:rsid w:val="000D2A1B"/>
    <w:rsid w:val="000D61AB"/>
    <w:rsid w:val="0010419F"/>
    <w:rsid w:val="00117F58"/>
    <w:rsid w:val="00125C2E"/>
    <w:rsid w:val="00130160"/>
    <w:rsid w:val="00133D43"/>
    <w:rsid w:val="00140685"/>
    <w:rsid w:val="0014365F"/>
    <w:rsid w:val="00145451"/>
    <w:rsid w:val="00145B53"/>
    <w:rsid w:val="001538BD"/>
    <w:rsid w:val="00167867"/>
    <w:rsid w:val="00172A7D"/>
    <w:rsid w:val="0019071C"/>
    <w:rsid w:val="00192FF2"/>
    <w:rsid w:val="001A3DB3"/>
    <w:rsid w:val="001A46BE"/>
    <w:rsid w:val="001B681B"/>
    <w:rsid w:val="001C3486"/>
    <w:rsid w:val="001D12ED"/>
    <w:rsid w:val="001F06F3"/>
    <w:rsid w:val="00224B98"/>
    <w:rsid w:val="002458D0"/>
    <w:rsid w:val="00246B40"/>
    <w:rsid w:val="00251FC4"/>
    <w:rsid w:val="0025707C"/>
    <w:rsid w:val="00274F24"/>
    <w:rsid w:val="00284FE5"/>
    <w:rsid w:val="00286405"/>
    <w:rsid w:val="0028705D"/>
    <w:rsid w:val="0029034A"/>
    <w:rsid w:val="002B4238"/>
    <w:rsid w:val="002B52E1"/>
    <w:rsid w:val="002C2846"/>
    <w:rsid w:val="002C5131"/>
    <w:rsid w:val="002C7DA3"/>
    <w:rsid w:val="002D2368"/>
    <w:rsid w:val="002D3416"/>
    <w:rsid w:val="00301CC9"/>
    <w:rsid w:val="0031069F"/>
    <w:rsid w:val="00315C18"/>
    <w:rsid w:val="0032440B"/>
    <w:rsid w:val="00335B67"/>
    <w:rsid w:val="003416F1"/>
    <w:rsid w:val="00345902"/>
    <w:rsid w:val="00355EC8"/>
    <w:rsid w:val="00360A55"/>
    <w:rsid w:val="00374D2B"/>
    <w:rsid w:val="0039189C"/>
    <w:rsid w:val="0039218B"/>
    <w:rsid w:val="003A0A5D"/>
    <w:rsid w:val="003B156B"/>
    <w:rsid w:val="003C21D8"/>
    <w:rsid w:val="003D1195"/>
    <w:rsid w:val="0041150E"/>
    <w:rsid w:val="00426948"/>
    <w:rsid w:val="00442050"/>
    <w:rsid w:val="0045517C"/>
    <w:rsid w:val="004838F4"/>
    <w:rsid w:val="00493852"/>
    <w:rsid w:val="004D6F54"/>
    <w:rsid w:val="004D70E4"/>
    <w:rsid w:val="004E3023"/>
    <w:rsid w:val="004E4BD9"/>
    <w:rsid w:val="004E4E8E"/>
    <w:rsid w:val="004E6695"/>
    <w:rsid w:val="004F65DB"/>
    <w:rsid w:val="00513618"/>
    <w:rsid w:val="005137D5"/>
    <w:rsid w:val="00520798"/>
    <w:rsid w:val="00523C3F"/>
    <w:rsid w:val="0057353C"/>
    <w:rsid w:val="005753BC"/>
    <w:rsid w:val="0057773C"/>
    <w:rsid w:val="0058651E"/>
    <w:rsid w:val="005A394E"/>
    <w:rsid w:val="005D40EF"/>
    <w:rsid w:val="005D7081"/>
    <w:rsid w:val="00610919"/>
    <w:rsid w:val="00612B9F"/>
    <w:rsid w:val="00617350"/>
    <w:rsid w:val="00625EB3"/>
    <w:rsid w:val="0063034C"/>
    <w:rsid w:val="00646A96"/>
    <w:rsid w:val="00647485"/>
    <w:rsid w:val="00650BC4"/>
    <w:rsid w:val="00651B83"/>
    <w:rsid w:val="006544B6"/>
    <w:rsid w:val="00662F6C"/>
    <w:rsid w:val="00664A4E"/>
    <w:rsid w:val="00683DA8"/>
    <w:rsid w:val="006874E0"/>
    <w:rsid w:val="006A2B97"/>
    <w:rsid w:val="006A62D9"/>
    <w:rsid w:val="006C1CFB"/>
    <w:rsid w:val="006C39A2"/>
    <w:rsid w:val="006C7362"/>
    <w:rsid w:val="006D164E"/>
    <w:rsid w:val="006D3E86"/>
    <w:rsid w:val="006D6ABB"/>
    <w:rsid w:val="006E093E"/>
    <w:rsid w:val="006F0DFE"/>
    <w:rsid w:val="006F507A"/>
    <w:rsid w:val="006F763F"/>
    <w:rsid w:val="006F7C4F"/>
    <w:rsid w:val="00700654"/>
    <w:rsid w:val="00700946"/>
    <w:rsid w:val="00706225"/>
    <w:rsid w:val="00714867"/>
    <w:rsid w:val="00715D09"/>
    <w:rsid w:val="00731BA8"/>
    <w:rsid w:val="00732977"/>
    <w:rsid w:val="007401B7"/>
    <w:rsid w:val="00743BBE"/>
    <w:rsid w:val="00745B19"/>
    <w:rsid w:val="00772E02"/>
    <w:rsid w:val="007B30B4"/>
    <w:rsid w:val="007C66D0"/>
    <w:rsid w:val="008002BA"/>
    <w:rsid w:val="00816EE6"/>
    <w:rsid w:val="00847E0F"/>
    <w:rsid w:val="00851596"/>
    <w:rsid w:val="008524B5"/>
    <w:rsid w:val="00870A15"/>
    <w:rsid w:val="00882442"/>
    <w:rsid w:val="008B3CF0"/>
    <w:rsid w:val="008B4593"/>
    <w:rsid w:val="008C70A3"/>
    <w:rsid w:val="008D14BC"/>
    <w:rsid w:val="008D6474"/>
    <w:rsid w:val="008E1E5D"/>
    <w:rsid w:val="008E79C7"/>
    <w:rsid w:val="008F2F4F"/>
    <w:rsid w:val="009116E4"/>
    <w:rsid w:val="00914710"/>
    <w:rsid w:val="00917FAC"/>
    <w:rsid w:val="00920097"/>
    <w:rsid w:val="009301E7"/>
    <w:rsid w:val="0093650B"/>
    <w:rsid w:val="009740B3"/>
    <w:rsid w:val="009748E8"/>
    <w:rsid w:val="00975482"/>
    <w:rsid w:val="00980120"/>
    <w:rsid w:val="009821F6"/>
    <w:rsid w:val="00990BB6"/>
    <w:rsid w:val="00993359"/>
    <w:rsid w:val="009962D2"/>
    <w:rsid w:val="009A6DB0"/>
    <w:rsid w:val="009B2485"/>
    <w:rsid w:val="009C16B6"/>
    <w:rsid w:val="009C7640"/>
    <w:rsid w:val="009F4396"/>
    <w:rsid w:val="00A15B73"/>
    <w:rsid w:val="00A34896"/>
    <w:rsid w:val="00A34B11"/>
    <w:rsid w:val="00A65359"/>
    <w:rsid w:val="00A75664"/>
    <w:rsid w:val="00A76EED"/>
    <w:rsid w:val="00A8162C"/>
    <w:rsid w:val="00AA023E"/>
    <w:rsid w:val="00AA0955"/>
    <w:rsid w:val="00AB04E2"/>
    <w:rsid w:val="00AC240B"/>
    <w:rsid w:val="00AD0B1A"/>
    <w:rsid w:val="00AD44E2"/>
    <w:rsid w:val="00AE0DE4"/>
    <w:rsid w:val="00B1050C"/>
    <w:rsid w:val="00B2031C"/>
    <w:rsid w:val="00B22B0E"/>
    <w:rsid w:val="00B25C57"/>
    <w:rsid w:val="00B27A71"/>
    <w:rsid w:val="00B33594"/>
    <w:rsid w:val="00B353CF"/>
    <w:rsid w:val="00B42114"/>
    <w:rsid w:val="00B45BA9"/>
    <w:rsid w:val="00B504B5"/>
    <w:rsid w:val="00B53A64"/>
    <w:rsid w:val="00B64733"/>
    <w:rsid w:val="00B6526E"/>
    <w:rsid w:val="00B7381A"/>
    <w:rsid w:val="00B817F1"/>
    <w:rsid w:val="00B81FF1"/>
    <w:rsid w:val="00B8382B"/>
    <w:rsid w:val="00B870ED"/>
    <w:rsid w:val="00BA0C66"/>
    <w:rsid w:val="00BA4BE7"/>
    <w:rsid w:val="00BB03D4"/>
    <w:rsid w:val="00BB23F7"/>
    <w:rsid w:val="00BB3756"/>
    <w:rsid w:val="00BE2387"/>
    <w:rsid w:val="00BF0F62"/>
    <w:rsid w:val="00BF338F"/>
    <w:rsid w:val="00BF4CA1"/>
    <w:rsid w:val="00C15849"/>
    <w:rsid w:val="00C2085D"/>
    <w:rsid w:val="00C212AB"/>
    <w:rsid w:val="00C41124"/>
    <w:rsid w:val="00C54A86"/>
    <w:rsid w:val="00C86F8E"/>
    <w:rsid w:val="00C93CD7"/>
    <w:rsid w:val="00C964C3"/>
    <w:rsid w:val="00CC0A7E"/>
    <w:rsid w:val="00CC0CD2"/>
    <w:rsid w:val="00CD270C"/>
    <w:rsid w:val="00CE7E6E"/>
    <w:rsid w:val="00CF0735"/>
    <w:rsid w:val="00CF2F22"/>
    <w:rsid w:val="00D01FE7"/>
    <w:rsid w:val="00D22B57"/>
    <w:rsid w:val="00D33CE9"/>
    <w:rsid w:val="00D40D54"/>
    <w:rsid w:val="00D442BE"/>
    <w:rsid w:val="00D53F0F"/>
    <w:rsid w:val="00D71BF2"/>
    <w:rsid w:val="00D72B45"/>
    <w:rsid w:val="00D748B3"/>
    <w:rsid w:val="00D83D85"/>
    <w:rsid w:val="00DA39FC"/>
    <w:rsid w:val="00DA475D"/>
    <w:rsid w:val="00DB4796"/>
    <w:rsid w:val="00DC7236"/>
    <w:rsid w:val="00DE2407"/>
    <w:rsid w:val="00DF5E2E"/>
    <w:rsid w:val="00E019C9"/>
    <w:rsid w:val="00E0371B"/>
    <w:rsid w:val="00E03DB8"/>
    <w:rsid w:val="00E237B6"/>
    <w:rsid w:val="00E30ADA"/>
    <w:rsid w:val="00E3343B"/>
    <w:rsid w:val="00E41900"/>
    <w:rsid w:val="00E4537B"/>
    <w:rsid w:val="00E457C6"/>
    <w:rsid w:val="00E808A7"/>
    <w:rsid w:val="00E84571"/>
    <w:rsid w:val="00E85F90"/>
    <w:rsid w:val="00E871C4"/>
    <w:rsid w:val="00E90284"/>
    <w:rsid w:val="00E90FD5"/>
    <w:rsid w:val="00E97A63"/>
    <w:rsid w:val="00EA59EA"/>
    <w:rsid w:val="00EA69CB"/>
    <w:rsid w:val="00EB11CF"/>
    <w:rsid w:val="00EB27BF"/>
    <w:rsid w:val="00EB7ACC"/>
    <w:rsid w:val="00EC5E6B"/>
    <w:rsid w:val="00EC7BBF"/>
    <w:rsid w:val="00ED4A1C"/>
    <w:rsid w:val="00EF1C7D"/>
    <w:rsid w:val="00EF6B03"/>
    <w:rsid w:val="00F1268C"/>
    <w:rsid w:val="00F33AB0"/>
    <w:rsid w:val="00F470BA"/>
    <w:rsid w:val="00F47BB0"/>
    <w:rsid w:val="00F50749"/>
    <w:rsid w:val="00F548C1"/>
    <w:rsid w:val="00F61CBB"/>
    <w:rsid w:val="00F9218D"/>
    <w:rsid w:val="00F9726E"/>
    <w:rsid w:val="00FA1016"/>
    <w:rsid w:val="00FC09EC"/>
    <w:rsid w:val="00FC1962"/>
    <w:rsid w:val="00FD6D08"/>
    <w:rsid w:val="00FE0059"/>
    <w:rsid w:val="00FE27D2"/>
    <w:rsid w:val="00FE28C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990BB6"/>
    <w:pPr>
      <w:spacing w:after="0"/>
    </w:pPr>
    <w:rPr>
      <w:rFonts w:ascii="Verdana" w:hAnsi="Verdana"/>
      <w:sz w:val="24"/>
    </w:rPr>
  </w:style>
  <w:style w:type="character" w:styleId="FollowedHyperlink">
    <w:name w:val="FollowedHyperlink"/>
    <w:basedOn w:val="DefaultParagraphFont"/>
    <w:uiPriority w:val="99"/>
    <w:semiHidden/>
    <w:unhideWhenUsed/>
    <w:rsid w:val="00513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7320">
      <w:bodyDiv w:val="1"/>
      <w:marLeft w:val="0"/>
      <w:marRight w:val="0"/>
      <w:marTop w:val="0"/>
      <w:marBottom w:val="0"/>
      <w:divBdr>
        <w:top w:val="none" w:sz="0" w:space="0" w:color="auto"/>
        <w:left w:val="none" w:sz="0" w:space="0" w:color="auto"/>
        <w:bottom w:val="none" w:sz="0" w:space="0" w:color="auto"/>
        <w:right w:val="none" w:sz="0" w:space="0" w:color="auto"/>
      </w:divBdr>
    </w:div>
    <w:div w:id="797265726">
      <w:bodyDiv w:val="1"/>
      <w:marLeft w:val="0"/>
      <w:marRight w:val="0"/>
      <w:marTop w:val="0"/>
      <w:marBottom w:val="0"/>
      <w:divBdr>
        <w:top w:val="none" w:sz="0" w:space="0" w:color="auto"/>
        <w:left w:val="none" w:sz="0" w:space="0" w:color="auto"/>
        <w:bottom w:val="none" w:sz="0" w:space="0" w:color="auto"/>
        <w:right w:val="none" w:sz="0" w:space="0" w:color="auto"/>
      </w:divBdr>
    </w:div>
    <w:div w:id="946078195">
      <w:bodyDiv w:val="1"/>
      <w:marLeft w:val="0"/>
      <w:marRight w:val="0"/>
      <w:marTop w:val="0"/>
      <w:marBottom w:val="0"/>
      <w:divBdr>
        <w:top w:val="none" w:sz="0" w:space="0" w:color="auto"/>
        <w:left w:val="none" w:sz="0" w:space="0" w:color="auto"/>
        <w:bottom w:val="none" w:sz="0" w:space="0" w:color="auto"/>
        <w:right w:val="none" w:sz="0" w:space="0" w:color="auto"/>
      </w:divBdr>
    </w:div>
    <w:div w:id="20883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publications/nda-independent-assessment-of-implementation-of-the-ndis" TargetMode="External"/><Relationship Id="rId18" Type="http://schemas.openxmlformats.org/officeDocument/2006/relationships/hyperlink" Target="https://www.hse.ie/eng/services/list/4/disability/congregatedsettings/timetomove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a.ie/publications/participation-matters-guidelines" TargetMode="External"/><Relationship Id="rId17" Type="http://schemas.openxmlformats.org/officeDocument/2006/relationships/hyperlink" Target="https://www.gov.ie/en/department-of-housing-local-government-and-heritage/publications/national-housing-strategy-for-disabled-people-2022-2027/" TargetMode="External"/><Relationship Id="rId2" Type="http://schemas.openxmlformats.org/officeDocument/2006/relationships/numbering" Target="numbering.xml"/><Relationship Id="rId16" Type="http://schemas.openxmlformats.org/officeDocument/2006/relationships/hyperlink" Target="https://www.garda.ie/en/about-us/publications/policing-plans/strategy/an-garda-siochana-human-rights-strategy-2022-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publications/nhrsd-consultation-report" TargetMode="External"/><Relationship Id="rId5" Type="http://schemas.openxmlformats.org/officeDocument/2006/relationships/webSettings" Target="webSettings.xml"/><Relationship Id="rId15" Type="http://schemas.openxmlformats.org/officeDocument/2006/relationships/hyperlink" Target="https://www.gov.ie/en/department-of-children-disability-and-equality/publications/national-human-rights-strategy-for-disabled-people-2025-2030-formats/" TargetMode="External"/><Relationship Id="rId10" Type="http://schemas.openxmlformats.org/officeDocument/2006/relationships/hyperlink" Target="https://www.ucc.ie/en/media/research/iss21/TowardsSafer(r)Spac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niversaldesign.ie/built-environment/walkability-audi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rotectuk.police.uk/vehicle-weapon" TargetMode="External"/><Relationship Id="rId2" Type="http://schemas.openxmlformats.org/officeDocument/2006/relationships/hyperlink" Target="https://nda.ie/transforming-disability-services/decongregation-moving-to-community-living" TargetMode="External"/><Relationship Id="rId1" Type="http://schemas.openxmlformats.org/officeDocument/2006/relationships/hyperlink" Target="https://www.comreg.ie/advice-information/emergencies-and-severe-weather/emergency-call-answering-service/real-time-text-rt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3</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Ciaran Finlay (NDA)</cp:lastModifiedBy>
  <cp:revision>4</cp:revision>
  <dcterms:created xsi:type="dcterms:W3CDTF">2025-11-26T13:30:00Z</dcterms:created>
  <dcterms:modified xsi:type="dcterms:W3CDTF">2025-11-26T13:33:00Z</dcterms:modified>
</cp:coreProperties>
</file>