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D01B" w14:textId="77777777" w:rsidR="00886632" w:rsidRDefault="002953D3" w:rsidP="00EA69CB">
      <w:pPr>
        <w:pStyle w:val="Title"/>
      </w:pPr>
      <w:r>
        <w:t>Public Sector</w:t>
      </w:r>
      <w:r w:rsidR="00886632">
        <w:t xml:space="preserve"> Equality and Human Rights</w:t>
      </w:r>
      <w:r>
        <w:t xml:space="preserve"> Duty </w:t>
      </w:r>
    </w:p>
    <w:p w14:paraId="0C17BB1A" w14:textId="1344550F" w:rsidR="004838F4" w:rsidRDefault="002953D3" w:rsidP="00EA69CB">
      <w:pPr>
        <w:pStyle w:val="Title"/>
      </w:pPr>
      <w:r>
        <w:t>Action Plan 2026-2027</w:t>
      </w:r>
    </w:p>
    <w:p w14:paraId="05717ABD" w14:textId="0A7B10F5" w:rsidR="00D748B3" w:rsidRDefault="009C7626" w:rsidP="00D748B3">
      <w:pPr>
        <w:pStyle w:val="Heading1"/>
      </w:pPr>
      <w:r>
        <w:t>Introduction</w:t>
      </w:r>
    </w:p>
    <w:p w14:paraId="388C4F38" w14:textId="1B68C36C" w:rsidR="00FB236B" w:rsidRDefault="00FB236B" w:rsidP="00FB236B">
      <w:pPr>
        <w:pStyle w:val="Heading2"/>
      </w:pPr>
      <w:r>
        <w:t xml:space="preserve">Background </w:t>
      </w:r>
    </w:p>
    <w:p w14:paraId="76887D19" w14:textId="0248803D" w:rsidR="00FB236B" w:rsidRDefault="00FB236B" w:rsidP="00FB236B">
      <w:r w:rsidRPr="00FB236B">
        <w:t>All public sector bodies have a duty to eliminate discrimination, promote equality, and protect the human rights of both their staff and those to which they provide services. This obligation is set out under Section 42 of the Irish Human Rights and Equality Commission Act 2014.</w:t>
      </w:r>
    </w:p>
    <w:p w14:paraId="08B89181" w14:textId="01B0CBD6" w:rsidR="00FB236B" w:rsidRDefault="00FB236B" w:rsidP="00FB236B">
      <w:r w:rsidRPr="00FB236B">
        <w:t>Specifically, Section 42(1) of the Act states that:</w:t>
      </w:r>
    </w:p>
    <w:p w14:paraId="439ED694" w14:textId="77777777" w:rsidR="00FB236B" w:rsidRDefault="00FB236B" w:rsidP="00FB236B">
      <w:pPr>
        <w:pStyle w:val="Quote"/>
      </w:pPr>
      <w:r w:rsidRPr="00FB236B">
        <w:t xml:space="preserve">“a public body shall. In the performance of its functions, have regard to the need to: </w:t>
      </w:r>
    </w:p>
    <w:p w14:paraId="2F791E89" w14:textId="54952BE2" w:rsidR="00FB236B" w:rsidRDefault="00FB236B" w:rsidP="00FB236B">
      <w:pPr>
        <w:pStyle w:val="Quote"/>
        <w:numPr>
          <w:ilvl w:val="0"/>
          <w:numId w:val="9"/>
        </w:numPr>
      </w:pPr>
      <w:r w:rsidRPr="00FB236B">
        <w:t xml:space="preserve">eliminate discrimination </w:t>
      </w:r>
    </w:p>
    <w:p w14:paraId="3B927086" w14:textId="312E171F" w:rsidR="00FB236B" w:rsidRDefault="00FB236B" w:rsidP="00FB236B">
      <w:pPr>
        <w:pStyle w:val="Quote"/>
        <w:numPr>
          <w:ilvl w:val="0"/>
          <w:numId w:val="9"/>
        </w:numPr>
      </w:pPr>
      <w:r w:rsidRPr="00FB236B">
        <w:t xml:space="preserve">promote equality of opportunity and treatment of its staff and the persons to whom it provides services, and </w:t>
      </w:r>
    </w:p>
    <w:p w14:paraId="7EBEB8AA" w14:textId="1E3392C6" w:rsidR="00FB236B" w:rsidRDefault="00FB236B" w:rsidP="00FB236B">
      <w:pPr>
        <w:pStyle w:val="Quote"/>
        <w:numPr>
          <w:ilvl w:val="0"/>
          <w:numId w:val="9"/>
        </w:numPr>
      </w:pPr>
      <w:r w:rsidRPr="00FB236B">
        <w:t>protect the human rights of its members, staff and the persons to whom it provides services”</w:t>
      </w:r>
    </w:p>
    <w:p w14:paraId="66A8EFAC" w14:textId="77777777" w:rsidR="00FB236B" w:rsidRDefault="00FB236B" w:rsidP="00FB236B">
      <w:r w:rsidRPr="00FB236B">
        <w:t xml:space="preserve">Section 42(2) of the Act requires a public body to assess the human rights and equality issues that are relevant to its functions and purpose, and to set out a plan to address these issues that is made publicly accessible. The assessment process and strategic plan should take regard of the purpose and function of the body, its size, and its available resources. </w:t>
      </w:r>
    </w:p>
    <w:p w14:paraId="35B015A0" w14:textId="79FF8754" w:rsidR="00FB236B" w:rsidRDefault="00FB236B" w:rsidP="00FB236B">
      <w:r w:rsidRPr="00FB236B">
        <w:t>The Irish Human Rights and Equality Commission has summarised the obligation to implement the Public Sector Duty as a three-step approach:</w:t>
      </w:r>
    </w:p>
    <w:p w14:paraId="632443D6" w14:textId="56F4FAAE" w:rsidR="00FB236B" w:rsidRDefault="00FB236B" w:rsidP="00FB236B">
      <w:pPr>
        <w:pStyle w:val="Quote"/>
      </w:pPr>
      <w:r w:rsidRPr="00FB236B">
        <w:rPr>
          <w:b/>
          <w:bCs/>
        </w:rPr>
        <w:lastRenderedPageBreak/>
        <w:t>1. Assess:</w:t>
      </w:r>
      <w:r w:rsidRPr="00FB236B">
        <w:t xml:space="preserve"> Public sector bodies must assess and identify human rights and equality issues relevant to their purpose and functions. The assessment should be evidence</w:t>
      </w:r>
      <w:r>
        <w:t>-</w:t>
      </w:r>
      <w:r w:rsidRPr="00FB236B">
        <w:t xml:space="preserve">based, drawing on available data including the knowledge and experience of staff and service users. </w:t>
      </w:r>
    </w:p>
    <w:p w14:paraId="44C0E0B1" w14:textId="0F41D6CE" w:rsidR="00FB236B" w:rsidRDefault="00FB236B" w:rsidP="00FB236B">
      <w:pPr>
        <w:pStyle w:val="Quote"/>
      </w:pPr>
      <w:r w:rsidRPr="00FB236B">
        <w:rPr>
          <w:b/>
          <w:bCs/>
        </w:rPr>
        <w:t>2. Address:</w:t>
      </w:r>
      <w:r w:rsidRPr="00FB236B">
        <w:t xml:space="preserve"> Public sector bodies must identify suitable policies, plans, or actions that are currently in place or that will be implemented in order to address the concerns identified. The body should consider the order of priority of these actions. Addressing the issues identified assists the organisation to improve outcomes for both its staff and service users. </w:t>
      </w:r>
    </w:p>
    <w:p w14:paraId="2184D1E3" w14:textId="7F74ABD5" w:rsidR="00FB236B" w:rsidRDefault="00FB236B" w:rsidP="00FB236B">
      <w:pPr>
        <w:pStyle w:val="Quote"/>
      </w:pPr>
      <w:r w:rsidRPr="00FB236B">
        <w:rPr>
          <w:b/>
          <w:bCs/>
        </w:rPr>
        <w:t>3. Report:</w:t>
      </w:r>
      <w:r w:rsidRPr="00FB236B">
        <w:t xml:space="preserve"> The public body must report to the general public, through annual reports or other documents, on developments and achievements in an accessible manner.</w:t>
      </w:r>
    </w:p>
    <w:p w14:paraId="1CC2C3AB" w14:textId="49AE6E60" w:rsidR="00394018" w:rsidRPr="00406AFB" w:rsidRDefault="00104E60" w:rsidP="00104E60">
      <w:pPr>
        <w:rPr>
          <w:iCs/>
        </w:rPr>
      </w:pPr>
      <w:r>
        <w:rPr>
          <w:iCs/>
        </w:rPr>
        <w:t>This new Public Sector Duty Action Plan</w:t>
      </w:r>
      <w:r w:rsidR="008244EF">
        <w:rPr>
          <w:iCs/>
        </w:rPr>
        <w:t xml:space="preserve"> 2026–2027</w:t>
      </w:r>
      <w:r>
        <w:rPr>
          <w:iCs/>
        </w:rPr>
        <w:t xml:space="preserve"> was developed following internal and external engagement and consultation. This included proactive outreach to </w:t>
      </w:r>
      <w:r w:rsidR="00406AFB">
        <w:rPr>
          <w:iCs/>
        </w:rPr>
        <w:t xml:space="preserve">and consultation with </w:t>
      </w:r>
      <w:r>
        <w:rPr>
          <w:iCs/>
        </w:rPr>
        <w:t xml:space="preserve">Disabled Persons Organisations (DPOs). </w:t>
      </w:r>
    </w:p>
    <w:p w14:paraId="6C4D092F" w14:textId="7D468359" w:rsidR="00FB236B" w:rsidRDefault="00FB236B" w:rsidP="00FB236B">
      <w:pPr>
        <w:pStyle w:val="Heading2"/>
      </w:pPr>
      <w:r>
        <w:t>Previous NDA Public Sector Duty Action Plans</w:t>
      </w:r>
    </w:p>
    <w:p w14:paraId="4209B71E" w14:textId="26C27100" w:rsidR="00F177F3" w:rsidRDefault="00F177F3" w:rsidP="009C7626">
      <w:r>
        <w:t xml:space="preserve">The NDA has had two previous Public Sector Duty Action Plans. The first was </w:t>
      </w:r>
      <w:r w:rsidR="009C7626" w:rsidRPr="009C7626">
        <w:t>developed in 2019 (approved in 2020)</w:t>
      </w:r>
      <w:r>
        <w:t xml:space="preserve"> and ran until 2022 (a</w:t>
      </w:r>
      <w:r w:rsidR="009C7626" w:rsidRPr="009C7626">
        <w:t xml:space="preserve"> </w:t>
      </w:r>
      <w:hyperlink r:id="rId8" w:history="1">
        <w:r w:rsidR="009C7626" w:rsidRPr="009C7626">
          <w:rPr>
            <w:rStyle w:val="Hyperlink"/>
          </w:rPr>
          <w:t>review</w:t>
        </w:r>
      </w:hyperlink>
      <w:r w:rsidR="009C7626" w:rsidRPr="009C7626">
        <w:t xml:space="preserve"> of this action plan was conducted in late 2022</w:t>
      </w:r>
      <w:r>
        <w:t xml:space="preserve">). The second action plan covered the period 2024–2025. </w:t>
      </w:r>
    </w:p>
    <w:p w14:paraId="790F945E" w14:textId="6A653E3A" w:rsidR="002A3845" w:rsidRDefault="00F177F3" w:rsidP="002A3845">
      <w:pPr>
        <w:pStyle w:val="Heading2"/>
      </w:pPr>
      <w:r>
        <w:t>Monitoring of progress</w:t>
      </w:r>
    </w:p>
    <w:p w14:paraId="19290C12" w14:textId="2457EC7E" w:rsidR="002A3845" w:rsidRDefault="002A3845" w:rsidP="002A3845">
      <w:r>
        <w:t>Progress against the actions set out in th</w:t>
      </w:r>
      <w:r w:rsidR="00F177F3">
        <w:t>is</w:t>
      </w:r>
      <w:r>
        <w:t xml:space="preserve"> </w:t>
      </w:r>
      <w:r w:rsidR="00784424">
        <w:t>a</w:t>
      </w:r>
      <w:r>
        <w:t xml:space="preserve">ction </w:t>
      </w:r>
      <w:r w:rsidR="00784424">
        <w:t>p</w:t>
      </w:r>
      <w:r>
        <w:t>lan, alongside other relevant developments, will be publicly reported through the NDA’s annual report</w:t>
      </w:r>
      <w:r w:rsidR="002D37DB">
        <w:t>s</w:t>
      </w:r>
      <w:r>
        <w:t>.</w:t>
      </w:r>
    </w:p>
    <w:p w14:paraId="2D90A569" w14:textId="6CEA42FB" w:rsidR="00F177F3" w:rsidRDefault="00F177F3" w:rsidP="00F177F3">
      <w:pPr>
        <w:pStyle w:val="Heading2"/>
      </w:pPr>
      <w:r>
        <w:t>Next steps</w:t>
      </w:r>
    </w:p>
    <w:p w14:paraId="1647405F" w14:textId="416E72A7" w:rsidR="002A3845" w:rsidRDefault="002A3845" w:rsidP="002A3845">
      <w:r>
        <w:t>This action plan</w:t>
      </w:r>
      <w:r w:rsidR="002637BE">
        <w:t xml:space="preserve"> covers the period 2026-2027</w:t>
      </w:r>
      <w:r>
        <w:t xml:space="preserve">, with the intention being to realign our future action plans with the NDA’s strategic planning cycle. </w:t>
      </w:r>
      <w:r w:rsidRPr="002A3845">
        <w:t>Preparatory work for the NDA’s next strategic plan, covering the period 2028-2030, will begin in early 2027.</w:t>
      </w:r>
      <w:r>
        <w:t xml:space="preserve"> </w:t>
      </w:r>
      <w:r w:rsidR="00104E60">
        <w:t xml:space="preserve">The development of this plan will include </w:t>
      </w:r>
      <w:r w:rsidR="005724A0">
        <w:t xml:space="preserve">early </w:t>
      </w:r>
      <w:r w:rsidR="00104E60">
        <w:t xml:space="preserve">consultation with </w:t>
      </w:r>
      <w:r w:rsidR="00104E60" w:rsidRPr="00104E60">
        <w:t xml:space="preserve">stakeholders about </w:t>
      </w:r>
      <w:r w:rsidR="00104E60">
        <w:t xml:space="preserve">views </w:t>
      </w:r>
      <w:r w:rsidR="00104E60">
        <w:lastRenderedPageBreak/>
        <w:t>on</w:t>
      </w:r>
      <w:r w:rsidR="00104E60" w:rsidRPr="00104E60">
        <w:t xml:space="preserve"> gaps in relation to the NDA </w:t>
      </w:r>
      <w:r w:rsidR="00104E60">
        <w:t>meeting</w:t>
      </w:r>
      <w:r w:rsidR="00104E60" w:rsidRPr="00104E60">
        <w:t xml:space="preserve"> </w:t>
      </w:r>
      <w:r w:rsidR="00104E60">
        <w:t>Public Sector Duty obligations</w:t>
      </w:r>
      <w:r w:rsidR="00BA561C">
        <w:t>, with accessibility considerations accounted for</w:t>
      </w:r>
      <w:r w:rsidR="00104E60" w:rsidRPr="00104E60">
        <w:t xml:space="preserve">. </w:t>
      </w:r>
      <w:r>
        <w:t>Our next Action Plan will cover a three-year period.</w:t>
      </w:r>
    </w:p>
    <w:p w14:paraId="55749ACC" w14:textId="2D8C9B95" w:rsidR="00506B6E" w:rsidRDefault="00506B6E" w:rsidP="00506B6E">
      <w:pPr>
        <w:pStyle w:val="Heading2"/>
      </w:pPr>
      <w:r>
        <w:t>Community safety duty</w:t>
      </w:r>
    </w:p>
    <w:p w14:paraId="2EB468A9" w14:textId="5C186A0D" w:rsidR="00506B6E" w:rsidRDefault="00506B6E" w:rsidP="00506B6E">
      <w:r>
        <w:t>In addition to the Public Sector Human Rights and Equality Duty, the next PSD Action Plan will also incorporate requirements for public bodies relating to community safety set out in the Policing, Security and Community Safety Act 2024.</w:t>
      </w:r>
    </w:p>
    <w:p w14:paraId="644E60DA" w14:textId="14D0EA56" w:rsidR="00506B6E" w:rsidRDefault="00506B6E" w:rsidP="00506B6E">
      <w:r>
        <w:t>The legislation (which was commenced in April 2025) requires public bodies to assess relevant community safety issues and set out policies, plans and actions to address these in its strategic plan. It must then report on developments in relation to addressing the community safety issues identified in its annual report.</w:t>
      </w:r>
    </w:p>
    <w:p w14:paraId="32CC24F7" w14:textId="2DE684CE" w:rsidR="00FB236B" w:rsidRPr="00FB236B" w:rsidRDefault="009C7626" w:rsidP="00506B6E">
      <w:pPr>
        <w:pStyle w:val="Heading1"/>
      </w:pPr>
      <w:r>
        <w:t>Detailed Action Plan</w:t>
      </w:r>
    </w:p>
    <w:p w14:paraId="61F56A74" w14:textId="7E8CBA6E" w:rsidR="00A50AD9" w:rsidRDefault="00A50AD9" w:rsidP="00A50AD9">
      <w:pPr>
        <w:pStyle w:val="Heading2"/>
      </w:pPr>
      <w:r>
        <w:t>Action</w:t>
      </w:r>
      <w:r w:rsidR="00262B3D">
        <w:t xml:space="preserve"> Area</w:t>
      </w:r>
      <w:r>
        <w:t xml:space="preserve"> 1 – Embedding the Duty</w:t>
      </w:r>
    </w:p>
    <w:tbl>
      <w:tblPr>
        <w:tblStyle w:val="TableGrid"/>
        <w:tblW w:w="0" w:type="auto"/>
        <w:tblLook w:val="04A0" w:firstRow="1" w:lastRow="0" w:firstColumn="1" w:lastColumn="0" w:noHBand="0" w:noVBand="1"/>
      </w:tblPr>
      <w:tblGrid>
        <w:gridCol w:w="4772"/>
        <w:gridCol w:w="4012"/>
        <w:gridCol w:w="2693"/>
        <w:gridCol w:w="2471"/>
      </w:tblGrid>
      <w:tr w:rsidR="00B35453" w:rsidRPr="00A50AD9" w14:paraId="42097F00" w14:textId="77777777" w:rsidTr="00B35453">
        <w:tc>
          <w:tcPr>
            <w:tcW w:w="4772" w:type="dxa"/>
          </w:tcPr>
          <w:p w14:paraId="31A6383C" w14:textId="6B4DCC76" w:rsidR="00B35453" w:rsidRDefault="00B35453" w:rsidP="001538BD">
            <w:pPr>
              <w:rPr>
                <w:b/>
                <w:bCs/>
              </w:rPr>
            </w:pPr>
            <w:r>
              <w:rPr>
                <w:b/>
                <w:bCs/>
              </w:rPr>
              <w:t>Action</w:t>
            </w:r>
          </w:p>
          <w:p w14:paraId="799ABB84" w14:textId="01A7C85B" w:rsidR="00B35453" w:rsidRPr="00A50AD9" w:rsidRDefault="00B35453" w:rsidP="001538BD">
            <w:pPr>
              <w:rPr>
                <w:b/>
                <w:bCs/>
              </w:rPr>
            </w:pPr>
          </w:p>
        </w:tc>
        <w:tc>
          <w:tcPr>
            <w:tcW w:w="4012" w:type="dxa"/>
          </w:tcPr>
          <w:p w14:paraId="5B304259" w14:textId="09441034" w:rsidR="00B35453" w:rsidRPr="00A50AD9" w:rsidRDefault="00B35453" w:rsidP="001538BD">
            <w:pPr>
              <w:rPr>
                <w:b/>
                <w:bCs/>
              </w:rPr>
            </w:pPr>
            <w:r>
              <w:rPr>
                <w:b/>
                <w:bCs/>
              </w:rPr>
              <w:t>Indicators of Achievement</w:t>
            </w:r>
          </w:p>
        </w:tc>
        <w:tc>
          <w:tcPr>
            <w:tcW w:w="2693" w:type="dxa"/>
          </w:tcPr>
          <w:p w14:paraId="4018A818" w14:textId="1ED7E31B" w:rsidR="00B35453" w:rsidRPr="00A50AD9" w:rsidRDefault="00B35453" w:rsidP="001538BD">
            <w:pPr>
              <w:rPr>
                <w:b/>
                <w:bCs/>
              </w:rPr>
            </w:pPr>
            <w:r w:rsidRPr="00A50AD9">
              <w:rPr>
                <w:b/>
                <w:bCs/>
              </w:rPr>
              <w:t>Timeframe</w:t>
            </w:r>
          </w:p>
        </w:tc>
        <w:tc>
          <w:tcPr>
            <w:tcW w:w="2471" w:type="dxa"/>
          </w:tcPr>
          <w:p w14:paraId="0CF5855A" w14:textId="08A2CBD2" w:rsidR="00B35453" w:rsidRPr="00A50AD9" w:rsidRDefault="00DD7E3D" w:rsidP="001538BD">
            <w:pPr>
              <w:rPr>
                <w:b/>
                <w:bCs/>
              </w:rPr>
            </w:pPr>
            <w:r>
              <w:rPr>
                <w:b/>
                <w:bCs/>
              </w:rPr>
              <w:t>Team</w:t>
            </w:r>
            <w:r w:rsidR="00B35453" w:rsidRPr="00A50AD9">
              <w:rPr>
                <w:b/>
                <w:bCs/>
              </w:rPr>
              <w:t xml:space="preserve"> responsible</w:t>
            </w:r>
          </w:p>
        </w:tc>
      </w:tr>
      <w:tr w:rsidR="00B35453" w14:paraId="78571D88" w14:textId="77777777" w:rsidTr="00B35453">
        <w:tc>
          <w:tcPr>
            <w:tcW w:w="4772" w:type="dxa"/>
          </w:tcPr>
          <w:p w14:paraId="2890CC24" w14:textId="5735F356" w:rsidR="00B35453" w:rsidRDefault="00DA3F55" w:rsidP="001538BD">
            <w:r>
              <w:t xml:space="preserve">1.1 </w:t>
            </w:r>
            <w:r w:rsidR="00B35453">
              <w:t xml:space="preserve">Establish a Public Sector Duty </w:t>
            </w:r>
            <w:r w:rsidR="00543076">
              <w:t xml:space="preserve">Equality and Human Rights </w:t>
            </w:r>
            <w:r w:rsidR="008A54A6">
              <w:t>Steering Committee</w:t>
            </w:r>
          </w:p>
          <w:p w14:paraId="0159EA69" w14:textId="08C04851" w:rsidR="00B35453" w:rsidRDefault="00B35453" w:rsidP="001538BD"/>
        </w:tc>
        <w:tc>
          <w:tcPr>
            <w:tcW w:w="4012" w:type="dxa"/>
          </w:tcPr>
          <w:p w14:paraId="7F4EE0FD" w14:textId="2B077843" w:rsidR="00A31DCD" w:rsidRDefault="00A31DCD" w:rsidP="001538BD">
            <w:r w:rsidRPr="00A31DCD">
              <w:t xml:space="preserve">Public Sector Duty </w:t>
            </w:r>
            <w:r w:rsidR="008A54A6">
              <w:t>Steering Committee</w:t>
            </w:r>
            <w:r>
              <w:t xml:space="preserve"> established</w:t>
            </w:r>
          </w:p>
          <w:p w14:paraId="58473290" w14:textId="77777777" w:rsidR="00A31DCD" w:rsidRDefault="00A31DCD" w:rsidP="001538BD"/>
          <w:p w14:paraId="0B9FD1AB" w14:textId="0B9927D3" w:rsidR="00B35453" w:rsidRDefault="00B35453" w:rsidP="001538BD">
            <w:r>
              <w:t>Broad representation</w:t>
            </w:r>
            <w:r w:rsidR="00A31DCD">
              <w:t xml:space="preserve"> on the </w:t>
            </w:r>
            <w:r w:rsidR="00A31DCD" w:rsidRPr="00A31DCD">
              <w:t xml:space="preserve">Public Sector Duty </w:t>
            </w:r>
            <w:r w:rsidR="008A54A6">
              <w:t>Steering Committee</w:t>
            </w:r>
            <w:r>
              <w:t xml:space="preserve"> across the organisation</w:t>
            </w:r>
          </w:p>
          <w:p w14:paraId="01A7BE66" w14:textId="77777777" w:rsidR="00097FB3" w:rsidRDefault="00097FB3" w:rsidP="001538BD"/>
          <w:p w14:paraId="00DC1686" w14:textId="552A37A0" w:rsidR="00097FB3" w:rsidRDefault="00097FB3" w:rsidP="001538BD">
            <w:r>
              <w:t xml:space="preserve">Public Sector Duty </w:t>
            </w:r>
            <w:r w:rsidR="008A54A6">
              <w:t>Steering Committee</w:t>
            </w:r>
            <w:r>
              <w:t xml:space="preserve"> meets at least once per quarter</w:t>
            </w:r>
          </w:p>
          <w:p w14:paraId="4E82A996" w14:textId="3DC7A94C" w:rsidR="00B35453" w:rsidRDefault="00B35453" w:rsidP="001538BD"/>
        </w:tc>
        <w:tc>
          <w:tcPr>
            <w:tcW w:w="2693" w:type="dxa"/>
          </w:tcPr>
          <w:p w14:paraId="5B2275CC" w14:textId="77777777" w:rsidR="00B35453" w:rsidRDefault="003421FD" w:rsidP="001538BD">
            <w:r>
              <w:t>Q</w:t>
            </w:r>
            <w:r w:rsidR="00121042">
              <w:t>3</w:t>
            </w:r>
            <w:r>
              <w:t xml:space="preserve"> 2026</w:t>
            </w:r>
          </w:p>
          <w:p w14:paraId="364AAC50" w14:textId="77777777" w:rsidR="003747CA" w:rsidRDefault="003747CA" w:rsidP="001538BD"/>
          <w:p w14:paraId="34ADE699" w14:textId="77777777" w:rsidR="003747CA" w:rsidRDefault="003747CA" w:rsidP="001538BD"/>
          <w:p w14:paraId="4EFA9272" w14:textId="77777777" w:rsidR="003747CA" w:rsidRDefault="003747CA" w:rsidP="001538BD">
            <w:r>
              <w:t>Q3 2026</w:t>
            </w:r>
          </w:p>
          <w:p w14:paraId="54F9E428" w14:textId="77777777" w:rsidR="003747CA" w:rsidRDefault="003747CA" w:rsidP="001538BD"/>
          <w:p w14:paraId="0DDF11F2" w14:textId="77777777" w:rsidR="003747CA" w:rsidRDefault="003747CA" w:rsidP="001538BD"/>
          <w:p w14:paraId="05BF054B" w14:textId="77777777" w:rsidR="003747CA" w:rsidRDefault="003747CA" w:rsidP="001538BD"/>
          <w:p w14:paraId="45F59E91" w14:textId="77777777" w:rsidR="003747CA" w:rsidRDefault="003747CA" w:rsidP="001538BD"/>
          <w:p w14:paraId="71827597" w14:textId="4CE45337" w:rsidR="003747CA" w:rsidRDefault="003747CA" w:rsidP="001538BD">
            <w:r>
              <w:t>Q4 2027</w:t>
            </w:r>
          </w:p>
        </w:tc>
        <w:tc>
          <w:tcPr>
            <w:tcW w:w="2471" w:type="dxa"/>
          </w:tcPr>
          <w:p w14:paraId="34E60B95" w14:textId="0BC5C7C2" w:rsidR="00B35453" w:rsidRDefault="003421FD" w:rsidP="001538BD">
            <w:r>
              <w:t>Policy, Research and Public Affairs Team</w:t>
            </w:r>
            <w:r w:rsidR="00543076">
              <w:t xml:space="preserve"> (with participation of CEUDSM and CSD)</w:t>
            </w:r>
          </w:p>
        </w:tc>
      </w:tr>
      <w:tr w:rsidR="00B35453" w14:paraId="56D7581C" w14:textId="77777777" w:rsidTr="00B35453">
        <w:tc>
          <w:tcPr>
            <w:tcW w:w="4772" w:type="dxa"/>
          </w:tcPr>
          <w:p w14:paraId="6CD31CCF" w14:textId="23C833ED" w:rsidR="00B35453" w:rsidRDefault="00DA3F55" w:rsidP="001538BD">
            <w:r>
              <w:lastRenderedPageBreak/>
              <w:t xml:space="preserve">1.2 </w:t>
            </w:r>
            <w:r w:rsidR="00B35453">
              <w:t xml:space="preserve">Develop Terms of Reference for the </w:t>
            </w:r>
            <w:r w:rsidR="009C077F">
              <w:t xml:space="preserve">PSD </w:t>
            </w:r>
            <w:r w:rsidR="008A54A6">
              <w:t>Steering Committee</w:t>
            </w:r>
          </w:p>
          <w:p w14:paraId="12BEB167" w14:textId="2862CD43" w:rsidR="00B35453" w:rsidRDefault="00B35453" w:rsidP="001538BD"/>
        </w:tc>
        <w:tc>
          <w:tcPr>
            <w:tcW w:w="4012" w:type="dxa"/>
          </w:tcPr>
          <w:p w14:paraId="59DC4341" w14:textId="0C7398E3" w:rsidR="00B35453" w:rsidRDefault="00A31DCD" w:rsidP="001538BD">
            <w:r>
              <w:t xml:space="preserve">Terms of Reference for the </w:t>
            </w:r>
            <w:r w:rsidRPr="00A31DCD">
              <w:t xml:space="preserve">Public Sector Duty </w:t>
            </w:r>
            <w:r w:rsidR="008A54A6">
              <w:t>Steering Committee</w:t>
            </w:r>
            <w:r>
              <w:t xml:space="preserve"> developed</w:t>
            </w:r>
          </w:p>
          <w:p w14:paraId="694F71B4" w14:textId="727B05CC" w:rsidR="00444258" w:rsidRDefault="00444258" w:rsidP="00784424"/>
        </w:tc>
        <w:tc>
          <w:tcPr>
            <w:tcW w:w="2693" w:type="dxa"/>
          </w:tcPr>
          <w:p w14:paraId="38A86ACD" w14:textId="33948FA0" w:rsidR="00B35453" w:rsidRDefault="003421FD" w:rsidP="001538BD">
            <w:r>
              <w:t>Q3 2026</w:t>
            </w:r>
          </w:p>
        </w:tc>
        <w:tc>
          <w:tcPr>
            <w:tcW w:w="2471" w:type="dxa"/>
          </w:tcPr>
          <w:p w14:paraId="3015FEA9" w14:textId="42E526DB" w:rsidR="00B35453" w:rsidRDefault="00DD7E3D" w:rsidP="001538BD">
            <w:r>
              <w:t xml:space="preserve">PSD </w:t>
            </w:r>
            <w:r w:rsidR="008A54A6">
              <w:t>Steering Committee</w:t>
            </w:r>
          </w:p>
        </w:tc>
      </w:tr>
      <w:tr w:rsidR="00B35453" w14:paraId="782A7F26" w14:textId="77777777" w:rsidTr="00B35453">
        <w:tc>
          <w:tcPr>
            <w:tcW w:w="4772" w:type="dxa"/>
          </w:tcPr>
          <w:p w14:paraId="7A3B961C" w14:textId="328BF0E0" w:rsidR="00B35453" w:rsidRPr="005D7A5C" w:rsidRDefault="00DA3F55" w:rsidP="001538BD">
            <w:r w:rsidRPr="005D7A5C">
              <w:t xml:space="preserve">1.3 </w:t>
            </w:r>
            <w:r w:rsidR="00B35453" w:rsidRPr="005D7A5C">
              <w:t>Mak</w:t>
            </w:r>
            <w:r w:rsidR="009C077F" w:rsidRPr="005D7A5C">
              <w:t>e</w:t>
            </w:r>
            <w:r w:rsidR="00B35453" w:rsidRPr="005D7A5C">
              <w:t xml:space="preserve"> IHREC’s ‘Equality and Human Rights in the Public Service’ eLearning course a mandatory part of the induction process</w:t>
            </w:r>
          </w:p>
          <w:p w14:paraId="4114D268" w14:textId="69083BDA" w:rsidR="00B35453" w:rsidRPr="005D7A5C" w:rsidRDefault="00B35453" w:rsidP="001538BD"/>
        </w:tc>
        <w:tc>
          <w:tcPr>
            <w:tcW w:w="4012" w:type="dxa"/>
          </w:tcPr>
          <w:p w14:paraId="079D7E3F" w14:textId="3129531F" w:rsidR="00B35453" w:rsidRPr="005D7A5C" w:rsidRDefault="003421FD" w:rsidP="001538BD">
            <w:r w:rsidRPr="005D7A5C">
              <w:t>eLearning course added to induction process and materials for new starters</w:t>
            </w:r>
            <w:r w:rsidR="00BA43F8">
              <w:t xml:space="preserve"> in the NDA</w:t>
            </w:r>
          </w:p>
        </w:tc>
        <w:tc>
          <w:tcPr>
            <w:tcW w:w="2693" w:type="dxa"/>
          </w:tcPr>
          <w:p w14:paraId="56D8BE1D" w14:textId="10A32AFD" w:rsidR="00B35453" w:rsidRPr="005D7A5C" w:rsidRDefault="003421FD" w:rsidP="001538BD">
            <w:r w:rsidRPr="005D7A5C">
              <w:t>Q3 2026</w:t>
            </w:r>
          </w:p>
        </w:tc>
        <w:tc>
          <w:tcPr>
            <w:tcW w:w="2471" w:type="dxa"/>
          </w:tcPr>
          <w:p w14:paraId="540252AC" w14:textId="253A0181" w:rsidR="00B35453" w:rsidRDefault="003421FD" w:rsidP="001538BD">
            <w:r w:rsidRPr="005D7A5C">
              <w:t>Corporate Services</w:t>
            </w:r>
          </w:p>
        </w:tc>
      </w:tr>
      <w:tr w:rsidR="00B35453" w14:paraId="75DDB846" w14:textId="77777777" w:rsidTr="00B35453">
        <w:tc>
          <w:tcPr>
            <w:tcW w:w="4772" w:type="dxa"/>
          </w:tcPr>
          <w:p w14:paraId="5DA1BF4B" w14:textId="6264209C" w:rsidR="00B35453" w:rsidRPr="005D7A5C" w:rsidRDefault="00DA3F55" w:rsidP="001538BD">
            <w:r w:rsidRPr="005D7A5C">
              <w:t xml:space="preserve">1.4 </w:t>
            </w:r>
            <w:r w:rsidR="00B35453" w:rsidRPr="005D7A5C">
              <w:t>Encourag</w:t>
            </w:r>
            <w:r w:rsidR="009C077F" w:rsidRPr="005D7A5C">
              <w:t>e</w:t>
            </w:r>
            <w:r w:rsidR="00B35453" w:rsidRPr="005D7A5C">
              <w:t xml:space="preserve"> all </w:t>
            </w:r>
            <w:r w:rsidR="00BA43F8">
              <w:t xml:space="preserve">existing NDA </w:t>
            </w:r>
            <w:r w:rsidR="00B35453" w:rsidRPr="005D7A5C">
              <w:t>staff to complete IHREC’s ‘Equality and Human Rights in the Public Service’ eLearning course</w:t>
            </w:r>
          </w:p>
          <w:p w14:paraId="41D62CEF" w14:textId="4FA905B0" w:rsidR="00B35453" w:rsidRPr="005D7A5C" w:rsidRDefault="00B35453" w:rsidP="001538BD"/>
        </w:tc>
        <w:tc>
          <w:tcPr>
            <w:tcW w:w="4012" w:type="dxa"/>
          </w:tcPr>
          <w:p w14:paraId="7DF805C8" w14:textId="0D96115C" w:rsidR="00B35453" w:rsidRPr="005D7A5C" w:rsidRDefault="003421FD" w:rsidP="001538BD">
            <w:r w:rsidRPr="005D7A5C">
              <w:t>All staff to have completed the eLearning course</w:t>
            </w:r>
          </w:p>
        </w:tc>
        <w:tc>
          <w:tcPr>
            <w:tcW w:w="2693" w:type="dxa"/>
          </w:tcPr>
          <w:p w14:paraId="5086B1AD" w14:textId="57586982" w:rsidR="00B35453" w:rsidRPr="005D7A5C" w:rsidRDefault="003421FD" w:rsidP="001538BD">
            <w:r w:rsidRPr="005D7A5C">
              <w:t>Q1 2027</w:t>
            </w:r>
          </w:p>
        </w:tc>
        <w:tc>
          <w:tcPr>
            <w:tcW w:w="2471" w:type="dxa"/>
          </w:tcPr>
          <w:p w14:paraId="5A5B266B" w14:textId="1DF05BEE" w:rsidR="00B35453" w:rsidRDefault="003421FD" w:rsidP="001538BD">
            <w:r w:rsidRPr="005D7A5C">
              <w:t xml:space="preserve">PSD </w:t>
            </w:r>
            <w:r w:rsidR="008A54A6">
              <w:t>Steering Committee</w:t>
            </w:r>
          </w:p>
        </w:tc>
      </w:tr>
      <w:tr w:rsidR="008E3D43" w14:paraId="4CFF386B" w14:textId="77777777" w:rsidTr="00B35453">
        <w:tc>
          <w:tcPr>
            <w:tcW w:w="4772" w:type="dxa"/>
          </w:tcPr>
          <w:p w14:paraId="1405C196" w14:textId="13EEE4E7" w:rsidR="008E3D43" w:rsidRPr="005D7A5C" w:rsidRDefault="008E3D43" w:rsidP="001538BD">
            <w:r>
              <w:t>1.5 Identify and communicate training opportunities and resources related to Public Sector Duty obligations to staff</w:t>
            </w:r>
          </w:p>
        </w:tc>
        <w:tc>
          <w:tcPr>
            <w:tcW w:w="4012" w:type="dxa"/>
          </w:tcPr>
          <w:p w14:paraId="271EFF9B" w14:textId="77777777" w:rsidR="008E3D43" w:rsidRDefault="00BD4CF5" w:rsidP="001538BD">
            <w:r>
              <w:t xml:space="preserve">Staff are aware of opportunities for training and development connected to the Public Sector Duty, such as IHREC’s </w:t>
            </w:r>
            <w:r w:rsidRPr="00BD4CF5">
              <w:t>Professional Diploma Course in Human Rights and Equality</w:t>
            </w:r>
          </w:p>
          <w:p w14:paraId="3BE05605" w14:textId="5FAC132B" w:rsidR="00BD4CF5" w:rsidRPr="005D7A5C" w:rsidRDefault="00BD4CF5" w:rsidP="001538BD"/>
        </w:tc>
        <w:tc>
          <w:tcPr>
            <w:tcW w:w="2693" w:type="dxa"/>
          </w:tcPr>
          <w:p w14:paraId="2850DAB1" w14:textId="37CF6E2E" w:rsidR="008E3D43" w:rsidRPr="005D7A5C" w:rsidRDefault="00BD4CF5" w:rsidP="001538BD">
            <w:r>
              <w:t>Q4 2027</w:t>
            </w:r>
          </w:p>
        </w:tc>
        <w:tc>
          <w:tcPr>
            <w:tcW w:w="2471" w:type="dxa"/>
          </w:tcPr>
          <w:p w14:paraId="40E2846E" w14:textId="2BC2ABB6" w:rsidR="008E3D43" w:rsidRPr="005D7A5C" w:rsidRDefault="008E3D43" w:rsidP="001538BD">
            <w:r>
              <w:t>PSD Steering Committee</w:t>
            </w:r>
            <w:r w:rsidR="00BD4CF5">
              <w:t>;</w:t>
            </w:r>
            <w:r>
              <w:t xml:space="preserve"> CSD</w:t>
            </w:r>
          </w:p>
        </w:tc>
      </w:tr>
      <w:tr w:rsidR="00403D3A" w14:paraId="22C42732" w14:textId="77777777" w:rsidTr="00403D3A">
        <w:tc>
          <w:tcPr>
            <w:tcW w:w="4772" w:type="dxa"/>
          </w:tcPr>
          <w:p w14:paraId="329A190E" w14:textId="4C0D9C88" w:rsidR="00403D3A" w:rsidRDefault="00403D3A" w:rsidP="002A440C">
            <w:r>
              <w:t>1.6 Ensure the upcoming consultation to inform the NDA Strategic Plan 2028-2030 explicitly incorporates consideration of the Public Sector Duty</w:t>
            </w:r>
          </w:p>
          <w:p w14:paraId="5CC00C32" w14:textId="77777777" w:rsidR="00403D3A" w:rsidRDefault="00403D3A" w:rsidP="002A440C"/>
        </w:tc>
        <w:tc>
          <w:tcPr>
            <w:tcW w:w="4012" w:type="dxa"/>
          </w:tcPr>
          <w:p w14:paraId="4EA0B966" w14:textId="77777777" w:rsidR="00403D3A" w:rsidRPr="00B50F66" w:rsidRDefault="00403D3A" w:rsidP="002A440C">
            <w:r>
              <w:t>The Public Sector Duty is explicitly considered as part of the c</w:t>
            </w:r>
            <w:r w:rsidRPr="00B50F66">
              <w:t xml:space="preserve">onsultation to inform the NDA Strategic Plan 2028-2030 </w:t>
            </w:r>
          </w:p>
          <w:p w14:paraId="06F552BA" w14:textId="77777777" w:rsidR="00403D3A" w:rsidRDefault="00403D3A" w:rsidP="002A440C"/>
        </w:tc>
        <w:tc>
          <w:tcPr>
            <w:tcW w:w="2693" w:type="dxa"/>
          </w:tcPr>
          <w:p w14:paraId="0C7366CA" w14:textId="77777777" w:rsidR="00403D3A" w:rsidRDefault="00403D3A" w:rsidP="002A440C">
            <w:r>
              <w:t>Q2 2027</w:t>
            </w:r>
          </w:p>
        </w:tc>
        <w:tc>
          <w:tcPr>
            <w:tcW w:w="2471" w:type="dxa"/>
          </w:tcPr>
          <w:p w14:paraId="423B1638" w14:textId="77777777" w:rsidR="00403D3A" w:rsidRDefault="00403D3A" w:rsidP="002A440C">
            <w:r>
              <w:t>Senior Leadership Team; CSD</w:t>
            </w:r>
          </w:p>
          <w:p w14:paraId="6FD03D14" w14:textId="77777777" w:rsidR="00403D3A" w:rsidRDefault="00403D3A" w:rsidP="002A440C"/>
        </w:tc>
      </w:tr>
    </w:tbl>
    <w:p w14:paraId="72DA1A31" w14:textId="77777777" w:rsidR="00A50AD9" w:rsidRDefault="00A50AD9" w:rsidP="001538BD"/>
    <w:p w14:paraId="21FCB46B" w14:textId="7D79E7F4" w:rsidR="00B8382B" w:rsidRDefault="00A50AD9" w:rsidP="00A50AD9">
      <w:pPr>
        <w:pStyle w:val="Heading2"/>
      </w:pPr>
      <w:r>
        <w:lastRenderedPageBreak/>
        <w:t>Action</w:t>
      </w:r>
      <w:r w:rsidR="00262B3D">
        <w:t xml:space="preserve"> Area</w:t>
      </w:r>
      <w:r>
        <w:t xml:space="preserve"> 2 – Intersectionality</w:t>
      </w:r>
    </w:p>
    <w:tbl>
      <w:tblPr>
        <w:tblStyle w:val="TableGrid"/>
        <w:tblW w:w="0" w:type="auto"/>
        <w:tblLook w:val="04A0" w:firstRow="1" w:lastRow="0" w:firstColumn="1" w:lastColumn="0" w:noHBand="0" w:noVBand="1"/>
      </w:tblPr>
      <w:tblGrid>
        <w:gridCol w:w="4815"/>
        <w:gridCol w:w="3924"/>
        <w:gridCol w:w="2738"/>
        <w:gridCol w:w="2471"/>
      </w:tblGrid>
      <w:tr w:rsidR="00B35453" w:rsidRPr="00A50AD9" w14:paraId="6C92B127" w14:textId="77777777" w:rsidTr="00B35453">
        <w:tc>
          <w:tcPr>
            <w:tcW w:w="4815" w:type="dxa"/>
          </w:tcPr>
          <w:p w14:paraId="65BEA54A" w14:textId="2FAF5DA4" w:rsidR="00B35453" w:rsidRDefault="00B35453" w:rsidP="002A440C">
            <w:pPr>
              <w:rPr>
                <w:b/>
                <w:bCs/>
              </w:rPr>
            </w:pPr>
            <w:r>
              <w:rPr>
                <w:b/>
                <w:bCs/>
              </w:rPr>
              <w:t>Action</w:t>
            </w:r>
          </w:p>
          <w:p w14:paraId="5DD7FB32" w14:textId="77777777" w:rsidR="00B35453" w:rsidRPr="00A50AD9" w:rsidRDefault="00B35453" w:rsidP="002A440C">
            <w:pPr>
              <w:rPr>
                <w:b/>
                <w:bCs/>
              </w:rPr>
            </w:pPr>
          </w:p>
        </w:tc>
        <w:tc>
          <w:tcPr>
            <w:tcW w:w="3924" w:type="dxa"/>
          </w:tcPr>
          <w:p w14:paraId="1EBE287E" w14:textId="77777777" w:rsidR="00B35453" w:rsidRDefault="00B35453" w:rsidP="00B35453">
            <w:pPr>
              <w:rPr>
                <w:b/>
                <w:bCs/>
              </w:rPr>
            </w:pPr>
            <w:r w:rsidRPr="00A50AD9">
              <w:rPr>
                <w:b/>
                <w:bCs/>
              </w:rPr>
              <w:t>Indicators of Achievement</w:t>
            </w:r>
          </w:p>
          <w:p w14:paraId="02B1212B" w14:textId="77777777" w:rsidR="00B35453" w:rsidRPr="00A50AD9" w:rsidRDefault="00B35453" w:rsidP="002A440C">
            <w:pPr>
              <w:rPr>
                <w:b/>
                <w:bCs/>
              </w:rPr>
            </w:pPr>
          </w:p>
        </w:tc>
        <w:tc>
          <w:tcPr>
            <w:tcW w:w="2738" w:type="dxa"/>
          </w:tcPr>
          <w:p w14:paraId="41CC9BE9" w14:textId="62556FDB" w:rsidR="00B35453" w:rsidRPr="00A50AD9" w:rsidRDefault="00B35453" w:rsidP="002A440C">
            <w:pPr>
              <w:rPr>
                <w:b/>
                <w:bCs/>
              </w:rPr>
            </w:pPr>
            <w:r w:rsidRPr="00A50AD9">
              <w:rPr>
                <w:b/>
                <w:bCs/>
              </w:rPr>
              <w:t>Timeframe</w:t>
            </w:r>
          </w:p>
        </w:tc>
        <w:tc>
          <w:tcPr>
            <w:tcW w:w="2471" w:type="dxa"/>
          </w:tcPr>
          <w:p w14:paraId="6185FEF4" w14:textId="7383A86F" w:rsidR="00B35453" w:rsidRPr="00A50AD9" w:rsidRDefault="00DD7E3D" w:rsidP="002A440C">
            <w:pPr>
              <w:rPr>
                <w:b/>
                <w:bCs/>
              </w:rPr>
            </w:pPr>
            <w:r>
              <w:rPr>
                <w:b/>
                <w:bCs/>
              </w:rPr>
              <w:t>Team</w:t>
            </w:r>
            <w:r w:rsidR="00B35453" w:rsidRPr="00A50AD9">
              <w:rPr>
                <w:b/>
                <w:bCs/>
              </w:rPr>
              <w:t xml:space="preserve"> responsible</w:t>
            </w:r>
          </w:p>
        </w:tc>
      </w:tr>
      <w:tr w:rsidR="00B35453" w14:paraId="5842553C" w14:textId="77777777" w:rsidTr="00B35453">
        <w:tc>
          <w:tcPr>
            <w:tcW w:w="4815" w:type="dxa"/>
          </w:tcPr>
          <w:p w14:paraId="277FCF61" w14:textId="413783D4" w:rsidR="00B35453" w:rsidRDefault="00DA3F55" w:rsidP="002A440C">
            <w:r>
              <w:t xml:space="preserve">2.1 </w:t>
            </w:r>
            <w:r w:rsidR="00B35453">
              <w:t xml:space="preserve">Organise at least </w:t>
            </w:r>
            <w:r w:rsidR="00FF3863">
              <w:t>two</w:t>
            </w:r>
            <w:r w:rsidR="00B35453" w:rsidRPr="00A50AD9">
              <w:t xml:space="preserve"> briefings for staff </w:t>
            </w:r>
            <w:r w:rsidR="00B35453">
              <w:t xml:space="preserve">per year </w:t>
            </w:r>
            <w:r w:rsidR="00B35453" w:rsidRPr="00A50AD9">
              <w:t xml:space="preserve">on lived experiences of people across a range of equality grounds </w:t>
            </w:r>
          </w:p>
          <w:p w14:paraId="548AA58A" w14:textId="61FA1176" w:rsidR="00B35453" w:rsidRDefault="00B35453" w:rsidP="002A440C"/>
        </w:tc>
        <w:tc>
          <w:tcPr>
            <w:tcW w:w="3924" w:type="dxa"/>
          </w:tcPr>
          <w:p w14:paraId="4A57863B" w14:textId="37B8965A" w:rsidR="00B35453" w:rsidRDefault="00FF3863" w:rsidP="002A440C">
            <w:r>
              <w:t>Two briefings on lived experiences of people across a range of equality grounds organised per annum</w:t>
            </w:r>
          </w:p>
        </w:tc>
        <w:tc>
          <w:tcPr>
            <w:tcW w:w="2738" w:type="dxa"/>
          </w:tcPr>
          <w:p w14:paraId="65FD77B2" w14:textId="593ABC8D" w:rsidR="00B35453" w:rsidRDefault="00A51C0E" w:rsidP="002A440C">
            <w:r>
              <w:t>Q4 2027</w:t>
            </w:r>
          </w:p>
        </w:tc>
        <w:tc>
          <w:tcPr>
            <w:tcW w:w="2471" w:type="dxa"/>
          </w:tcPr>
          <w:p w14:paraId="47E5DC54" w14:textId="1CF933CC" w:rsidR="00B35453" w:rsidRDefault="00804F6B" w:rsidP="002A440C">
            <w:r>
              <w:t xml:space="preserve">PSD </w:t>
            </w:r>
            <w:r w:rsidR="008A54A6">
              <w:t>Steering Committee</w:t>
            </w:r>
            <w:r w:rsidR="00121042">
              <w:t xml:space="preserve"> (with input from CSD)</w:t>
            </w:r>
          </w:p>
        </w:tc>
      </w:tr>
      <w:tr w:rsidR="00B35453" w14:paraId="51857523" w14:textId="77777777" w:rsidTr="00B35453">
        <w:tc>
          <w:tcPr>
            <w:tcW w:w="4815" w:type="dxa"/>
          </w:tcPr>
          <w:p w14:paraId="76C8FECC" w14:textId="18C0B454" w:rsidR="00B35453" w:rsidRDefault="00DA3F55" w:rsidP="00B35453">
            <w:r>
              <w:t xml:space="preserve">2.2 </w:t>
            </w:r>
            <w:r w:rsidR="001F7C56">
              <w:t xml:space="preserve">Continue to consider intersectionality and the diversity of experiences of disabled people in policy </w:t>
            </w:r>
            <w:r w:rsidR="00FB0CFE">
              <w:t xml:space="preserve">and other </w:t>
            </w:r>
            <w:r w:rsidR="001F7C56">
              <w:t>submissions</w:t>
            </w:r>
          </w:p>
          <w:p w14:paraId="62E1F3B5" w14:textId="63065DA8" w:rsidR="00FB0CFE" w:rsidRDefault="00FB0CFE" w:rsidP="00B35453"/>
        </w:tc>
        <w:tc>
          <w:tcPr>
            <w:tcW w:w="3924" w:type="dxa"/>
          </w:tcPr>
          <w:p w14:paraId="5184554F" w14:textId="77777777" w:rsidR="00B35453" w:rsidRPr="00B35453" w:rsidRDefault="00B35453" w:rsidP="00B35453">
            <w:r w:rsidRPr="00B35453">
              <w:t>10 examples per year on where intersectionality has been considered in our work</w:t>
            </w:r>
          </w:p>
          <w:p w14:paraId="1FE7DD7C" w14:textId="77777777" w:rsidR="00B35453" w:rsidRDefault="00B35453" w:rsidP="002A440C"/>
        </w:tc>
        <w:tc>
          <w:tcPr>
            <w:tcW w:w="2738" w:type="dxa"/>
          </w:tcPr>
          <w:p w14:paraId="114F5E1E" w14:textId="782FF1E0" w:rsidR="00B35453" w:rsidRDefault="00A51C0E" w:rsidP="002A440C">
            <w:r>
              <w:t>Q4 2027</w:t>
            </w:r>
          </w:p>
        </w:tc>
        <w:tc>
          <w:tcPr>
            <w:tcW w:w="2471" w:type="dxa"/>
          </w:tcPr>
          <w:p w14:paraId="2CDA65F0" w14:textId="6B1CE86B" w:rsidR="00B35453" w:rsidRDefault="00DD7E3D" w:rsidP="002A440C">
            <w:r>
              <w:t>Policy, Research and Public Affairs Team</w:t>
            </w:r>
            <w:r w:rsidR="00FB0CFE">
              <w:t>; CEUDSM</w:t>
            </w:r>
          </w:p>
        </w:tc>
      </w:tr>
      <w:tr w:rsidR="00B35453" w14:paraId="72884BCA" w14:textId="77777777" w:rsidTr="00B35453">
        <w:tc>
          <w:tcPr>
            <w:tcW w:w="4815" w:type="dxa"/>
          </w:tcPr>
          <w:p w14:paraId="3DD6EEF2" w14:textId="39FA164C" w:rsidR="00B35453" w:rsidRDefault="00DA3F55" w:rsidP="00A50AD9">
            <w:r>
              <w:t xml:space="preserve">2.3 </w:t>
            </w:r>
            <w:r w:rsidR="001F7C56">
              <w:t>Continue to consider intersectionality and the diversity of experiences of disabled people in research</w:t>
            </w:r>
            <w:r w:rsidR="00B35453">
              <w:t>, including our Research Promotion Scheme</w:t>
            </w:r>
            <w:r w:rsidR="00BA43F8">
              <w:t xml:space="preserve"> (RPS)</w:t>
            </w:r>
          </w:p>
          <w:p w14:paraId="390B659E" w14:textId="56DDF0F6" w:rsidR="001F7C56" w:rsidRPr="00FC21FD" w:rsidRDefault="001F7C56" w:rsidP="00A50AD9"/>
        </w:tc>
        <w:tc>
          <w:tcPr>
            <w:tcW w:w="3924" w:type="dxa"/>
          </w:tcPr>
          <w:p w14:paraId="68FE0222" w14:textId="7653C93F" w:rsidR="00B35453" w:rsidRDefault="001F7C56" w:rsidP="002A440C">
            <w:r>
              <w:t xml:space="preserve">Intersectionality </w:t>
            </w:r>
            <w:r w:rsidR="00104E60">
              <w:t>embedded into</w:t>
            </w:r>
            <w:r>
              <w:t xml:space="preserve"> the theme of the </w:t>
            </w:r>
            <w:r w:rsidR="00104E60">
              <w:t xml:space="preserve">current </w:t>
            </w:r>
            <w:r>
              <w:t xml:space="preserve">RPS scheme </w:t>
            </w:r>
          </w:p>
          <w:p w14:paraId="52997FED" w14:textId="77777777" w:rsidR="00104E60" w:rsidRDefault="00104E60" w:rsidP="002A440C"/>
          <w:p w14:paraId="46387BBA" w14:textId="77777777" w:rsidR="00104E60" w:rsidRDefault="00104E60" w:rsidP="002A440C">
            <w:r>
              <w:t>Intersectionality considered as part of the development of future RPS schemes</w:t>
            </w:r>
          </w:p>
          <w:p w14:paraId="3AED3620" w14:textId="2F2973FE" w:rsidR="00104E60" w:rsidRDefault="00104E60" w:rsidP="002A440C"/>
        </w:tc>
        <w:tc>
          <w:tcPr>
            <w:tcW w:w="2738" w:type="dxa"/>
          </w:tcPr>
          <w:p w14:paraId="05462669" w14:textId="1427DB45" w:rsidR="00B35453" w:rsidRDefault="00A51C0E" w:rsidP="002A440C">
            <w:r>
              <w:t>Q4 2027</w:t>
            </w:r>
          </w:p>
        </w:tc>
        <w:tc>
          <w:tcPr>
            <w:tcW w:w="2471" w:type="dxa"/>
          </w:tcPr>
          <w:p w14:paraId="6F3C2C9C" w14:textId="419F23DA" w:rsidR="00B35453" w:rsidRDefault="00DD7E3D" w:rsidP="002A440C">
            <w:r>
              <w:t>Policy, Research and Public Affairs Team</w:t>
            </w:r>
          </w:p>
        </w:tc>
      </w:tr>
    </w:tbl>
    <w:p w14:paraId="332B10DA" w14:textId="77777777" w:rsidR="00A50AD9" w:rsidRDefault="00A50AD9" w:rsidP="00B8382B"/>
    <w:p w14:paraId="4B06A093" w14:textId="25FF8F5C" w:rsidR="00A50AD9" w:rsidRDefault="00A50AD9" w:rsidP="00A50AD9">
      <w:pPr>
        <w:pStyle w:val="Heading2"/>
      </w:pPr>
      <w:r>
        <w:t xml:space="preserve">Action </w:t>
      </w:r>
      <w:r w:rsidR="00262B3D">
        <w:t xml:space="preserve">Area </w:t>
      </w:r>
      <w:r>
        <w:t>3 – Accessibility</w:t>
      </w:r>
    </w:p>
    <w:tbl>
      <w:tblPr>
        <w:tblStyle w:val="TableGrid"/>
        <w:tblW w:w="0" w:type="auto"/>
        <w:tblLook w:val="04A0" w:firstRow="1" w:lastRow="0" w:firstColumn="1" w:lastColumn="0" w:noHBand="0" w:noVBand="1"/>
      </w:tblPr>
      <w:tblGrid>
        <w:gridCol w:w="4815"/>
        <w:gridCol w:w="3969"/>
        <w:gridCol w:w="2693"/>
        <w:gridCol w:w="2471"/>
      </w:tblGrid>
      <w:tr w:rsidR="00B35453" w:rsidRPr="00A50AD9" w14:paraId="4A9F5DF0" w14:textId="77777777" w:rsidTr="00B35453">
        <w:tc>
          <w:tcPr>
            <w:tcW w:w="4815" w:type="dxa"/>
          </w:tcPr>
          <w:p w14:paraId="554A7CC1" w14:textId="6513CFCF" w:rsidR="00B35453" w:rsidRDefault="00C16F74" w:rsidP="002A440C">
            <w:pPr>
              <w:rPr>
                <w:b/>
                <w:bCs/>
              </w:rPr>
            </w:pPr>
            <w:bookmarkStart w:id="0" w:name="_Hlk221807322"/>
            <w:r>
              <w:rPr>
                <w:b/>
                <w:bCs/>
              </w:rPr>
              <w:t>Action</w:t>
            </w:r>
          </w:p>
          <w:p w14:paraId="25A0E6DC" w14:textId="77777777" w:rsidR="00B35453" w:rsidRPr="00A50AD9" w:rsidRDefault="00B35453" w:rsidP="002A440C">
            <w:pPr>
              <w:rPr>
                <w:b/>
                <w:bCs/>
              </w:rPr>
            </w:pPr>
          </w:p>
        </w:tc>
        <w:tc>
          <w:tcPr>
            <w:tcW w:w="3969" w:type="dxa"/>
          </w:tcPr>
          <w:p w14:paraId="42BAA824" w14:textId="77777777" w:rsidR="00B35453" w:rsidRDefault="00B35453" w:rsidP="00B35453">
            <w:pPr>
              <w:rPr>
                <w:b/>
                <w:bCs/>
              </w:rPr>
            </w:pPr>
            <w:r w:rsidRPr="00A50AD9">
              <w:rPr>
                <w:b/>
                <w:bCs/>
              </w:rPr>
              <w:t>Indicators of Achievement</w:t>
            </w:r>
          </w:p>
          <w:p w14:paraId="33B03766" w14:textId="77777777" w:rsidR="00B35453" w:rsidRPr="00A50AD9" w:rsidRDefault="00B35453" w:rsidP="002A440C">
            <w:pPr>
              <w:rPr>
                <w:b/>
                <w:bCs/>
              </w:rPr>
            </w:pPr>
          </w:p>
        </w:tc>
        <w:tc>
          <w:tcPr>
            <w:tcW w:w="2693" w:type="dxa"/>
          </w:tcPr>
          <w:p w14:paraId="28C54B3B" w14:textId="2752EF39" w:rsidR="00B35453" w:rsidRPr="00A50AD9" w:rsidRDefault="00B35453" w:rsidP="002A440C">
            <w:pPr>
              <w:rPr>
                <w:b/>
                <w:bCs/>
              </w:rPr>
            </w:pPr>
            <w:r w:rsidRPr="00A50AD9">
              <w:rPr>
                <w:b/>
                <w:bCs/>
              </w:rPr>
              <w:t>Timeframe</w:t>
            </w:r>
          </w:p>
        </w:tc>
        <w:tc>
          <w:tcPr>
            <w:tcW w:w="2471" w:type="dxa"/>
          </w:tcPr>
          <w:p w14:paraId="33E3F0F3" w14:textId="077DE600" w:rsidR="00B35453" w:rsidRPr="00A50AD9" w:rsidRDefault="00DD7E3D" w:rsidP="002A440C">
            <w:pPr>
              <w:rPr>
                <w:b/>
                <w:bCs/>
              </w:rPr>
            </w:pPr>
            <w:r>
              <w:rPr>
                <w:b/>
                <w:bCs/>
              </w:rPr>
              <w:t>Team</w:t>
            </w:r>
            <w:r w:rsidR="00B35453" w:rsidRPr="00A50AD9">
              <w:rPr>
                <w:b/>
                <w:bCs/>
              </w:rPr>
              <w:t xml:space="preserve"> responsible</w:t>
            </w:r>
          </w:p>
        </w:tc>
      </w:tr>
      <w:tr w:rsidR="00B35453" w14:paraId="60672078" w14:textId="77777777" w:rsidTr="00B35453">
        <w:tc>
          <w:tcPr>
            <w:tcW w:w="4815" w:type="dxa"/>
          </w:tcPr>
          <w:p w14:paraId="5EE39AD9" w14:textId="31C33E50" w:rsidR="00B35453" w:rsidRPr="00953FB9" w:rsidRDefault="00DA3F55" w:rsidP="002A440C">
            <w:bookmarkStart w:id="1" w:name="_Hlk227316792"/>
            <w:r w:rsidRPr="00953FB9">
              <w:t xml:space="preserve">3.1 </w:t>
            </w:r>
            <w:r w:rsidR="00804F6B" w:rsidRPr="00953FB9">
              <w:t xml:space="preserve">Publicise the availability of the </w:t>
            </w:r>
            <w:r w:rsidR="00BA43F8">
              <w:t xml:space="preserve">NDA’s </w:t>
            </w:r>
            <w:r w:rsidR="00B35453" w:rsidRPr="00953FB9">
              <w:t>Changing Places Toilet</w:t>
            </w:r>
          </w:p>
          <w:p w14:paraId="5CB86ECA" w14:textId="77777777" w:rsidR="00B35453" w:rsidRPr="00953FB9" w:rsidRDefault="00B35453" w:rsidP="002A440C"/>
        </w:tc>
        <w:tc>
          <w:tcPr>
            <w:tcW w:w="3969" w:type="dxa"/>
          </w:tcPr>
          <w:p w14:paraId="0D2AAF08" w14:textId="477C69FB" w:rsidR="00B35453" w:rsidRPr="00953FB9" w:rsidRDefault="00FF3863" w:rsidP="002A440C">
            <w:r w:rsidRPr="00953FB9">
              <w:t xml:space="preserve">Information on accessing the Changing Places Toilet available on the NDA website </w:t>
            </w:r>
            <w:r w:rsidRPr="00953FB9">
              <w:lastRenderedPageBreak/>
              <w:t>and facility is used by the general public</w:t>
            </w:r>
            <w:r w:rsidR="00BA43F8">
              <w:t xml:space="preserve"> and visitors to the NDA</w:t>
            </w:r>
          </w:p>
          <w:p w14:paraId="588C2A4F" w14:textId="41EE660F" w:rsidR="00FF3863" w:rsidRPr="00953FB9" w:rsidRDefault="00FF3863" w:rsidP="002A440C"/>
        </w:tc>
        <w:tc>
          <w:tcPr>
            <w:tcW w:w="2693" w:type="dxa"/>
          </w:tcPr>
          <w:p w14:paraId="2A7F342B" w14:textId="4D111154" w:rsidR="00B35453" w:rsidRDefault="00953FB9" w:rsidP="002A440C">
            <w:r>
              <w:lastRenderedPageBreak/>
              <w:t>Q4 2026</w:t>
            </w:r>
          </w:p>
        </w:tc>
        <w:tc>
          <w:tcPr>
            <w:tcW w:w="2471" w:type="dxa"/>
          </w:tcPr>
          <w:p w14:paraId="53130BE5" w14:textId="77777777" w:rsidR="00953FB9" w:rsidRDefault="00953FB9" w:rsidP="00953FB9">
            <w:r w:rsidRPr="00141F7F">
              <w:t>Corporate Services</w:t>
            </w:r>
          </w:p>
          <w:p w14:paraId="6D0127F7" w14:textId="77777777" w:rsidR="00B35453" w:rsidRDefault="00B35453" w:rsidP="002A440C"/>
        </w:tc>
      </w:tr>
      <w:bookmarkEnd w:id="0"/>
      <w:tr w:rsidR="00B35453" w14:paraId="4D81FDD8" w14:textId="77777777" w:rsidTr="00B35453">
        <w:tc>
          <w:tcPr>
            <w:tcW w:w="4815" w:type="dxa"/>
          </w:tcPr>
          <w:p w14:paraId="6F55919A" w14:textId="473EFA4F" w:rsidR="00B35453" w:rsidRPr="00D20561" w:rsidRDefault="00DA3F55" w:rsidP="002A440C">
            <w:r w:rsidRPr="00D20561">
              <w:t xml:space="preserve">3.2 </w:t>
            </w:r>
            <w:r w:rsidR="00B35453" w:rsidRPr="00D20561">
              <w:t xml:space="preserve">Develop a policy on screen reader </w:t>
            </w:r>
            <w:r w:rsidR="009C077F" w:rsidRPr="00D20561">
              <w:t>accessible versions of documents</w:t>
            </w:r>
          </w:p>
          <w:p w14:paraId="40BFC45F" w14:textId="77777777" w:rsidR="00B35453" w:rsidRPr="00D20561" w:rsidRDefault="00B35453" w:rsidP="002A440C"/>
        </w:tc>
        <w:tc>
          <w:tcPr>
            <w:tcW w:w="3969" w:type="dxa"/>
          </w:tcPr>
          <w:p w14:paraId="2D6E1DA7" w14:textId="77777777" w:rsidR="00B35453" w:rsidRPr="00D20561" w:rsidRDefault="00FF3863" w:rsidP="002A440C">
            <w:r w:rsidRPr="00D20561">
              <w:t>Policy on screen reader accessible versions of documents developed</w:t>
            </w:r>
          </w:p>
          <w:p w14:paraId="784D7B81" w14:textId="016E1350" w:rsidR="00FF3863" w:rsidRPr="00D20561" w:rsidRDefault="00FF3863" w:rsidP="002A440C"/>
        </w:tc>
        <w:tc>
          <w:tcPr>
            <w:tcW w:w="2693" w:type="dxa"/>
          </w:tcPr>
          <w:p w14:paraId="17DD3B11" w14:textId="2DD7A2C1" w:rsidR="00B35453" w:rsidRPr="00D20561" w:rsidRDefault="002907A9" w:rsidP="002A440C">
            <w:r w:rsidRPr="00D20561">
              <w:t>Q4 2026</w:t>
            </w:r>
          </w:p>
        </w:tc>
        <w:tc>
          <w:tcPr>
            <w:tcW w:w="2471" w:type="dxa"/>
          </w:tcPr>
          <w:p w14:paraId="1D2FCAC1" w14:textId="010BEAA8" w:rsidR="00B35453" w:rsidRDefault="00DD7E3D" w:rsidP="002A440C">
            <w:r w:rsidRPr="00D20561">
              <w:t>Communications Team</w:t>
            </w:r>
          </w:p>
        </w:tc>
      </w:tr>
      <w:bookmarkEnd w:id="1"/>
      <w:tr w:rsidR="00B35453" w14:paraId="11114B87" w14:textId="77777777" w:rsidTr="00B35453">
        <w:tc>
          <w:tcPr>
            <w:tcW w:w="4815" w:type="dxa"/>
          </w:tcPr>
          <w:p w14:paraId="6A97DD1F" w14:textId="1C372EEA" w:rsidR="00B35453" w:rsidRPr="00141F7F" w:rsidRDefault="00DA3F55" w:rsidP="002A440C">
            <w:r w:rsidRPr="00141F7F">
              <w:t>3.</w:t>
            </w:r>
            <w:r w:rsidR="00953FB9">
              <w:t>3</w:t>
            </w:r>
            <w:r w:rsidRPr="00141F7F">
              <w:t xml:space="preserve"> </w:t>
            </w:r>
            <w:r w:rsidR="009C077F" w:rsidRPr="00141F7F">
              <w:t xml:space="preserve">Make </w:t>
            </w:r>
            <w:r w:rsidR="00B35453" w:rsidRPr="00141F7F">
              <w:t>I</w:t>
            </w:r>
            <w:r w:rsidR="009C077F" w:rsidRPr="00141F7F">
              <w:t xml:space="preserve">rish </w:t>
            </w:r>
            <w:r w:rsidR="00B35453" w:rsidRPr="00141F7F">
              <w:t>S</w:t>
            </w:r>
            <w:r w:rsidR="009C077F" w:rsidRPr="00141F7F">
              <w:t xml:space="preserve">ign </w:t>
            </w:r>
            <w:r w:rsidR="00B35453" w:rsidRPr="00141F7F">
              <w:t>L</w:t>
            </w:r>
            <w:r w:rsidR="009C077F" w:rsidRPr="00141F7F">
              <w:t>anguage</w:t>
            </w:r>
            <w:r w:rsidR="00FB0CFE" w:rsidRPr="00141F7F">
              <w:t xml:space="preserve"> beginner course</w:t>
            </w:r>
            <w:r w:rsidR="00B35453" w:rsidRPr="00141F7F">
              <w:t xml:space="preserve"> </w:t>
            </w:r>
            <w:r w:rsidR="009C077F" w:rsidRPr="00141F7F">
              <w:t>available to staff</w:t>
            </w:r>
            <w:r w:rsidR="002C406F" w:rsidRPr="00141F7F">
              <w:t xml:space="preserve"> </w:t>
            </w:r>
          </w:p>
          <w:p w14:paraId="0EF415FF" w14:textId="1ABD7AD1" w:rsidR="00186A82" w:rsidRPr="00141F7F" w:rsidRDefault="00186A82" w:rsidP="002A440C"/>
        </w:tc>
        <w:tc>
          <w:tcPr>
            <w:tcW w:w="3969" w:type="dxa"/>
          </w:tcPr>
          <w:p w14:paraId="23C0D129" w14:textId="580D156E" w:rsidR="00B35453" w:rsidRPr="00141F7F" w:rsidRDefault="00186A82" w:rsidP="002A440C">
            <w:r w:rsidRPr="00141F7F">
              <w:t>NDA staff complete ISL beginner course</w:t>
            </w:r>
          </w:p>
        </w:tc>
        <w:tc>
          <w:tcPr>
            <w:tcW w:w="2693" w:type="dxa"/>
          </w:tcPr>
          <w:p w14:paraId="44FC98E6" w14:textId="44661196" w:rsidR="00B35453" w:rsidRPr="00141F7F" w:rsidRDefault="002C406F" w:rsidP="002A440C">
            <w:r w:rsidRPr="00141F7F">
              <w:t>Q</w:t>
            </w:r>
            <w:r w:rsidR="00186A82" w:rsidRPr="00141F7F">
              <w:t>4</w:t>
            </w:r>
            <w:r w:rsidRPr="00141F7F">
              <w:t xml:space="preserve"> 2026</w:t>
            </w:r>
          </w:p>
        </w:tc>
        <w:tc>
          <w:tcPr>
            <w:tcW w:w="2471" w:type="dxa"/>
          </w:tcPr>
          <w:p w14:paraId="30267E5E" w14:textId="36ACF9CE" w:rsidR="00B35453" w:rsidRDefault="002C406F" w:rsidP="002A440C">
            <w:r w:rsidRPr="00141F7F">
              <w:t>Corporate Services</w:t>
            </w:r>
          </w:p>
          <w:p w14:paraId="2982916A" w14:textId="4C0B09EB" w:rsidR="00804F6B" w:rsidRDefault="00804F6B" w:rsidP="002A440C"/>
        </w:tc>
      </w:tr>
      <w:tr w:rsidR="00BA561C" w14:paraId="22E80B41" w14:textId="77777777" w:rsidTr="00B35453">
        <w:tc>
          <w:tcPr>
            <w:tcW w:w="4815" w:type="dxa"/>
          </w:tcPr>
          <w:p w14:paraId="37F80E2D" w14:textId="77777777" w:rsidR="00BA561C" w:rsidRDefault="00BA561C" w:rsidP="002A440C">
            <w:r>
              <w:t>3.4 Provide Deaf Awareness Training to NDA staff</w:t>
            </w:r>
          </w:p>
          <w:p w14:paraId="7CD0E6B0" w14:textId="3C8327C7" w:rsidR="00BA561C" w:rsidRPr="00141F7F" w:rsidRDefault="00BA561C" w:rsidP="002A440C"/>
        </w:tc>
        <w:tc>
          <w:tcPr>
            <w:tcW w:w="3969" w:type="dxa"/>
          </w:tcPr>
          <w:p w14:paraId="752EEDD6" w14:textId="0311E831" w:rsidR="00BA561C" w:rsidRPr="00141F7F" w:rsidRDefault="00BA561C" w:rsidP="002A440C">
            <w:r>
              <w:t>NDA staff receive Deaf Awareness Training</w:t>
            </w:r>
          </w:p>
        </w:tc>
        <w:tc>
          <w:tcPr>
            <w:tcW w:w="2693" w:type="dxa"/>
          </w:tcPr>
          <w:p w14:paraId="24672D58" w14:textId="5B0410BF" w:rsidR="00BA561C" w:rsidRPr="00141F7F" w:rsidRDefault="00BA561C" w:rsidP="002A440C">
            <w:r>
              <w:t>Q1 2027</w:t>
            </w:r>
          </w:p>
        </w:tc>
        <w:tc>
          <w:tcPr>
            <w:tcW w:w="2471" w:type="dxa"/>
          </w:tcPr>
          <w:p w14:paraId="25435386" w14:textId="2FCB9296" w:rsidR="00BA561C" w:rsidRPr="00141F7F" w:rsidRDefault="00BA561C" w:rsidP="002A440C">
            <w:r>
              <w:t>PSD Steering Committee</w:t>
            </w:r>
          </w:p>
        </w:tc>
      </w:tr>
      <w:tr w:rsidR="00B25760" w14:paraId="018647F2" w14:textId="77777777" w:rsidTr="00B35453">
        <w:tc>
          <w:tcPr>
            <w:tcW w:w="4815" w:type="dxa"/>
          </w:tcPr>
          <w:p w14:paraId="4842ADBF" w14:textId="482EB043" w:rsidR="00B25760" w:rsidRPr="0018302F" w:rsidRDefault="00DA3F55" w:rsidP="002A440C">
            <w:r w:rsidRPr="0018302F">
              <w:t>3.</w:t>
            </w:r>
            <w:r w:rsidR="00BA561C">
              <w:t>5</w:t>
            </w:r>
            <w:r w:rsidRPr="0018302F">
              <w:t xml:space="preserve"> </w:t>
            </w:r>
            <w:r w:rsidR="00B25760" w:rsidRPr="0018302F">
              <w:t>Introduce a shortened</w:t>
            </w:r>
            <w:r w:rsidR="00A51C0E" w:rsidRPr="0018302F">
              <w:t>, more accessible</w:t>
            </w:r>
            <w:r w:rsidR="00B25760" w:rsidRPr="0018302F">
              <w:t xml:space="preserve"> phone message recording</w:t>
            </w:r>
          </w:p>
          <w:p w14:paraId="712F9EDC" w14:textId="53B96515" w:rsidR="00B25760" w:rsidRPr="0018302F" w:rsidRDefault="00B25760" w:rsidP="002A440C"/>
        </w:tc>
        <w:tc>
          <w:tcPr>
            <w:tcW w:w="3969" w:type="dxa"/>
          </w:tcPr>
          <w:p w14:paraId="1577D1A6" w14:textId="77777777" w:rsidR="00B25760" w:rsidRDefault="00FF3863" w:rsidP="002A440C">
            <w:r w:rsidRPr="0018302F">
              <w:t>Shortened, more accessible phone message recording available</w:t>
            </w:r>
          </w:p>
          <w:p w14:paraId="4AEE4147" w14:textId="17CE67FA" w:rsidR="00186A82" w:rsidRPr="0018302F" w:rsidRDefault="00186A82" w:rsidP="002A440C"/>
        </w:tc>
        <w:tc>
          <w:tcPr>
            <w:tcW w:w="2693" w:type="dxa"/>
          </w:tcPr>
          <w:p w14:paraId="314B153D" w14:textId="37E8F78C" w:rsidR="00B25760" w:rsidRPr="0018302F" w:rsidRDefault="00713E53" w:rsidP="002A440C">
            <w:r w:rsidRPr="0018302F">
              <w:t>Q2 2026</w:t>
            </w:r>
          </w:p>
        </w:tc>
        <w:tc>
          <w:tcPr>
            <w:tcW w:w="2471" w:type="dxa"/>
          </w:tcPr>
          <w:p w14:paraId="287A93D6" w14:textId="11E61EE1" w:rsidR="00B25760" w:rsidRDefault="00DD7E3D" w:rsidP="002A440C">
            <w:r w:rsidRPr="0018302F">
              <w:t>Corporate Services</w:t>
            </w:r>
          </w:p>
        </w:tc>
      </w:tr>
      <w:tr w:rsidR="00B35453" w14:paraId="2ABF1F6F" w14:textId="77777777" w:rsidTr="00B35453">
        <w:tc>
          <w:tcPr>
            <w:tcW w:w="4815" w:type="dxa"/>
          </w:tcPr>
          <w:p w14:paraId="2C4C1624" w14:textId="77336F8D" w:rsidR="00B35453" w:rsidRPr="0029071B" w:rsidRDefault="00DA3F55" w:rsidP="002A440C">
            <w:bookmarkStart w:id="2" w:name="_Hlk227317392"/>
            <w:r w:rsidRPr="0029071B">
              <w:t>3.</w:t>
            </w:r>
            <w:r w:rsidR="00BA561C">
              <w:t>6</w:t>
            </w:r>
            <w:r w:rsidRPr="0029071B">
              <w:t xml:space="preserve"> </w:t>
            </w:r>
            <w:r w:rsidR="00B35453" w:rsidRPr="0029071B">
              <w:t>Review our internal procurement guidelines and incorporat</w:t>
            </w:r>
            <w:r w:rsidR="00722DC4" w:rsidRPr="0029071B">
              <w:t>e</w:t>
            </w:r>
            <w:r w:rsidR="00B35453" w:rsidRPr="0029071B">
              <w:t xml:space="preserve"> guidance on Universal Design</w:t>
            </w:r>
          </w:p>
          <w:p w14:paraId="07E60486" w14:textId="2E007BB6" w:rsidR="00B35453" w:rsidRPr="0029071B" w:rsidRDefault="00B35453" w:rsidP="002A440C"/>
        </w:tc>
        <w:tc>
          <w:tcPr>
            <w:tcW w:w="3969" w:type="dxa"/>
          </w:tcPr>
          <w:p w14:paraId="1C945292" w14:textId="492946CA" w:rsidR="00B35453" w:rsidRPr="0029071B" w:rsidRDefault="00FF3863" w:rsidP="002A440C">
            <w:r w:rsidRPr="0029071B">
              <w:t>Internal procurement guidelines reviewed and incorporate UD guidance</w:t>
            </w:r>
          </w:p>
        </w:tc>
        <w:tc>
          <w:tcPr>
            <w:tcW w:w="2693" w:type="dxa"/>
          </w:tcPr>
          <w:p w14:paraId="1E483484" w14:textId="3A51A79D" w:rsidR="00B35453" w:rsidRPr="0029071B" w:rsidRDefault="00722DC4" w:rsidP="002A440C">
            <w:r w:rsidRPr="0029071B">
              <w:t>Q4 2026</w:t>
            </w:r>
          </w:p>
        </w:tc>
        <w:tc>
          <w:tcPr>
            <w:tcW w:w="2471" w:type="dxa"/>
          </w:tcPr>
          <w:p w14:paraId="53136965" w14:textId="033DC9B1" w:rsidR="00B35453" w:rsidRDefault="00DD7E3D" w:rsidP="002A440C">
            <w:r w:rsidRPr="0029071B">
              <w:t>Corporate Services</w:t>
            </w:r>
            <w:r w:rsidR="00722DC4" w:rsidRPr="0029071B">
              <w:t>; CEUD</w:t>
            </w:r>
          </w:p>
        </w:tc>
      </w:tr>
      <w:bookmarkEnd w:id="2"/>
      <w:tr w:rsidR="00B35453" w:rsidRPr="001B564E" w14:paraId="16D4C412" w14:textId="77777777" w:rsidTr="00B35453">
        <w:tc>
          <w:tcPr>
            <w:tcW w:w="4815" w:type="dxa"/>
          </w:tcPr>
          <w:p w14:paraId="79A9AD14" w14:textId="2BDF3617" w:rsidR="00B35453" w:rsidRPr="001B564E" w:rsidRDefault="00DA3F55" w:rsidP="002A440C">
            <w:r w:rsidRPr="001B564E">
              <w:t>3.</w:t>
            </w:r>
            <w:r w:rsidR="00BA561C">
              <w:t>7</w:t>
            </w:r>
            <w:r w:rsidRPr="001B564E">
              <w:t xml:space="preserve"> </w:t>
            </w:r>
            <w:r w:rsidR="00B35453" w:rsidRPr="001B564E">
              <w:t>Ensur</w:t>
            </w:r>
            <w:r w:rsidR="009C077F" w:rsidRPr="001B564E">
              <w:t>e</w:t>
            </w:r>
            <w:r w:rsidR="00B35453" w:rsidRPr="001B564E">
              <w:t xml:space="preserve"> accessibility is at the forefront of the </w:t>
            </w:r>
            <w:r w:rsidR="004E13BD" w:rsidRPr="001B564E">
              <w:t xml:space="preserve">NDA </w:t>
            </w:r>
            <w:r w:rsidR="00B35453" w:rsidRPr="001B564E">
              <w:t xml:space="preserve">website performance, content and accessibility </w:t>
            </w:r>
            <w:r w:rsidR="002907A9" w:rsidRPr="001B564E">
              <w:t>review</w:t>
            </w:r>
          </w:p>
          <w:p w14:paraId="74F9EB6D" w14:textId="7DDD2E35" w:rsidR="00B35453" w:rsidRPr="001B564E" w:rsidRDefault="00B35453" w:rsidP="002A440C"/>
        </w:tc>
        <w:tc>
          <w:tcPr>
            <w:tcW w:w="3969" w:type="dxa"/>
          </w:tcPr>
          <w:p w14:paraId="78F8F72A" w14:textId="32320143" w:rsidR="00BA43F8" w:rsidRDefault="008244EF" w:rsidP="002A440C">
            <w:r>
              <w:t>NDA w</w:t>
            </w:r>
            <w:r w:rsidR="00A51C0E" w:rsidRPr="001B564E">
              <w:t xml:space="preserve">ebsite </w:t>
            </w:r>
            <w:r w:rsidR="002907A9" w:rsidRPr="001B564E">
              <w:t>review</w:t>
            </w:r>
            <w:r w:rsidR="00A51C0E" w:rsidRPr="001B564E">
              <w:t xml:space="preserve"> completed, with improved accessibility</w:t>
            </w:r>
          </w:p>
          <w:p w14:paraId="226570B4" w14:textId="77777777" w:rsidR="00BA43F8" w:rsidRDefault="00BA43F8" w:rsidP="002A440C"/>
          <w:p w14:paraId="373C6469" w14:textId="33FA0EE5" w:rsidR="00B35453" w:rsidRPr="001B564E" w:rsidRDefault="00BA43F8" w:rsidP="002A440C">
            <w:r>
              <w:t>Accessibility score of nda.ie</w:t>
            </w:r>
            <w:r w:rsidR="0032767B">
              <w:t xml:space="preserve"> </w:t>
            </w:r>
            <w:r>
              <w:t xml:space="preserve">checked </w:t>
            </w:r>
            <w:r w:rsidR="00B7013B">
              <w:t>quarterly with issues addressed</w:t>
            </w:r>
            <w:r>
              <w:t xml:space="preserve"> </w:t>
            </w:r>
            <w:r w:rsidR="00A51C0E" w:rsidRPr="001B564E">
              <w:t xml:space="preserve"> </w:t>
            </w:r>
          </w:p>
        </w:tc>
        <w:tc>
          <w:tcPr>
            <w:tcW w:w="2693" w:type="dxa"/>
          </w:tcPr>
          <w:p w14:paraId="7825EF10" w14:textId="77777777" w:rsidR="00B35453" w:rsidRDefault="003B6C37" w:rsidP="002A440C">
            <w:r w:rsidRPr="001B564E">
              <w:t>Q4 2026</w:t>
            </w:r>
          </w:p>
          <w:p w14:paraId="4660E4F0" w14:textId="77777777" w:rsidR="0032767B" w:rsidRDefault="0032767B" w:rsidP="002A440C"/>
          <w:p w14:paraId="453F3475" w14:textId="77777777" w:rsidR="0032767B" w:rsidRDefault="0032767B" w:rsidP="002A440C"/>
          <w:p w14:paraId="77F52779" w14:textId="77777777" w:rsidR="00B12728" w:rsidRDefault="00B12728" w:rsidP="002A440C"/>
          <w:p w14:paraId="32C9A36B" w14:textId="362D03BD" w:rsidR="0032767B" w:rsidRPr="001B564E" w:rsidRDefault="0032767B" w:rsidP="002A440C">
            <w:r>
              <w:t>Q4 2027</w:t>
            </w:r>
          </w:p>
        </w:tc>
        <w:tc>
          <w:tcPr>
            <w:tcW w:w="2471" w:type="dxa"/>
          </w:tcPr>
          <w:p w14:paraId="1CD9DC95" w14:textId="77777777" w:rsidR="00B35453" w:rsidRPr="001B564E" w:rsidRDefault="00DD7E3D" w:rsidP="002A440C">
            <w:r w:rsidRPr="001B564E">
              <w:t xml:space="preserve">Communications Team </w:t>
            </w:r>
            <w:r w:rsidR="002907A9" w:rsidRPr="001B564E">
              <w:t xml:space="preserve">(with input from WAD team and </w:t>
            </w:r>
            <w:r w:rsidR="003B6C37" w:rsidRPr="001B564E">
              <w:t>Policy, Research and Public Affairs Team; CEUDSM; CSD</w:t>
            </w:r>
            <w:r w:rsidR="002907A9" w:rsidRPr="001B564E">
              <w:t>)</w:t>
            </w:r>
          </w:p>
          <w:p w14:paraId="7C8F0C38" w14:textId="40B57D8F" w:rsidR="003B6C37" w:rsidRPr="001B564E" w:rsidRDefault="003B6C37" w:rsidP="002A440C"/>
        </w:tc>
      </w:tr>
      <w:tr w:rsidR="008244EF" w:rsidRPr="001B564E" w14:paraId="42D3FB01" w14:textId="77777777" w:rsidTr="00B35453">
        <w:tc>
          <w:tcPr>
            <w:tcW w:w="4815" w:type="dxa"/>
          </w:tcPr>
          <w:p w14:paraId="3CF7A052" w14:textId="0643C51A" w:rsidR="008244EF" w:rsidRDefault="008244EF" w:rsidP="002A440C">
            <w:r>
              <w:lastRenderedPageBreak/>
              <w:t>3.</w:t>
            </w:r>
            <w:r w:rsidR="00BA561C">
              <w:t>8</w:t>
            </w:r>
            <w:r>
              <w:t xml:space="preserve"> Ensure accessibility is at the forefront of the CEUD website review </w:t>
            </w:r>
          </w:p>
          <w:p w14:paraId="4A62348A" w14:textId="7AFBA1B8" w:rsidR="008244EF" w:rsidRPr="001B564E" w:rsidRDefault="008244EF" w:rsidP="002A440C"/>
        </w:tc>
        <w:tc>
          <w:tcPr>
            <w:tcW w:w="3969" w:type="dxa"/>
          </w:tcPr>
          <w:p w14:paraId="4693C908" w14:textId="0CE9DF33" w:rsidR="008244EF" w:rsidRDefault="008244EF" w:rsidP="002A440C">
            <w:r>
              <w:t xml:space="preserve">CEUD website review completed, with improved </w:t>
            </w:r>
            <w:r w:rsidR="005724A0">
              <w:t xml:space="preserve">navigability and </w:t>
            </w:r>
            <w:r>
              <w:t>accessibility</w:t>
            </w:r>
          </w:p>
          <w:p w14:paraId="29F3D286" w14:textId="77777777" w:rsidR="008244EF" w:rsidRDefault="008244EF" w:rsidP="002A440C"/>
          <w:p w14:paraId="72C6B19F" w14:textId="4EEE5768" w:rsidR="008244EF" w:rsidRDefault="008244EF" w:rsidP="002A440C">
            <w:r>
              <w:t xml:space="preserve">Accessibility score of universaldesign.ie checked </w:t>
            </w:r>
            <w:r w:rsidR="00B7013B">
              <w:t>quarterly with issues addressed</w:t>
            </w:r>
          </w:p>
          <w:p w14:paraId="34866A53" w14:textId="74A97746" w:rsidR="008244EF" w:rsidRDefault="008244EF" w:rsidP="002A440C"/>
        </w:tc>
        <w:tc>
          <w:tcPr>
            <w:tcW w:w="2693" w:type="dxa"/>
          </w:tcPr>
          <w:p w14:paraId="2DF361F5" w14:textId="77777777" w:rsidR="008244EF" w:rsidRDefault="005724A0" w:rsidP="002A440C">
            <w:r>
              <w:t>Q4 2026</w:t>
            </w:r>
          </w:p>
          <w:p w14:paraId="784B7442" w14:textId="77777777" w:rsidR="00121042" w:rsidRDefault="00121042" w:rsidP="002A440C"/>
          <w:p w14:paraId="0D6C0F76" w14:textId="77777777" w:rsidR="00121042" w:rsidRDefault="00121042" w:rsidP="002A440C"/>
          <w:p w14:paraId="77EE2CE9" w14:textId="77777777" w:rsidR="00121042" w:rsidRDefault="00121042" w:rsidP="002A440C"/>
          <w:p w14:paraId="23A9C3FA" w14:textId="4E0DEEB4" w:rsidR="00121042" w:rsidRPr="001B564E" w:rsidRDefault="00121042" w:rsidP="002A440C">
            <w:r>
              <w:t>Q4 2027</w:t>
            </w:r>
          </w:p>
        </w:tc>
        <w:tc>
          <w:tcPr>
            <w:tcW w:w="2471" w:type="dxa"/>
          </w:tcPr>
          <w:p w14:paraId="42D00EC9" w14:textId="59150D81" w:rsidR="008244EF" w:rsidRPr="001B564E" w:rsidRDefault="00C57585" w:rsidP="002A440C">
            <w:r>
              <w:t>CEUDSM (with input from Communications Team and WAD team)</w:t>
            </w:r>
          </w:p>
        </w:tc>
      </w:tr>
      <w:tr w:rsidR="00C16F74" w:rsidRPr="001B564E" w14:paraId="3BE189B2" w14:textId="77777777" w:rsidTr="00B35453">
        <w:tc>
          <w:tcPr>
            <w:tcW w:w="4815" w:type="dxa"/>
          </w:tcPr>
          <w:p w14:paraId="001E9F5F" w14:textId="77AB1AD2" w:rsidR="008D11F8" w:rsidRDefault="00C16F74" w:rsidP="002A440C">
            <w:r>
              <w:t xml:space="preserve">3.9 </w:t>
            </w:r>
            <w:r w:rsidR="008D11F8" w:rsidRPr="008D11F8">
              <w:t>Following completion of the content audit of the NDA website, review and update ISL video content</w:t>
            </w:r>
            <w:r w:rsidR="008D11F8">
              <w:t>, and i</w:t>
            </w:r>
            <w:r w:rsidR="008D11F8" w:rsidRPr="008D11F8">
              <w:t>dentify content on CEUD website for translation to ISL video content</w:t>
            </w:r>
          </w:p>
          <w:p w14:paraId="321D6010" w14:textId="30463032" w:rsidR="008D11F8" w:rsidRDefault="008D11F8" w:rsidP="002A440C"/>
        </w:tc>
        <w:tc>
          <w:tcPr>
            <w:tcW w:w="3969" w:type="dxa"/>
          </w:tcPr>
          <w:p w14:paraId="36782133" w14:textId="1538F1C0" w:rsidR="008D11F8" w:rsidRDefault="008D11F8" w:rsidP="002A440C">
            <w:r>
              <w:t xml:space="preserve">Relevant </w:t>
            </w:r>
            <w:r w:rsidR="00C16F74">
              <w:t>ISL video content on nda.ie reviewed and updated</w:t>
            </w:r>
          </w:p>
          <w:p w14:paraId="0F690909" w14:textId="77777777" w:rsidR="008D11F8" w:rsidRDefault="008D11F8" w:rsidP="002A440C"/>
          <w:p w14:paraId="7A5BC551" w14:textId="7BF40344" w:rsidR="00C16F74" w:rsidRDefault="008D11F8" w:rsidP="002A440C">
            <w:r>
              <w:t xml:space="preserve">Relevant </w:t>
            </w:r>
            <w:r w:rsidRPr="008D11F8">
              <w:t xml:space="preserve">ISL video content </w:t>
            </w:r>
            <w:r>
              <w:t>added to</w:t>
            </w:r>
            <w:r w:rsidRPr="008D11F8">
              <w:t xml:space="preserve"> universaldesign.ie </w:t>
            </w:r>
          </w:p>
          <w:p w14:paraId="2BFB0AE6" w14:textId="39340570" w:rsidR="008D11F8" w:rsidRDefault="008D11F8" w:rsidP="002A440C"/>
        </w:tc>
        <w:tc>
          <w:tcPr>
            <w:tcW w:w="2693" w:type="dxa"/>
          </w:tcPr>
          <w:p w14:paraId="041AFE68" w14:textId="77777777" w:rsidR="00C16F74" w:rsidRDefault="00C16F74" w:rsidP="002A440C">
            <w:r>
              <w:t>Q2 2027</w:t>
            </w:r>
          </w:p>
          <w:p w14:paraId="4D2D4834" w14:textId="77777777" w:rsidR="00121042" w:rsidRDefault="00121042" w:rsidP="002A440C"/>
          <w:p w14:paraId="41DB266A" w14:textId="77777777" w:rsidR="00121042" w:rsidRDefault="00121042" w:rsidP="002A440C"/>
          <w:p w14:paraId="58DDDF29" w14:textId="6A5C1B08" w:rsidR="00121042" w:rsidRPr="001B564E" w:rsidRDefault="00121042" w:rsidP="002A440C">
            <w:r>
              <w:t>Q2 2027</w:t>
            </w:r>
          </w:p>
        </w:tc>
        <w:tc>
          <w:tcPr>
            <w:tcW w:w="2471" w:type="dxa"/>
          </w:tcPr>
          <w:p w14:paraId="52C71E48" w14:textId="0684B9FC" w:rsidR="00C16F74" w:rsidRDefault="00C16F74" w:rsidP="002A440C">
            <w:r>
              <w:t>Communications Team (with input from CEUDSM)</w:t>
            </w:r>
          </w:p>
        </w:tc>
      </w:tr>
      <w:tr w:rsidR="004E13BD" w14:paraId="7713E1FC" w14:textId="77777777" w:rsidTr="00B35453">
        <w:tc>
          <w:tcPr>
            <w:tcW w:w="4815" w:type="dxa"/>
          </w:tcPr>
          <w:p w14:paraId="4289794F" w14:textId="74EE7260" w:rsidR="004E13BD" w:rsidRPr="001B564E" w:rsidRDefault="00DA3F55" w:rsidP="002A440C">
            <w:r w:rsidRPr="001B564E">
              <w:t>3.</w:t>
            </w:r>
            <w:r w:rsidR="00C16F74">
              <w:t>10</w:t>
            </w:r>
            <w:r w:rsidRPr="001B564E">
              <w:t xml:space="preserve"> </w:t>
            </w:r>
            <w:r w:rsidR="004E13BD" w:rsidRPr="001B564E">
              <w:t>Undertake a redesign of the Someone Like Me website, with accessibility</w:t>
            </w:r>
            <w:r w:rsidR="008D11F8">
              <w:t>, user journey</w:t>
            </w:r>
            <w:r w:rsidR="004E13BD" w:rsidRPr="001B564E">
              <w:t xml:space="preserve"> and WAD compliance core consideration</w:t>
            </w:r>
            <w:r w:rsidR="008D11F8">
              <w:t>s</w:t>
            </w:r>
          </w:p>
          <w:p w14:paraId="5F1CD2E1" w14:textId="27B229E5" w:rsidR="004E13BD" w:rsidRPr="001B564E" w:rsidRDefault="004E13BD" w:rsidP="002A440C"/>
        </w:tc>
        <w:tc>
          <w:tcPr>
            <w:tcW w:w="3969" w:type="dxa"/>
          </w:tcPr>
          <w:p w14:paraId="5F2FF7C6" w14:textId="77777777" w:rsidR="004E13BD" w:rsidRDefault="003421FD" w:rsidP="002A440C">
            <w:r w:rsidRPr="001B564E">
              <w:t>Someone Like Me website redesigned, which fully meets WAD requirements</w:t>
            </w:r>
          </w:p>
          <w:p w14:paraId="1EBC7248" w14:textId="77777777" w:rsidR="0032767B" w:rsidRDefault="0032767B" w:rsidP="002A440C"/>
          <w:p w14:paraId="34511EFD" w14:textId="056DA7BF" w:rsidR="0032767B" w:rsidRDefault="0032767B" w:rsidP="002A440C">
            <w:r>
              <w:t xml:space="preserve">Accessibility score of Someone Like Me website is checked </w:t>
            </w:r>
            <w:r w:rsidR="00B7013B">
              <w:t>quarterly with issues addressed</w:t>
            </w:r>
          </w:p>
          <w:p w14:paraId="6FD2DA60" w14:textId="6151A3B5" w:rsidR="0032767B" w:rsidRPr="001B564E" w:rsidRDefault="0032767B" w:rsidP="002A440C"/>
        </w:tc>
        <w:tc>
          <w:tcPr>
            <w:tcW w:w="2693" w:type="dxa"/>
          </w:tcPr>
          <w:p w14:paraId="02923085" w14:textId="77777777" w:rsidR="004E13BD" w:rsidRDefault="003421FD" w:rsidP="002A440C">
            <w:r w:rsidRPr="001B564E">
              <w:t>Q3 2026</w:t>
            </w:r>
          </w:p>
          <w:p w14:paraId="15670A2F" w14:textId="77777777" w:rsidR="0032767B" w:rsidRDefault="0032767B" w:rsidP="002A440C"/>
          <w:p w14:paraId="53292FAA" w14:textId="77777777" w:rsidR="0032767B" w:rsidRDefault="0032767B" w:rsidP="002A440C"/>
          <w:p w14:paraId="1BB5CAE4" w14:textId="77777777" w:rsidR="0032767B" w:rsidRDefault="0032767B" w:rsidP="002A440C"/>
          <w:p w14:paraId="07109083" w14:textId="39D8C187" w:rsidR="0032767B" w:rsidRPr="001B564E" w:rsidRDefault="0032767B" w:rsidP="002A440C">
            <w:r>
              <w:t>Q4 2027</w:t>
            </w:r>
          </w:p>
        </w:tc>
        <w:tc>
          <w:tcPr>
            <w:tcW w:w="2471" w:type="dxa"/>
          </w:tcPr>
          <w:p w14:paraId="218499FA" w14:textId="6F6FC86F" w:rsidR="004E13BD" w:rsidRDefault="00DD7E3D" w:rsidP="002A440C">
            <w:r w:rsidRPr="001B564E">
              <w:t>Communications Team</w:t>
            </w:r>
            <w:r>
              <w:t xml:space="preserve"> </w:t>
            </w:r>
          </w:p>
        </w:tc>
      </w:tr>
      <w:tr w:rsidR="00F56EFA" w14:paraId="734A7655" w14:textId="77777777" w:rsidTr="00B35453">
        <w:tc>
          <w:tcPr>
            <w:tcW w:w="4815" w:type="dxa"/>
          </w:tcPr>
          <w:p w14:paraId="4FD7FAC1" w14:textId="16BED7E9" w:rsidR="00F56EFA" w:rsidRPr="005D7A5C" w:rsidRDefault="00F56EFA" w:rsidP="002A440C">
            <w:r w:rsidRPr="005D7A5C">
              <w:t>3.</w:t>
            </w:r>
            <w:r w:rsidR="00BA561C">
              <w:t>1</w:t>
            </w:r>
            <w:r w:rsidR="00C16F74">
              <w:t>1</w:t>
            </w:r>
            <w:r w:rsidRPr="005D7A5C">
              <w:t xml:space="preserve"> E</w:t>
            </w:r>
            <w:r w:rsidR="002C406F" w:rsidRPr="005D7A5C">
              <w:t>ncourage all staff to complete</w:t>
            </w:r>
            <w:r w:rsidR="005724A0">
              <w:t xml:space="preserve"> the new</w:t>
            </w:r>
            <w:r w:rsidR="002C406F" w:rsidRPr="005D7A5C">
              <w:t xml:space="preserve"> e</w:t>
            </w:r>
            <w:r w:rsidRPr="005D7A5C">
              <w:t>-Learning module on disability equality</w:t>
            </w:r>
            <w:r w:rsidR="00AB659D">
              <w:t xml:space="preserve"> and incorporate the new module into the NDA induction process</w:t>
            </w:r>
          </w:p>
          <w:p w14:paraId="53353A00" w14:textId="42B024BC" w:rsidR="00F56EFA" w:rsidRPr="005D7A5C" w:rsidRDefault="00F56EFA" w:rsidP="002A440C"/>
        </w:tc>
        <w:tc>
          <w:tcPr>
            <w:tcW w:w="3969" w:type="dxa"/>
          </w:tcPr>
          <w:p w14:paraId="6A39D421" w14:textId="77777777" w:rsidR="00F56EFA" w:rsidRDefault="005D7A5C" w:rsidP="002A440C">
            <w:r w:rsidRPr="005D7A5C">
              <w:lastRenderedPageBreak/>
              <w:t>All staff to have completed e-Learning module on disability equality</w:t>
            </w:r>
          </w:p>
          <w:p w14:paraId="2B9A53E9" w14:textId="77777777" w:rsidR="00AB659D" w:rsidRDefault="00AB659D" w:rsidP="002A440C"/>
          <w:p w14:paraId="0AA5060F" w14:textId="77777777" w:rsidR="005D7A5C" w:rsidRDefault="00AB659D" w:rsidP="002A440C">
            <w:r>
              <w:lastRenderedPageBreak/>
              <w:t>E</w:t>
            </w:r>
            <w:r w:rsidRPr="00AB659D">
              <w:t>-Learning module on disability equality</w:t>
            </w:r>
            <w:r>
              <w:t xml:space="preserve"> incorporated into induction process </w:t>
            </w:r>
          </w:p>
          <w:p w14:paraId="3BFEFAA4" w14:textId="57B1EEAE" w:rsidR="00403D3A" w:rsidRPr="005D7A5C" w:rsidRDefault="00403D3A" w:rsidP="002A440C"/>
        </w:tc>
        <w:tc>
          <w:tcPr>
            <w:tcW w:w="2693" w:type="dxa"/>
          </w:tcPr>
          <w:p w14:paraId="1CEF93FC" w14:textId="77777777" w:rsidR="00F56EFA" w:rsidRDefault="002C406F" w:rsidP="002A440C">
            <w:r w:rsidRPr="005D7A5C">
              <w:lastRenderedPageBreak/>
              <w:t>Q1 2027</w:t>
            </w:r>
          </w:p>
          <w:p w14:paraId="39660946" w14:textId="77777777" w:rsidR="00AB659D" w:rsidRDefault="00AB659D" w:rsidP="002A440C"/>
          <w:p w14:paraId="0763078D" w14:textId="77777777" w:rsidR="00AB659D" w:rsidRDefault="00AB659D" w:rsidP="002A440C"/>
          <w:p w14:paraId="1E0325A2" w14:textId="77777777" w:rsidR="00AB659D" w:rsidRDefault="00AB659D" w:rsidP="002A440C"/>
          <w:p w14:paraId="43D40A17" w14:textId="77777777" w:rsidR="002379CB" w:rsidRDefault="002379CB" w:rsidP="002A440C"/>
          <w:p w14:paraId="61AFA2F7" w14:textId="5E8F8AFE" w:rsidR="00AB659D" w:rsidRDefault="00AB659D" w:rsidP="002A440C">
            <w:r>
              <w:lastRenderedPageBreak/>
              <w:t>Q3 2027</w:t>
            </w:r>
          </w:p>
          <w:p w14:paraId="171670CD" w14:textId="77777777" w:rsidR="00AB659D" w:rsidRDefault="00AB659D" w:rsidP="002A440C"/>
          <w:p w14:paraId="3FE23634" w14:textId="5EE421D6" w:rsidR="00AB659D" w:rsidRPr="005D7A5C" w:rsidRDefault="00AB659D" w:rsidP="002A440C"/>
        </w:tc>
        <w:tc>
          <w:tcPr>
            <w:tcW w:w="2471" w:type="dxa"/>
          </w:tcPr>
          <w:p w14:paraId="64462D73" w14:textId="757F3676" w:rsidR="00F56EFA" w:rsidRPr="005D7A5C" w:rsidRDefault="002C406F" w:rsidP="002A440C">
            <w:r w:rsidRPr="005D7A5C">
              <w:lastRenderedPageBreak/>
              <w:t xml:space="preserve">Corporate Services </w:t>
            </w:r>
          </w:p>
        </w:tc>
      </w:tr>
      <w:tr w:rsidR="00394018" w14:paraId="6A5443C7" w14:textId="77777777" w:rsidTr="00B35453">
        <w:tc>
          <w:tcPr>
            <w:tcW w:w="4815" w:type="dxa"/>
          </w:tcPr>
          <w:p w14:paraId="2A4EDAE7" w14:textId="5F7A6A38" w:rsidR="00394018" w:rsidRDefault="00394018" w:rsidP="002A440C">
            <w:r>
              <w:t>3.1</w:t>
            </w:r>
            <w:r w:rsidR="00C16F74">
              <w:t>2</w:t>
            </w:r>
            <w:r>
              <w:t xml:space="preserve"> Continue to </w:t>
            </w:r>
            <w:r w:rsidR="004E4909">
              <w:t>maximise</w:t>
            </w:r>
            <w:r>
              <w:t xml:space="preserve"> the accessibility of NDA events, including through</w:t>
            </w:r>
            <w:r w:rsidR="00BA561C">
              <w:t xml:space="preserve"> the provision of</w:t>
            </w:r>
            <w:r>
              <w:t xml:space="preserve"> </w:t>
            </w:r>
            <w:r w:rsidR="00BA561C">
              <w:t xml:space="preserve">accessibility </w:t>
            </w:r>
            <w:r w:rsidR="00356415">
              <w:t xml:space="preserve">measures </w:t>
            </w:r>
            <w:r w:rsidR="00BA561C">
              <w:t>and reasonable accommodations, as well as hybrid options where possible</w:t>
            </w:r>
          </w:p>
          <w:p w14:paraId="7C78D217" w14:textId="58FC343F" w:rsidR="00BA561C" w:rsidRPr="005D7A5C" w:rsidRDefault="00BA561C" w:rsidP="002A440C"/>
        </w:tc>
        <w:tc>
          <w:tcPr>
            <w:tcW w:w="3969" w:type="dxa"/>
          </w:tcPr>
          <w:p w14:paraId="4220C2ED" w14:textId="7D993E17" w:rsidR="00394018" w:rsidRPr="005D7A5C" w:rsidRDefault="00BA561C" w:rsidP="002A440C">
            <w:r>
              <w:t>NDA events are access</w:t>
            </w:r>
            <w:r w:rsidR="00356415">
              <w:t>ible and inclusive, with accessibility and reasonable accommodation measures provided</w:t>
            </w:r>
          </w:p>
        </w:tc>
        <w:tc>
          <w:tcPr>
            <w:tcW w:w="2693" w:type="dxa"/>
          </w:tcPr>
          <w:p w14:paraId="7DE2E0A0" w14:textId="0C4CDDA3" w:rsidR="00394018" w:rsidRPr="005D7A5C" w:rsidRDefault="00356415" w:rsidP="002A440C">
            <w:r>
              <w:t>Q4 2027</w:t>
            </w:r>
          </w:p>
        </w:tc>
        <w:tc>
          <w:tcPr>
            <w:tcW w:w="2471" w:type="dxa"/>
          </w:tcPr>
          <w:p w14:paraId="03D054DD" w14:textId="08C4DA4C" w:rsidR="00394018" w:rsidRPr="005D7A5C" w:rsidRDefault="00356415" w:rsidP="002A440C">
            <w:r w:rsidRPr="00356415">
              <w:t>Policy, Research and Public Affairs</w:t>
            </w:r>
            <w:r>
              <w:t>; CEUDSM; Communications Team</w:t>
            </w:r>
          </w:p>
        </w:tc>
      </w:tr>
      <w:tr w:rsidR="00BA561C" w14:paraId="0F31F932" w14:textId="77777777" w:rsidTr="00B35453">
        <w:tc>
          <w:tcPr>
            <w:tcW w:w="4815" w:type="dxa"/>
          </w:tcPr>
          <w:p w14:paraId="55378F0E" w14:textId="4F9CED86" w:rsidR="00BA561C" w:rsidRDefault="00C16F74" w:rsidP="002A440C">
            <w:r>
              <w:t>3</w:t>
            </w:r>
            <w:r w:rsidR="00BA561C">
              <w:t>.1</w:t>
            </w:r>
            <w:r>
              <w:t>3</w:t>
            </w:r>
            <w:r w:rsidR="00BA561C">
              <w:t xml:space="preserve"> Continue </w:t>
            </w:r>
            <w:r w:rsidR="00BA561C" w:rsidRPr="00BA561C">
              <w:t>to provid</w:t>
            </w:r>
            <w:r w:rsidR="00BA561C">
              <w:t>e</w:t>
            </w:r>
            <w:r w:rsidR="00BA561C" w:rsidRPr="00BA561C">
              <w:t xml:space="preserve"> ISL access in communications and public services, in line with statutory requirements</w:t>
            </w:r>
            <w:r w:rsidR="00BA561C">
              <w:t xml:space="preserve"> under the Irish Sign Language Act 2017</w:t>
            </w:r>
          </w:p>
          <w:p w14:paraId="5DB325AF" w14:textId="310A2EBC" w:rsidR="00BA561C" w:rsidRDefault="00BA561C" w:rsidP="002A440C"/>
        </w:tc>
        <w:tc>
          <w:tcPr>
            <w:tcW w:w="3969" w:type="dxa"/>
          </w:tcPr>
          <w:p w14:paraId="3CB98D1B" w14:textId="738A897F" w:rsidR="00BA561C" w:rsidRDefault="00BA561C" w:rsidP="002A440C">
            <w:r>
              <w:t>ISL access is provided in line with statutory requirements under the ISL Act 2017</w:t>
            </w:r>
          </w:p>
        </w:tc>
        <w:tc>
          <w:tcPr>
            <w:tcW w:w="2693" w:type="dxa"/>
          </w:tcPr>
          <w:p w14:paraId="3567192E" w14:textId="71A0ED7D" w:rsidR="00BA561C" w:rsidRPr="005D7A5C" w:rsidRDefault="00BA561C" w:rsidP="002A440C">
            <w:r>
              <w:t>Q4 2027</w:t>
            </w:r>
          </w:p>
        </w:tc>
        <w:tc>
          <w:tcPr>
            <w:tcW w:w="2471" w:type="dxa"/>
          </w:tcPr>
          <w:p w14:paraId="4F3DC16B" w14:textId="3DFF56C1" w:rsidR="00BA561C" w:rsidRPr="005D7A5C" w:rsidRDefault="00356415" w:rsidP="002A440C">
            <w:r w:rsidRPr="00356415">
              <w:t>Policy, Research and Public Affairs Team</w:t>
            </w:r>
            <w:r>
              <w:t xml:space="preserve">; </w:t>
            </w:r>
            <w:r w:rsidRPr="00356415">
              <w:t>CEUDSM</w:t>
            </w:r>
            <w:r>
              <w:t>; CSD.</w:t>
            </w:r>
          </w:p>
        </w:tc>
      </w:tr>
    </w:tbl>
    <w:p w14:paraId="20D521AA" w14:textId="77777777" w:rsidR="00A50AD9" w:rsidRDefault="00A50AD9" w:rsidP="00B8382B"/>
    <w:p w14:paraId="76A21F98" w14:textId="50F01DDE" w:rsidR="00647485" w:rsidRDefault="00A50AD9" w:rsidP="00A50AD9">
      <w:pPr>
        <w:pStyle w:val="Heading2"/>
      </w:pPr>
      <w:r>
        <w:t>Action</w:t>
      </w:r>
      <w:r w:rsidR="00262B3D">
        <w:t xml:space="preserve"> Area</w:t>
      </w:r>
      <w:r>
        <w:t xml:space="preserve"> 4 – Inclusivity</w:t>
      </w:r>
      <w:r w:rsidR="00262B3D">
        <w:t xml:space="preserve"> in the workplace</w:t>
      </w:r>
    </w:p>
    <w:tbl>
      <w:tblPr>
        <w:tblStyle w:val="TableGrid"/>
        <w:tblW w:w="0" w:type="auto"/>
        <w:tblLook w:val="04A0" w:firstRow="1" w:lastRow="0" w:firstColumn="1" w:lastColumn="0" w:noHBand="0" w:noVBand="1"/>
      </w:tblPr>
      <w:tblGrid>
        <w:gridCol w:w="4815"/>
        <w:gridCol w:w="3915"/>
        <w:gridCol w:w="2747"/>
        <w:gridCol w:w="2471"/>
      </w:tblGrid>
      <w:tr w:rsidR="00B35453" w:rsidRPr="00A50AD9" w14:paraId="276FECD5" w14:textId="77777777" w:rsidTr="00B35453">
        <w:tc>
          <w:tcPr>
            <w:tcW w:w="4815" w:type="dxa"/>
          </w:tcPr>
          <w:p w14:paraId="5621F6CE" w14:textId="6D9B8202" w:rsidR="00B35453" w:rsidRDefault="00C16F74" w:rsidP="002A440C">
            <w:pPr>
              <w:rPr>
                <w:b/>
                <w:bCs/>
              </w:rPr>
            </w:pPr>
            <w:r>
              <w:rPr>
                <w:b/>
                <w:bCs/>
              </w:rPr>
              <w:t>Action</w:t>
            </w:r>
          </w:p>
          <w:p w14:paraId="70063146" w14:textId="77777777" w:rsidR="00B35453" w:rsidRPr="00A50AD9" w:rsidRDefault="00B35453" w:rsidP="002A440C">
            <w:pPr>
              <w:rPr>
                <w:b/>
                <w:bCs/>
              </w:rPr>
            </w:pPr>
          </w:p>
        </w:tc>
        <w:tc>
          <w:tcPr>
            <w:tcW w:w="3915" w:type="dxa"/>
          </w:tcPr>
          <w:p w14:paraId="6672B897" w14:textId="77777777" w:rsidR="00B35453" w:rsidRDefault="00B35453" w:rsidP="002A440C">
            <w:pPr>
              <w:rPr>
                <w:b/>
                <w:bCs/>
              </w:rPr>
            </w:pPr>
            <w:r w:rsidRPr="00A50AD9">
              <w:rPr>
                <w:b/>
                <w:bCs/>
              </w:rPr>
              <w:t>Indicators of Achievement</w:t>
            </w:r>
          </w:p>
          <w:p w14:paraId="5BC501AF" w14:textId="0A32819E" w:rsidR="00B35453" w:rsidRPr="00A50AD9" w:rsidRDefault="00B35453" w:rsidP="002A440C">
            <w:pPr>
              <w:rPr>
                <w:b/>
                <w:bCs/>
              </w:rPr>
            </w:pPr>
          </w:p>
        </w:tc>
        <w:tc>
          <w:tcPr>
            <w:tcW w:w="2747" w:type="dxa"/>
          </w:tcPr>
          <w:p w14:paraId="389D2E9C" w14:textId="0DCF10D2" w:rsidR="00B35453" w:rsidRPr="00A50AD9" w:rsidRDefault="00B35453" w:rsidP="002A440C">
            <w:pPr>
              <w:rPr>
                <w:b/>
                <w:bCs/>
              </w:rPr>
            </w:pPr>
            <w:r w:rsidRPr="00A50AD9">
              <w:rPr>
                <w:b/>
                <w:bCs/>
              </w:rPr>
              <w:t>Timeframe</w:t>
            </w:r>
          </w:p>
        </w:tc>
        <w:tc>
          <w:tcPr>
            <w:tcW w:w="2471" w:type="dxa"/>
          </w:tcPr>
          <w:p w14:paraId="0111EAF8" w14:textId="3792A42C" w:rsidR="00B35453" w:rsidRPr="00A50AD9" w:rsidRDefault="00DD7E3D" w:rsidP="002A440C">
            <w:pPr>
              <w:rPr>
                <w:b/>
                <w:bCs/>
              </w:rPr>
            </w:pPr>
            <w:r>
              <w:rPr>
                <w:b/>
                <w:bCs/>
              </w:rPr>
              <w:t>Team</w:t>
            </w:r>
            <w:r w:rsidR="00B35453" w:rsidRPr="00A50AD9">
              <w:rPr>
                <w:b/>
                <w:bCs/>
              </w:rPr>
              <w:t xml:space="preserve"> responsible</w:t>
            </w:r>
          </w:p>
        </w:tc>
      </w:tr>
      <w:tr w:rsidR="00B35453" w:rsidRPr="00186A82" w14:paraId="5850F0AB" w14:textId="77777777" w:rsidTr="00B35453">
        <w:tc>
          <w:tcPr>
            <w:tcW w:w="4815" w:type="dxa"/>
          </w:tcPr>
          <w:p w14:paraId="33751AEC" w14:textId="77777777" w:rsidR="002C406F" w:rsidRPr="00186A82" w:rsidRDefault="00DA3F55" w:rsidP="00A50AD9">
            <w:bookmarkStart w:id="3" w:name="_Hlk227317797"/>
            <w:r w:rsidRPr="00186A82">
              <w:t xml:space="preserve">4.1 </w:t>
            </w:r>
            <w:r w:rsidR="00B35453" w:rsidRPr="00186A82">
              <w:t xml:space="preserve">Develop an organisational </w:t>
            </w:r>
          </w:p>
          <w:p w14:paraId="2D9764A5" w14:textId="65B93982" w:rsidR="002C406F" w:rsidRPr="00186A82" w:rsidRDefault="002C406F" w:rsidP="00A50AD9">
            <w:r w:rsidRPr="00186A82">
              <w:t xml:space="preserve">People Strategy, which includes a dedicated </w:t>
            </w:r>
            <w:r w:rsidR="00B35453" w:rsidRPr="00186A82">
              <w:t xml:space="preserve">Equality, Diversity and Inclusion </w:t>
            </w:r>
            <w:r w:rsidRPr="00186A82">
              <w:t>goal</w:t>
            </w:r>
          </w:p>
          <w:p w14:paraId="4B5722A8" w14:textId="51737573" w:rsidR="00B35453" w:rsidRPr="00186A82" w:rsidRDefault="00B35453" w:rsidP="005D7A5C">
            <w:pPr>
              <w:rPr>
                <w:b/>
              </w:rPr>
            </w:pPr>
          </w:p>
        </w:tc>
        <w:tc>
          <w:tcPr>
            <w:tcW w:w="3915" w:type="dxa"/>
          </w:tcPr>
          <w:p w14:paraId="04549B21" w14:textId="3B10C593" w:rsidR="00B35453" w:rsidRPr="00186A82" w:rsidRDefault="005D7A5C" w:rsidP="002A440C">
            <w:r w:rsidRPr="00186A82">
              <w:t>People S</w:t>
            </w:r>
            <w:r w:rsidR="00FF3863" w:rsidRPr="00186A82">
              <w:t>trategy developed</w:t>
            </w:r>
          </w:p>
        </w:tc>
        <w:tc>
          <w:tcPr>
            <w:tcW w:w="2747" w:type="dxa"/>
          </w:tcPr>
          <w:p w14:paraId="68D9597D" w14:textId="56473683" w:rsidR="00B35453" w:rsidRPr="00186A82" w:rsidRDefault="00713E53" w:rsidP="002A440C">
            <w:r w:rsidRPr="00186A82">
              <w:t>Q</w:t>
            </w:r>
            <w:r w:rsidR="00C47325">
              <w:t>4</w:t>
            </w:r>
            <w:r w:rsidRPr="00186A82">
              <w:t xml:space="preserve"> 2026</w:t>
            </w:r>
          </w:p>
        </w:tc>
        <w:tc>
          <w:tcPr>
            <w:tcW w:w="2471" w:type="dxa"/>
          </w:tcPr>
          <w:p w14:paraId="754AF975" w14:textId="624DD8A5" w:rsidR="00B35453" w:rsidRPr="00186A82" w:rsidRDefault="00DD7E3D" w:rsidP="002A440C">
            <w:r w:rsidRPr="00186A82">
              <w:t>Corporate Services</w:t>
            </w:r>
          </w:p>
        </w:tc>
      </w:tr>
      <w:tr w:rsidR="00713E53" w14:paraId="250FAB3D" w14:textId="77777777" w:rsidTr="00B35453">
        <w:tc>
          <w:tcPr>
            <w:tcW w:w="4815" w:type="dxa"/>
          </w:tcPr>
          <w:p w14:paraId="5F1076A7" w14:textId="467D7C3A" w:rsidR="005D7A5C" w:rsidRPr="00186A82" w:rsidRDefault="00713E53" w:rsidP="005D7A5C">
            <w:r w:rsidRPr="00186A82">
              <w:t>4.2 Develop a dedicated Equality, Diversity and Inclusion</w:t>
            </w:r>
            <w:r w:rsidR="005D7A5C" w:rsidRPr="00186A82">
              <w:t xml:space="preserve"> </w:t>
            </w:r>
            <w:r w:rsidRPr="00186A82">
              <w:t xml:space="preserve">Strategy </w:t>
            </w:r>
            <w:r w:rsidR="00026919">
              <w:t>for the organisation</w:t>
            </w:r>
          </w:p>
          <w:p w14:paraId="221856C1" w14:textId="295547FD" w:rsidR="00713E53" w:rsidRPr="00186A82" w:rsidRDefault="00713E53" w:rsidP="00713E53"/>
        </w:tc>
        <w:tc>
          <w:tcPr>
            <w:tcW w:w="3915" w:type="dxa"/>
          </w:tcPr>
          <w:p w14:paraId="1AC4EAC7" w14:textId="370AA5D3" w:rsidR="00713E53" w:rsidRPr="00186A82" w:rsidRDefault="005D7A5C" w:rsidP="002A440C">
            <w:r w:rsidRPr="00186A82">
              <w:lastRenderedPageBreak/>
              <w:t>EDI strategy developed</w:t>
            </w:r>
          </w:p>
        </w:tc>
        <w:tc>
          <w:tcPr>
            <w:tcW w:w="2747" w:type="dxa"/>
          </w:tcPr>
          <w:p w14:paraId="0F6FA4C5" w14:textId="79D9E1E6" w:rsidR="00713E53" w:rsidRPr="00186A82" w:rsidRDefault="005D7A5C" w:rsidP="002A440C">
            <w:r w:rsidRPr="00186A82">
              <w:t>Q</w:t>
            </w:r>
            <w:r w:rsidR="00C47325">
              <w:t>2</w:t>
            </w:r>
            <w:r w:rsidRPr="00186A82">
              <w:t xml:space="preserve"> 202</w:t>
            </w:r>
            <w:r w:rsidR="00C47325">
              <w:t>7</w:t>
            </w:r>
          </w:p>
        </w:tc>
        <w:tc>
          <w:tcPr>
            <w:tcW w:w="2471" w:type="dxa"/>
          </w:tcPr>
          <w:p w14:paraId="4910D030" w14:textId="1486701E" w:rsidR="00713E53" w:rsidRPr="00186A82" w:rsidRDefault="005D7A5C" w:rsidP="002A440C">
            <w:r w:rsidRPr="00186A82">
              <w:t>Corporate Services</w:t>
            </w:r>
          </w:p>
        </w:tc>
      </w:tr>
      <w:tr w:rsidR="003F04EE" w14:paraId="48F05EE1" w14:textId="77777777" w:rsidTr="00B35453">
        <w:tc>
          <w:tcPr>
            <w:tcW w:w="4815" w:type="dxa"/>
          </w:tcPr>
          <w:p w14:paraId="1CE27A73" w14:textId="6BA881CC" w:rsidR="003F04EE" w:rsidRDefault="003F04EE" w:rsidP="005D7A5C">
            <w:r>
              <w:t>4.3 Develop a reasonable accommodation policy</w:t>
            </w:r>
            <w:r w:rsidR="004E4909">
              <w:t xml:space="preserve">, ensuring </w:t>
            </w:r>
            <w:r w:rsidR="004E4909" w:rsidRPr="004E4909">
              <w:t>it</w:t>
            </w:r>
            <w:r w:rsidR="004E4909">
              <w:t xml:space="preserve"> is</w:t>
            </w:r>
            <w:r w:rsidR="004E4909" w:rsidRPr="004E4909">
              <w:t xml:space="preserve"> aligned with</w:t>
            </w:r>
            <w:r w:rsidR="004E4909">
              <w:t xml:space="preserve"> the</w:t>
            </w:r>
            <w:r w:rsidR="004E4909" w:rsidRPr="004E4909">
              <w:t xml:space="preserve"> broader</w:t>
            </w:r>
            <w:r w:rsidR="004E4909">
              <w:t xml:space="preserve"> approach across the</w:t>
            </w:r>
            <w:r w:rsidR="004E4909" w:rsidRPr="004E4909">
              <w:t xml:space="preserve"> </w:t>
            </w:r>
            <w:r w:rsidR="004E4909">
              <w:t>C</w:t>
            </w:r>
            <w:r w:rsidR="004E4909" w:rsidRPr="004E4909">
              <w:t xml:space="preserve">ivil </w:t>
            </w:r>
            <w:r w:rsidR="004E4909">
              <w:t>S</w:t>
            </w:r>
            <w:r w:rsidR="004E4909" w:rsidRPr="004E4909">
              <w:t>ervice</w:t>
            </w:r>
          </w:p>
          <w:p w14:paraId="05542141" w14:textId="569E4D3C" w:rsidR="003F04EE" w:rsidRPr="00186A82" w:rsidRDefault="003F04EE" w:rsidP="005D7A5C"/>
        </w:tc>
        <w:tc>
          <w:tcPr>
            <w:tcW w:w="3915" w:type="dxa"/>
          </w:tcPr>
          <w:p w14:paraId="078C640D" w14:textId="66A06703" w:rsidR="003F04EE" w:rsidRPr="00186A82" w:rsidRDefault="003F04EE" w:rsidP="002A440C">
            <w:r>
              <w:t>Reasonable accommodation policy developed</w:t>
            </w:r>
          </w:p>
        </w:tc>
        <w:tc>
          <w:tcPr>
            <w:tcW w:w="2747" w:type="dxa"/>
          </w:tcPr>
          <w:p w14:paraId="2FE70B5C" w14:textId="26064BE4" w:rsidR="003F04EE" w:rsidRPr="00186A82" w:rsidRDefault="00C47325" w:rsidP="002A440C">
            <w:r>
              <w:t>Q2 2027</w:t>
            </w:r>
          </w:p>
        </w:tc>
        <w:tc>
          <w:tcPr>
            <w:tcW w:w="2471" w:type="dxa"/>
          </w:tcPr>
          <w:p w14:paraId="4DAB8A95" w14:textId="610171A6" w:rsidR="003F04EE" w:rsidRPr="00186A82" w:rsidRDefault="00BA561C" w:rsidP="002A440C">
            <w:r>
              <w:t>Corporate Services</w:t>
            </w:r>
          </w:p>
        </w:tc>
      </w:tr>
      <w:tr w:rsidR="00B35453" w14:paraId="69E2206A" w14:textId="77777777" w:rsidTr="00B35453">
        <w:tc>
          <w:tcPr>
            <w:tcW w:w="4815" w:type="dxa"/>
          </w:tcPr>
          <w:p w14:paraId="6F3EF6FF" w14:textId="0BEBE928" w:rsidR="00B35453" w:rsidRPr="005D7A5C" w:rsidRDefault="00DA3F55" w:rsidP="00A50AD9">
            <w:r w:rsidRPr="005D7A5C">
              <w:t>4.</w:t>
            </w:r>
            <w:r w:rsidR="003F04EE">
              <w:t>4</w:t>
            </w:r>
            <w:r w:rsidRPr="005D7A5C">
              <w:t xml:space="preserve"> </w:t>
            </w:r>
            <w:r w:rsidR="00B35453" w:rsidRPr="005D7A5C">
              <w:t>Continue to ensure</w:t>
            </w:r>
            <w:r w:rsidR="00E86C0A">
              <w:t xml:space="preserve"> inclusive</w:t>
            </w:r>
            <w:r w:rsidR="00B35453" w:rsidRPr="005D7A5C">
              <w:t xml:space="preserve"> work practices through blended working arrangements</w:t>
            </w:r>
            <w:r w:rsidR="00AB659D">
              <w:t xml:space="preserve"> as relevant and appropriate</w:t>
            </w:r>
          </w:p>
          <w:p w14:paraId="1FA01980" w14:textId="0E8BF1B5" w:rsidR="00B35453" w:rsidRPr="005D7A5C" w:rsidRDefault="00B35453" w:rsidP="00A50AD9"/>
        </w:tc>
        <w:tc>
          <w:tcPr>
            <w:tcW w:w="3915" w:type="dxa"/>
          </w:tcPr>
          <w:p w14:paraId="1724AC81" w14:textId="78B355EE" w:rsidR="00FF3863" w:rsidRPr="005D7A5C" w:rsidRDefault="00E86C0A" w:rsidP="00FF3863">
            <w:r>
              <w:t>Inclusive</w:t>
            </w:r>
            <w:r w:rsidR="00FF3863" w:rsidRPr="005D7A5C">
              <w:t xml:space="preserve"> work practices continue to be provided through blended working arrangements</w:t>
            </w:r>
          </w:p>
          <w:p w14:paraId="13942BDE" w14:textId="77777777" w:rsidR="00B35453" w:rsidRPr="005D7A5C" w:rsidRDefault="00B35453" w:rsidP="002A440C"/>
        </w:tc>
        <w:tc>
          <w:tcPr>
            <w:tcW w:w="2747" w:type="dxa"/>
          </w:tcPr>
          <w:p w14:paraId="5BFEFCF8" w14:textId="613F7299" w:rsidR="00B35453" w:rsidRPr="005D7A5C" w:rsidRDefault="005D7A5C" w:rsidP="002A440C">
            <w:r w:rsidRPr="005D7A5C">
              <w:t>Q4 2027</w:t>
            </w:r>
          </w:p>
        </w:tc>
        <w:tc>
          <w:tcPr>
            <w:tcW w:w="2471" w:type="dxa"/>
          </w:tcPr>
          <w:p w14:paraId="603B9C25" w14:textId="2482803B" w:rsidR="00B35453" w:rsidRDefault="00DD7E3D" w:rsidP="002A440C">
            <w:r w:rsidRPr="005D7A5C">
              <w:t>Corporate Services</w:t>
            </w:r>
          </w:p>
        </w:tc>
      </w:tr>
      <w:tr w:rsidR="00B35453" w14:paraId="2D46E294" w14:textId="77777777" w:rsidTr="00B35453">
        <w:tc>
          <w:tcPr>
            <w:tcW w:w="4815" w:type="dxa"/>
          </w:tcPr>
          <w:p w14:paraId="56169491" w14:textId="31E5B792" w:rsidR="00B35453" w:rsidRPr="005D7A5C" w:rsidRDefault="00DA3F55" w:rsidP="00A50AD9">
            <w:r w:rsidRPr="005D7A5C">
              <w:t>4.</w:t>
            </w:r>
            <w:r w:rsidR="00713E53" w:rsidRPr="005D7A5C">
              <w:t>5</w:t>
            </w:r>
            <w:r w:rsidRPr="005D7A5C">
              <w:t xml:space="preserve"> </w:t>
            </w:r>
            <w:r w:rsidR="00A51C0E" w:rsidRPr="005D7A5C">
              <w:t xml:space="preserve">Establish a network of </w:t>
            </w:r>
            <w:r w:rsidR="00B35453" w:rsidRPr="005D7A5C">
              <w:t>Mental Health First Aid</w:t>
            </w:r>
            <w:r w:rsidR="00A51C0E" w:rsidRPr="005D7A5C">
              <w:t>ers</w:t>
            </w:r>
          </w:p>
          <w:p w14:paraId="50A63F36" w14:textId="034645CC" w:rsidR="00B35453" w:rsidRPr="005D7A5C" w:rsidRDefault="00B35453" w:rsidP="00A50AD9"/>
        </w:tc>
        <w:tc>
          <w:tcPr>
            <w:tcW w:w="3915" w:type="dxa"/>
          </w:tcPr>
          <w:p w14:paraId="6150EED1" w14:textId="70F5BE58" w:rsidR="00814D6A" w:rsidRPr="005D7A5C" w:rsidRDefault="00814D6A" w:rsidP="002A440C">
            <w:r w:rsidRPr="005D7A5C">
              <w:t>Mental Health First Aiders designated and trained</w:t>
            </w:r>
          </w:p>
          <w:p w14:paraId="212964B8" w14:textId="4CE8C08E" w:rsidR="00A51C0E" w:rsidRPr="005D7A5C" w:rsidRDefault="00A51C0E" w:rsidP="002A440C"/>
        </w:tc>
        <w:tc>
          <w:tcPr>
            <w:tcW w:w="2747" w:type="dxa"/>
          </w:tcPr>
          <w:p w14:paraId="14D3D4AF" w14:textId="6DC11FB0" w:rsidR="00B35453" w:rsidRPr="005D7A5C" w:rsidRDefault="0018302F" w:rsidP="002A440C">
            <w:r>
              <w:t>Q2 2026</w:t>
            </w:r>
          </w:p>
        </w:tc>
        <w:tc>
          <w:tcPr>
            <w:tcW w:w="2471" w:type="dxa"/>
          </w:tcPr>
          <w:p w14:paraId="1D930C2D" w14:textId="3D7AFC6E" w:rsidR="00B35453" w:rsidRDefault="00DD7E3D" w:rsidP="002A440C">
            <w:r w:rsidRPr="005D7A5C">
              <w:t>Corporate Services</w:t>
            </w:r>
          </w:p>
        </w:tc>
      </w:tr>
      <w:tr w:rsidR="00B35453" w14:paraId="417F38C0" w14:textId="77777777" w:rsidTr="00B35453">
        <w:tc>
          <w:tcPr>
            <w:tcW w:w="4815" w:type="dxa"/>
          </w:tcPr>
          <w:p w14:paraId="7EDF3E20" w14:textId="3764ED7D" w:rsidR="00B35453" w:rsidRPr="005D7A5C" w:rsidRDefault="00DA3F55" w:rsidP="003177F2">
            <w:r w:rsidRPr="005D7A5C">
              <w:t>4.</w:t>
            </w:r>
            <w:r w:rsidR="003F04EE">
              <w:t>6</w:t>
            </w:r>
            <w:r w:rsidRPr="005D7A5C">
              <w:t xml:space="preserve"> </w:t>
            </w:r>
            <w:r w:rsidR="00B35453" w:rsidRPr="005D7A5C">
              <w:t>Raise awareness regarding leave entitlements (</w:t>
            </w:r>
            <w:r w:rsidR="003A5B69" w:rsidRPr="005D7A5C">
              <w:t>such as</w:t>
            </w:r>
            <w:r w:rsidR="00B35453" w:rsidRPr="005D7A5C">
              <w:t xml:space="preserve"> parents leave, sick leave, carer’s leave), application processes, and return to work procedures</w:t>
            </w:r>
          </w:p>
          <w:p w14:paraId="7D290DEC" w14:textId="070FBAE6" w:rsidR="00B35453" w:rsidRPr="005D7A5C" w:rsidRDefault="00B35453" w:rsidP="003177F2"/>
        </w:tc>
        <w:tc>
          <w:tcPr>
            <w:tcW w:w="3915" w:type="dxa"/>
          </w:tcPr>
          <w:p w14:paraId="503C0CE1" w14:textId="0B509063" w:rsidR="00B35453" w:rsidRPr="005D7A5C" w:rsidRDefault="00E21467" w:rsidP="002A440C">
            <w:r w:rsidRPr="005D7A5C">
              <w:t>Staff are made aware and are aware of their leave entitlements, application processes and return to work procedures</w:t>
            </w:r>
          </w:p>
        </w:tc>
        <w:tc>
          <w:tcPr>
            <w:tcW w:w="2747" w:type="dxa"/>
          </w:tcPr>
          <w:p w14:paraId="2B0820D4" w14:textId="5DE63A7E" w:rsidR="00B35453" w:rsidRPr="005D7A5C" w:rsidRDefault="00A51C0E" w:rsidP="002A440C">
            <w:r w:rsidRPr="005D7A5C">
              <w:t>Q4 2027</w:t>
            </w:r>
          </w:p>
        </w:tc>
        <w:tc>
          <w:tcPr>
            <w:tcW w:w="2471" w:type="dxa"/>
          </w:tcPr>
          <w:p w14:paraId="71E035DC" w14:textId="5DBCD229" w:rsidR="00B35453" w:rsidRDefault="00DD7E3D" w:rsidP="002A440C">
            <w:r w:rsidRPr="005D7A5C">
              <w:t>Corporate Services</w:t>
            </w:r>
          </w:p>
        </w:tc>
      </w:tr>
      <w:bookmarkEnd w:id="3"/>
    </w:tbl>
    <w:p w14:paraId="3AB7AF73" w14:textId="77777777" w:rsidR="00A50AD9" w:rsidRDefault="00A50AD9" w:rsidP="00647485"/>
    <w:p w14:paraId="7495738F" w14:textId="378DA542" w:rsidR="003177F2" w:rsidRDefault="003177F2" w:rsidP="003177F2">
      <w:pPr>
        <w:pStyle w:val="Heading2"/>
      </w:pPr>
      <w:r>
        <w:t xml:space="preserve">Action </w:t>
      </w:r>
      <w:r w:rsidR="00262B3D">
        <w:t xml:space="preserve">Area </w:t>
      </w:r>
      <w:r>
        <w:t>5 – Stakeholder engagement</w:t>
      </w:r>
    </w:p>
    <w:tbl>
      <w:tblPr>
        <w:tblStyle w:val="TableGrid"/>
        <w:tblW w:w="0" w:type="auto"/>
        <w:tblLook w:val="04A0" w:firstRow="1" w:lastRow="0" w:firstColumn="1" w:lastColumn="0" w:noHBand="0" w:noVBand="1"/>
      </w:tblPr>
      <w:tblGrid>
        <w:gridCol w:w="4815"/>
        <w:gridCol w:w="3969"/>
        <w:gridCol w:w="2693"/>
        <w:gridCol w:w="2471"/>
      </w:tblGrid>
      <w:tr w:rsidR="00B35453" w:rsidRPr="00A50AD9" w14:paraId="59F33D37" w14:textId="77777777" w:rsidTr="00B35453">
        <w:tc>
          <w:tcPr>
            <w:tcW w:w="4815" w:type="dxa"/>
          </w:tcPr>
          <w:p w14:paraId="0576C9BB" w14:textId="1C4BB410" w:rsidR="00B35453" w:rsidRDefault="00B35453" w:rsidP="002A440C">
            <w:pPr>
              <w:rPr>
                <w:b/>
                <w:bCs/>
              </w:rPr>
            </w:pPr>
            <w:r>
              <w:rPr>
                <w:b/>
                <w:bCs/>
              </w:rPr>
              <w:t>Action</w:t>
            </w:r>
          </w:p>
          <w:p w14:paraId="3925AD40" w14:textId="77777777" w:rsidR="00B35453" w:rsidRPr="00A50AD9" w:rsidRDefault="00B35453" w:rsidP="002A440C">
            <w:pPr>
              <w:rPr>
                <w:b/>
                <w:bCs/>
              </w:rPr>
            </w:pPr>
          </w:p>
        </w:tc>
        <w:tc>
          <w:tcPr>
            <w:tcW w:w="3969" w:type="dxa"/>
          </w:tcPr>
          <w:p w14:paraId="7BD3BDE6" w14:textId="77777777" w:rsidR="00B35453" w:rsidRDefault="00B35453" w:rsidP="00B35453">
            <w:pPr>
              <w:rPr>
                <w:b/>
                <w:bCs/>
              </w:rPr>
            </w:pPr>
            <w:r w:rsidRPr="00A50AD9">
              <w:rPr>
                <w:b/>
                <w:bCs/>
              </w:rPr>
              <w:t>Indicators of Achievement</w:t>
            </w:r>
          </w:p>
          <w:p w14:paraId="04F3EA6C" w14:textId="77777777" w:rsidR="00B35453" w:rsidRPr="00A50AD9" w:rsidRDefault="00B35453" w:rsidP="002A440C">
            <w:pPr>
              <w:rPr>
                <w:b/>
                <w:bCs/>
              </w:rPr>
            </w:pPr>
          </w:p>
        </w:tc>
        <w:tc>
          <w:tcPr>
            <w:tcW w:w="2693" w:type="dxa"/>
          </w:tcPr>
          <w:p w14:paraId="7574516E" w14:textId="1CA51A70" w:rsidR="00B35453" w:rsidRPr="00A50AD9" w:rsidRDefault="00B35453" w:rsidP="002A440C">
            <w:pPr>
              <w:rPr>
                <w:b/>
                <w:bCs/>
              </w:rPr>
            </w:pPr>
            <w:r w:rsidRPr="00A50AD9">
              <w:rPr>
                <w:b/>
                <w:bCs/>
              </w:rPr>
              <w:t>Timeframe</w:t>
            </w:r>
          </w:p>
        </w:tc>
        <w:tc>
          <w:tcPr>
            <w:tcW w:w="2471" w:type="dxa"/>
          </w:tcPr>
          <w:p w14:paraId="0A64D95B" w14:textId="3C4240C1" w:rsidR="00B35453" w:rsidRPr="00A50AD9" w:rsidRDefault="00DD7E3D" w:rsidP="002A440C">
            <w:pPr>
              <w:rPr>
                <w:b/>
                <w:bCs/>
              </w:rPr>
            </w:pPr>
            <w:r>
              <w:rPr>
                <w:b/>
                <w:bCs/>
              </w:rPr>
              <w:t>Team</w:t>
            </w:r>
            <w:r w:rsidR="00B35453" w:rsidRPr="00A50AD9">
              <w:rPr>
                <w:b/>
                <w:bCs/>
              </w:rPr>
              <w:t xml:space="preserve"> responsible</w:t>
            </w:r>
          </w:p>
        </w:tc>
      </w:tr>
      <w:tr w:rsidR="00B35453" w14:paraId="493FBD13" w14:textId="77777777" w:rsidTr="00B35453">
        <w:tc>
          <w:tcPr>
            <w:tcW w:w="4815" w:type="dxa"/>
          </w:tcPr>
          <w:p w14:paraId="79A558F8" w14:textId="35F7A050" w:rsidR="00B35453" w:rsidRPr="00D20561" w:rsidRDefault="00DA3F55" w:rsidP="003177F2">
            <w:r w:rsidRPr="00D20561">
              <w:t xml:space="preserve">5.1 </w:t>
            </w:r>
            <w:r w:rsidR="003F04EE">
              <w:t>Collate and disseminate best practice</w:t>
            </w:r>
            <w:r w:rsidR="003F04EE" w:rsidRPr="00D20561">
              <w:t xml:space="preserve"> </w:t>
            </w:r>
            <w:r w:rsidR="00B35453" w:rsidRPr="00D20561">
              <w:t>guidance for running accessible and universally designed events for internal and external stakeholders</w:t>
            </w:r>
          </w:p>
          <w:p w14:paraId="6A350D20" w14:textId="2D1F2C5D" w:rsidR="00B35453" w:rsidRPr="00D20561" w:rsidRDefault="00B35453" w:rsidP="003177F2">
            <w:pPr>
              <w:rPr>
                <w:b/>
              </w:rPr>
            </w:pPr>
          </w:p>
        </w:tc>
        <w:tc>
          <w:tcPr>
            <w:tcW w:w="3969" w:type="dxa"/>
          </w:tcPr>
          <w:p w14:paraId="0C13445E" w14:textId="278A55D6" w:rsidR="002907A9" w:rsidRPr="00D20561" w:rsidRDefault="002907A9" w:rsidP="002A440C">
            <w:r w:rsidRPr="00D20561">
              <w:lastRenderedPageBreak/>
              <w:t xml:space="preserve">Scoping of existing guidance completed </w:t>
            </w:r>
          </w:p>
          <w:p w14:paraId="5C583F51" w14:textId="77777777" w:rsidR="002907A9" w:rsidRPr="00D20561" w:rsidRDefault="002907A9" w:rsidP="002A440C"/>
          <w:p w14:paraId="719EA0D2" w14:textId="5CB7A484" w:rsidR="00B35453" w:rsidRDefault="003421FD" w:rsidP="002A440C">
            <w:r w:rsidRPr="00D20561">
              <w:t>Guid</w:t>
            </w:r>
            <w:r w:rsidR="003F04EE">
              <w:t>ance</w:t>
            </w:r>
            <w:r w:rsidRPr="00D20561">
              <w:t xml:space="preserve"> </w:t>
            </w:r>
            <w:r w:rsidR="003F04EE">
              <w:t>collated</w:t>
            </w:r>
            <w:r w:rsidR="003F04EE" w:rsidRPr="00D20561">
              <w:t xml:space="preserve"> </w:t>
            </w:r>
            <w:r w:rsidRPr="00D20561">
              <w:t xml:space="preserve">and </w:t>
            </w:r>
            <w:r w:rsidR="003F04EE">
              <w:t>disseminated</w:t>
            </w:r>
            <w:r w:rsidR="003F04EE" w:rsidRPr="00D20561">
              <w:t xml:space="preserve"> </w:t>
            </w:r>
            <w:r w:rsidR="005724A0">
              <w:t>to staff</w:t>
            </w:r>
          </w:p>
          <w:p w14:paraId="49C4DF51" w14:textId="5A327250" w:rsidR="005D7A5C" w:rsidRPr="00D20561" w:rsidRDefault="005D7A5C" w:rsidP="002A440C"/>
        </w:tc>
        <w:tc>
          <w:tcPr>
            <w:tcW w:w="2693" w:type="dxa"/>
          </w:tcPr>
          <w:p w14:paraId="4C172951" w14:textId="77777777" w:rsidR="00B35453" w:rsidRDefault="00B7013B" w:rsidP="002A440C">
            <w:r w:rsidRPr="00B7013B">
              <w:lastRenderedPageBreak/>
              <w:t>Q</w:t>
            </w:r>
            <w:r w:rsidR="00121042">
              <w:t>2</w:t>
            </w:r>
            <w:r w:rsidRPr="00B7013B">
              <w:t xml:space="preserve"> 2026</w:t>
            </w:r>
          </w:p>
          <w:p w14:paraId="182A10FF" w14:textId="77777777" w:rsidR="00121042" w:rsidRDefault="00121042" w:rsidP="002A440C"/>
          <w:p w14:paraId="053658C7" w14:textId="77777777" w:rsidR="00121042" w:rsidRDefault="00121042" w:rsidP="002A440C"/>
          <w:p w14:paraId="104583A2" w14:textId="6F253D44" w:rsidR="00121042" w:rsidRPr="00B7013B" w:rsidRDefault="00121042" w:rsidP="002A440C">
            <w:r>
              <w:t>Q3 2026</w:t>
            </w:r>
          </w:p>
        </w:tc>
        <w:tc>
          <w:tcPr>
            <w:tcW w:w="2471" w:type="dxa"/>
          </w:tcPr>
          <w:p w14:paraId="55D78CC1" w14:textId="7A991A79" w:rsidR="00B35453" w:rsidRDefault="00DD7E3D" w:rsidP="002A440C">
            <w:r w:rsidRPr="00D20561">
              <w:t>Communications Team</w:t>
            </w:r>
          </w:p>
        </w:tc>
      </w:tr>
      <w:tr w:rsidR="00B35453" w14:paraId="07A3C22A" w14:textId="77777777" w:rsidTr="00B35453">
        <w:tc>
          <w:tcPr>
            <w:tcW w:w="4815" w:type="dxa"/>
          </w:tcPr>
          <w:p w14:paraId="3F1A023E" w14:textId="2D47CB45" w:rsidR="00B35453" w:rsidRDefault="00DA3F55" w:rsidP="003177F2">
            <w:r>
              <w:t xml:space="preserve">5.2 </w:t>
            </w:r>
            <w:r w:rsidR="00B35453">
              <w:t>Review and update internal guidelines on consulting with Disabled Persons Organisations</w:t>
            </w:r>
          </w:p>
          <w:p w14:paraId="249C7087" w14:textId="73B82FB2" w:rsidR="00B35453" w:rsidRPr="003177F2" w:rsidRDefault="00B35453" w:rsidP="003177F2"/>
        </w:tc>
        <w:tc>
          <w:tcPr>
            <w:tcW w:w="3969" w:type="dxa"/>
          </w:tcPr>
          <w:p w14:paraId="4F229489" w14:textId="372AAC7E" w:rsidR="00B35453" w:rsidRDefault="003421FD" w:rsidP="002A440C">
            <w:r>
              <w:t>Guidelines are reviewed, updated and circulated to all staff</w:t>
            </w:r>
          </w:p>
        </w:tc>
        <w:tc>
          <w:tcPr>
            <w:tcW w:w="2693" w:type="dxa"/>
          </w:tcPr>
          <w:p w14:paraId="2095BE24" w14:textId="54BD3A1B" w:rsidR="00B35453" w:rsidRDefault="003421FD" w:rsidP="002A440C">
            <w:r>
              <w:t>Q</w:t>
            </w:r>
            <w:r w:rsidR="006A0D71">
              <w:t>1</w:t>
            </w:r>
            <w:r>
              <w:t xml:space="preserve"> 202</w:t>
            </w:r>
            <w:r w:rsidR="006A0D71">
              <w:t>7</w:t>
            </w:r>
          </w:p>
        </w:tc>
        <w:tc>
          <w:tcPr>
            <w:tcW w:w="2471" w:type="dxa"/>
          </w:tcPr>
          <w:p w14:paraId="2BAC2F6A" w14:textId="64E1E6A3" w:rsidR="00B35453" w:rsidRDefault="00DD7E3D" w:rsidP="002A440C">
            <w:r>
              <w:t>Policy, Research and Public Affairs Team</w:t>
            </w:r>
          </w:p>
        </w:tc>
      </w:tr>
      <w:tr w:rsidR="00B35453" w14:paraId="34B39A48" w14:textId="77777777" w:rsidTr="00B35453">
        <w:tc>
          <w:tcPr>
            <w:tcW w:w="4815" w:type="dxa"/>
          </w:tcPr>
          <w:p w14:paraId="0F668FB3" w14:textId="2E3D80EC" w:rsidR="00B35453" w:rsidRDefault="00DA3F55" w:rsidP="003177F2">
            <w:r w:rsidRPr="000A35F4">
              <w:t xml:space="preserve">5.3 </w:t>
            </w:r>
            <w:r w:rsidR="00B35453" w:rsidRPr="000A35F4">
              <w:t>Update project management documents to include a section on consultation and feedback as a tool for staff to ensure they are considering our Participation Matters advice in their work</w:t>
            </w:r>
          </w:p>
          <w:p w14:paraId="2F467740" w14:textId="4F7DBF41" w:rsidR="00B35453" w:rsidRDefault="00B35453" w:rsidP="003177F2"/>
        </w:tc>
        <w:tc>
          <w:tcPr>
            <w:tcW w:w="3969" w:type="dxa"/>
          </w:tcPr>
          <w:p w14:paraId="02EBE2A1" w14:textId="0F6B6116" w:rsidR="00B35453" w:rsidRDefault="00EE3A6D" w:rsidP="002A440C">
            <w:r>
              <w:t>Project management documents updated to include a section on consultation and feedback</w:t>
            </w:r>
          </w:p>
        </w:tc>
        <w:tc>
          <w:tcPr>
            <w:tcW w:w="2693" w:type="dxa"/>
          </w:tcPr>
          <w:p w14:paraId="3D59B156" w14:textId="7A6AFAB7" w:rsidR="00B35453" w:rsidRDefault="00B12728" w:rsidP="002A440C">
            <w:r>
              <w:t>Q4 2026</w:t>
            </w:r>
          </w:p>
        </w:tc>
        <w:tc>
          <w:tcPr>
            <w:tcW w:w="2471" w:type="dxa"/>
          </w:tcPr>
          <w:p w14:paraId="34F4F6FA" w14:textId="040DCB32" w:rsidR="00B35453" w:rsidRDefault="008E56D2" w:rsidP="002A440C">
            <w:r>
              <w:t>Corporate Services</w:t>
            </w:r>
          </w:p>
        </w:tc>
      </w:tr>
      <w:tr w:rsidR="00B35453" w14:paraId="18740023" w14:textId="77777777" w:rsidTr="00B35453">
        <w:tc>
          <w:tcPr>
            <w:tcW w:w="4815" w:type="dxa"/>
          </w:tcPr>
          <w:p w14:paraId="2FF327C1" w14:textId="10D72125" w:rsidR="00B35453" w:rsidRDefault="00DA3F55" w:rsidP="003177F2">
            <w:r>
              <w:t xml:space="preserve">5.4 </w:t>
            </w:r>
            <w:r w:rsidR="00B35453">
              <w:t>Update our advice paper on disability language and terminology in consultation with Disabled Persons Organisations</w:t>
            </w:r>
            <w:r w:rsidR="00E66190">
              <w:t xml:space="preserve"> and other key stakeholders</w:t>
            </w:r>
          </w:p>
          <w:p w14:paraId="2821606B" w14:textId="4026EAB9" w:rsidR="00B35453" w:rsidRPr="00BE2020" w:rsidRDefault="00B35453" w:rsidP="003177F2"/>
        </w:tc>
        <w:tc>
          <w:tcPr>
            <w:tcW w:w="3969" w:type="dxa"/>
          </w:tcPr>
          <w:p w14:paraId="7CDEFAD1" w14:textId="1650C95B" w:rsidR="00B35453" w:rsidRDefault="003421FD" w:rsidP="002A440C">
            <w:r>
              <w:t>Advice paper updated and published</w:t>
            </w:r>
          </w:p>
        </w:tc>
        <w:tc>
          <w:tcPr>
            <w:tcW w:w="2693" w:type="dxa"/>
          </w:tcPr>
          <w:p w14:paraId="237CC3D6" w14:textId="29A87338" w:rsidR="00B35453" w:rsidRDefault="003421FD" w:rsidP="002A440C">
            <w:r>
              <w:t>Q3 2026</w:t>
            </w:r>
          </w:p>
        </w:tc>
        <w:tc>
          <w:tcPr>
            <w:tcW w:w="2471" w:type="dxa"/>
          </w:tcPr>
          <w:p w14:paraId="0471AFDA" w14:textId="03BB5737" w:rsidR="00B35453" w:rsidRDefault="00DD7E3D" w:rsidP="002A440C">
            <w:r>
              <w:t>Policy, Research and Public Affairs Team</w:t>
            </w:r>
          </w:p>
        </w:tc>
      </w:tr>
      <w:tr w:rsidR="00B35453" w14:paraId="1CCADC18" w14:textId="77777777" w:rsidTr="00B35453">
        <w:tc>
          <w:tcPr>
            <w:tcW w:w="4815" w:type="dxa"/>
          </w:tcPr>
          <w:p w14:paraId="7F2AD248" w14:textId="3D188CC4" w:rsidR="00B35453" w:rsidRPr="002907A9" w:rsidRDefault="00DA3F55" w:rsidP="00160F07">
            <w:r w:rsidRPr="002907A9">
              <w:t xml:space="preserve">5.5 </w:t>
            </w:r>
            <w:r w:rsidR="00B35453" w:rsidRPr="002907A9">
              <w:t>Continue to implement the NDA’s Communications and Engagement strategy, with a focus on accessibility and reaching more diverse audiences</w:t>
            </w:r>
          </w:p>
          <w:p w14:paraId="5CEA8DCA" w14:textId="00B4A107" w:rsidR="00B35453" w:rsidRPr="002907A9" w:rsidRDefault="00B35453" w:rsidP="00160F07"/>
        </w:tc>
        <w:tc>
          <w:tcPr>
            <w:tcW w:w="3969" w:type="dxa"/>
          </w:tcPr>
          <w:p w14:paraId="1EBF9F4A" w14:textId="3A0B607F" w:rsidR="00B35453" w:rsidRPr="002907A9" w:rsidRDefault="002907A9" w:rsidP="002A440C">
            <w:r w:rsidRPr="002907A9">
              <w:t>Annual review of communications completed and any accessibility recommendations which may arise</w:t>
            </w:r>
            <w:r w:rsidR="00121042">
              <w:t xml:space="preserve"> are addressed</w:t>
            </w:r>
          </w:p>
          <w:p w14:paraId="3D693E42" w14:textId="0CA18B12" w:rsidR="002907A9" w:rsidRPr="002907A9" w:rsidRDefault="002907A9" w:rsidP="002A440C"/>
        </w:tc>
        <w:tc>
          <w:tcPr>
            <w:tcW w:w="2693" w:type="dxa"/>
          </w:tcPr>
          <w:p w14:paraId="2D4E6BC8" w14:textId="1CF479FC" w:rsidR="00B35453" w:rsidRPr="002907A9" w:rsidRDefault="002907A9" w:rsidP="002A440C">
            <w:r w:rsidRPr="002907A9">
              <w:t>Q4 2027</w:t>
            </w:r>
          </w:p>
        </w:tc>
        <w:tc>
          <w:tcPr>
            <w:tcW w:w="2471" w:type="dxa"/>
          </w:tcPr>
          <w:p w14:paraId="348992A0" w14:textId="0073FDE2" w:rsidR="00B35453" w:rsidRDefault="00DD7E3D" w:rsidP="002A440C">
            <w:r w:rsidRPr="002907A9">
              <w:t>Communications Team</w:t>
            </w:r>
          </w:p>
        </w:tc>
      </w:tr>
      <w:tr w:rsidR="00B25760" w14:paraId="4A1F187E" w14:textId="77777777" w:rsidTr="00B35453">
        <w:tc>
          <w:tcPr>
            <w:tcW w:w="4815" w:type="dxa"/>
          </w:tcPr>
          <w:p w14:paraId="67DD6B75" w14:textId="17D2F910" w:rsidR="00B25760" w:rsidRPr="00713E53" w:rsidRDefault="00DA3F55" w:rsidP="00160F07">
            <w:r w:rsidRPr="00713E53">
              <w:t xml:space="preserve">5.6 </w:t>
            </w:r>
            <w:r w:rsidR="00B25760" w:rsidRPr="00713E53">
              <w:t xml:space="preserve">Review our quarterly newsletter, with </w:t>
            </w:r>
            <w:r w:rsidR="00713E53" w:rsidRPr="00713E53">
              <w:t xml:space="preserve">improving </w:t>
            </w:r>
            <w:r w:rsidR="00B25760" w:rsidRPr="00713E53">
              <w:t>accessibility a</w:t>
            </w:r>
            <w:r w:rsidR="003A5B69" w:rsidRPr="00713E53">
              <w:t>s a</w:t>
            </w:r>
            <w:r w:rsidR="00B25760" w:rsidRPr="00713E53">
              <w:t xml:space="preserve"> primary consideration</w:t>
            </w:r>
          </w:p>
          <w:p w14:paraId="107A47BF" w14:textId="12ADF056" w:rsidR="00B25760" w:rsidRPr="00713E53" w:rsidRDefault="00B25760" w:rsidP="00160F07"/>
        </w:tc>
        <w:tc>
          <w:tcPr>
            <w:tcW w:w="3969" w:type="dxa"/>
          </w:tcPr>
          <w:p w14:paraId="3E1F17CB" w14:textId="0DF0FB2F" w:rsidR="00B25760" w:rsidRPr="00713E53" w:rsidRDefault="003421FD" w:rsidP="002A440C">
            <w:r w:rsidRPr="00713E53">
              <w:t xml:space="preserve">Newsletter reviewed and made more accessible </w:t>
            </w:r>
          </w:p>
        </w:tc>
        <w:tc>
          <w:tcPr>
            <w:tcW w:w="2693" w:type="dxa"/>
          </w:tcPr>
          <w:p w14:paraId="49E0A36F" w14:textId="6B8515E3" w:rsidR="00B25760" w:rsidRPr="00713E53" w:rsidRDefault="00713E53" w:rsidP="002A440C">
            <w:r w:rsidRPr="00713E53">
              <w:t>Q1 2027</w:t>
            </w:r>
          </w:p>
        </w:tc>
        <w:tc>
          <w:tcPr>
            <w:tcW w:w="2471" w:type="dxa"/>
          </w:tcPr>
          <w:p w14:paraId="49EAA740" w14:textId="26FE7D1B" w:rsidR="00B25760" w:rsidRDefault="00DD7E3D" w:rsidP="002A440C">
            <w:r w:rsidRPr="00713E53">
              <w:t>Communications Team</w:t>
            </w:r>
          </w:p>
        </w:tc>
      </w:tr>
      <w:tr w:rsidR="00356415" w14:paraId="4D8D6FAD" w14:textId="77777777" w:rsidTr="00B35453">
        <w:tc>
          <w:tcPr>
            <w:tcW w:w="4815" w:type="dxa"/>
          </w:tcPr>
          <w:p w14:paraId="3F7E6DB8" w14:textId="36680FB5" w:rsidR="00356415" w:rsidRDefault="00356415" w:rsidP="00160F07">
            <w:r>
              <w:lastRenderedPageBreak/>
              <w:t>5.7 Continue to ensure that NDA and CEUD consultation and engagement initiatives are accessible to stakeholders</w:t>
            </w:r>
          </w:p>
          <w:p w14:paraId="3150525C" w14:textId="16B81465" w:rsidR="00356415" w:rsidRPr="00713E53" w:rsidRDefault="00356415" w:rsidP="00160F07"/>
        </w:tc>
        <w:tc>
          <w:tcPr>
            <w:tcW w:w="3969" w:type="dxa"/>
          </w:tcPr>
          <w:p w14:paraId="2DD8D928" w14:textId="77777777" w:rsidR="00356415" w:rsidRDefault="00356415" w:rsidP="002A440C">
            <w:r>
              <w:t>Consultation and engagement initiatives are accessible, with accessibility and reasonable accommodation measures provided as necessary</w:t>
            </w:r>
          </w:p>
          <w:p w14:paraId="71746517" w14:textId="7942BD19" w:rsidR="00356415" w:rsidRPr="00713E53" w:rsidRDefault="00356415" w:rsidP="002A440C"/>
        </w:tc>
        <w:tc>
          <w:tcPr>
            <w:tcW w:w="2693" w:type="dxa"/>
          </w:tcPr>
          <w:p w14:paraId="1957231C" w14:textId="7E9D0BF2" w:rsidR="00356415" w:rsidRPr="00713E53" w:rsidRDefault="00356415" w:rsidP="002A440C">
            <w:r>
              <w:t>Q4 2027</w:t>
            </w:r>
          </w:p>
        </w:tc>
        <w:tc>
          <w:tcPr>
            <w:tcW w:w="2471" w:type="dxa"/>
          </w:tcPr>
          <w:p w14:paraId="3EEAB779" w14:textId="46199D62" w:rsidR="00356415" w:rsidRPr="00713E53" w:rsidRDefault="00356415" w:rsidP="002A440C">
            <w:r w:rsidRPr="00356415">
              <w:t>Policy, Research and Public Affairs Team</w:t>
            </w:r>
            <w:r>
              <w:t>; CEUDSM</w:t>
            </w:r>
          </w:p>
        </w:tc>
      </w:tr>
    </w:tbl>
    <w:p w14:paraId="4EF38A41" w14:textId="77777777" w:rsidR="003177F2" w:rsidRPr="003177F2" w:rsidRDefault="003177F2" w:rsidP="003177F2"/>
    <w:sectPr w:rsidR="003177F2" w:rsidRPr="003177F2" w:rsidSect="00A50AD9">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97FD" w14:textId="77777777" w:rsidR="00B7102C" w:rsidRDefault="00B7102C" w:rsidP="00917FAC">
      <w:pPr>
        <w:spacing w:after="0"/>
      </w:pPr>
      <w:r>
        <w:separator/>
      </w:r>
    </w:p>
  </w:endnote>
  <w:endnote w:type="continuationSeparator" w:id="0">
    <w:p w14:paraId="321A1B6D" w14:textId="77777777" w:rsidR="00B7102C" w:rsidRDefault="00B7102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2ECF" w14:textId="67E78FED" w:rsidR="00917FAC" w:rsidRDefault="001538BD" w:rsidP="001538BD">
    <w:pPr>
      <w:pStyle w:val="Footer"/>
      <w:jc w:val="right"/>
    </w:pPr>
    <w:r>
      <w:tab/>
    </w:r>
    <w:r>
      <w:tab/>
    </w:r>
    <w:sdt>
      <w:sdtPr>
        <w:id w:val="-724988138"/>
        <w:docPartObj>
          <w:docPartGallery w:val="Page Numbers (Bottom of Page)"/>
          <w:docPartUnique/>
        </w:docPartObj>
      </w:sdt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15C0" w14:textId="77777777" w:rsidR="00B7102C" w:rsidRDefault="00B7102C" w:rsidP="00917FAC">
      <w:pPr>
        <w:spacing w:after="0"/>
      </w:pPr>
      <w:r>
        <w:separator/>
      </w:r>
    </w:p>
  </w:footnote>
  <w:footnote w:type="continuationSeparator" w:id="0">
    <w:p w14:paraId="06977026" w14:textId="77777777" w:rsidR="00B7102C" w:rsidRDefault="00B7102C"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C5BD" w14:textId="289CCB76" w:rsidR="00917FAC" w:rsidRDefault="00755496">
    <w:pPr>
      <w:pStyle w:val="Header"/>
    </w:pPr>
    <w:r>
      <w:t xml:space="preserve">NDA </w:t>
    </w:r>
    <w:r w:rsidR="00886632">
      <w:t xml:space="preserve">Public Sector </w:t>
    </w:r>
    <w:r>
      <w:t xml:space="preserve">Equality and Human Rights </w:t>
    </w:r>
    <w:r w:rsidR="00886632">
      <w:t>Duty Action Plan 2026-2027</w:t>
    </w:r>
    <w:r>
      <w:t xml:space="preserve">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B96EB7"/>
    <w:multiLevelType w:val="hybridMultilevel"/>
    <w:tmpl w:val="458A31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BC60434"/>
    <w:multiLevelType w:val="hybridMultilevel"/>
    <w:tmpl w:val="E9B44ED2"/>
    <w:lvl w:ilvl="0" w:tplc="3A729830">
      <w:start w:val="1"/>
      <w:numFmt w:val="lowerRoman"/>
      <w:lvlText w:val="(%1)"/>
      <w:lvlJc w:val="left"/>
      <w:pPr>
        <w:ind w:left="1647" w:hanging="108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7"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8"/>
  </w:num>
  <w:num w:numId="3" w16cid:durableId="323360036">
    <w:abstractNumId w:val="4"/>
  </w:num>
  <w:num w:numId="4" w16cid:durableId="1675497173">
    <w:abstractNumId w:val="2"/>
  </w:num>
  <w:num w:numId="5" w16cid:durableId="572157237">
    <w:abstractNumId w:val="3"/>
  </w:num>
  <w:num w:numId="6" w16cid:durableId="1523394075">
    <w:abstractNumId w:val="1"/>
  </w:num>
  <w:num w:numId="7" w16cid:durableId="912929873">
    <w:abstractNumId w:val="7"/>
  </w:num>
  <w:num w:numId="8" w16cid:durableId="126509284">
    <w:abstractNumId w:val="5"/>
  </w:num>
  <w:num w:numId="9" w16cid:durableId="1780224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D3"/>
    <w:rsid w:val="0001011C"/>
    <w:rsid w:val="00012D7B"/>
    <w:rsid w:val="00026919"/>
    <w:rsid w:val="00055494"/>
    <w:rsid w:val="00057369"/>
    <w:rsid w:val="0006646C"/>
    <w:rsid w:val="000779D8"/>
    <w:rsid w:val="00077BE4"/>
    <w:rsid w:val="00097FB3"/>
    <w:rsid w:val="000A35F4"/>
    <w:rsid w:val="000D61AB"/>
    <w:rsid w:val="00103464"/>
    <w:rsid w:val="0010419F"/>
    <w:rsid w:val="00104E60"/>
    <w:rsid w:val="0010672D"/>
    <w:rsid w:val="00121042"/>
    <w:rsid w:val="00130160"/>
    <w:rsid w:val="00141F7F"/>
    <w:rsid w:val="001478AA"/>
    <w:rsid w:val="00150A61"/>
    <w:rsid w:val="001538BD"/>
    <w:rsid w:val="00160F07"/>
    <w:rsid w:val="0018302F"/>
    <w:rsid w:val="00183647"/>
    <w:rsid w:val="00186A82"/>
    <w:rsid w:val="001B3DFE"/>
    <w:rsid w:val="001B564E"/>
    <w:rsid w:val="001E25CA"/>
    <w:rsid w:val="001F7C56"/>
    <w:rsid w:val="00224B98"/>
    <w:rsid w:val="002264D3"/>
    <w:rsid w:val="00231367"/>
    <w:rsid w:val="002379CB"/>
    <w:rsid w:val="00262B3D"/>
    <w:rsid w:val="002637BE"/>
    <w:rsid w:val="00274350"/>
    <w:rsid w:val="00280DAB"/>
    <w:rsid w:val="00284FE5"/>
    <w:rsid w:val="0028705D"/>
    <w:rsid w:val="0028739C"/>
    <w:rsid w:val="0029071B"/>
    <w:rsid w:val="002907A9"/>
    <w:rsid w:val="002953D3"/>
    <w:rsid w:val="002A3845"/>
    <w:rsid w:val="002A440C"/>
    <w:rsid w:val="002B0A12"/>
    <w:rsid w:val="002C406F"/>
    <w:rsid w:val="002C7DA3"/>
    <w:rsid w:val="002D37DB"/>
    <w:rsid w:val="002D45ED"/>
    <w:rsid w:val="0031069F"/>
    <w:rsid w:val="003177F2"/>
    <w:rsid w:val="003205FB"/>
    <w:rsid w:val="0032767B"/>
    <w:rsid w:val="003421FD"/>
    <w:rsid w:val="00356415"/>
    <w:rsid w:val="003747CA"/>
    <w:rsid w:val="00394018"/>
    <w:rsid w:val="003A5B69"/>
    <w:rsid w:val="003B156B"/>
    <w:rsid w:val="003B6C37"/>
    <w:rsid w:val="003D6CD8"/>
    <w:rsid w:val="003E1F09"/>
    <w:rsid w:val="003E2D3D"/>
    <w:rsid w:val="003F04EE"/>
    <w:rsid w:val="00403D3A"/>
    <w:rsid w:val="00406AFB"/>
    <w:rsid w:val="00413736"/>
    <w:rsid w:val="00417634"/>
    <w:rsid w:val="00444258"/>
    <w:rsid w:val="00454F24"/>
    <w:rsid w:val="00463C23"/>
    <w:rsid w:val="00464BF7"/>
    <w:rsid w:val="004838F4"/>
    <w:rsid w:val="004915A2"/>
    <w:rsid w:val="004D70E4"/>
    <w:rsid w:val="004E13BD"/>
    <w:rsid w:val="004E4909"/>
    <w:rsid w:val="004E4E8E"/>
    <w:rsid w:val="004F3457"/>
    <w:rsid w:val="00506B6E"/>
    <w:rsid w:val="00514716"/>
    <w:rsid w:val="00543076"/>
    <w:rsid w:val="005724A0"/>
    <w:rsid w:val="0057353C"/>
    <w:rsid w:val="00592AE3"/>
    <w:rsid w:val="005A394E"/>
    <w:rsid w:val="005D7A5C"/>
    <w:rsid w:val="00610919"/>
    <w:rsid w:val="00647485"/>
    <w:rsid w:val="006544B6"/>
    <w:rsid w:val="00655E92"/>
    <w:rsid w:val="00664A4E"/>
    <w:rsid w:val="00684A10"/>
    <w:rsid w:val="006A0D71"/>
    <w:rsid w:val="006A4B9C"/>
    <w:rsid w:val="006C1CFB"/>
    <w:rsid w:val="006F149A"/>
    <w:rsid w:val="006F507A"/>
    <w:rsid w:val="00700946"/>
    <w:rsid w:val="00712EBA"/>
    <w:rsid w:val="00713E53"/>
    <w:rsid w:val="00722DC4"/>
    <w:rsid w:val="007241CD"/>
    <w:rsid w:val="00724D42"/>
    <w:rsid w:val="00740E67"/>
    <w:rsid w:val="00745B19"/>
    <w:rsid w:val="00753D92"/>
    <w:rsid w:val="00755496"/>
    <w:rsid w:val="007679C6"/>
    <w:rsid w:val="00784424"/>
    <w:rsid w:val="007B30B4"/>
    <w:rsid w:val="007C66D0"/>
    <w:rsid w:val="00804F6B"/>
    <w:rsid w:val="00814D6A"/>
    <w:rsid w:val="008244EF"/>
    <w:rsid w:val="00886632"/>
    <w:rsid w:val="008A54A6"/>
    <w:rsid w:val="008D11F8"/>
    <w:rsid w:val="008E3D43"/>
    <w:rsid w:val="008E56D2"/>
    <w:rsid w:val="00917FAC"/>
    <w:rsid w:val="00920097"/>
    <w:rsid w:val="0094278F"/>
    <w:rsid w:val="00953FB9"/>
    <w:rsid w:val="00974126"/>
    <w:rsid w:val="009A2367"/>
    <w:rsid w:val="009A6DB0"/>
    <w:rsid w:val="009B08F4"/>
    <w:rsid w:val="009B2485"/>
    <w:rsid w:val="009C077F"/>
    <w:rsid w:val="009C7626"/>
    <w:rsid w:val="009F1656"/>
    <w:rsid w:val="009F4396"/>
    <w:rsid w:val="00A15B73"/>
    <w:rsid w:val="00A31DCD"/>
    <w:rsid w:val="00A50AD9"/>
    <w:rsid w:val="00A51C0E"/>
    <w:rsid w:val="00A833AB"/>
    <w:rsid w:val="00A86221"/>
    <w:rsid w:val="00AB659D"/>
    <w:rsid w:val="00AC40DF"/>
    <w:rsid w:val="00B12728"/>
    <w:rsid w:val="00B25760"/>
    <w:rsid w:val="00B27A71"/>
    <w:rsid w:val="00B35453"/>
    <w:rsid w:val="00B533F3"/>
    <w:rsid w:val="00B53A64"/>
    <w:rsid w:val="00B5483F"/>
    <w:rsid w:val="00B7013B"/>
    <w:rsid w:val="00B7102C"/>
    <w:rsid w:val="00B776E5"/>
    <w:rsid w:val="00B81FF1"/>
    <w:rsid w:val="00B8382B"/>
    <w:rsid w:val="00B870ED"/>
    <w:rsid w:val="00BA43F8"/>
    <w:rsid w:val="00BA561C"/>
    <w:rsid w:val="00BB6743"/>
    <w:rsid w:val="00BD4CF5"/>
    <w:rsid w:val="00BE2020"/>
    <w:rsid w:val="00C03FD0"/>
    <w:rsid w:val="00C15849"/>
    <w:rsid w:val="00C15916"/>
    <w:rsid w:val="00C16F74"/>
    <w:rsid w:val="00C21D91"/>
    <w:rsid w:val="00C47325"/>
    <w:rsid w:val="00C57585"/>
    <w:rsid w:val="00C86F8E"/>
    <w:rsid w:val="00CD045D"/>
    <w:rsid w:val="00CD4828"/>
    <w:rsid w:val="00D20561"/>
    <w:rsid w:val="00D2154C"/>
    <w:rsid w:val="00D4397B"/>
    <w:rsid w:val="00D47CDE"/>
    <w:rsid w:val="00D707FF"/>
    <w:rsid w:val="00D748B3"/>
    <w:rsid w:val="00DA3F55"/>
    <w:rsid w:val="00DA5DE4"/>
    <w:rsid w:val="00DB153D"/>
    <w:rsid w:val="00DC2E18"/>
    <w:rsid w:val="00DD000B"/>
    <w:rsid w:val="00DD7E3D"/>
    <w:rsid w:val="00DE0E69"/>
    <w:rsid w:val="00E0371B"/>
    <w:rsid w:val="00E13943"/>
    <w:rsid w:val="00E21467"/>
    <w:rsid w:val="00E66190"/>
    <w:rsid w:val="00E85607"/>
    <w:rsid w:val="00E85F90"/>
    <w:rsid w:val="00E86C0A"/>
    <w:rsid w:val="00E957B8"/>
    <w:rsid w:val="00E97A63"/>
    <w:rsid w:val="00EA27E7"/>
    <w:rsid w:val="00EA59EA"/>
    <w:rsid w:val="00EA69CB"/>
    <w:rsid w:val="00EB27BF"/>
    <w:rsid w:val="00ED49EF"/>
    <w:rsid w:val="00EE3A6D"/>
    <w:rsid w:val="00EF066B"/>
    <w:rsid w:val="00EF6B03"/>
    <w:rsid w:val="00F177F3"/>
    <w:rsid w:val="00F56EFA"/>
    <w:rsid w:val="00F6710F"/>
    <w:rsid w:val="00F714EB"/>
    <w:rsid w:val="00F734A7"/>
    <w:rsid w:val="00FB0CFE"/>
    <w:rsid w:val="00FB236B"/>
    <w:rsid w:val="00FC09EC"/>
    <w:rsid w:val="00FC21FD"/>
    <w:rsid w:val="00FC7C43"/>
    <w:rsid w:val="00FD6D08"/>
    <w:rsid w:val="00FF38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369A"/>
  <w15:chartTrackingRefBased/>
  <w15:docId w15:val="{17CC343A-2F74-4392-9641-9D80571E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9C7626"/>
    <w:rPr>
      <w:color w:val="605E5C"/>
      <w:shd w:val="clear" w:color="auto" w:fill="E1DFDD"/>
    </w:rPr>
  </w:style>
  <w:style w:type="character" w:styleId="CommentReference">
    <w:name w:val="annotation reference"/>
    <w:basedOn w:val="DefaultParagraphFont"/>
    <w:uiPriority w:val="99"/>
    <w:semiHidden/>
    <w:unhideWhenUsed/>
    <w:rsid w:val="00026919"/>
    <w:rPr>
      <w:sz w:val="16"/>
      <w:szCs w:val="16"/>
    </w:rPr>
  </w:style>
  <w:style w:type="paragraph" w:styleId="CommentText">
    <w:name w:val="annotation text"/>
    <w:basedOn w:val="Normal"/>
    <w:link w:val="CommentTextChar"/>
    <w:uiPriority w:val="99"/>
    <w:unhideWhenUsed/>
    <w:rsid w:val="00026919"/>
    <w:rPr>
      <w:sz w:val="20"/>
      <w:szCs w:val="20"/>
    </w:rPr>
  </w:style>
  <w:style w:type="character" w:customStyle="1" w:styleId="CommentTextChar">
    <w:name w:val="Comment Text Char"/>
    <w:basedOn w:val="DefaultParagraphFont"/>
    <w:link w:val="CommentText"/>
    <w:uiPriority w:val="99"/>
    <w:rsid w:val="0002691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26919"/>
    <w:rPr>
      <w:b/>
      <w:bCs/>
    </w:rPr>
  </w:style>
  <w:style w:type="character" w:customStyle="1" w:styleId="CommentSubjectChar">
    <w:name w:val="Comment Subject Char"/>
    <w:basedOn w:val="CommentTextChar"/>
    <w:link w:val="CommentSubject"/>
    <w:uiPriority w:val="99"/>
    <w:semiHidden/>
    <w:rsid w:val="00026919"/>
    <w:rPr>
      <w:rFonts w:ascii="Verdana" w:hAnsi="Verdana"/>
      <w:b/>
      <w:bCs/>
      <w:sz w:val="20"/>
      <w:szCs w:val="20"/>
    </w:rPr>
  </w:style>
  <w:style w:type="character" w:styleId="FollowedHyperlink">
    <w:name w:val="FollowedHyperlink"/>
    <w:basedOn w:val="DefaultParagraphFont"/>
    <w:uiPriority w:val="99"/>
    <w:semiHidden/>
    <w:unhideWhenUsed/>
    <w:rsid w:val="00BA43F8"/>
    <w:rPr>
      <w:color w:val="954F72" w:themeColor="followedHyperlink"/>
      <w:u w:val="single"/>
    </w:rPr>
  </w:style>
  <w:style w:type="paragraph" w:styleId="Revision">
    <w:name w:val="Revision"/>
    <w:hidden/>
    <w:uiPriority w:val="99"/>
    <w:semiHidden/>
    <w:rsid w:val="00BA43F8"/>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tservices.gov.ie\dfs\groups\NDA\Common\Public%20Sector%20Duty\2022%20re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43</TotalTime>
  <Pages>11</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NDA Public Sector Equality and Human Rights Duty Action Plan 2026-2027</vt:lpstr>
    </vt:vector>
  </TitlesOfParts>
  <Company>National Disability Authority</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 Public Sector Equality and Human Rights Duty Action Plan 2026-2027</dc:title>
  <dc:subject/>
  <dc:creator>Ciaran Finlay (NDA)</dc:creator>
  <cp:keywords/>
  <dc:description/>
  <cp:lastModifiedBy>Heather O'Leary (NDA)</cp:lastModifiedBy>
  <cp:revision>1</cp:revision>
  <cp:lastPrinted>2026-06-04T15:59:00Z</cp:lastPrinted>
  <dcterms:created xsi:type="dcterms:W3CDTF">2026-06-03T11:31:00Z</dcterms:created>
  <dcterms:modified xsi:type="dcterms:W3CDTF">2026-06-22T11:51:00Z</dcterms:modified>
  <cp:contentStatus/>
</cp:coreProperties>
</file>